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7771E6E" w:rsidR="00B60939" w:rsidRPr="005A293B" w:rsidRDefault="009E51BF" w:rsidP="00B0591B">
      <w:pPr>
        <w:pStyle w:val="1-MainHeading"/>
        <w:spacing w:before="0" w:after="0"/>
      </w:pPr>
      <w:bookmarkStart w:id="0" w:name="_Toc144911464"/>
      <w:bookmarkStart w:id="1" w:name="_Toc156833526"/>
      <w:bookmarkStart w:id="2" w:name="_Hlk170983774"/>
      <w:bookmarkEnd w:id="2"/>
      <w:r>
        <w:t>5.20</w:t>
      </w:r>
      <w:r w:rsidR="00163F66" w:rsidRPr="005A293B">
        <w:tab/>
      </w:r>
      <w:r w:rsidR="00515B0F" w:rsidRPr="005A293B">
        <w:t>TALAZOPARIB</w:t>
      </w:r>
      <w:r w:rsidR="00163F66" w:rsidRPr="005A293B">
        <w:t>,</w:t>
      </w:r>
      <w:r w:rsidR="00163F66" w:rsidRPr="005A293B">
        <w:br/>
      </w:r>
      <w:r w:rsidR="00186290" w:rsidRPr="005A293B">
        <w:rPr>
          <w:rFonts w:cstheme="minorHAnsi"/>
        </w:rPr>
        <w:t>Capsule 0.1 mg</w:t>
      </w:r>
      <w:r w:rsidR="00186290" w:rsidRPr="005A293B">
        <w:t>,</w:t>
      </w:r>
      <w:r w:rsidR="00186290" w:rsidRPr="00186290">
        <w:t xml:space="preserve"> </w:t>
      </w:r>
      <w:r w:rsidR="00186290" w:rsidRPr="005A293B">
        <w:br/>
      </w:r>
      <w:r w:rsidR="00186290" w:rsidRPr="005A293B">
        <w:rPr>
          <w:rFonts w:cstheme="minorHAnsi"/>
        </w:rPr>
        <w:t>Capsule 0.25 mg,</w:t>
      </w:r>
      <w:r w:rsidR="00186290" w:rsidRPr="005A293B">
        <w:t xml:space="preserve"> </w:t>
      </w:r>
      <w:r w:rsidR="00186290" w:rsidRPr="005A293B">
        <w:br/>
      </w:r>
      <w:r w:rsidR="00186290" w:rsidRPr="005A293B">
        <w:rPr>
          <w:rFonts w:cstheme="minorHAnsi"/>
        </w:rPr>
        <w:t>Capsule 0.35 mg</w:t>
      </w:r>
      <w:r w:rsidR="00186290" w:rsidRPr="005A293B">
        <w:t>,</w:t>
      </w:r>
      <w:r w:rsidR="00186290" w:rsidRPr="005A293B">
        <w:br/>
      </w:r>
      <w:r w:rsidR="00515B0F" w:rsidRPr="005A293B">
        <w:rPr>
          <w:rFonts w:cstheme="minorHAnsi"/>
        </w:rPr>
        <w:t>Capsule</w:t>
      </w:r>
      <w:r w:rsidR="008C2331" w:rsidRPr="005A293B">
        <w:rPr>
          <w:rFonts w:cstheme="minorHAnsi"/>
        </w:rPr>
        <w:t xml:space="preserve"> </w:t>
      </w:r>
      <w:r w:rsidR="00515B0F" w:rsidRPr="005A293B">
        <w:rPr>
          <w:rFonts w:cstheme="minorHAnsi"/>
        </w:rPr>
        <w:t>0.5</w:t>
      </w:r>
      <w:r w:rsidR="008C2331" w:rsidRPr="005A293B">
        <w:rPr>
          <w:rFonts w:cstheme="minorHAnsi"/>
        </w:rPr>
        <w:t> mg,</w:t>
      </w:r>
      <w:r w:rsidR="008C2331" w:rsidRPr="005A293B">
        <w:t xml:space="preserve"> </w:t>
      </w:r>
      <w:r w:rsidR="00515B0F" w:rsidRPr="005A293B">
        <w:br/>
        <w:t>T</w:t>
      </w:r>
      <w:r w:rsidR="003E0D3E" w:rsidRPr="005A293B">
        <w:t>alzenna</w:t>
      </w:r>
      <w:r w:rsidR="00B60939" w:rsidRPr="00186290">
        <w:t>®</w:t>
      </w:r>
      <w:r w:rsidR="004A6040" w:rsidRPr="005A293B">
        <w:t>,</w:t>
      </w:r>
      <w:r w:rsidR="004A6040" w:rsidRPr="005A293B">
        <w:br/>
      </w:r>
      <w:r w:rsidR="00515B0F" w:rsidRPr="005A293B">
        <w:t>Pfizer Australia</w:t>
      </w:r>
      <w:bookmarkEnd w:id="0"/>
      <w:bookmarkEnd w:id="1"/>
      <w:r w:rsidR="00F73E08" w:rsidRPr="005A293B">
        <w:t xml:space="preserve"> </w:t>
      </w:r>
      <w:r w:rsidR="00186290">
        <w:t>Pty Ltd</w:t>
      </w:r>
    </w:p>
    <w:p w14:paraId="11C00795" w14:textId="3DFB6D23" w:rsidR="00B50DB8" w:rsidRPr="00333650" w:rsidRDefault="00B50DB8" w:rsidP="00333650">
      <w:pPr>
        <w:pStyle w:val="2-SectionHeading"/>
      </w:pPr>
      <w:bookmarkStart w:id="3" w:name="_Toc144911466"/>
      <w:bookmarkStart w:id="4" w:name="_Toc156833528"/>
      <w:r w:rsidRPr="00333650">
        <w:t xml:space="preserve">Purpose of </w:t>
      </w:r>
      <w:r w:rsidR="00CD7193" w:rsidRPr="00333650">
        <w:t>s</w:t>
      </w:r>
      <w:r w:rsidR="00BB3A45" w:rsidRPr="00333650">
        <w:t>ubmission</w:t>
      </w:r>
      <w:bookmarkEnd w:id="3"/>
      <w:bookmarkEnd w:id="4"/>
    </w:p>
    <w:p w14:paraId="1D407AFA" w14:textId="78317F27" w:rsidR="00FE2E26" w:rsidRPr="005A293B" w:rsidRDefault="007170DA" w:rsidP="00FE2E26">
      <w:pPr>
        <w:pStyle w:val="3-BodyText"/>
      </w:pPr>
      <w:r w:rsidRPr="005A293B">
        <w:t xml:space="preserve">The </w:t>
      </w:r>
      <w:r w:rsidR="00F73E08" w:rsidRPr="005A293B">
        <w:t xml:space="preserve">Category </w:t>
      </w:r>
      <w:r w:rsidR="008C6030" w:rsidRPr="005A293B">
        <w:t xml:space="preserve">2 </w:t>
      </w:r>
      <w:r w:rsidRPr="005A293B">
        <w:t xml:space="preserve">submission requested </w:t>
      </w:r>
      <w:r w:rsidR="008C6030" w:rsidRPr="005A293B">
        <w:t xml:space="preserve">a </w:t>
      </w:r>
      <w:r w:rsidR="008B1757" w:rsidRPr="005A293B">
        <w:t xml:space="preserve">Section </w:t>
      </w:r>
      <w:r w:rsidR="008C6030" w:rsidRPr="005A293B">
        <w:t>85 General Schedule</w:t>
      </w:r>
      <w:r w:rsidR="00FA0A77" w:rsidRPr="005A293B">
        <w:t>,</w:t>
      </w:r>
      <w:r w:rsidR="008C6030" w:rsidRPr="005A293B">
        <w:t xml:space="preserve"> </w:t>
      </w:r>
      <w:r w:rsidR="008B1757" w:rsidRPr="005A293B">
        <w:t>Authority Required</w:t>
      </w:r>
      <w:r w:rsidR="008C6030" w:rsidRPr="005A293B">
        <w:t xml:space="preserve"> (telephone/online) </w:t>
      </w:r>
      <w:r w:rsidR="008B1757" w:rsidRPr="005A293B">
        <w:t xml:space="preserve">listing for </w:t>
      </w:r>
      <w:r w:rsidR="00A609DE" w:rsidRPr="005A293B">
        <w:t>talazoparib + enzalutamide</w:t>
      </w:r>
      <w:r w:rsidR="008B1757" w:rsidRPr="005A293B">
        <w:t xml:space="preserve"> for </w:t>
      </w:r>
      <w:r w:rsidR="0050174E" w:rsidRPr="005A293B">
        <w:t xml:space="preserve">the </w:t>
      </w:r>
      <w:r w:rsidR="008C6030" w:rsidRPr="005A293B">
        <w:t>first</w:t>
      </w:r>
      <w:r w:rsidR="001A6142" w:rsidRPr="005A293B">
        <w:t xml:space="preserve"> </w:t>
      </w:r>
      <w:r w:rsidR="008C6030" w:rsidRPr="005A293B">
        <w:t xml:space="preserve">line </w:t>
      </w:r>
      <w:r w:rsidR="008B1757" w:rsidRPr="005A293B">
        <w:t xml:space="preserve">treatment of </w:t>
      </w:r>
      <w:r w:rsidR="008C6030" w:rsidRPr="005A293B">
        <w:t xml:space="preserve">metastatic castration-resistant prostate cancer (mCRPC) patients with breast cancer gene </w:t>
      </w:r>
      <w:r w:rsidR="008C6030" w:rsidRPr="005A293B">
        <w:rPr>
          <w:i/>
          <w:iCs/>
        </w:rPr>
        <w:t>(</w:t>
      </w:r>
      <w:r w:rsidR="00A41905" w:rsidRPr="005A293B">
        <w:rPr>
          <w:i/>
          <w:iCs/>
        </w:rPr>
        <w:t>BRCA</w:t>
      </w:r>
      <w:r w:rsidR="008C6030" w:rsidRPr="005A293B">
        <w:rPr>
          <w:i/>
          <w:iCs/>
        </w:rPr>
        <w:t>)1/2</w:t>
      </w:r>
      <w:r w:rsidR="008C6030" w:rsidRPr="005A293B">
        <w:t xml:space="preserve"> pathogenic variants who have not received prior treatment with a novel hormonal </w:t>
      </w:r>
      <w:r w:rsidR="00FA0A77" w:rsidRPr="005A293B">
        <w:t>agent</w:t>
      </w:r>
      <w:r w:rsidR="008C6030" w:rsidRPr="005A293B">
        <w:t xml:space="preserve"> (NHA). </w:t>
      </w:r>
    </w:p>
    <w:p w14:paraId="4E9FBCB5" w14:textId="525779B4" w:rsidR="00C2778B" w:rsidRPr="005A293B" w:rsidRDefault="005750C5" w:rsidP="00FE2E26">
      <w:pPr>
        <w:pStyle w:val="3-BodyText"/>
      </w:pPr>
      <w:r w:rsidRPr="005A293B">
        <w:t>Listing was requested on the basis of a cost-</w:t>
      </w:r>
      <w:r w:rsidR="001E53B4" w:rsidRPr="005A293B">
        <w:t xml:space="preserve">utility </w:t>
      </w:r>
      <w:r w:rsidRPr="005A293B">
        <w:t xml:space="preserve">analysis versus </w:t>
      </w:r>
      <w:r w:rsidR="00A609DE" w:rsidRPr="005A293B">
        <w:t>enzalutamide</w:t>
      </w:r>
      <w:r w:rsidR="0037726A" w:rsidRPr="005A293B">
        <w:t xml:space="preserve"> monotherapy</w:t>
      </w:r>
      <w:r w:rsidRPr="005A293B">
        <w:t xml:space="preserve">. </w:t>
      </w:r>
    </w:p>
    <w:p w14:paraId="3718DE61" w14:textId="7F14741F" w:rsidR="008B1757" w:rsidRPr="005A293B" w:rsidRDefault="00F822E2" w:rsidP="00167F62">
      <w:pPr>
        <w:pStyle w:val="Caption"/>
        <w:keepLines w:val="0"/>
        <w:rPr>
          <w:rStyle w:val="CommentReference"/>
          <w:b/>
          <w:szCs w:val="24"/>
        </w:rPr>
      </w:pPr>
      <w:bookmarkStart w:id="5" w:name="_Ref159443192"/>
      <w:r w:rsidRPr="005A293B">
        <w:t xml:space="preserve">Table </w:t>
      </w:r>
      <w:fldSimple w:instr=" SEQ Table \* ARABIC " w:fldLock="1">
        <w:r w:rsidR="00A01609">
          <w:rPr>
            <w:noProof/>
          </w:rPr>
          <w:t>1</w:t>
        </w:r>
      </w:fldSimple>
      <w:bookmarkEnd w:id="5"/>
      <w:r w:rsidRPr="005A293B">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178"/>
        <w:gridCol w:w="7839"/>
      </w:tblGrid>
      <w:tr w:rsidR="0037726A" w:rsidRPr="005A293B" w14:paraId="1F9BE74C" w14:textId="77777777" w:rsidTr="0012355C">
        <w:tc>
          <w:tcPr>
            <w:tcW w:w="653" w:type="pct"/>
            <w:vAlign w:val="center"/>
          </w:tcPr>
          <w:p w14:paraId="6BE378CD" w14:textId="77777777" w:rsidR="0037726A" w:rsidRPr="005A293B" w:rsidRDefault="0037726A" w:rsidP="00167F62">
            <w:pPr>
              <w:pStyle w:val="TableText0"/>
              <w:jc w:val="both"/>
              <w:rPr>
                <w:b/>
                <w:bCs w:val="0"/>
              </w:rPr>
            </w:pPr>
            <w:r w:rsidRPr="005A293B">
              <w:rPr>
                <w:b/>
                <w:bCs w:val="0"/>
              </w:rPr>
              <w:t>Component</w:t>
            </w:r>
          </w:p>
        </w:tc>
        <w:tc>
          <w:tcPr>
            <w:tcW w:w="4347" w:type="pct"/>
            <w:vAlign w:val="center"/>
          </w:tcPr>
          <w:p w14:paraId="109E2FC9" w14:textId="77777777" w:rsidR="0037726A" w:rsidRPr="005A293B" w:rsidRDefault="0037726A" w:rsidP="00167F62">
            <w:pPr>
              <w:pStyle w:val="TableText0"/>
              <w:jc w:val="both"/>
              <w:rPr>
                <w:b/>
                <w:bCs w:val="0"/>
              </w:rPr>
            </w:pPr>
            <w:r w:rsidRPr="005A293B">
              <w:rPr>
                <w:b/>
                <w:bCs w:val="0"/>
              </w:rPr>
              <w:t>Description</w:t>
            </w:r>
          </w:p>
        </w:tc>
      </w:tr>
      <w:tr w:rsidR="0037726A" w:rsidRPr="005A293B" w14:paraId="2A5873F3" w14:textId="77777777" w:rsidTr="0012355C">
        <w:tc>
          <w:tcPr>
            <w:tcW w:w="653" w:type="pct"/>
            <w:vAlign w:val="center"/>
          </w:tcPr>
          <w:p w14:paraId="3B0507B5" w14:textId="77777777" w:rsidR="0037726A" w:rsidRPr="005A293B" w:rsidRDefault="0037726A" w:rsidP="00167F62">
            <w:pPr>
              <w:pStyle w:val="TableText0"/>
              <w:jc w:val="both"/>
            </w:pPr>
            <w:r w:rsidRPr="005A293B">
              <w:t>Population</w:t>
            </w:r>
          </w:p>
        </w:tc>
        <w:tc>
          <w:tcPr>
            <w:tcW w:w="4347" w:type="pct"/>
          </w:tcPr>
          <w:p w14:paraId="4B056DF7" w14:textId="589B0E17" w:rsidR="0037726A" w:rsidRPr="005A293B" w:rsidRDefault="00A609DE" w:rsidP="00167F62">
            <w:pPr>
              <w:pStyle w:val="TableText0"/>
              <w:jc w:val="both"/>
            </w:pPr>
            <w:r w:rsidRPr="005A293B">
              <w:t xml:space="preserve">Adult patients diagnosed with mCRPC with evidence of </w:t>
            </w:r>
            <w:r w:rsidRPr="008178CB">
              <w:rPr>
                <w:i/>
                <w:iCs/>
              </w:rPr>
              <w:t>BRCA1/2</w:t>
            </w:r>
            <w:r w:rsidRPr="005A293B">
              <w:t xml:space="preserve"> pathogenic variants who have not been previously treated with a novel hormonal agent</w:t>
            </w:r>
          </w:p>
        </w:tc>
      </w:tr>
      <w:tr w:rsidR="0037726A" w:rsidRPr="005A293B" w14:paraId="6570A55A" w14:textId="77777777" w:rsidTr="0012355C">
        <w:tc>
          <w:tcPr>
            <w:tcW w:w="653" w:type="pct"/>
            <w:vAlign w:val="center"/>
          </w:tcPr>
          <w:p w14:paraId="1E64F53D" w14:textId="77777777" w:rsidR="0037726A" w:rsidRPr="005A293B" w:rsidRDefault="0037726A" w:rsidP="00167F62">
            <w:pPr>
              <w:pStyle w:val="TableText0"/>
              <w:jc w:val="both"/>
            </w:pPr>
            <w:r w:rsidRPr="005A293B">
              <w:t>Intervention</w:t>
            </w:r>
          </w:p>
        </w:tc>
        <w:tc>
          <w:tcPr>
            <w:tcW w:w="4347" w:type="pct"/>
          </w:tcPr>
          <w:p w14:paraId="2220F556" w14:textId="507BABCF" w:rsidR="0037726A" w:rsidRPr="005A293B" w:rsidRDefault="00A609DE" w:rsidP="00167F62">
            <w:pPr>
              <w:pStyle w:val="TableText0"/>
              <w:jc w:val="both"/>
            </w:pPr>
            <w:r w:rsidRPr="005A293B">
              <w:t>TAL (0.5 mg) in combination with ENZ (160 mg)</w:t>
            </w:r>
          </w:p>
        </w:tc>
      </w:tr>
      <w:tr w:rsidR="00A609DE" w:rsidRPr="005A293B" w14:paraId="026FF554" w14:textId="77777777" w:rsidTr="0012355C">
        <w:tc>
          <w:tcPr>
            <w:tcW w:w="653" w:type="pct"/>
            <w:vAlign w:val="center"/>
          </w:tcPr>
          <w:p w14:paraId="2D8467FB" w14:textId="77777777" w:rsidR="00A609DE" w:rsidRPr="005A293B" w:rsidRDefault="00A609DE" w:rsidP="00167F62">
            <w:pPr>
              <w:pStyle w:val="TableText0"/>
              <w:jc w:val="both"/>
            </w:pPr>
            <w:r w:rsidRPr="005A293B">
              <w:t>Comparator</w:t>
            </w:r>
          </w:p>
        </w:tc>
        <w:tc>
          <w:tcPr>
            <w:tcW w:w="4347" w:type="pct"/>
          </w:tcPr>
          <w:p w14:paraId="7338C90E" w14:textId="3933E875" w:rsidR="00A609DE" w:rsidRPr="005A293B" w:rsidRDefault="00A609DE" w:rsidP="00167F62">
            <w:pPr>
              <w:pStyle w:val="TableText0"/>
            </w:pPr>
            <w:r w:rsidRPr="005A293B">
              <w:t>Main comparator: enzalutamide</w:t>
            </w:r>
            <w:r w:rsidR="008178CB">
              <w:t xml:space="preserve"> (monotherapy)</w:t>
            </w:r>
          </w:p>
          <w:p w14:paraId="45C71B52" w14:textId="64860962" w:rsidR="00A609DE" w:rsidRPr="005A293B" w:rsidRDefault="00A609DE" w:rsidP="00167F62">
            <w:pPr>
              <w:pStyle w:val="TableText0"/>
              <w:jc w:val="both"/>
            </w:pPr>
            <w:r w:rsidRPr="005A293B">
              <w:t>Supplementary comparators: olaparib + abiraterone, abiraterone monotherapy</w:t>
            </w:r>
          </w:p>
        </w:tc>
      </w:tr>
      <w:tr w:rsidR="00A609DE" w:rsidRPr="005A293B" w14:paraId="55591F0C" w14:textId="77777777" w:rsidTr="0012355C">
        <w:tc>
          <w:tcPr>
            <w:tcW w:w="653" w:type="pct"/>
            <w:vAlign w:val="center"/>
          </w:tcPr>
          <w:p w14:paraId="1C235782" w14:textId="77777777" w:rsidR="00A609DE" w:rsidRPr="005A293B" w:rsidRDefault="00A609DE" w:rsidP="00167F62">
            <w:pPr>
              <w:pStyle w:val="TableText0"/>
              <w:jc w:val="both"/>
            </w:pPr>
            <w:r w:rsidRPr="005A293B">
              <w:t>Outcomes</w:t>
            </w:r>
          </w:p>
        </w:tc>
        <w:tc>
          <w:tcPr>
            <w:tcW w:w="4347" w:type="pct"/>
          </w:tcPr>
          <w:p w14:paraId="23F78F7B" w14:textId="77777777" w:rsidR="00A609DE" w:rsidRPr="005A293B" w:rsidRDefault="00A609DE" w:rsidP="00167F62">
            <w:pPr>
              <w:pStyle w:val="TableText0"/>
            </w:pPr>
            <w:r w:rsidRPr="005A293B">
              <w:t>Primary: rPFS</w:t>
            </w:r>
          </w:p>
          <w:p w14:paraId="12E0CE5A" w14:textId="6B483A79" w:rsidR="00A609DE" w:rsidRPr="005A293B" w:rsidRDefault="00A609DE" w:rsidP="00167F62">
            <w:pPr>
              <w:pStyle w:val="TableText0"/>
              <w:jc w:val="both"/>
            </w:pPr>
            <w:r w:rsidRPr="005A293B">
              <w:t>Secondary: OS, OR, time to second progression, Safety, QoL</w:t>
            </w:r>
          </w:p>
        </w:tc>
      </w:tr>
      <w:tr w:rsidR="00A609DE" w:rsidRPr="005A293B" w14:paraId="7AF8BDC6" w14:textId="77777777" w:rsidTr="0012355C">
        <w:tc>
          <w:tcPr>
            <w:tcW w:w="653" w:type="pct"/>
            <w:vAlign w:val="center"/>
          </w:tcPr>
          <w:p w14:paraId="5708ECB8" w14:textId="77777777" w:rsidR="00A609DE" w:rsidRPr="005A293B" w:rsidRDefault="00A609DE" w:rsidP="00167F62">
            <w:pPr>
              <w:pStyle w:val="TableText0"/>
              <w:jc w:val="both"/>
            </w:pPr>
            <w:r w:rsidRPr="005A293B">
              <w:t>Clinical claim</w:t>
            </w:r>
          </w:p>
        </w:tc>
        <w:tc>
          <w:tcPr>
            <w:tcW w:w="4347" w:type="pct"/>
          </w:tcPr>
          <w:p w14:paraId="649D6C9D" w14:textId="77777777" w:rsidR="00A609DE" w:rsidRPr="005A293B" w:rsidRDefault="00A609DE" w:rsidP="00167F62">
            <w:pPr>
              <w:pStyle w:val="TableText0"/>
              <w:jc w:val="both"/>
            </w:pPr>
            <w:r w:rsidRPr="005A293B">
              <w:t>Efficacy: A clinical claim of superior efficacy is made for TAL + ENZ versus PBO + ENZ.</w:t>
            </w:r>
          </w:p>
          <w:p w14:paraId="0C6E3520" w14:textId="065CB262" w:rsidR="00A609DE" w:rsidRPr="005A293B" w:rsidRDefault="00A609DE" w:rsidP="00167F62">
            <w:pPr>
              <w:pStyle w:val="TableText0"/>
              <w:jc w:val="both"/>
            </w:pPr>
            <w:r w:rsidRPr="005A293B">
              <w:t>Safety: TAL + ENZ has an inferior safety profile to PBO + ENZ, with this being regarded as tolerable and manageable, as evidenced by no detriment to QoL.</w:t>
            </w:r>
          </w:p>
        </w:tc>
      </w:tr>
    </w:tbl>
    <w:p w14:paraId="7DB93B4B" w14:textId="1E484294" w:rsidR="004E6ED1" w:rsidRPr="005A293B" w:rsidRDefault="004E6ED1" w:rsidP="00167F62">
      <w:pPr>
        <w:pStyle w:val="FooterTableFigure"/>
        <w:keepNext/>
        <w:spacing w:after="0"/>
        <w:jc w:val="both"/>
      </w:pPr>
      <w:r w:rsidRPr="005A293B">
        <w:t>Source: Table 1-1, p1</w:t>
      </w:r>
      <w:r w:rsidR="00A609DE" w:rsidRPr="005A293B">
        <w:t>8</w:t>
      </w:r>
      <w:r w:rsidRPr="005A293B">
        <w:t xml:space="preserve"> of the submission.</w:t>
      </w:r>
    </w:p>
    <w:p w14:paraId="527CA7F0" w14:textId="01403FA6" w:rsidR="004E43B2" w:rsidRPr="005A293B" w:rsidRDefault="00A41905" w:rsidP="005C2EDA">
      <w:pPr>
        <w:pStyle w:val="TableFooter"/>
        <w:jc w:val="both"/>
      </w:pPr>
      <w:r w:rsidRPr="005A293B">
        <w:rPr>
          <w:i/>
          <w:iCs/>
        </w:rPr>
        <w:t>BRCA</w:t>
      </w:r>
      <w:r w:rsidR="004E6ED1" w:rsidRPr="005A293B">
        <w:t>=breast cancer gene;</w:t>
      </w:r>
      <w:r w:rsidR="004E6ED1" w:rsidRPr="005A293B">
        <w:rPr>
          <w:rFonts w:ascii="ArialNarrow" w:hAnsi="ArialNarrow"/>
          <w:szCs w:val="18"/>
        </w:rPr>
        <w:t xml:space="preserve"> </w:t>
      </w:r>
      <w:r w:rsidR="00A609DE" w:rsidRPr="005A293B">
        <w:t>ENZ=enzalutamide; mCRPC=metastatic castration- prostate cancer; NHA=novel hormonal agent; OR=overall response; OS=overall survival; PBO=placebo; QoL=quality of life; rPFS=radiographic progression-free survival; TAL=talazoparib</w:t>
      </w:r>
    </w:p>
    <w:p w14:paraId="6B4AB6C2" w14:textId="7F01D731" w:rsidR="005C25FF" w:rsidRPr="005A293B" w:rsidRDefault="005C25FF" w:rsidP="004A6040">
      <w:pPr>
        <w:pStyle w:val="2-SectionHeading"/>
      </w:pPr>
      <w:bookmarkStart w:id="6" w:name="_Toc144911467"/>
      <w:bookmarkStart w:id="7" w:name="_Toc156833529"/>
      <w:r w:rsidRPr="005A293B">
        <w:t>Background</w:t>
      </w:r>
      <w:bookmarkEnd w:id="6"/>
      <w:bookmarkEnd w:id="7"/>
    </w:p>
    <w:p w14:paraId="2C521D6D" w14:textId="78CF03EE" w:rsidR="005C25FF" w:rsidRPr="00EC2FC5" w:rsidRDefault="005C25FF" w:rsidP="004A6040">
      <w:pPr>
        <w:pStyle w:val="4-SubsectionHeading"/>
      </w:pPr>
      <w:bookmarkStart w:id="8" w:name="_Toc22897638"/>
      <w:bookmarkStart w:id="9" w:name="_Toc144911468"/>
      <w:bookmarkStart w:id="10" w:name="_Toc156833530"/>
      <w:r w:rsidRPr="00EC2FC5">
        <w:t>Registration status</w:t>
      </w:r>
      <w:bookmarkEnd w:id="8"/>
      <w:bookmarkEnd w:id="9"/>
      <w:bookmarkEnd w:id="10"/>
    </w:p>
    <w:p w14:paraId="4FD81A77" w14:textId="26C3AF3C" w:rsidR="005B1D42" w:rsidRPr="00EC2FC5" w:rsidRDefault="00EA404D" w:rsidP="00333650">
      <w:pPr>
        <w:pStyle w:val="3-BodyText"/>
        <w:rPr>
          <w:i/>
          <w:iCs/>
        </w:rPr>
      </w:pPr>
      <w:r w:rsidRPr="002E7BAB">
        <w:t>The</w:t>
      </w:r>
      <w:r w:rsidR="005B1D42" w:rsidRPr="002E7BAB">
        <w:t xml:space="preserve"> </w:t>
      </w:r>
      <w:r w:rsidRPr="002E7BAB">
        <w:t xml:space="preserve">submission was made under the TGA and PBAC parallel process arrangements. </w:t>
      </w:r>
      <w:r w:rsidR="00E9121C" w:rsidRPr="002E7BAB">
        <w:t>The TGA delegate overview, which was received on 4 March 2024</w:t>
      </w:r>
      <w:r w:rsidR="00BF4313" w:rsidRPr="002E7BAB">
        <w:t>,</w:t>
      </w:r>
      <w:r w:rsidR="00E9121C" w:rsidRPr="002E7BAB">
        <w:t xml:space="preserve"> supported the approval for registration of talazoparib for the following indication:</w:t>
      </w:r>
    </w:p>
    <w:p w14:paraId="06E4FD4C" w14:textId="760F69BD" w:rsidR="00E9121C" w:rsidRPr="00EC2FC5" w:rsidRDefault="00E9121C" w:rsidP="00E9121C">
      <w:pPr>
        <w:pStyle w:val="3-BodyText"/>
        <w:numPr>
          <w:ilvl w:val="0"/>
          <w:numId w:val="0"/>
        </w:numPr>
        <w:ind w:left="720"/>
        <w:rPr>
          <w:i/>
          <w:iCs/>
        </w:rPr>
      </w:pPr>
      <w:r w:rsidRPr="00EC2FC5">
        <w:t>‘For use in combination with enzalutamide for the treatment of adult patients with homologous recombination repair (HRR) gene-mutated metastatic castration-resistant prostate cancer (mCRPC)’.</w:t>
      </w:r>
    </w:p>
    <w:p w14:paraId="703A4F43" w14:textId="77777777" w:rsidR="006E4BFC" w:rsidRPr="00EC2FC5" w:rsidRDefault="00EA404D" w:rsidP="006E4BFC">
      <w:pPr>
        <w:pStyle w:val="3-BodyText"/>
      </w:pPr>
      <w:r w:rsidRPr="00EC2FC5">
        <w:lastRenderedPageBreak/>
        <w:t>Talazoparib</w:t>
      </w:r>
      <w:r w:rsidR="005B1D42" w:rsidRPr="00EC2FC5">
        <w:t xml:space="preserve"> is </w:t>
      </w:r>
      <w:r w:rsidR="00E659D5" w:rsidRPr="00EC2FC5">
        <w:t>already</w:t>
      </w:r>
      <w:r w:rsidR="00E3632C" w:rsidRPr="00EC2FC5">
        <w:t xml:space="preserve"> </w:t>
      </w:r>
      <w:r w:rsidR="005C25FF" w:rsidRPr="00EC2FC5">
        <w:t>TGA</w:t>
      </w:r>
      <w:r w:rsidR="005B1D42" w:rsidRPr="00EC2FC5">
        <w:t>-</w:t>
      </w:r>
      <w:r w:rsidR="005C25FF" w:rsidRPr="00EC2FC5">
        <w:t xml:space="preserve">registered </w:t>
      </w:r>
      <w:r w:rsidR="005B1D42" w:rsidRPr="00EC2FC5">
        <w:t>for</w:t>
      </w:r>
      <w:r w:rsidR="00E659D5" w:rsidRPr="00EC2FC5">
        <w:t xml:space="preserve"> </w:t>
      </w:r>
      <w:r w:rsidRPr="00EC2FC5">
        <w:t xml:space="preserve">the treatment of patients with a deleterious or suspected deleterious germline </w:t>
      </w:r>
      <w:r w:rsidRPr="00EC2FC5">
        <w:rPr>
          <w:i/>
          <w:iCs/>
        </w:rPr>
        <w:t>BRCA1/2</w:t>
      </w:r>
      <w:r w:rsidRPr="00EC2FC5">
        <w:t xml:space="preserve"> pathogenic variants according to a validated diagnostic test, who have human epidermal growth factor receptor 2 (HER2)-negative, locally advanced or metastatic breast cancer.</w:t>
      </w:r>
      <w:bookmarkStart w:id="11" w:name="_Hlk76375324"/>
    </w:p>
    <w:p w14:paraId="22E7C487" w14:textId="5E229851" w:rsidR="006E4BFC" w:rsidRPr="00EC2FC5" w:rsidRDefault="006E4BFC" w:rsidP="006E4BFC">
      <w:pPr>
        <w:pStyle w:val="3-BodyText"/>
        <w:numPr>
          <w:ilvl w:val="0"/>
          <w:numId w:val="0"/>
        </w:numPr>
        <w:ind w:left="720"/>
        <w:rPr>
          <w:i/>
          <w:iCs/>
        </w:rPr>
      </w:pPr>
      <w:r w:rsidRPr="00EC2FC5">
        <w:rPr>
          <w:i/>
          <w:iCs/>
        </w:rPr>
        <w:t>For more detail on PBAC’s view, see section 7 PBAC outcome.</w:t>
      </w:r>
      <w:bookmarkEnd w:id="11"/>
    </w:p>
    <w:p w14:paraId="76E4EF3C" w14:textId="13040F70" w:rsidR="00B60939" w:rsidRPr="00EC2FC5" w:rsidRDefault="00B50DB8" w:rsidP="000B725B">
      <w:pPr>
        <w:pStyle w:val="2-SectionHeading"/>
        <w:keepLines/>
      </w:pPr>
      <w:bookmarkStart w:id="12" w:name="_Toc107902078"/>
      <w:bookmarkStart w:id="13" w:name="_Toc144911469"/>
      <w:bookmarkStart w:id="14" w:name="_Toc156833531"/>
      <w:bookmarkEnd w:id="12"/>
      <w:r w:rsidRPr="00EC2FC5">
        <w:t>Requested listing</w:t>
      </w:r>
      <w:bookmarkEnd w:id="13"/>
      <w:bookmarkEnd w:id="14"/>
    </w:p>
    <w:p w14:paraId="1E26D913" w14:textId="7D270C25" w:rsidR="00E9121C" w:rsidRPr="002E7BAB" w:rsidRDefault="00E9121C" w:rsidP="00E9121C">
      <w:pPr>
        <w:pStyle w:val="3-BodyText"/>
        <w:rPr>
          <w:rFonts w:ascii="Calibri" w:hAnsi="Calibri"/>
          <w:szCs w:val="22"/>
        </w:rPr>
      </w:pPr>
      <w:r w:rsidRPr="00EC2FC5">
        <w:t xml:space="preserve">The </w:t>
      </w:r>
      <w:r w:rsidR="00BF4313" w:rsidRPr="00EC2FC5">
        <w:t xml:space="preserve">submission </w:t>
      </w:r>
      <w:r w:rsidRPr="00EC2FC5">
        <w:t xml:space="preserve">proposed </w:t>
      </w:r>
      <w:r w:rsidR="00BF4313" w:rsidRPr="00EC2FC5">
        <w:t xml:space="preserve">initial and continuing </w:t>
      </w:r>
      <w:r w:rsidRPr="00EC2FC5">
        <w:t>restriction</w:t>
      </w:r>
      <w:r w:rsidR="00BF4313" w:rsidRPr="00EC2FC5">
        <w:t>s and requested a grandfather restriction</w:t>
      </w:r>
      <w:r w:rsidRPr="00EC2FC5">
        <w:t>. The Secretariat proposed a single, treatment phase agnostic restriction that presented below</w:t>
      </w:r>
      <w:r w:rsidRPr="002E7BA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35"/>
        <w:gridCol w:w="2177"/>
        <w:gridCol w:w="826"/>
        <w:gridCol w:w="826"/>
        <w:gridCol w:w="1104"/>
        <w:gridCol w:w="1549"/>
      </w:tblGrid>
      <w:tr w:rsidR="00E9121C" w:rsidRPr="00EC2FC5" w14:paraId="4AECA10B" w14:textId="77777777">
        <w:trPr>
          <w:cantSplit/>
          <w:trHeight w:val="20"/>
        </w:trPr>
        <w:tc>
          <w:tcPr>
            <w:tcW w:w="1406" w:type="pct"/>
            <w:vAlign w:val="center"/>
          </w:tcPr>
          <w:p w14:paraId="570AB3AE" w14:textId="77777777" w:rsidR="00E9121C" w:rsidRPr="00EC2FC5" w:rsidRDefault="00E9121C">
            <w:pPr>
              <w:pStyle w:val="TableText0"/>
              <w:rPr>
                <w:b/>
                <w:bCs w:val="0"/>
              </w:rPr>
            </w:pPr>
            <w:r w:rsidRPr="00EC2FC5">
              <w:rPr>
                <w:b/>
                <w:bCs w:val="0"/>
              </w:rPr>
              <w:t>MEDICINAL PRODUCT</w:t>
            </w:r>
          </w:p>
          <w:p w14:paraId="509C06DB" w14:textId="77777777" w:rsidR="00E9121C" w:rsidRPr="00EC2FC5" w:rsidRDefault="00E9121C">
            <w:pPr>
              <w:pStyle w:val="TableText0"/>
              <w:rPr>
                <w:b/>
                <w:bCs w:val="0"/>
              </w:rPr>
            </w:pPr>
            <w:r w:rsidRPr="00EC2FC5">
              <w:rPr>
                <w:b/>
                <w:bCs w:val="0"/>
              </w:rPr>
              <w:t>medicinal product pack</w:t>
            </w:r>
          </w:p>
        </w:tc>
        <w:tc>
          <w:tcPr>
            <w:tcW w:w="1207" w:type="pct"/>
            <w:vAlign w:val="center"/>
          </w:tcPr>
          <w:p w14:paraId="0CBFE7F0" w14:textId="77777777" w:rsidR="00E9121C" w:rsidRPr="00EC2FC5" w:rsidRDefault="00E9121C">
            <w:pPr>
              <w:pStyle w:val="TableText0"/>
              <w:rPr>
                <w:b/>
                <w:bCs w:val="0"/>
              </w:rPr>
            </w:pPr>
            <w:r w:rsidRPr="00EC2FC5">
              <w:rPr>
                <w:b/>
                <w:bCs w:val="0"/>
                <w:snapToGrid w:val="0"/>
              </w:rPr>
              <w:t xml:space="preserve">Dispensed Price for Max. Qty </w:t>
            </w:r>
          </w:p>
        </w:tc>
        <w:tc>
          <w:tcPr>
            <w:tcW w:w="458" w:type="pct"/>
            <w:vAlign w:val="center"/>
          </w:tcPr>
          <w:p w14:paraId="393196A3" w14:textId="77777777" w:rsidR="00E9121C" w:rsidRPr="00EC2FC5" w:rsidRDefault="00E9121C">
            <w:pPr>
              <w:pStyle w:val="TableText0"/>
              <w:rPr>
                <w:b/>
                <w:bCs w:val="0"/>
              </w:rPr>
            </w:pPr>
            <w:r w:rsidRPr="00EC2FC5">
              <w:rPr>
                <w:b/>
                <w:bCs w:val="0"/>
              </w:rPr>
              <w:t>Max. qty packs</w:t>
            </w:r>
          </w:p>
        </w:tc>
        <w:tc>
          <w:tcPr>
            <w:tcW w:w="458" w:type="pct"/>
            <w:vAlign w:val="center"/>
          </w:tcPr>
          <w:p w14:paraId="3E6CCAC0" w14:textId="77777777" w:rsidR="00E9121C" w:rsidRPr="00EC2FC5" w:rsidRDefault="00E9121C">
            <w:pPr>
              <w:pStyle w:val="TableText0"/>
              <w:rPr>
                <w:b/>
                <w:bCs w:val="0"/>
              </w:rPr>
            </w:pPr>
            <w:r w:rsidRPr="00EC2FC5">
              <w:rPr>
                <w:b/>
                <w:bCs w:val="0"/>
              </w:rPr>
              <w:t>Max. qty units</w:t>
            </w:r>
          </w:p>
        </w:tc>
        <w:tc>
          <w:tcPr>
            <w:tcW w:w="612" w:type="pct"/>
            <w:vAlign w:val="center"/>
          </w:tcPr>
          <w:p w14:paraId="6EAAF1ED" w14:textId="77777777" w:rsidR="00E9121C" w:rsidRPr="00EC2FC5" w:rsidRDefault="00E9121C">
            <w:pPr>
              <w:pStyle w:val="TableText0"/>
              <w:rPr>
                <w:b/>
                <w:bCs w:val="0"/>
              </w:rPr>
            </w:pPr>
            <w:r w:rsidRPr="00EC2FC5">
              <w:rPr>
                <w:b/>
                <w:bCs w:val="0"/>
              </w:rPr>
              <w:t>№. of</w:t>
            </w:r>
          </w:p>
          <w:p w14:paraId="2F100A8F" w14:textId="77777777" w:rsidR="00E9121C" w:rsidRPr="00EC2FC5" w:rsidRDefault="00E9121C">
            <w:pPr>
              <w:pStyle w:val="TableText0"/>
              <w:rPr>
                <w:b/>
                <w:bCs w:val="0"/>
              </w:rPr>
            </w:pPr>
            <w:r w:rsidRPr="00EC2FC5">
              <w:rPr>
                <w:b/>
                <w:bCs w:val="0"/>
              </w:rPr>
              <w:t>Rpts</w:t>
            </w:r>
          </w:p>
        </w:tc>
        <w:tc>
          <w:tcPr>
            <w:tcW w:w="859" w:type="pct"/>
            <w:vAlign w:val="center"/>
          </w:tcPr>
          <w:p w14:paraId="1571D45D" w14:textId="77777777" w:rsidR="00E9121C" w:rsidRPr="00EC2FC5" w:rsidRDefault="00E9121C">
            <w:pPr>
              <w:pStyle w:val="TableText0"/>
              <w:rPr>
                <w:b/>
                <w:bCs w:val="0"/>
              </w:rPr>
            </w:pPr>
            <w:r w:rsidRPr="00EC2FC5">
              <w:rPr>
                <w:b/>
                <w:bCs w:val="0"/>
              </w:rPr>
              <w:t>Available brands</w:t>
            </w:r>
          </w:p>
        </w:tc>
      </w:tr>
      <w:tr w:rsidR="00E9121C" w:rsidRPr="005A293B" w14:paraId="04D37648" w14:textId="77777777">
        <w:trPr>
          <w:cantSplit/>
          <w:trHeight w:val="20"/>
        </w:trPr>
        <w:tc>
          <w:tcPr>
            <w:tcW w:w="1406" w:type="pct"/>
            <w:vAlign w:val="center"/>
          </w:tcPr>
          <w:p w14:paraId="72EAF1BE" w14:textId="77777777" w:rsidR="00E9121C" w:rsidRPr="00EC2FC5" w:rsidRDefault="00E9121C">
            <w:pPr>
              <w:pStyle w:val="TableText0"/>
            </w:pPr>
            <w:r w:rsidRPr="00EC2FC5">
              <w:t xml:space="preserve">TALAZOPARIB, </w:t>
            </w:r>
          </w:p>
          <w:p w14:paraId="3A49028E" w14:textId="77777777" w:rsidR="00E9121C" w:rsidRPr="00EC2FC5" w:rsidRDefault="00E9121C">
            <w:pPr>
              <w:pStyle w:val="TableText0"/>
            </w:pPr>
            <w:r w:rsidRPr="00EC2FC5">
              <w:t>Capsule 0.1 mg, 30</w:t>
            </w:r>
            <w:r w:rsidRPr="00EC2FC5">
              <w:br/>
              <w:t>Capsule 0.25 mg, 30</w:t>
            </w:r>
          </w:p>
          <w:p w14:paraId="1DF3D73B" w14:textId="77777777" w:rsidR="00E9121C" w:rsidRPr="00EC2FC5" w:rsidRDefault="00E9121C">
            <w:pPr>
              <w:pStyle w:val="TableText0"/>
            </w:pPr>
            <w:r w:rsidRPr="00EC2FC5">
              <w:t>Capsule 0.35 mg, 30</w:t>
            </w:r>
          </w:p>
          <w:p w14:paraId="2E94BD83" w14:textId="77777777" w:rsidR="00E9121C" w:rsidRPr="00EC2FC5" w:rsidRDefault="00E9121C">
            <w:pPr>
              <w:pStyle w:val="TableText0"/>
            </w:pPr>
            <w:r w:rsidRPr="00EC2FC5">
              <w:t>Capsule 0.5 mg, 30</w:t>
            </w:r>
          </w:p>
        </w:tc>
        <w:tc>
          <w:tcPr>
            <w:tcW w:w="1207" w:type="pct"/>
            <w:vAlign w:val="center"/>
          </w:tcPr>
          <w:p w14:paraId="21816B30" w14:textId="77777777" w:rsidR="0053726A" w:rsidRDefault="00BF4313">
            <w:pPr>
              <w:pStyle w:val="TableText0"/>
            </w:pPr>
            <w:r w:rsidRPr="00EC2FC5">
              <w:t xml:space="preserve">Published: </w:t>
            </w:r>
            <w:r w:rsidR="00E9121C" w:rsidRPr="00EC2FC5">
              <w:t>$</w:t>
            </w:r>
            <w:r w:rsidR="00D62519" w:rsidRPr="00D62519">
              <w:rPr>
                <w:color w:val="000000"/>
                <w:spacing w:val="48"/>
                <w:shd w:val="solid" w:color="000000" w:fill="000000"/>
                <w:fitText w:val="225" w:id="-961822464"/>
                <w14:textFill>
                  <w14:solidFill>
                    <w14:srgbClr w14:val="000000">
                      <w14:alpha w14:val="100000"/>
                    </w14:srgbClr>
                  </w14:solidFill>
                </w14:textFill>
              </w:rPr>
              <w:t>||</w:t>
            </w:r>
            <w:r w:rsidR="00D62519" w:rsidRPr="00D62519">
              <w:rPr>
                <w:color w:val="000000"/>
                <w:spacing w:val="2"/>
                <w:shd w:val="solid" w:color="000000" w:fill="000000"/>
                <w:fitText w:val="225" w:id="-961822464"/>
                <w14:textFill>
                  <w14:solidFill>
                    <w14:srgbClr w14:val="000000">
                      <w14:alpha w14:val="100000"/>
                    </w14:srgbClr>
                  </w14:solidFill>
                </w14:textFill>
              </w:rPr>
              <w:t>|</w:t>
            </w:r>
            <w:r w:rsidR="00565C8B" w:rsidRPr="00565C8B">
              <w:t xml:space="preserve"> </w:t>
            </w:r>
          </w:p>
          <w:p w14:paraId="2D832160" w14:textId="231CC369" w:rsidR="00E9121C" w:rsidRPr="00EC2FC5" w:rsidRDefault="00BF4313">
            <w:pPr>
              <w:pStyle w:val="TableText0"/>
            </w:pPr>
            <w:r w:rsidRPr="00EC2FC5">
              <w:t xml:space="preserve">Effective: </w:t>
            </w:r>
            <w:r w:rsidR="00E9121C" w:rsidRPr="00EC2FC5">
              <w:t>$</w:t>
            </w:r>
            <w:r w:rsidR="00D62519" w:rsidRPr="00D62519">
              <w:rPr>
                <w:color w:val="000000"/>
                <w:spacing w:val="48"/>
                <w:shd w:val="solid" w:color="000000" w:fill="000000"/>
                <w:fitText w:val="225" w:id="-961822463"/>
                <w14:textFill>
                  <w14:solidFill>
                    <w14:srgbClr w14:val="000000">
                      <w14:alpha w14:val="100000"/>
                    </w14:srgbClr>
                  </w14:solidFill>
                </w14:textFill>
              </w:rPr>
              <w:t>||</w:t>
            </w:r>
            <w:r w:rsidR="00D62519" w:rsidRPr="00D62519">
              <w:rPr>
                <w:color w:val="000000"/>
                <w:spacing w:val="2"/>
                <w:shd w:val="solid" w:color="000000" w:fill="000000"/>
                <w:fitText w:val="225" w:id="-961822463"/>
                <w14:textFill>
                  <w14:solidFill>
                    <w14:srgbClr w14:val="000000">
                      <w14:alpha w14:val="100000"/>
                    </w14:srgbClr>
                  </w14:solidFill>
                </w14:textFill>
              </w:rPr>
              <w:t>|</w:t>
            </w:r>
            <w:r w:rsidR="00565C8B" w:rsidRPr="00565C8B">
              <w:t xml:space="preserve"> </w:t>
            </w:r>
          </w:p>
        </w:tc>
        <w:tc>
          <w:tcPr>
            <w:tcW w:w="458" w:type="pct"/>
            <w:vAlign w:val="center"/>
          </w:tcPr>
          <w:p w14:paraId="1AA43106" w14:textId="77777777" w:rsidR="00E9121C" w:rsidRPr="00EC2FC5" w:rsidRDefault="00E9121C">
            <w:pPr>
              <w:pStyle w:val="TableText0"/>
            </w:pPr>
            <w:r w:rsidRPr="00EC2FC5">
              <w:t>1</w:t>
            </w:r>
          </w:p>
        </w:tc>
        <w:tc>
          <w:tcPr>
            <w:tcW w:w="458" w:type="pct"/>
            <w:vAlign w:val="center"/>
          </w:tcPr>
          <w:p w14:paraId="27F98228" w14:textId="77777777" w:rsidR="00E9121C" w:rsidRPr="00EC2FC5" w:rsidRDefault="00E9121C">
            <w:pPr>
              <w:pStyle w:val="TableText0"/>
            </w:pPr>
            <w:r w:rsidRPr="00EC2FC5">
              <w:t>30</w:t>
            </w:r>
          </w:p>
        </w:tc>
        <w:tc>
          <w:tcPr>
            <w:tcW w:w="612" w:type="pct"/>
            <w:vAlign w:val="center"/>
          </w:tcPr>
          <w:p w14:paraId="2A02FD3E" w14:textId="77777777" w:rsidR="00E9121C" w:rsidRPr="00EC2FC5" w:rsidRDefault="00E9121C">
            <w:pPr>
              <w:pStyle w:val="TableText0"/>
            </w:pPr>
            <w:r w:rsidRPr="002E7BAB">
              <w:rPr>
                <w:strike/>
              </w:rPr>
              <w:t>Initial: 2</w:t>
            </w:r>
            <w:r w:rsidRPr="002E7BAB">
              <w:rPr>
                <w:strike/>
              </w:rPr>
              <w:br/>
              <w:t>Continuing:</w:t>
            </w:r>
            <w:r w:rsidRPr="00EC2FC5">
              <w:t xml:space="preserve"> 5</w:t>
            </w:r>
          </w:p>
        </w:tc>
        <w:tc>
          <w:tcPr>
            <w:tcW w:w="859" w:type="pct"/>
            <w:vAlign w:val="center"/>
          </w:tcPr>
          <w:p w14:paraId="4FB9FCA7" w14:textId="77777777" w:rsidR="00E9121C" w:rsidRPr="00EC2FC5" w:rsidRDefault="00E9121C">
            <w:pPr>
              <w:pStyle w:val="TableText0"/>
            </w:pPr>
            <w:r w:rsidRPr="00EC2FC5">
              <w:t xml:space="preserve">TALZENNA®, </w:t>
            </w:r>
          </w:p>
          <w:p w14:paraId="2D1E774C" w14:textId="77777777" w:rsidR="00E9121C" w:rsidRPr="005A293B" w:rsidRDefault="00E9121C">
            <w:pPr>
              <w:pStyle w:val="TableText0"/>
              <w:rPr>
                <w:color w:val="0066FF"/>
              </w:rPr>
            </w:pPr>
            <w:r w:rsidRPr="00EC2FC5">
              <w:t>Pfizer Australia</w:t>
            </w:r>
          </w:p>
        </w:tc>
      </w:tr>
    </w:tbl>
    <w:p w14:paraId="3E32F88A" w14:textId="77777777" w:rsidR="00BF4313" w:rsidRDefault="00BF4313" w:rsidP="005C70FC">
      <w:pPr>
        <w:pStyle w:val="FooterTableFigure"/>
        <w:keepLines/>
        <w:widowControl w:val="0"/>
        <w:spacing w:after="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F4313" w:rsidRPr="001C0995" w14:paraId="01A56248" w14:textId="77777777" w:rsidTr="002E7BAB">
        <w:tc>
          <w:tcPr>
            <w:tcW w:w="5000" w:type="pct"/>
            <w:vAlign w:val="center"/>
          </w:tcPr>
          <w:p w14:paraId="51DF6152" w14:textId="77777777" w:rsidR="00BF4313" w:rsidRPr="001C0995" w:rsidRDefault="00BF4313">
            <w:pPr>
              <w:rPr>
                <w:rFonts w:ascii="Arial Narrow" w:hAnsi="Arial Narrow"/>
                <w:b/>
                <w:bCs/>
                <w:sz w:val="20"/>
                <w:szCs w:val="20"/>
              </w:rPr>
            </w:pPr>
            <w:r w:rsidRPr="001C0995">
              <w:rPr>
                <w:rFonts w:ascii="Arial Narrow" w:hAnsi="Arial Narrow"/>
                <w:b/>
                <w:bCs/>
                <w:sz w:val="20"/>
                <w:szCs w:val="20"/>
              </w:rPr>
              <w:t xml:space="preserve">Prescriber type: </w:t>
            </w:r>
            <w:r w:rsidRPr="001C0995">
              <w:rPr>
                <w:rFonts w:ascii="Arial Narrow" w:hAnsi="Arial Narrow"/>
                <w:sz w:val="20"/>
                <w:szCs w:val="20"/>
              </w:rPr>
              <w:t>Medical practitioners</w:t>
            </w:r>
          </w:p>
        </w:tc>
      </w:tr>
      <w:tr w:rsidR="00BF4313" w:rsidRPr="001C0995" w14:paraId="0B27D6AC" w14:textId="77777777" w:rsidTr="002E7BAB">
        <w:tc>
          <w:tcPr>
            <w:tcW w:w="5000" w:type="pct"/>
            <w:vAlign w:val="center"/>
          </w:tcPr>
          <w:p w14:paraId="703061E1" w14:textId="77777777" w:rsidR="00BF4313" w:rsidRPr="001C0995" w:rsidRDefault="00BF4313">
            <w:pPr>
              <w:rPr>
                <w:rFonts w:ascii="Arial Narrow" w:hAnsi="Arial Narrow"/>
                <w:b/>
                <w:bCs/>
                <w:sz w:val="20"/>
                <w:szCs w:val="20"/>
              </w:rPr>
            </w:pPr>
            <w:r w:rsidRPr="001C0995">
              <w:rPr>
                <w:rFonts w:ascii="Arial Narrow" w:hAnsi="Arial Narrow"/>
                <w:b/>
                <w:bCs/>
                <w:sz w:val="20"/>
                <w:szCs w:val="20"/>
              </w:rPr>
              <w:t xml:space="preserve">Restriction level: </w:t>
            </w:r>
            <w:r w:rsidRPr="001C0995">
              <w:rPr>
                <w:rFonts w:ascii="Arial Narrow" w:hAnsi="Arial Narrow"/>
                <w:sz w:val="20"/>
                <w:szCs w:val="20"/>
              </w:rPr>
              <w:t xml:space="preserve">Authority required </w:t>
            </w:r>
            <w:r w:rsidRPr="001C0995">
              <w:rPr>
                <w:rFonts w:ascii="Arial Narrow" w:hAnsi="Arial Narrow"/>
                <w:i/>
                <w:iCs/>
                <w:sz w:val="20"/>
                <w:szCs w:val="20"/>
              </w:rPr>
              <w:t>(telephone/online)</w:t>
            </w:r>
          </w:p>
        </w:tc>
      </w:tr>
      <w:tr w:rsidR="00BF4313" w:rsidRPr="001C0995" w14:paraId="2DCC2448" w14:textId="77777777" w:rsidTr="002E7BAB">
        <w:tc>
          <w:tcPr>
            <w:tcW w:w="5000" w:type="pct"/>
            <w:vAlign w:val="center"/>
          </w:tcPr>
          <w:p w14:paraId="05BC8F25" w14:textId="77777777" w:rsidR="00BF4313" w:rsidRPr="001C0995" w:rsidRDefault="00BF4313">
            <w:pPr>
              <w:rPr>
                <w:rFonts w:ascii="Arial Narrow" w:hAnsi="Arial Narrow"/>
                <w:bCs/>
                <w:sz w:val="20"/>
                <w:szCs w:val="20"/>
              </w:rPr>
            </w:pPr>
            <w:r w:rsidRPr="001C0995">
              <w:rPr>
                <w:rFonts w:ascii="Arial Narrow" w:hAnsi="Arial Narrow"/>
                <w:b/>
                <w:bCs/>
                <w:sz w:val="20"/>
                <w:szCs w:val="20"/>
              </w:rPr>
              <w:t xml:space="preserve">Episodicity: </w:t>
            </w:r>
            <w:r w:rsidRPr="001C0995">
              <w:rPr>
                <w:rFonts w:ascii="Arial Narrow" w:eastAsia="Calibri" w:hAnsi="Arial Narrow"/>
                <w:sz w:val="20"/>
                <w:szCs w:val="20"/>
              </w:rPr>
              <w:t>[blank]</w:t>
            </w:r>
          </w:p>
        </w:tc>
      </w:tr>
      <w:tr w:rsidR="00BF4313" w:rsidRPr="001C0995" w14:paraId="1299C84A" w14:textId="77777777" w:rsidTr="002E7BAB">
        <w:tc>
          <w:tcPr>
            <w:tcW w:w="5000" w:type="pct"/>
            <w:vAlign w:val="center"/>
          </w:tcPr>
          <w:p w14:paraId="7B47F548" w14:textId="77777777" w:rsidR="00BF4313" w:rsidRPr="001C0995" w:rsidRDefault="00BF4313">
            <w:pPr>
              <w:rPr>
                <w:rFonts w:ascii="Arial Narrow" w:hAnsi="Arial Narrow"/>
                <w:b/>
                <w:bCs/>
                <w:sz w:val="20"/>
                <w:szCs w:val="20"/>
              </w:rPr>
            </w:pPr>
            <w:r w:rsidRPr="001C0995">
              <w:rPr>
                <w:rFonts w:ascii="Arial Narrow" w:hAnsi="Arial Narrow"/>
                <w:b/>
                <w:bCs/>
                <w:sz w:val="20"/>
                <w:szCs w:val="20"/>
              </w:rPr>
              <w:t xml:space="preserve">Severity: </w:t>
            </w:r>
            <w:r w:rsidRPr="001C0995">
              <w:rPr>
                <w:rFonts w:ascii="Arial Narrow" w:hAnsi="Arial Narrow"/>
                <w:bCs/>
                <w:i/>
                <w:sz w:val="20"/>
                <w:szCs w:val="20"/>
              </w:rPr>
              <w:t>Castration resistant</w:t>
            </w:r>
            <w:r w:rsidRPr="001C0995">
              <w:rPr>
                <w:rFonts w:ascii="Arial Narrow" w:hAnsi="Arial Narrow"/>
                <w:bCs/>
                <w:sz w:val="20"/>
                <w:szCs w:val="20"/>
              </w:rPr>
              <w:t xml:space="preserve"> metastatic</w:t>
            </w:r>
          </w:p>
        </w:tc>
      </w:tr>
      <w:tr w:rsidR="00BF4313" w:rsidRPr="001C0995" w14:paraId="1C360FDE" w14:textId="77777777" w:rsidTr="002E7BAB">
        <w:tc>
          <w:tcPr>
            <w:tcW w:w="5000" w:type="pct"/>
            <w:vAlign w:val="center"/>
          </w:tcPr>
          <w:p w14:paraId="581AEE55" w14:textId="77777777" w:rsidR="00BF4313" w:rsidRPr="001C0995" w:rsidRDefault="00BF4313">
            <w:pPr>
              <w:rPr>
                <w:rFonts w:ascii="Arial Narrow" w:hAnsi="Arial Narrow"/>
                <w:b/>
                <w:bCs/>
                <w:sz w:val="20"/>
                <w:szCs w:val="20"/>
              </w:rPr>
            </w:pPr>
            <w:r w:rsidRPr="001C0995">
              <w:rPr>
                <w:rFonts w:ascii="Arial Narrow" w:hAnsi="Arial Narrow"/>
                <w:b/>
                <w:bCs/>
                <w:sz w:val="20"/>
                <w:szCs w:val="20"/>
              </w:rPr>
              <w:t xml:space="preserve">Condition: </w:t>
            </w:r>
            <w:r w:rsidRPr="001C0995">
              <w:rPr>
                <w:rFonts w:ascii="Arial Narrow" w:hAnsi="Arial Narrow"/>
                <w:sz w:val="20"/>
                <w:szCs w:val="20"/>
              </w:rPr>
              <w:t>C</w:t>
            </w:r>
            <w:r w:rsidRPr="001C0995">
              <w:rPr>
                <w:rFonts w:ascii="Arial Narrow" w:hAnsi="Arial Narrow"/>
                <w:bCs/>
                <w:sz w:val="20"/>
                <w:szCs w:val="20"/>
              </w:rPr>
              <w:t>arcinoma of the prostate</w:t>
            </w:r>
          </w:p>
        </w:tc>
      </w:tr>
      <w:tr w:rsidR="00BF4313" w:rsidRPr="005078DD" w14:paraId="435863B6" w14:textId="77777777" w:rsidTr="002E7BAB">
        <w:tc>
          <w:tcPr>
            <w:tcW w:w="5000" w:type="pct"/>
            <w:vAlign w:val="center"/>
            <w:hideMark/>
          </w:tcPr>
          <w:p w14:paraId="107DC0C1" w14:textId="77777777" w:rsidR="00BF4313" w:rsidRPr="005078DD" w:rsidRDefault="00BF4313">
            <w:pPr>
              <w:rPr>
                <w:rFonts w:ascii="Arial Narrow" w:hAnsi="Arial Narrow"/>
                <w:sz w:val="20"/>
                <w:szCs w:val="20"/>
              </w:rPr>
            </w:pPr>
            <w:r w:rsidRPr="005078DD">
              <w:rPr>
                <w:rFonts w:ascii="Arial Narrow" w:hAnsi="Arial Narrow"/>
                <w:b/>
                <w:bCs/>
                <w:sz w:val="20"/>
                <w:szCs w:val="20"/>
              </w:rPr>
              <w:t>Indication:</w:t>
            </w:r>
            <w:r w:rsidRPr="005078DD">
              <w:rPr>
                <w:rFonts w:ascii="Arial Narrow" w:hAnsi="Arial Narrow"/>
                <w:sz w:val="20"/>
                <w:szCs w:val="20"/>
              </w:rPr>
              <w:t xml:space="preserve"> </w:t>
            </w:r>
            <w:r w:rsidRPr="005078DD">
              <w:rPr>
                <w:rFonts w:ascii="Arial Narrow" w:hAnsi="Arial Narrow"/>
                <w:bCs/>
                <w:sz w:val="20"/>
                <w:szCs w:val="20"/>
              </w:rPr>
              <w:t>Castration resistant metastatic carcinoma of the prostate</w:t>
            </w:r>
          </w:p>
        </w:tc>
      </w:tr>
      <w:tr w:rsidR="00BF4313" w:rsidRPr="005078DD" w14:paraId="6A93D56B" w14:textId="77777777">
        <w:tc>
          <w:tcPr>
            <w:tcW w:w="5000" w:type="pct"/>
            <w:vAlign w:val="center"/>
          </w:tcPr>
          <w:p w14:paraId="30F60E6A" w14:textId="77777777" w:rsidR="00BF4313" w:rsidRPr="005078DD" w:rsidRDefault="00BF4313">
            <w:pPr>
              <w:rPr>
                <w:rFonts w:ascii="Arial Narrow" w:hAnsi="Arial Narrow"/>
                <w:b/>
                <w:bCs/>
                <w:sz w:val="20"/>
                <w:szCs w:val="20"/>
              </w:rPr>
            </w:pPr>
          </w:p>
        </w:tc>
      </w:tr>
      <w:tr w:rsidR="00BF4313" w:rsidRPr="005078DD" w14:paraId="79F9B7A6" w14:textId="77777777" w:rsidTr="002E7BAB">
        <w:tc>
          <w:tcPr>
            <w:tcW w:w="5000" w:type="pct"/>
            <w:vAlign w:val="center"/>
            <w:hideMark/>
          </w:tcPr>
          <w:p w14:paraId="7CDE5F44" w14:textId="77777777" w:rsidR="00BF4313" w:rsidRPr="005078DD" w:rsidRDefault="00BF4313">
            <w:pPr>
              <w:rPr>
                <w:rFonts w:ascii="Arial Narrow" w:hAnsi="Arial Narrow"/>
                <w:sz w:val="20"/>
                <w:szCs w:val="20"/>
              </w:rPr>
            </w:pPr>
            <w:r w:rsidRPr="005078DD">
              <w:rPr>
                <w:rFonts w:ascii="Arial Narrow" w:hAnsi="Arial Narrow"/>
                <w:b/>
                <w:bCs/>
                <w:sz w:val="20"/>
                <w:szCs w:val="20"/>
              </w:rPr>
              <w:t>Clinical criteria:</w:t>
            </w:r>
          </w:p>
        </w:tc>
      </w:tr>
      <w:tr w:rsidR="00BF4313" w:rsidRPr="00987B6D" w14:paraId="0803F31C" w14:textId="77777777" w:rsidTr="002E7BAB">
        <w:tc>
          <w:tcPr>
            <w:tcW w:w="5000" w:type="pct"/>
            <w:vAlign w:val="center"/>
            <w:hideMark/>
          </w:tcPr>
          <w:p w14:paraId="4090A482" w14:textId="77777777" w:rsidR="00BF4313" w:rsidRPr="00987B6D" w:rsidRDefault="00BF4313">
            <w:pPr>
              <w:rPr>
                <w:rFonts w:ascii="Arial Narrow" w:hAnsi="Arial Narrow"/>
                <w:iCs/>
                <w:sz w:val="20"/>
                <w:szCs w:val="20"/>
              </w:rPr>
            </w:pPr>
            <w:r w:rsidRPr="00987B6D">
              <w:rPr>
                <w:rFonts w:ascii="Arial Narrow" w:hAnsi="Arial Narrow"/>
                <w:bCs/>
                <w:iCs/>
                <w:sz w:val="20"/>
                <w:szCs w:val="20"/>
              </w:rPr>
              <w:t xml:space="preserve">The condition must be associated with a </w:t>
            </w:r>
            <w:r w:rsidRPr="005E4CB9">
              <w:rPr>
                <w:rFonts w:ascii="Arial Narrow" w:hAnsi="Arial Narrow"/>
                <w:bCs/>
                <w:i/>
                <w:sz w:val="20"/>
                <w:szCs w:val="20"/>
              </w:rPr>
              <w:t>class 4 or 5</w:t>
            </w:r>
            <w:r w:rsidRPr="00987B6D">
              <w:rPr>
                <w:rFonts w:ascii="Arial Narrow" w:hAnsi="Arial Narrow"/>
                <w:bCs/>
                <w:iCs/>
                <w:sz w:val="20"/>
                <w:szCs w:val="20"/>
              </w:rPr>
              <w:t> BRCA1 or BRCA2 gene mutation</w:t>
            </w:r>
          </w:p>
        </w:tc>
      </w:tr>
      <w:tr w:rsidR="00BF4313" w:rsidRPr="005078DD" w14:paraId="2B4B0C1B" w14:textId="77777777" w:rsidTr="002E7BAB">
        <w:tc>
          <w:tcPr>
            <w:tcW w:w="5000" w:type="pct"/>
            <w:vAlign w:val="center"/>
            <w:hideMark/>
          </w:tcPr>
          <w:p w14:paraId="75828591" w14:textId="77777777" w:rsidR="00BF4313" w:rsidRPr="005078DD" w:rsidRDefault="00BF4313">
            <w:pPr>
              <w:rPr>
                <w:rFonts w:ascii="Arial Narrow" w:hAnsi="Arial Narrow"/>
                <w:sz w:val="20"/>
                <w:szCs w:val="20"/>
              </w:rPr>
            </w:pPr>
            <w:r w:rsidRPr="005078DD">
              <w:rPr>
                <w:rFonts w:ascii="Arial Narrow" w:hAnsi="Arial Narrow"/>
                <w:b/>
                <w:bCs/>
                <w:sz w:val="20"/>
                <w:szCs w:val="20"/>
              </w:rPr>
              <w:t>AND</w:t>
            </w:r>
          </w:p>
        </w:tc>
      </w:tr>
      <w:tr w:rsidR="00BF4313" w:rsidRPr="005078DD" w14:paraId="0CD1038A" w14:textId="77777777" w:rsidTr="002E7BAB">
        <w:tc>
          <w:tcPr>
            <w:tcW w:w="5000" w:type="pct"/>
            <w:vAlign w:val="center"/>
          </w:tcPr>
          <w:p w14:paraId="483DFAF2" w14:textId="77777777" w:rsidR="00BF4313" w:rsidRPr="005078DD" w:rsidRDefault="00BF4313">
            <w:pPr>
              <w:rPr>
                <w:rFonts w:ascii="Arial Narrow" w:hAnsi="Arial Narrow"/>
                <w:b/>
                <w:bCs/>
                <w:sz w:val="20"/>
                <w:szCs w:val="20"/>
              </w:rPr>
            </w:pPr>
            <w:r>
              <w:rPr>
                <w:rFonts w:ascii="Arial Narrow" w:hAnsi="Arial Narrow"/>
                <w:b/>
                <w:bCs/>
                <w:sz w:val="20"/>
                <w:szCs w:val="20"/>
              </w:rPr>
              <w:t>Clinical criteria</w:t>
            </w:r>
          </w:p>
        </w:tc>
      </w:tr>
      <w:tr w:rsidR="00BF4313" w:rsidRPr="005E4CB9" w14:paraId="605667E6" w14:textId="77777777" w:rsidTr="002E7BAB">
        <w:tc>
          <w:tcPr>
            <w:tcW w:w="5000" w:type="pct"/>
            <w:vAlign w:val="center"/>
          </w:tcPr>
          <w:p w14:paraId="057E7B8C" w14:textId="77777777" w:rsidR="00BF4313" w:rsidRPr="005E4CB9" w:rsidRDefault="00BF4313">
            <w:pPr>
              <w:rPr>
                <w:rFonts w:ascii="Arial Narrow" w:hAnsi="Arial Narrow"/>
                <w:sz w:val="20"/>
                <w:szCs w:val="20"/>
              </w:rPr>
            </w:pPr>
            <w:r w:rsidRPr="005E4CB9">
              <w:rPr>
                <w:rFonts w:ascii="Arial Narrow" w:hAnsi="Arial Narrow"/>
                <w:sz w:val="20"/>
                <w:szCs w:val="20"/>
              </w:rPr>
              <w:t>Patient must not have received PBS-subsidised</w:t>
            </w:r>
            <w:r>
              <w:rPr>
                <w:rFonts w:ascii="Arial Narrow" w:hAnsi="Arial Narrow"/>
                <w:sz w:val="20"/>
                <w:szCs w:val="20"/>
              </w:rPr>
              <w:t xml:space="preserve"> treatment with a</w:t>
            </w:r>
            <w:r w:rsidRPr="005E4CB9">
              <w:rPr>
                <w:rFonts w:ascii="Arial Narrow" w:hAnsi="Arial Narrow"/>
                <w:sz w:val="20"/>
                <w:szCs w:val="20"/>
              </w:rPr>
              <w:t xml:space="preserve"> novel hormonal </w:t>
            </w:r>
            <w:r w:rsidRPr="001C0995">
              <w:rPr>
                <w:rFonts w:ascii="Arial Narrow" w:hAnsi="Arial Narrow"/>
                <w:i/>
                <w:iCs/>
                <w:sz w:val="20"/>
                <w:szCs w:val="20"/>
              </w:rPr>
              <w:t>drug</w:t>
            </w:r>
            <w:r>
              <w:rPr>
                <w:rFonts w:ascii="Arial Narrow" w:hAnsi="Arial Narrow"/>
                <w:sz w:val="20"/>
                <w:szCs w:val="20"/>
              </w:rPr>
              <w:t xml:space="preserve"> </w:t>
            </w:r>
            <w:r w:rsidRPr="005E4CB9">
              <w:rPr>
                <w:rFonts w:ascii="Arial Narrow" w:hAnsi="Arial Narrow"/>
                <w:sz w:val="20"/>
                <w:szCs w:val="20"/>
              </w:rPr>
              <w:t>for</w:t>
            </w:r>
            <w:r>
              <w:rPr>
                <w:rFonts w:ascii="Arial Narrow" w:hAnsi="Arial Narrow"/>
                <w:sz w:val="20"/>
                <w:szCs w:val="20"/>
              </w:rPr>
              <w:t xml:space="preserve"> prostate</w:t>
            </w:r>
            <w:r w:rsidRPr="005E4CB9">
              <w:rPr>
                <w:rFonts w:ascii="Arial Narrow" w:hAnsi="Arial Narrow"/>
                <w:sz w:val="20"/>
                <w:szCs w:val="20"/>
              </w:rPr>
              <w:t xml:space="preserve"> cancer</w:t>
            </w:r>
            <w:r>
              <w:rPr>
                <w:rFonts w:ascii="Arial Narrow" w:hAnsi="Arial Narrow"/>
                <w:sz w:val="20"/>
                <w:szCs w:val="20"/>
              </w:rPr>
              <w:t xml:space="preserve"> prior to commencing treatment with this drug for this condition</w:t>
            </w:r>
          </w:p>
        </w:tc>
      </w:tr>
      <w:tr w:rsidR="00BF4313" w:rsidRPr="005E4CB9" w14:paraId="77B26B04" w14:textId="77777777" w:rsidTr="002E7BAB">
        <w:tc>
          <w:tcPr>
            <w:tcW w:w="5000" w:type="pct"/>
            <w:vAlign w:val="center"/>
          </w:tcPr>
          <w:p w14:paraId="4A7EA5FB" w14:textId="77777777" w:rsidR="00BF4313" w:rsidRPr="005E4CB9" w:rsidRDefault="00BF4313">
            <w:pPr>
              <w:rPr>
                <w:rFonts w:ascii="Arial Narrow" w:hAnsi="Arial Narrow"/>
                <w:b/>
                <w:sz w:val="20"/>
                <w:szCs w:val="20"/>
              </w:rPr>
            </w:pPr>
            <w:r w:rsidRPr="005E4CB9">
              <w:rPr>
                <w:rFonts w:ascii="Arial Narrow" w:hAnsi="Arial Narrow"/>
                <w:b/>
                <w:sz w:val="20"/>
                <w:szCs w:val="20"/>
              </w:rPr>
              <w:t>AND</w:t>
            </w:r>
          </w:p>
        </w:tc>
      </w:tr>
      <w:tr w:rsidR="00BF4313" w:rsidRPr="005E4CB9" w14:paraId="16D23B92" w14:textId="77777777" w:rsidTr="002E7BAB">
        <w:tc>
          <w:tcPr>
            <w:tcW w:w="5000" w:type="pct"/>
            <w:vAlign w:val="center"/>
          </w:tcPr>
          <w:p w14:paraId="7D2F335C" w14:textId="77777777" w:rsidR="00BF4313" w:rsidRPr="005E4CB9" w:rsidRDefault="00BF4313">
            <w:pPr>
              <w:rPr>
                <w:rFonts w:ascii="Arial Narrow" w:hAnsi="Arial Narrow"/>
                <w:b/>
                <w:sz w:val="20"/>
                <w:szCs w:val="20"/>
              </w:rPr>
            </w:pPr>
            <w:r w:rsidRPr="005E4CB9">
              <w:rPr>
                <w:rFonts w:ascii="Arial Narrow" w:hAnsi="Arial Narrow"/>
                <w:b/>
                <w:sz w:val="20"/>
                <w:szCs w:val="20"/>
              </w:rPr>
              <w:t>Clinical criteria:</w:t>
            </w:r>
          </w:p>
        </w:tc>
      </w:tr>
      <w:tr w:rsidR="00BF4313" w:rsidRPr="001C0995" w14:paraId="48EE9987" w14:textId="77777777" w:rsidTr="002E7BAB">
        <w:tc>
          <w:tcPr>
            <w:tcW w:w="5000" w:type="pct"/>
            <w:vAlign w:val="center"/>
          </w:tcPr>
          <w:p w14:paraId="42977EF7" w14:textId="77777777" w:rsidR="00BF4313" w:rsidRPr="001C0995" w:rsidRDefault="00BF4313">
            <w:pPr>
              <w:rPr>
                <w:rFonts w:ascii="Arial Narrow" w:hAnsi="Arial Narrow"/>
                <w:bCs/>
                <w:sz w:val="20"/>
                <w:szCs w:val="20"/>
              </w:rPr>
            </w:pPr>
            <w:r>
              <w:rPr>
                <w:rFonts w:ascii="Arial Narrow" w:hAnsi="Arial Narrow"/>
                <w:bCs/>
                <w:sz w:val="20"/>
                <w:szCs w:val="20"/>
              </w:rPr>
              <w:t xml:space="preserve">Patient must have a </w:t>
            </w:r>
            <w:r w:rsidRPr="001C0995">
              <w:rPr>
                <w:rFonts w:ascii="Arial Narrow" w:hAnsi="Arial Narrow"/>
                <w:bCs/>
                <w:i/>
                <w:iCs/>
                <w:sz w:val="20"/>
                <w:szCs w:val="20"/>
              </w:rPr>
              <w:t>World Health Organisation (</w:t>
            </w:r>
            <w:r>
              <w:rPr>
                <w:rFonts w:ascii="Arial Narrow" w:hAnsi="Arial Narrow"/>
                <w:bCs/>
                <w:sz w:val="20"/>
                <w:szCs w:val="20"/>
              </w:rPr>
              <w:t>WHO</w:t>
            </w:r>
            <w:r w:rsidRPr="001C0995">
              <w:rPr>
                <w:rFonts w:ascii="Arial Narrow" w:hAnsi="Arial Narrow"/>
                <w:bCs/>
                <w:i/>
                <w:iCs/>
                <w:sz w:val="20"/>
                <w:szCs w:val="20"/>
              </w:rPr>
              <w:t>) Eastern Cooperative Oncology Group (ECOG)</w:t>
            </w:r>
            <w:r>
              <w:rPr>
                <w:rFonts w:ascii="Arial Narrow" w:hAnsi="Arial Narrow"/>
                <w:bCs/>
                <w:sz w:val="20"/>
                <w:szCs w:val="20"/>
              </w:rPr>
              <w:t xml:space="preserve"> performance status </w:t>
            </w:r>
            <w:r w:rsidRPr="001C0995">
              <w:rPr>
                <w:rFonts w:ascii="Arial Narrow" w:hAnsi="Arial Narrow"/>
                <w:bCs/>
                <w:i/>
                <w:iCs/>
                <w:sz w:val="20"/>
                <w:szCs w:val="20"/>
              </w:rPr>
              <w:t>score no higher than 1 prior to treatment initiation</w:t>
            </w:r>
          </w:p>
        </w:tc>
      </w:tr>
      <w:tr w:rsidR="00BF4313" w:rsidRPr="005078DD" w14:paraId="22048248" w14:textId="77777777" w:rsidTr="002E7BAB">
        <w:tc>
          <w:tcPr>
            <w:tcW w:w="5000" w:type="pct"/>
            <w:vAlign w:val="center"/>
            <w:hideMark/>
          </w:tcPr>
          <w:p w14:paraId="73085728" w14:textId="77777777" w:rsidR="00BF4313" w:rsidRPr="005078DD" w:rsidRDefault="00BF4313">
            <w:pPr>
              <w:rPr>
                <w:rFonts w:ascii="Arial Narrow" w:hAnsi="Arial Narrow"/>
                <w:sz w:val="20"/>
                <w:szCs w:val="20"/>
              </w:rPr>
            </w:pPr>
            <w:r w:rsidRPr="005078DD">
              <w:rPr>
                <w:rFonts w:ascii="Arial Narrow" w:hAnsi="Arial Narrow"/>
                <w:b/>
                <w:bCs/>
                <w:sz w:val="20"/>
                <w:szCs w:val="20"/>
              </w:rPr>
              <w:t>AND</w:t>
            </w:r>
          </w:p>
        </w:tc>
      </w:tr>
      <w:tr w:rsidR="00BF4313" w:rsidRPr="005078DD" w14:paraId="7291E096" w14:textId="77777777" w:rsidTr="002E7BAB">
        <w:tc>
          <w:tcPr>
            <w:tcW w:w="5000" w:type="pct"/>
            <w:vAlign w:val="center"/>
            <w:hideMark/>
          </w:tcPr>
          <w:p w14:paraId="7C235572" w14:textId="77777777" w:rsidR="00BF4313" w:rsidRPr="005078DD" w:rsidRDefault="00BF4313">
            <w:pPr>
              <w:rPr>
                <w:rFonts w:ascii="Arial Narrow" w:hAnsi="Arial Narrow"/>
                <w:sz w:val="20"/>
                <w:szCs w:val="20"/>
              </w:rPr>
            </w:pPr>
            <w:r w:rsidRPr="001C0995">
              <w:rPr>
                <w:rFonts w:ascii="Arial Narrow" w:hAnsi="Arial Narrow"/>
                <w:b/>
                <w:bCs/>
                <w:i/>
                <w:iCs/>
                <w:sz w:val="20"/>
                <w:szCs w:val="20"/>
              </w:rPr>
              <w:t>Treatment</w:t>
            </w:r>
            <w:r>
              <w:rPr>
                <w:rFonts w:ascii="Arial Narrow" w:hAnsi="Arial Narrow"/>
                <w:b/>
                <w:bCs/>
                <w:sz w:val="20"/>
                <w:szCs w:val="20"/>
              </w:rPr>
              <w:t xml:space="preserve"> </w:t>
            </w:r>
            <w:r w:rsidRPr="005078DD">
              <w:rPr>
                <w:rFonts w:ascii="Arial Narrow" w:hAnsi="Arial Narrow"/>
                <w:b/>
                <w:bCs/>
                <w:sz w:val="20"/>
                <w:szCs w:val="20"/>
              </w:rPr>
              <w:t>criteria:</w:t>
            </w:r>
          </w:p>
        </w:tc>
      </w:tr>
      <w:tr w:rsidR="00BF4313" w:rsidRPr="00EA2031" w14:paraId="6C91AAD5" w14:textId="77777777" w:rsidTr="002E7BAB">
        <w:tc>
          <w:tcPr>
            <w:tcW w:w="5000" w:type="pct"/>
            <w:vAlign w:val="center"/>
          </w:tcPr>
          <w:p w14:paraId="7E891904" w14:textId="77777777" w:rsidR="00BF4313" w:rsidRPr="00EA2031" w:rsidRDefault="00BF4313">
            <w:pPr>
              <w:rPr>
                <w:rFonts w:ascii="Arial Narrow" w:hAnsi="Arial Narrow"/>
                <w:bCs/>
                <w:sz w:val="20"/>
                <w:szCs w:val="20"/>
              </w:rPr>
            </w:pPr>
            <w:r>
              <w:rPr>
                <w:rFonts w:ascii="Arial Narrow" w:hAnsi="Arial Narrow"/>
                <w:bCs/>
                <w:sz w:val="20"/>
                <w:szCs w:val="20"/>
              </w:rPr>
              <w:t xml:space="preserve">The treatment must be </w:t>
            </w:r>
            <w:r w:rsidRPr="005E4CB9">
              <w:rPr>
                <w:rFonts w:ascii="Arial Narrow" w:hAnsi="Arial Narrow"/>
                <w:bCs/>
                <w:i/>
                <w:iCs/>
                <w:sz w:val="20"/>
                <w:szCs w:val="20"/>
              </w:rPr>
              <w:t>undergoing concurrent treatment</w:t>
            </w:r>
            <w:r>
              <w:rPr>
                <w:rFonts w:ascii="Arial Narrow" w:hAnsi="Arial Narrow"/>
                <w:bCs/>
                <w:sz w:val="20"/>
                <w:szCs w:val="20"/>
              </w:rPr>
              <w:t xml:space="preserve"> with enzalutamide</w:t>
            </w:r>
            <w:r w:rsidRPr="005E4CB9">
              <w:rPr>
                <w:rFonts w:ascii="Arial Narrow" w:hAnsi="Arial Narrow"/>
                <w:bCs/>
                <w:i/>
                <w:iCs/>
                <w:sz w:val="20"/>
                <w:szCs w:val="20"/>
              </w:rPr>
              <w:t xml:space="preserve">, unless an intolerance to enzalutamide requires </w:t>
            </w:r>
            <w:r>
              <w:rPr>
                <w:rFonts w:ascii="Arial Narrow" w:hAnsi="Arial Narrow"/>
                <w:bCs/>
                <w:i/>
                <w:iCs/>
                <w:sz w:val="20"/>
                <w:szCs w:val="20"/>
              </w:rPr>
              <w:t xml:space="preserve">either </w:t>
            </w:r>
            <w:r w:rsidRPr="005E4CB9">
              <w:rPr>
                <w:rFonts w:ascii="Arial Narrow" w:hAnsi="Arial Narrow"/>
                <w:bCs/>
                <w:i/>
                <w:iCs/>
                <w:sz w:val="20"/>
                <w:szCs w:val="20"/>
              </w:rPr>
              <w:t>a</w:t>
            </w:r>
            <w:r>
              <w:rPr>
                <w:rFonts w:ascii="Arial Narrow" w:hAnsi="Arial Narrow"/>
                <w:bCs/>
                <w:i/>
                <w:iCs/>
                <w:sz w:val="20"/>
                <w:szCs w:val="20"/>
              </w:rPr>
              <w:t>:</w:t>
            </w:r>
            <w:r w:rsidRPr="005E4CB9">
              <w:rPr>
                <w:rFonts w:ascii="Arial Narrow" w:hAnsi="Arial Narrow"/>
                <w:bCs/>
                <w:i/>
                <w:iCs/>
                <w:sz w:val="20"/>
                <w:szCs w:val="20"/>
              </w:rPr>
              <w:t xml:space="preserve"> (i) temporary</w:t>
            </w:r>
            <w:r>
              <w:rPr>
                <w:rFonts w:ascii="Arial Narrow" w:hAnsi="Arial Narrow"/>
                <w:bCs/>
                <w:i/>
                <w:iCs/>
                <w:sz w:val="20"/>
                <w:szCs w:val="20"/>
              </w:rPr>
              <w:t xml:space="preserve"> cessation</w:t>
            </w:r>
            <w:r w:rsidRPr="005E4CB9">
              <w:rPr>
                <w:rFonts w:ascii="Arial Narrow" w:hAnsi="Arial Narrow"/>
                <w:bCs/>
                <w:i/>
                <w:iCs/>
                <w:sz w:val="20"/>
                <w:szCs w:val="20"/>
              </w:rPr>
              <w:t xml:space="preserve">, (ii) permanent discontinuation </w:t>
            </w:r>
          </w:p>
        </w:tc>
      </w:tr>
      <w:tr w:rsidR="00BF4313" w14:paraId="71BFCA69" w14:textId="77777777" w:rsidTr="002E7BAB">
        <w:tc>
          <w:tcPr>
            <w:tcW w:w="5000" w:type="pct"/>
            <w:vAlign w:val="center"/>
          </w:tcPr>
          <w:p w14:paraId="41799E6E" w14:textId="77777777" w:rsidR="00BF4313" w:rsidRDefault="00BF4313">
            <w:pPr>
              <w:rPr>
                <w:rFonts w:ascii="Arial Narrow" w:hAnsi="Arial Narrow"/>
                <w:bCs/>
                <w:sz w:val="20"/>
                <w:szCs w:val="20"/>
              </w:rPr>
            </w:pPr>
            <w:r w:rsidRPr="005E4CB9">
              <w:rPr>
                <w:rFonts w:ascii="Arial Narrow" w:hAnsi="Arial Narrow"/>
                <w:b/>
                <w:sz w:val="20"/>
                <w:szCs w:val="20"/>
              </w:rPr>
              <w:t>AND</w:t>
            </w:r>
          </w:p>
        </w:tc>
      </w:tr>
      <w:tr w:rsidR="00BF4313" w14:paraId="42BF0604" w14:textId="77777777" w:rsidTr="002E7BAB">
        <w:tc>
          <w:tcPr>
            <w:tcW w:w="5000" w:type="pct"/>
            <w:vAlign w:val="center"/>
          </w:tcPr>
          <w:p w14:paraId="519B0296" w14:textId="77777777" w:rsidR="00BF4313" w:rsidRDefault="00BF4313">
            <w:pPr>
              <w:rPr>
                <w:rFonts w:ascii="Arial Narrow" w:hAnsi="Arial Narrow"/>
                <w:bCs/>
                <w:sz w:val="20"/>
                <w:szCs w:val="20"/>
              </w:rPr>
            </w:pPr>
            <w:r w:rsidRPr="001C0995">
              <w:rPr>
                <w:rFonts w:ascii="Arial Narrow" w:hAnsi="Arial Narrow"/>
                <w:b/>
                <w:bCs/>
                <w:i/>
                <w:iCs/>
                <w:sz w:val="20"/>
                <w:szCs w:val="20"/>
              </w:rPr>
              <w:t>Treatment</w:t>
            </w:r>
            <w:r>
              <w:rPr>
                <w:rFonts w:ascii="Arial Narrow" w:hAnsi="Arial Narrow"/>
                <w:b/>
                <w:bCs/>
                <w:sz w:val="20"/>
                <w:szCs w:val="20"/>
              </w:rPr>
              <w:t xml:space="preserve"> </w:t>
            </w:r>
            <w:r w:rsidRPr="005E4CB9">
              <w:rPr>
                <w:rFonts w:ascii="Arial Narrow" w:hAnsi="Arial Narrow"/>
                <w:b/>
                <w:sz w:val="20"/>
                <w:szCs w:val="20"/>
              </w:rPr>
              <w:t>criteria:</w:t>
            </w:r>
          </w:p>
        </w:tc>
      </w:tr>
      <w:tr w:rsidR="00BF4313" w14:paraId="451324C1" w14:textId="77777777" w:rsidTr="002E7BAB">
        <w:tc>
          <w:tcPr>
            <w:tcW w:w="5000" w:type="pct"/>
            <w:vAlign w:val="center"/>
          </w:tcPr>
          <w:p w14:paraId="554EA4BF" w14:textId="77777777" w:rsidR="00BF4313" w:rsidRDefault="00BF4313">
            <w:pPr>
              <w:rPr>
                <w:rFonts w:ascii="Arial Narrow" w:hAnsi="Arial Narrow"/>
                <w:bCs/>
                <w:sz w:val="20"/>
                <w:szCs w:val="20"/>
              </w:rPr>
            </w:pPr>
            <w:r w:rsidRPr="00B72574">
              <w:rPr>
                <w:rFonts w:ascii="Arial Narrow" w:hAnsi="Arial Narrow"/>
                <w:bCs/>
                <w:sz w:val="20"/>
                <w:szCs w:val="20"/>
              </w:rPr>
              <w:t>The treatment must not be a PBS-subsidised benefit beyond disease progression</w:t>
            </w:r>
          </w:p>
        </w:tc>
      </w:tr>
      <w:tr w:rsidR="00BF4313" w14:paraId="3C4A2D67" w14:textId="77777777" w:rsidTr="002E7BAB">
        <w:tc>
          <w:tcPr>
            <w:tcW w:w="5000" w:type="pct"/>
            <w:vAlign w:val="center"/>
          </w:tcPr>
          <w:p w14:paraId="6531A314" w14:textId="77777777" w:rsidR="00BF4313" w:rsidRDefault="00BF4313">
            <w:pPr>
              <w:rPr>
                <w:rFonts w:ascii="Arial Narrow" w:hAnsi="Arial Narrow"/>
                <w:bCs/>
                <w:sz w:val="20"/>
                <w:szCs w:val="20"/>
              </w:rPr>
            </w:pPr>
          </w:p>
        </w:tc>
      </w:tr>
      <w:tr w:rsidR="00BF4313" w:rsidRPr="001C0995" w14:paraId="5DCF4304" w14:textId="77777777" w:rsidTr="002E7BAB">
        <w:tc>
          <w:tcPr>
            <w:tcW w:w="5000" w:type="pct"/>
            <w:vAlign w:val="center"/>
          </w:tcPr>
          <w:p w14:paraId="528FDC52" w14:textId="77777777" w:rsidR="00BF4313" w:rsidRPr="001C0995" w:rsidRDefault="00BF4313">
            <w:pPr>
              <w:rPr>
                <w:rFonts w:ascii="Arial Narrow" w:hAnsi="Arial Narrow"/>
                <w:b/>
                <w:i/>
                <w:iCs/>
                <w:sz w:val="20"/>
                <w:szCs w:val="20"/>
              </w:rPr>
            </w:pPr>
            <w:r w:rsidRPr="001C0995">
              <w:rPr>
                <w:rFonts w:ascii="Arial Narrow" w:hAnsi="Arial Narrow"/>
                <w:b/>
                <w:i/>
                <w:iCs/>
                <w:sz w:val="20"/>
                <w:szCs w:val="20"/>
              </w:rPr>
              <w:t xml:space="preserve">Note: </w:t>
            </w:r>
          </w:p>
          <w:p w14:paraId="74042368" w14:textId="77777777" w:rsidR="00BF4313" w:rsidRPr="001C0995" w:rsidRDefault="00BF4313">
            <w:pPr>
              <w:rPr>
                <w:rFonts w:ascii="Arial Narrow" w:hAnsi="Arial Narrow"/>
                <w:bCs/>
                <w:i/>
                <w:iCs/>
                <w:sz w:val="20"/>
                <w:szCs w:val="20"/>
              </w:rPr>
            </w:pPr>
            <w:r w:rsidRPr="001C0995">
              <w:rPr>
                <w:rFonts w:ascii="Arial Narrow" w:hAnsi="Arial Narrow"/>
                <w:bCs/>
                <w:i/>
                <w:iCs/>
                <w:sz w:val="20"/>
                <w:szCs w:val="20"/>
              </w:rPr>
              <w:t>Where the term ‘novel hormonal drug’ appears in this restriction, it refers to: (i) abiraterone, (ii) apalutamide, (iii) darolutamide, (iv) enzalutamide</w:t>
            </w:r>
          </w:p>
        </w:tc>
      </w:tr>
      <w:tr w:rsidR="00BF4313" w:rsidRPr="00EB3D27" w14:paraId="08F9C57D" w14:textId="77777777" w:rsidTr="002E7BAB">
        <w:tc>
          <w:tcPr>
            <w:tcW w:w="5000" w:type="pct"/>
            <w:vAlign w:val="center"/>
          </w:tcPr>
          <w:p w14:paraId="1AE2C705" w14:textId="77777777" w:rsidR="00BF4313" w:rsidRPr="00EB3D27" w:rsidRDefault="00BF4313">
            <w:pPr>
              <w:rPr>
                <w:rFonts w:ascii="Arial Narrow" w:hAnsi="Arial Narrow"/>
                <w:bCs/>
                <w:i/>
                <w:iCs/>
                <w:sz w:val="20"/>
                <w:szCs w:val="20"/>
              </w:rPr>
            </w:pPr>
            <w:r w:rsidRPr="00EB3D27">
              <w:rPr>
                <w:rFonts w:ascii="Arial Narrow" w:hAnsi="Arial Narrow"/>
                <w:b/>
                <w:i/>
                <w:iCs/>
                <w:sz w:val="20"/>
                <w:szCs w:val="20"/>
              </w:rPr>
              <w:lastRenderedPageBreak/>
              <w:t>Administrative Advice:</w:t>
            </w:r>
            <w:r>
              <w:rPr>
                <w:rFonts w:ascii="Arial Narrow" w:hAnsi="Arial Narrow"/>
                <w:b/>
                <w:i/>
                <w:iCs/>
                <w:sz w:val="20"/>
                <w:szCs w:val="20"/>
              </w:rPr>
              <w:t xml:space="preserve"> </w:t>
            </w:r>
            <w:r w:rsidRPr="00EB3D27">
              <w:rPr>
                <w:rFonts w:ascii="Arial Narrow" w:hAnsi="Arial Narrow"/>
                <w:bCs/>
                <w:i/>
                <w:iCs/>
                <w:sz w:val="20"/>
                <w:szCs w:val="20"/>
              </w:rPr>
              <w:t>No increase in the maximum quantity or number of units may be authorised.</w:t>
            </w:r>
          </w:p>
        </w:tc>
      </w:tr>
      <w:tr w:rsidR="00BF4313" w:rsidRPr="00EB3D27" w14:paraId="38279E9B" w14:textId="77777777" w:rsidTr="002E7BAB">
        <w:tc>
          <w:tcPr>
            <w:tcW w:w="5000" w:type="pct"/>
            <w:vAlign w:val="center"/>
          </w:tcPr>
          <w:p w14:paraId="0EC50A44" w14:textId="77777777" w:rsidR="00BF4313" w:rsidRPr="00EB3D27" w:rsidRDefault="00BF4313">
            <w:pPr>
              <w:rPr>
                <w:rFonts w:ascii="Arial Narrow" w:hAnsi="Arial Narrow"/>
                <w:b/>
                <w:i/>
                <w:iCs/>
                <w:sz w:val="20"/>
                <w:szCs w:val="20"/>
              </w:rPr>
            </w:pPr>
            <w:r w:rsidRPr="00EB3D27">
              <w:rPr>
                <w:rFonts w:ascii="Arial Narrow" w:hAnsi="Arial Narrow"/>
                <w:b/>
                <w:i/>
                <w:iCs/>
                <w:sz w:val="20"/>
                <w:szCs w:val="20"/>
              </w:rPr>
              <w:t>Administrative Advice:</w:t>
            </w:r>
            <w:r>
              <w:rPr>
                <w:rFonts w:ascii="Arial Narrow" w:hAnsi="Arial Narrow"/>
                <w:b/>
                <w:i/>
                <w:iCs/>
                <w:sz w:val="20"/>
                <w:szCs w:val="20"/>
              </w:rPr>
              <w:t xml:space="preserve"> </w:t>
            </w:r>
            <w:r w:rsidRPr="00EB3D27">
              <w:rPr>
                <w:rFonts w:ascii="Arial Narrow" w:hAnsi="Arial Narrow"/>
                <w:bCs/>
                <w:i/>
                <w:iCs/>
                <w:sz w:val="20"/>
                <w:szCs w:val="20"/>
              </w:rPr>
              <w:t>No increase in the maximum number of repeats may be authorised.</w:t>
            </w:r>
          </w:p>
        </w:tc>
      </w:tr>
      <w:tr w:rsidR="00BF4313" w:rsidRPr="001C0995" w14:paraId="42DEEC9A" w14:textId="77777777" w:rsidTr="002E7BAB">
        <w:tc>
          <w:tcPr>
            <w:tcW w:w="5000" w:type="pct"/>
            <w:vAlign w:val="center"/>
          </w:tcPr>
          <w:p w14:paraId="0AE9B55A" w14:textId="77777777" w:rsidR="00BF4313" w:rsidRPr="001C0995" w:rsidRDefault="00BF4313">
            <w:pPr>
              <w:rPr>
                <w:rFonts w:ascii="Arial Narrow" w:hAnsi="Arial Narrow"/>
                <w:b/>
                <w:i/>
                <w:iCs/>
                <w:sz w:val="20"/>
                <w:szCs w:val="20"/>
              </w:rPr>
            </w:pPr>
            <w:r w:rsidRPr="00EB3D27">
              <w:rPr>
                <w:rFonts w:ascii="Arial Narrow" w:hAnsi="Arial Narrow"/>
                <w:b/>
                <w:i/>
                <w:iCs/>
                <w:sz w:val="20"/>
                <w:szCs w:val="20"/>
              </w:rPr>
              <w:t>Administrative Advice:</w:t>
            </w:r>
            <w:r>
              <w:rPr>
                <w:rFonts w:ascii="Arial Narrow" w:hAnsi="Arial Narrow"/>
                <w:b/>
                <w:i/>
                <w:iCs/>
                <w:sz w:val="20"/>
                <w:szCs w:val="20"/>
              </w:rPr>
              <w:t xml:space="preserve"> </w:t>
            </w:r>
            <w:r w:rsidRPr="00EB3D27">
              <w:rPr>
                <w:rFonts w:ascii="Arial Narrow" w:hAnsi="Arial Narrow"/>
                <w:bCs/>
                <w:i/>
                <w:iCs/>
                <w:sz w:val="20"/>
                <w:szCs w:val="20"/>
              </w:rPr>
              <w:t>Special Pricing Arrangements apply.</w:t>
            </w:r>
          </w:p>
        </w:tc>
      </w:tr>
      <w:tr w:rsidR="00BF4313" w:rsidRPr="00EB3D27" w14:paraId="5F073517" w14:textId="77777777" w:rsidTr="002E7BAB">
        <w:tc>
          <w:tcPr>
            <w:tcW w:w="5000" w:type="pct"/>
            <w:vAlign w:val="center"/>
          </w:tcPr>
          <w:p w14:paraId="73FA2916" w14:textId="77777777" w:rsidR="00BF4313" w:rsidRPr="00EB3D27" w:rsidRDefault="00BF4313">
            <w:pPr>
              <w:rPr>
                <w:rFonts w:ascii="Arial Narrow" w:hAnsi="Arial Narrow"/>
                <w:b/>
                <w:i/>
                <w:iCs/>
                <w:sz w:val="20"/>
                <w:szCs w:val="20"/>
              </w:rPr>
            </w:pPr>
            <w:r w:rsidRPr="00EB3D27">
              <w:rPr>
                <w:rFonts w:ascii="Arial Narrow" w:hAnsi="Arial Narrow"/>
                <w:b/>
                <w:i/>
                <w:iCs/>
                <w:sz w:val="20"/>
                <w:szCs w:val="20"/>
              </w:rPr>
              <w:t>Administrative Advice:</w:t>
            </w:r>
            <w:r>
              <w:rPr>
                <w:rFonts w:ascii="Arial Narrow" w:hAnsi="Arial Narrow"/>
                <w:b/>
                <w:i/>
                <w:iCs/>
                <w:sz w:val="20"/>
                <w:szCs w:val="20"/>
              </w:rPr>
              <w:t xml:space="preserve"> </w:t>
            </w:r>
            <w:r w:rsidRPr="00EB3D27">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4D75DAC2" w14:textId="40458607" w:rsidR="00FA3385" w:rsidRPr="005A293B" w:rsidRDefault="00FA3385" w:rsidP="005C2EDA">
      <w:pPr>
        <w:pStyle w:val="FooterTableFigure"/>
        <w:widowControl w:val="0"/>
        <w:jc w:val="both"/>
      </w:pPr>
      <w:r w:rsidRPr="005A293B">
        <w:t xml:space="preserve">Source: </w:t>
      </w:r>
      <w:r w:rsidR="00E54C06" w:rsidRPr="005A293B">
        <w:t>Table 1.4-2, p37, Tables 1.4-3, p38, 1.4-4, p39 and 1.4-5, p40 of the submission</w:t>
      </w:r>
      <w:r w:rsidRPr="005A293B">
        <w:t xml:space="preserve"> of the submission. </w:t>
      </w:r>
    </w:p>
    <w:p w14:paraId="0FD3CE63" w14:textId="56994D1E" w:rsidR="00E54C06" w:rsidRPr="000B725B" w:rsidRDefault="00E54C06" w:rsidP="005C70FC">
      <w:pPr>
        <w:pStyle w:val="ExecSumBodyText"/>
        <w:numPr>
          <w:ilvl w:val="1"/>
          <w:numId w:val="1"/>
        </w:numPr>
        <w:ind w:left="709"/>
        <w:jc w:val="both"/>
      </w:pPr>
      <w:r w:rsidRPr="000B725B">
        <w:t xml:space="preserve">The submission noted that use of talazoparib in first line mCRPC should prohibit use of other </w:t>
      </w:r>
      <w:r w:rsidR="008B367A" w:rsidRPr="000B725B">
        <w:t>polyadenosine 5’diphosphoribose polymerase (</w:t>
      </w:r>
      <w:r w:rsidRPr="000B725B">
        <w:t>PARP</w:t>
      </w:r>
      <w:r w:rsidR="008B367A" w:rsidRPr="000B725B">
        <w:t>)</w:t>
      </w:r>
      <w:r w:rsidRPr="000B725B">
        <w:t xml:space="preserve"> inhibitors in subsequent lines of treatment. If talazoparib is recommended as requested, an amendment to the clinical criteria of the PBS item</w:t>
      </w:r>
      <w:r w:rsidR="00A87A5C">
        <w:t>s</w:t>
      </w:r>
      <w:r w:rsidRPr="000B725B">
        <w:t xml:space="preserve"> </w:t>
      </w:r>
      <w:r w:rsidR="00A87A5C" w:rsidRPr="000B725B">
        <w:t>1292</w:t>
      </w:r>
      <w:r w:rsidR="00A87A5C">
        <w:t>9L and 12932P</w:t>
      </w:r>
      <w:r w:rsidR="00A87A5C" w:rsidRPr="000B725B">
        <w:t xml:space="preserve"> </w:t>
      </w:r>
      <w:r w:rsidRPr="000B725B">
        <w:t xml:space="preserve">for olaparib monotherapy would be necessary to prohibit </w:t>
      </w:r>
      <w:r w:rsidR="00E659D5" w:rsidRPr="000B725B">
        <w:t xml:space="preserve">use following </w:t>
      </w:r>
      <w:r w:rsidR="00A67471" w:rsidRPr="000B725B">
        <w:t>any prior PARP inhibitor(s)</w:t>
      </w:r>
      <w:r w:rsidRPr="000B725B">
        <w:t>.</w:t>
      </w:r>
    </w:p>
    <w:p w14:paraId="65A819B3" w14:textId="33670D4C" w:rsidR="006E4BFC" w:rsidRDefault="00E54C06" w:rsidP="005C70FC">
      <w:pPr>
        <w:pStyle w:val="ExecSumBodyText"/>
        <w:numPr>
          <w:ilvl w:val="1"/>
          <w:numId w:val="1"/>
        </w:numPr>
        <w:ind w:left="709"/>
        <w:jc w:val="both"/>
      </w:pPr>
      <w:r w:rsidRPr="000B725B">
        <w:t xml:space="preserve">The submission did not specify a time </w:t>
      </w:r>
      <w:r w:rsidR="00A67471" w:rsidRPr="000B725B">
        <w:t xml:space="preserve">frame </w:t>
      </w:r>
      <w:r w:rsidRPr="000B725B">
        <w:t>for commencing talazoparib treatment after starting enzalutamide</w:t>
      </w:r>
      <w:r w:rsidR="00A67471" w:rsidRPr="000B725B">
        <w:t>. Potential d</w:t>
      </w:r>
      <w:r w:rsidRPr="000B725B">
        <w:t xml:space="preserve">elays in </w:t>
      </w:r>
      <w:r w:rsidR="00A67471" w:rsidRPr="000B725B">
        <w:t xml:space="preserve">obtaining </w:t>
      </w:r>
      <w:r w:rsidRPr="000337F9">
        <w:rPr>
          <w:i/>
          <w:iCs/>
        </w:rPr>
        <w:t>BRCA1/2</w:t>
      </w:r>
      <w:r w:rsidRPr="000B725B">
        <w:t xml:space="preserve"> testing </w:t>
      </w:r>
      <w:r w:rsidR="00A67471" w:rsidRPr="000B725B">
        <w:t>are expected in the Australian context, while this varies between laboratories, a wait</w:t>
      </w:r>
      <w:r w:rsidRPr="000B725B">
        <w:t xml:space="preserve"> </w:t>
      </w:r>
      <w:r w:rsidR="00A67471" w:rsidRPr="000B725B">
        <w:t xml:space="preserve">of at </w:t>
      </w:r>
      <w:r w:rsidRPr="000B725B">
        <w:t xml:space="preserve">least eight weeks </w:t>
      </w:r>
      <w:r w:rsidR="00A67471" w:rsidRPr="000B725B">
        <w:t xml:space="preserve">was suggested </w:t>
      </w:r>
      <w:r w:rsidRPr="000B725B">
        <w:t>by the Peter MacCallum Cancer Centre (Victoria, Australia)</w:t>
      </w:r>
      <w:r w:rsidR="00E3632C" w:rsidRPr="000B725B">
        <w:rPr>
          <w:rStyle w:val="FootnoteReference"/>
        </w:rPr>
        <w:footnoteReference w:id="2"/>
      </w:r>
      <w:r w:rsidRPr="000B725B">
        <w:t>.</w:t>
      </w:r>
      <w:r w:rsidR="00F13554">
        <w:t xml:space="preserve"> </w:t>
      </w:r>
      <w:r w:rsidR="00F13554" w:rsidRPr="006E4BFC">
        <w:t xml:space="preserve">The </w:t>
      </w:r>
      <w:r w:rsidR="00137C00" w:rsidRPr="00137C00">
        <w:t xml:space="preserve">Pre-Sub-Committee Response </w:t>
      </w:r>
      <w:r w:rsidR="00137C00">
        <w:t>(</w:t>
      </w:r>
      <w:r w:rsidR="00F13554" w:rsidRPr="006E4BFC">
        <w:t>PSCR</w:t>
      </w:r>
      <w:r w:rsidR="00137C00">
        <w:t>)</w:t>
      </w:r>
      <w:r w:rsidR="00F13554" w:rsidRPr="006E4BFC">
        <w:t xml:space="preserve"> acknowledged that the time to obtain </w:t>
      </w:r>
      <w:r w:rsidR="00F13554" w:rsidRPr="006E4BFC">
        <w:rPr>
          <w:i/>
          <w:iCs/>
        </w:rPr>
        <w:t>BRCA1/2</w:t>
      </w:r>
      <w:r w:rsidR="00F13554" w:rsidRPr="006E4BFC">
        <w:t xml:space="preserve"> testing was variable but reiterated the need for </w:t>
      </w:r>
      <w:r w:rsidR="00061706" w:rsidRPr="006E4BFC">
        <w:t>treatment with both</w:t>
      </w:r>
      <w:r w:rsidR="00F13554" w:rsidRPr="006E4BFC">
        <w:t xml:space="preserve"> talazoparib </w:t>
      </w:r>
      <w:r w:rsidR="00061706" w:rsidRPr="006E4BFC">
        <w:t>and</w:t>
      </w:r>
      <w:r w:rsidR="00F13554" w:rsidRPr="006E4BFC">
        <w:t xml:space="preserve"> enzalutamide </w:t>
      </w:r>
      <w:r w:rsidR="00061706" w:rsidRPr="006E4BFC">
        <w:t xml:space="preserve">to commence at the same time </w:t>
      </w:r>
      <w:r w:rsidR="00F13554" w:rsidRPr="006E4BFC">
        <w:t>as per the TALAPRO-2 trial.</w:t>
      </w:r>
    </w:p>
    <w:p w14:paraId="106CFC2A" w14:textId="634784F8" w:rsidR="006E4BFC" w:rsidRPr="006E4BFC" w:rsidRDefault="006E4BFC" w:rsidP="005C70FC">
      <w:pPr>
        <w:pStyle w:val="ExecSumBodyText"/>
        <w:ind w:left="510" w:firstLine="170"/>
        <w:jc w:val="both"/>
        <w:rPr>
          <w:i/>
          <w:iCs/>
        </w:rPr>
      </w:pPr>
      <w:r w:rsidRPr="006E4BFC">
        <w:rPr>
          <w:i/>
          <w:iCs/>
        </w:rPr>
        <w:t>For more detail on PBAC’s view, see section 7 PBAC outcome.</w:t>
      </w:r>
    </w:p>
    <w:p w14:paraId="7075B85C" w14:textId="62A47B7B" w:rsidR="00B50DB8" w:rsidRPr="005A293B" w:rsidDel="00195452" w:rsidRDefault="00203181" w:rsidP="007A35C1">
      <w:pPr>
        <w:pStyle w:val="2-SectionHeading"/>
        <w:jc w:val="both"/>
      </w:pPr>
      <w:bookmarkStart w:id="15" w:name="_Toc144911470"/>
      <w:bookmarkStart w:id="16" w:name="_Toc156833532"/>
      <w:r w:rsidRPr="005A293B" w:rsidDel="00195452">
        <w:t xml:space="preserve">Population and </w:t>
      </w:r>
      <w:r w:rsidR="008E0D3C" w:rsidRPr="005A293B" w:rsidDel="00195452">
        <w:t>d</w:t>
      </w:r>
      <w:r w:rsidRPr="005A293B" w:rsidDel="00195452">
        <w:t>isease</w:t>
      </w:r>
      <w:bookmarkEnd w:id="15"/>
      <w:bookmarkEnd w:id="16"/>
    </w:p>
    <w:p w14:paraId="5AC9FB50" w14:textId="67844A2B" w:rsidR="00267E27" w:rsidRPr="000B725B" w:rsidRDefault="00506CC0" w:rsidP="003D229D">
      <w:pPr>
        <w:pStyle w:val="3-BodyText"/>
        <w:rPr>
          <w:snapToGrid/>
        </w:rPr>
      </w:pPr>
      <w:r w:rsidRPr="000B725B">
        <w:t>Talazoparib</w:t>
      </w:r>
      <w:r w:rsidR="00D63872" w:rsidRPr="000B725B">
        <w:t xml:space="preserve"> is a PARP inhibitor. </w:t>
      </w:r>
      <w:r w:rsidR="00267E27" w:rsidRPr="000B725B">
        <w:t>PARP inhibitors induce cytotoxic effects on cancer cells by inhibiting PARP catalytic activity and trapping PARP proteins on DNA lesions, disrupting normal DNA processes and resulting in apoptosis and cell death.</w:t>
      </w:r>
    </w:p>
    <w:p w14:paraId="681BAAA4" w14:textId="77777777" w:rsidR="00F13554" w:rsidRDefault="00FE2E26" w:rsidP="003D229D">
      <w:pPr>
        <w:pStyle w:val="3-BodyText"/>
      </w:pPr>
      <w:r w:rsidRPr="000B725B">
        <w:t>The proposed population</w:t>
      </w:r>
      <w:r w:rsidR="00267E27" w:rsidRPr="000B725B">
        <w:t xml:space="preserve"> was</w:t>
      </w:r>
      <w:r w:rsidRPr="000B725B">
        <w:t xml:space="preserve"> </w:t>
      </w:r>
      <w:r w:rsidR="00267E27" w:rsidRPr="000B725B">
        <w:t xml:space="preserve">NHA-naïve patients with mCRPC who have evidence of a </w:t>
      </w:r>
      <w:r w:rsidR="00267E27" w:rsidRPr="000337F9">
        <w:rPr>
          <w:i/>
          <w:iCs/>
        </w:rPr>
        <w:t>BRCA1/2</w:t>
      </w:r>
      <w:r w:rsidR="00267E27" w:rsidRPr="000B725B">
        <w:t xml:space="preserve"> pathogenic variant. This was consistent with the subgroup population in </w:t>
      </w:r>
      <w:r w:rsidR="00521A00" w:rsidRPr="000B725B">
        <w:t xml:space="preserve">Cohort 2 of </w:t>
      </w:r>
      <w:r w:rsidR="00267E27" w:rsidRPr="000B725B">
        <w:t>the pivotal Phase III TALAPRO-2</w:t>
      </w:r>
      <w:r w:rsidR="00521A00" w:rsidRPr="000B725B">
        <w:t xml:space="preserve"> trial</w:t>
      </w:r>
      <w:r w:rsidR="00267E27" w:rsidRPr="000B725B">
        <w:t xml:space="preserve">, </w:t>
      </w:r>
      <w:r w:rsidR="00521A00" w:rsidRPr="000B725B">
        <w:t xml:space="preserve">which included </w:t>
      </w:r>
      <w:r w:rsidR="00267E27" w:rsidRPr="000B725B">
        <w:t xml:space="preserve">patients selected for </w:t>
      </w:r>
      <w:r w:rsidR="00AE6164" w:rsidRPr="000337F9">
        <w:rPr>
          <w:i/>
          <w:iCs/>
        </w:rPr>
        <w:t>BRCA1/2</w:t>
      </w:r>
      <w:r w:rsidR="00267E27" w:rsidRPr="000B725B">
        <w:t xml:space="preserve"> </w:t>
      </w:r>
      <w:r w:rsidR="008B367A" w:rsidRPr="000B725B">
        <w:t>pathogenic variants</w:t>
      </w:r>
      <w:r w:rsidR="00267E27" w:rsidRPr="000B725B">
        <w:t>.</w:t>
      </w:r>
      <w:r w:rsidR="005D2612">
        <w:t xml:space="preserve"> </w:t>
      </w:r>
    </w:p>
    <w:p w14:paraId="545B9788" w14:textId="1F00431E" w:rsidR="004A0F08" w:rsidRPr="000B725B" w:rsidRDefault="00D856DF" w:rsidP="003D229D">
      <w:pPr>
        <w:pStyle w:val="3-BodyText"/>
      </w:pPr>
      <w:r w:rsidRPr="000B725B">
        <w:rPr>
          <w:snapToGrid/>
        </w:rPr>
        <w:t>The submission indicated that a</w:t>
      </w:r>
      <w:r w:rsidR="004A0F08" w:rsidRPr="000B725B">
        <w:rPr>
          <w:snapToGrid/>
        </w:rPr>
        <w:t xml:space="preserve"> </w:t>
      </w:r>
      <w:r w:rsidRPr="000B725B">
        <w:rPr>
          <w:snapToGrid/>
        </w:rPr>
        <w:t>request for</w:t>
      </w:r>
      <w:r w:rsidR="004A0F08" w:rsidRPr="000B725B">
        <w:rPr>
          <w:snapToGrid/>
        </w:rPr>
        <w:t xml:space="preserve"> an amendment of Medicare Benefits Schedule (MBS) item numbers 73303 and 73304 for the evaluation of </w:t>
      </w:r>
      <w:r w:rsidR="004A0F08" w:rsidRPr="000337F9">
        <w:rPr>
          <w:i/>
          <w:iCs/>
          <w:snapToGrid/>
        </w:rPr>
        <w:t>BRCA1/2</w:t>
      </w:r>
      <w:r w:rsidR="004A0F08" w:rsidRPr="000B725B">
        <w:rPr>
          <w:snapToGrid/>
        </w:rPr>
        <w:t xml:space="preserve"> </w:t>
      </w:r>
      <w:r w:rsidRPr="000B725B">
        <w:rPr>
          <w:snapToGrid/>
        </w:rPr>
        <w:t>p</w:t>
      </w:r>
      <w:r w:rsidR="00A67471" w:rsidRPr="000B725B">
        <w:rPr>
          <w:snapToGrid/>
        </w:rPr>
        <w:t xml:space="preserve">athogenic </w:t>
      </w:r>
      <w:r w:rsidR="004A0F08" w:rsidRPr="000B725B">
        <w:rPr>
          <w:snapToGrid/>
        </w:rPr>
        <w:t>variants for access to talazoparib in patients with mCRPC</w:t>
      </w:r>
      <w:r w:rsidRPr="000B725B">
        <w:rPr>
          <w:snapToGrid/>
        </w:rPr>
        <w:t xml:space="preserve"> was also submitted and</w:t>
      </w:r>
      <w:r w:rsidR="004A0F08" w:rsidRPr="000B725B">
        <w:rPr>
          <w:snapToGrid/>
        </w:rPr>
        <w:t xml:space="preserve"> will be considered by MSAC at its April 2024 meeting.</w:t>
      </w:r>
    </w:p>
    <w:p w14:paraId="40BC5854" w14:textId="58E0B1AC" w:rsidR="00D63872" w:rsidRPr="000B725B" w:rsidRDefault="00D63872" w:rsidP="003D229D">
      <w:pPr>
        <w:pStyle w:val="3-BodyText"/>
      </w:pPr>
      <w:r w:rsidRPr="000B725B">
        <w:t xml:space="preserve">The recommended dose </w:t>
      </w:r>
      <w:r w:rsidR="00E02530" w:rsidRPr="000B725B">
        <w:t>for talazoparib was</w:t>
      </w:r>
      <w:r w:rsidRPr="000B725B">
        <w:t xml:space="preserve"> </w:t>
      </w:r>
      <w:r w:rsidR="00E02530" w:rsidRPr="000B725B">
        <w:t>0.5</w:t>
      </w:r>
      <w:r w:rsidR="00FE2E26" w:rsidRPr="000B725B">
        <w:t xml:space="preserve"> </w:t>
      </w:r>
      <w:r w:rsidRPr="000B725B">
        <w:t>mg (</w:t>
      </w:r>
      <w:r w:rsidR="00E02530" w:rsidRPr="000B725B">
        <w:t>1</w:t>
      </w:r>
      <w:r w:rsidRPr="000B725B">
        <w:rPr>
          <w:rFonts w:ascii="Calibri" w:hAnsi="Calibri" w:cs="Calibri"/>
        </w:rPr>
        <w:t>×</w:t>
      </w:r>
      <w:r w:rsidR="00E02530" w:rsidRPr="000B725B">
        <w:t>0.5</w:t>
      </w:r>
      <w:r w:rsidR="00FE2E26" w:rsidRPr="000B725B">
        <w:t xml:space="preserve"> </w:t>
      </w:r>
      <w:r w:rsidRPr="000B725B">
        <w:t xml:space="preserve">mg </w:t>
      </w:r>
      <w:r w:rsidR="00E02530" w:rsidRPr="000B725B">
        <w:t>capsule</w:t>
      </w:r>
      <w:r w:rsidRPr="000B725B">
        <w:t xml:space="preserve">) </w:t>
      </w:r>
      <w:r w:rsidR="00E02530" w:rsidRPr="000B725B">
        <w:t>once</w:t>
      </w:r>
      <w:r w:rsidRPr="000B725B">
        <w:t xml:space="preserve"> daily, until </w:t>
      </w:r>
      <w:r w:rsidR="00E02530" w:rsidRPr="000B725B">
        <w:t xml:space="preserve">disease </w:t>
      </w:r>
      <w:r w:rsidRPr="000B725B">
        <w:t>progression</w:t>
      </w:r>
      <w:r w:rsidR="00E02530" w:rsidRPr="000B725B">
        <w:t xml:space="preserve"> or unacceptable toxicity occurs</w:t>
      </w:r>
      <w:r w:rsidRPr="000B725B">
        <w:t xml:space="preserve">. </w:t>
      </w:r>
      <w:r w:rsidR="00E02530" w:rsidRPr="000B725B">
        <w:t>The 0.1 mg, 0.25 mg and 0.35 mg strength capsules are available for dose reductions</w:t>
      </w:r>
      <w:r w:rsidRPr="000B725B">
        <w:t>.</w:t>
      </w:r>
    </w:p>
    <w:p w14:paraId="1B5622D7" w14:textId="639CDC5A" w:rsidR="004C21F9" w:rsidRDefault="00D63872" w:rsidP="003D229D">
      <w:pPr>
        <w:pStyle w:val="3-BodyText"/>
      </w:pPr>
      <w:r w:rsidRPr="000B725B">
        <w:lastRenderedPageBreak/>
        <w:t xml:space="preserve">Following recent PBS listings of NHAs for </w:t>
      </w:r>
      <w:r w:rsidR="0012761F" w:rsidRPr="000B725B">
        <w:t>metastatic hormone sensitive prostate cancer (</w:t>
      </w:r>
      <w:r w:rsidRPr="000B725B">
        <w:t>mHSPC</w:t>
      </w:r>
      <w:r w:rsidR="0012761F" w:rsidRPr="000B725B">
        <w:t>)</w:t>
      </w:r>
      <w:r w:rsidRPr="000B725B">
        <w:t xml:space="preserve"> and </w:t>
      </w:r>
      <w:r w:rsidR="00E02530" w:rsidRPr="000B725B">
        <w:t xml:space="preserve">high risk </w:t>
      </w:r>
      <w:r w:rsidR="0012761F" w:rsidRPr="000B725B">
        <w:t>non-metastatic castration resistant prostate cancer</w:t>
      </w:r>
      <w:r w:rsidR="00E02530" w:rsidRPr="000B725B">
        <w:t xml:space="preserve"> (nmCRPC)</w:t>
      </w:r>
      <w:r w:rsidRPr="000B725B">
        <w:t>, and the amendment to allow use of enzalutamide and abiraterone prior to docetaxel (para</w:t>
      </w:r>
      <w:r w:rsidR="00BF4313">
        <w:t>graphs</w:t>
      </w:r>
      <w:r w:rsidRPr="000B725B">
        <w:t xml:space="preserve"> 5.1 and 5.2, </w:t>
      </w:r>
      <w:r w:rsidR="00BF4313">
        <w:t>enzalutamide and abiraterone acetate</w:t>
      </w:r>
      <w:r w:rsidR="00B11B05" w:rsidRPr="000B725B">
        <w:t>,</w:t>
      </w:r>
      <w:r w:rsidRPr="000B725B">
        <w:t xml:space="preserve"> </w:t>
      </w:r>
      <w:r w:rsidR="00137C00" w:rsidRPr="00137C00">
        <w:t xml:space="preserve">Public Summary Document </w:t>
      </w:r>
      <w:r w:rsidR="00137C00">
        <w:t>(</w:t>
      </w:r>
      <w:r w:rsidRPr="000B725B">
        <w:t>PSD</w:t>
      </w:r>
      <w:r w:rsidR="00137C00">
        <w:t>)</w:t>
      </w:r>
      <w:r w:rsidRPr="000B725B">
        <w:t>, March 2021), more patients are likely to be accessing NHAs before reaching the mCRPC stage</w:t>
      </w:r>
      <w:r w:rsidR="00F0045B" w:rsidRPr="000B725B">
        <w:t xml:space="preserve">, reducing the number of </w:t>
      </w:r>
      <w:r w:rsidR="00723FC2" w:rsidRPr="000B725B">
        <w:t>patients eligible for talazoparib + enzalutamide therapy.</w:t>
      </w:r>
    </w:p>
    <w:p w14:paraId="033968F1" w14:textId="77777777" w:rsidR="006E4BFC" w:rsidRDefault="005D2612" w:rsidP="003D229D">
      <w:pPr>
        <w:pStyle w:val="3-BodyText"/>
      </w:pPr>
      <w:r w:rsidRPr="006E4BFC">
        <w:t xml:space="preserve">Further, the ESC considered that the clinical place of talazoparib + enzalutamide was uncertain, noting that olaparib was available as monotherapy in the second line mCRPC setting following treatment with a NHA. The ESC considered that a comparison of talazoparib + enzalutamide combination therapy with sequential NHA followed by </w:t>
      </w:r>
      <w:r w:rsidR="00F13554" w:rsidRPr="006E4BFC">
        <w:t>a PARP inhibitor</w:t>
      </w:r>
      <w:r w:rsidRPr="006E4BFC">
        <w:t xml:space="preserve"> would be informative.</w:t>
      </w:r>
      <w:r w:rsidR="00F13554" w:rsidRPr="006E4BFC">
        <w:t xml:space="preserve"> The ESC noted that the PSCR stated that delaying PARP inhibitor use may lead to poorer outcomes but considered that clinical evidence comparing combination use to the current scenario was required to resolve the uncertainties related to the benefit/risk profile associated with the additional adverse events of combination treatment and the clinical need.</w:t>
      </w:r>
    </w:p>
    <w:p w14:paraId="292B26AA" w14:textId="4C7B95A8" w:rsidR="006E4BFC" w:rsidRPr="006E4BFC" w:rsidRDefault="006E4BFC" w:rsidP="003D229D">
      <w:pPr>
        <w:pStyle w:val="3-BodyText"/>
        <w:numPr>
          <w:ilvl w:val="0"/>
          <w:numId w:val="0"/>
        </w:numPr>
        <w:ind w:left="680"/>
        <w:rPr>
          <w:i/>
          <w:iCs/>
        </w:rPr>
      </w:pPr>
      <w:r w:rsidRPr="006E4BFC">
        <w:rPr>
          <w:i/>
          <w:iCs/>
        </w:rPr>
        <w:t>For more detail on PBAC’s view, see section 7 PBAC outcome.</w:t>
      </w:r>
    </w:p>
    <w:p w14:paraId="51E5AE96" w14:textId="136A63B1" w:rsidR="00B50DB8" w:rsidRPr="005A293B" w:rsidRDefault="00B50DB8" w:rsidP="004E18E9">
      <w:pPr>
        <w:pStyle w:val="2-SectionHeading"/>
      </w:pPr>
      <w:bookmarkStart w:id="17" w:name="_Toc144911471"/>
      <w:bookmarkStart w:id="18" w:name="_Toc156833533"/>
      <w:r w:rsidRPr="005A293B">
        <w:t>Comparator</w:t>
      </w:r>
      <w:bookmarkEnd w:id="17"/>
      <w:bookmarkEnd w:id="18"/>
    </w:p>
    <w:p w14:paraId="65BDA91B" w14:textId="5EA4E56E" w:rsidR="007E4B29" w:rsidRPr="006E4BFC" w:rsidRDefault="007E4B29">
      <w:pPr>
        <w:pStyle w:val="3-BodyText"/>
        <w:rPr>
          <w:snapToGrid/>
        </w:rPr>
      </w:pPr>
      <w:r w:rsidRPr="000B725B">
        <w:t xml:space="preserve">The submission nominated </w:t>
      </w:r>
      <w:r w:rsidR="00723FC2" w:rsidRPr="000B725B">
        <w:t>enzalutamide</w:t>
      </w:r>
      <w:r w:rsidRPr="000B725B">
        <w:t xml:space="preserve"> </w:t>
      </w:r>
      <w:r w:rsidR="00BF4313">
        <w:t>monotherapy as the main comparator. A</w:t>
      </w:r>
      <w:r w:rsidR="00870CE4" w:rsidRPr="000B725B">
        <w:t xml:space="preserve">biraterone monotherapy </w:t>
      </w:r>
      <w:r w:rsidR="00BF4313">
        <w:t>was nominated as a</w:t>
      </w:r>
      <w:r w:rsidR="00A67471" w:rsidRPr="000B725B">
        <w:t xml:space="preserve"> </w:t>
      </w:r>
      <w:r w:rsidR="00870CE4" w:rsidRPr="000B725B">
        <w:t xml:space="preserve">supportive </w:t>
      </w:r>
      <w:r w:rsidR="00723FC2" w:rsidRPr="000B725B">
        <w:t>comparator</w:t>
      </w:r>
      <w:r w:rsidRPr="000B725B">
        <w:t xml:space="preserve">. </w:t>
      </w:r>
      <w:r w:rsidR="005D2612" w:rsidRPr="006E4BFC">
        <w:t xml:space="preserve">Although the ESC considered that the nomination of enzalutamide monotherapy as the main comparator was reasonable, the ESC also considered that </w:t>
      </w:r>
      <w:r w:rsidR="00D90D3B" w:rsidRPr="006E4BFC">
        <w:t xml:space="preserve">the clinical comparison of interest was </w:t>
      </w:r>
      <w:r w:rsidR="005D2612" w:rsidRPr="006E4BFC">
        <w:t>sequential treatment with a NHA followed by olaparib (which is currently PBS listed as a second line therapy in mCRPC).</w:t>
      </w:r>
    </w:p>
    <w:p w14:paraId="27067A04" w14:textId="77777777" w:rsidR="006E4BFC" w:rsidRPr="006E4BFC" w:rsidRDefault="00A27A0A" w:rsidP="006E4BFC">
      <w:pPr>
        <w:pStyle w:val="3-BodyText"/>
        <w:rPr>
          <w:snapToGrid/>
        </w:rPr>
      </w:pPr>
      <w:r w:rsidRPr="000B725B">
        <w:t xml:space="preserve">The submission </w:t>
      </w:r>
      <w:r w:rsidR="004C5A2F" w:rsidRPr="000B725B">
        <w:t xml:space="preserve">also </w:t>
      </w:r>
      <w:r w:rsidRPr="000B725B">
        <w:t xml:space="preserve">identified </w:t>
      </w:r>
      <w:r w:rsidR="004C5A2F" w:rsidRPr="000B725B">
        <w:t xml:space="preserve">another </w:t>
      </w:r>
      <w:r w:rsidRPr="000B725B">
        <w:t>PARP inhibitor</w:t>
      </w:r>
      <w:r w:rsidR="00521A00" w:rsidRPr="000B725B">
        <w:t>,</w:t>
      </w:r>
      <w:r w:rsidRPr="000B725B">
        <w:t xml:space="preserve"> </w:t>
      </w:r>
      <w:r w:rsidR="00870CE4" w:rsidRPr="000B725B">
        <w:t>olaparib</w:t>
      </w:r>
      <w:r w:rsidRPr="000B725B">
        <w:t>, administered in combination with abiraterone</w:t>
      </w:r>
      <w:r w:rsidR="004C5A2F" w:rsidRPr="000B725B">
        <w:t xml:space="preserve"> as a near market comparator</w:t>
      </w:r>
      <w:r w:rsidRPr="000B725B">
        <w:t xml:space="preserve">. </w:t>
      </w:r>
      <w:r w:rsidR="004C5A2F" w:rsidRPr="000B725B">
        <w:t>Olaparib plus abiraterone</w:t>
      </w:r>
      <w:r w:rsidR="00E3632C" w:rsidRPr="000B725B">
        <w:t xml:space="preserve"> combination</w:t>
      </w:r>
      <w:r w:rsidR="004C5A2F" w:rsidRPr="000B725B">
        <w:t xml:space="preserve"> </w:t>
      </w:r>
      <w:r w:rsidR="00870CE4" w:rsidRPr="000B725B">
        <w:t xml:space="preserve">was </w:t>
      </w:r>
      <w:r w:rsidR="004C5A2F" w:rsidRPr="000B725B">
        <w:t>considered</w:t>
      </w:r>
      <w:r w:rsidR="005D2612" w:rsidRPr="006E4BFC">
        <w:t>, but not recommended,</w:t>
      </w:r>
      <w:r w:rsidR="004C5A2F" w:rsidRPr="000B725B">
        <w:t xml:space="preserve"> by the </w:t>
      </w:r>
      <w:r w:rsidR="00870CE4" w:rsidRPr="000B725B">
        <w:t xml:space="preserve">PBAC </w:t>
      </w:r>
      <w:r w:rsidR="004C5A2F" w:rsidRPr="000B725B">
        <w:t xml:space="preserve">for a similar listing at the </w:t>
      </w:r>
      <w:r w:rsidR="00870CE4" w:rsidRPr="000B725B">
        <w:t>November 2023</w:t>
      </w:r>
      <w:r w:rsidR="004C5A2F" w:rsidRPr="000B725B">
        <w:t xml:space="preserve"> PBAC meeting</w:t>
      </w:r>
      <w:r w:rsidR="00870CE4" w:rsidRPr="000B725B">
        <w:t>.</w:t>
      </w:r>
      <w:r w:rsidR="004C5A2F" w:rsidRPr="000B725B">
        <w:t xml:space="preserve"> </w:t>
      </w:r>
      <w:r w:rsidR="00475609" w:rsidRPr="000B725B">
        <w:t>Olaparib is TGA approved for first line treatment of mCRPC in combination with abiraterone.</w:t>
      </w:r>
      <w:r w:rsidR="00E3632C" w:rsidRPr="000B725B">
        <w:t xml:space="preserve"> Another relevant near market comparator was niraparib in combination with enzalutamide.</w:t>
      </w:r>
    </w:p>
    <w:p w14:paraId="0FB2584C" w14:textId="3E83A9DE" w:rsidR="006E4BFC" w:rsidRPr="006E4BFC" w:rsidRDefault="006E4BFC" w:rsidP="006E4BFC">
      <w:pPr>
        <w:pStyle w:val="3-BodyText"/>
        <w:numPr>
          <w:ilvl w:val="0"/>
          <w:numId w:val="0"/>
        </w:numPr>
        <w:ind w:left="720"/>
        <w:rPr>
          <w:i/>
          <w:iCs/>
          <w:snapToGrid/>
        </w:rPr>
      </w:pPr>
      <w:r w:rsidRPr="006E4BFC">
        <w:rPr>
          <w:i/>
          <w:iCs/>
        </w:rPr>
        <w:t>For more detail on PBAC’s view, see section 7 PBAC outcome.</w:t>
      </w:r>
    </w:p>
    <w:p w14:paraId="7F9C27C8" w14:textId="77777777" w:rsidR="00223D5A" w:rsidRPr="00EC2FC5" w:rsidRDefault="00223D5A" w:rsidP="00223D5A">
      <w:pPr>
        <w:pStyle w:val="2-SectionHeading"/>
        <w:numPr>
          <w:ilvl w:val="0"/>
          <w:numId w:val="1"/>
        </w:numPr>
      </w:pPr>
      <w:bookmarkStart w:id="19" w:name="_Toc144911472"/>
      <w:bookmarkStart w:id="20" w:name="_Toc156833534"/>
      <w:bookmarkStart w:id="21" w:name="_Toc22897640"/>
      <w:r w:rsidRPr="00EC2FC5">
        <w:t>Consideration of the evidence</w:t>
      </w:r>
      <w:bookmarkEnd w:id="19"/>
      <w:bookmarkEnd w:id="20"/>
    </w:p>
    <w:p w14:paraId="440B4B11" w14:textId="77777777" w:rsidR="006E4BFC" w:rsidRPr="002E7BAB" w:rsidRDefault="006E4BFC" w:rsidP="006E4BFC">
      <w:pPr>
        <w:pStyle w:val="4-SubsectionHeading"/>
      </w:pPr>
      <w:bookmarkStart w:id="22" w:name="_Hlk76375935"/>
      <w:bookmarkStart w:id="23" w:name="_Toc144911473"/>
      <w:bookmarkStart w:id="24" w:name="_Toc156833535"/>
      <w:r w:rsidRPr="002E7BAB">
        <w:t>Sponsor hearing</w:t>
      </w:r>
    </w:p>
    <w:p w14:paraId="432AE841" w14:textId="77221058" w:rsidR="006E4BFC" w:rsidRPr="002E7BAB" w:rsidRDefault="006E4BFC" w:rsidP="005C70FC">
      <w:pPr>
        <w:widowControl w:val="0"/>
        <w:numPr>
          <w:ilvl w:val="1"/>
          <w:numId w:val="1"/>
        </w:numPr>
        <w:spacing w:after="120"/>
        <w:ind w:left="709"/>
        <w:jc w:val="both"/>
        <w:rPr>
          <w:rFonts w:cs="Calibri"/>
          <w:bCs/>
          <w:snapToGrid w:val="0"/>
        </w:rPr>
      </w:pPr>
      <w:r w:rsidRPr="002E7BAB">
        <w:rPr>
          <w:rFonts w:cs="Calibri"/>
          <w:bCs/>
          <w:snapToGrid w:val="0"/>
        </w:rPr>
        <w:t>There was no hearing for this item.</w:t>
      </w:r>
    </w:p>
    <w:p w14:paraId="601CEE70" w14:textId="77777777" w:rsidR="006E4BFC" w:rsidRPr="002E7BAB" w:rsidRDefault="006E4BFC" w:rsidP="006E4BFC">
      <w:pPr>
        <w:pStyle w:val="4-SubsectionHeading"/>
      </w:pPr>
      <w:r w:rsidRPr="002E7BAB">
        <w:t>Consumer comments</w:t>
      </w:r>
    </w:p>
    <w:p w14:paraId="4260DC98" w14:textId="02E83E14" w:rsidR="005B2D6B" w:rsidRPr="002E7BAB" w:rsidRDefault="006E4BFC" w:rsidP="005C70FC">
      <w:pPr>
        <w:widowControl w:val="0"/>
        <w:numPr>
          <w:ilvl w:val="1"/>
          <w:numId w:val="1"/>
        </w:numPr>
        <w:spacing w:after="120"/>
        <w:ind w:left="709"/>
        <w:jc w:val="both"/>
        <w:rPr>
          <w:bCs/>
        </w:rPr>
      </w:pPr>
      <w:bookmarkStart w:id="25" w:name="_Hlk76382618"/>
      <w:r w:rsidRPr="002E7BAB">
        <w:rPr>
          <w:rFonts w:asciiTheme="minorHAnsi" w:hAnsiTheme="minorHAnsi"/>
          <w:bCs/>
          <w:snapToGrid w:val="0"/>
        </w:rPr>
        <w:t>The PBAC noted and welcomed the input from organisations (</w:t>
      </w:r>
      <w:r w:rsidR="005B2D6B" w:rsidRPr="002E7BAB">
        <w:rPr>
          <w:rFonts w:asciiTheme="minorHAnsi" w:hAnsiTheme="minorHAnsi"/>
          <w:bCs/>
          <w:snapToGrid w:val="0"/>
        </w:rPr>
        <w:t>2</w:t>
      </w:r>
      <w:r w:rsidRPr="002E7BAB">
        <w:rPr>
          <w:rFonts w:asciiTheme="minorHAnsi" w:hAnsiTheme="minorHAnsi"/>
          <w:bCs/>
          <w:snapToGrid w:val="0"/>
        </w:rPr>
        <w:t xml:space="preserve">) via the Consumer Comments facility on the PBS website. </w:t>
      </w:r>
      <w:r w:rsidR="005B2D6B" w:rsidRPr="002E7BAB">
        <w:rPr>
          <w:rFonts w:asciiTheme="minorHAnsi" w:hAnsiTheme="minorHAnsi"/>
          <w:bCs/>
          <w:snapToGrid w:val="0"/>
        </w:rPr>
        <w:t xml:space="preserve">Rare Cancers Australia (RCA) described the </w:t>
      </w:r>
      <w:r w:rsidR="005B2D6B" w:rsidRPr="002E7BAB">
        <w:rPr>
          <w:rFonts w:asciiTheme="minorHAnsi" w:hAnsiTheme="minorHAnsi"/>
          <w:bCs/>
          <w:snapToGrid w:val="0"/>
        </w:rPr>
        <w:lastRenderedPageBreak/>
        <w:t xml:space="preserve">need for earlier and more effective treatments, particularly for patients with </w:t>
      </w:r>
      <w:r w:rsidR="005B2D6B" w:rsidRPr="00565C8B">
        <w:rPr>
          <w:rFonts w:asciiTheme="minorHAnsi" w:hAnsiTheme="minorHAnsi"/>
          <w:bCs/>
          <w:i/>
          <w:iCs/>
          <w:snapToGrid w:val="0"/>
        </w:rPr>
        <w:t>BRCA1/2</w:t>
      </w:r>
      <w:r w:rsidR="005B2D6B" w:rsidRPr="002E7BAB">
        <w:rPr>
          <w:rFonts w:asciiTheme="minorHAnsi" w:hAnsiTheme="minorHAnsi"/>
          <w:bCs/>
          <w:snapToGrid w:val="0"/>
        </w:rPr>
        <w:t xml:space="preserve"> variants. </w:t>
      </w:r>
      <w:bookmarkEnd w:id="22"/>
      <w:bookmarkEnd w:id="25"/>
    </w:p>
    <w:p w14:paraId="3BE70132" w14:textId="5184C880" w:rsidR="006E4BFC" w:rsidRPr="002E7BAB" w:rsidRDefault="006E4BFC" w:rsidP="005C70FC">
      <w:pPr>
        <w:widowControl w:val="0"/>
        <w:numPr>
          <w:ilvl w:val="1"/>
          <w:numId w:val="1"/>
        </w:numPr>
        <w:spacing w:after="120"/>
        <w:ind w:left="709"/>
        <w:jc w:val="both"/>
        <w:rPr>
          <w:bCs/>
        </w:rPr>
      </w:pPr>
      <w:r w:rsidRPr="002E7BAB">
        <w:rPr>
          <w:rFonts w:asciiTheme="minorHAnsi" w:hAnsiTheme="minorHAnsi"/>
          <w:bCs/>
          <w:snapToGrid w:val="0"/>
        </w:rPr>
        <w:t xml:space="preserve">The Medical Oncology Group of Australia (MOGA) also expressed its support for the </w:t>
      </w:r>
      <w:r w:rsidR="005B2D6B" w:rsidRPr="002E7BAB">
        <w:rPr>
          <w:rFonts w:asciiTheme="minorHAnsi" w:hAnsiTheme="minorHAnsi"/>
          <w:bCs/>
          <w:snapToGrid w:val="0"/>
        </w:rPr>
        <w:t>talazoparib</w:t>
      </w:r>
      <w:r w:rsidRPr="002E7BAB">
        <w:rPr>
          <w:rFonts w:asciiTheme="minorHAnsi" w:hAnsiTheme="minorHAnsi"/>
          <w:bCs/>
          <w:snapToGrid w:val="0"/>
        </w:rPr>
        <w:t xml:space="preserve"> submission. The PBAC noted that the MOGA </w:t>
      </w:r>
      <w:r w:rsidR="00EC2FC5" w:rsidRPr="002E7BAB">
        <w:rPr>
          <w:rFonts w:asciiTheme="minorHAnsi" w:hAnsiTheme="minorHAnsi"/>
          <w:bCs/>
          <w:snapToGrid w:val="0"/>
        </w:rPr>
        <w:t xml:space="preserve">presented </w:t>
      </w:r>
      <w:r w:rsidRPr="002E7BAB">
        <w:rPr>
          <w:rFonts w:asciiTheme="minorHAnsi" w:hAnsiTheme="minorHAnsi"/>
          <w:bCs/>
          <w:snapToGrid w:val="0"/>
        </w:rPr>
        <w:t xml:space="preserve">a European Society for Medical Oncology Magnitude of Clinical Benefit Scale (ESMO-MCBS) </w:t>
      </w:r>
      <w:r w:rsidR="005B2D6B" w:rsidRPr="002E7BAB">
        <w:rPr>
          <w:rFonts w:asciiTheme="minorHAnsi" w:hAnsiTheme="minorHAnsi"/>
          <w:bCs/>
          <w:snapToGrid w:val="0"/>
        </w:rPr>
        <w:t xml:space="preserve">score </w:t>
      </w:r>
      <w:r w:rsidRPr="002E7BAB">
        <w:rPr>
          <w:rFonts w:asciiTheme="minorHAnsi" w:hAnsiTheme="minorHAnsi"/>
          <w:bCs/>
          <w:snapToGrid w:val="0"/>
        </w:rPr>
        <w:t xml:space="preserve">for </w:t>
      </w:r>
      <w:r w:rsidR="005B2D6B" w:rsidRPr="002E7BAB">
        <w:rPr>
          <w:rFonts w:asciiTheme="minorHAnsi" w:hAnsiTheme="minorHAnsi"/>
          <w:bCs/>
          <w:snapToGrid w:val="0"/>
        </w:rPr>
        <w:t>talazoparib</w:t>
      </w:r>
      <w:r w:rsidR="00EC2FC5" w:rsidRPr="002E7BAB">
        <w:rPr>
          <w:rFonts w:asciiTheme="minorHAnsi" w:hAnsiTheme="minorHAnsi"/>
          <w:bCs/>
          <w:snapToGrid w:val="0"/>
        </w:rPr>
        <w:t xml:space="preserve"> + enzalutamide, based on the intention to treat population, which was limited to 2 (out of a maximum of 5, where 5 and 4 represent the grades with substantial improvement)</w:t>
      </w:r>
      <w:r w:rsidR="00EC2FC5" w:rsidRPr="002E7BAB">
        <w:rPr>
          <w:rStyle w:val="FootnoteReference"/>
          <w:rFonts w:asciiTheme="minorHAnsi" w:hAnsiTheme="minorHAnsi"/>
          <w:bCs/>
          <w:snapToGrid w:val="0"/>
        </w:rPr>
        <w:footnoteReference w:id="3"/>
      </w:r>
      <w:r w:rsidR="00EC2FC5" w:rsidRPr="002E7BAB">
        <w:rPr>
          <w:rFonts w:asciiTheme="minorHAnsi" w:hAnsiTheme="minorHAnsi"/>
          <w:bCs/>
          <w:snapToGrid w:val="0"/>
        </w:rPr>
        <w:t>, based on a comparison with enzalutamide.</w:t>
      </w:r>
      <w:r w:rsidR="005B2D6B" w:rsidRPr="002E7BAB">
        <w:rPr>
          <w:rFonts w:asciiTheme="minorHAnsi" w:hAnsiTheme="minorHAnsi"/>
          <w:bCs/>
          <w:snapToGrid w:val="0"/>
        </w:rPr>
        <w:t xml:space="preserve"> </w:t>
      </w:r>
      <w:r w:rsidR="00EC2FC5" w:rsidRPr="002E7BAB">
        <w:rPr>
          <w:rFonts w:asciiTheme="minorHAnsi" w:hAnsiTheme="minorHAnsi"/>
          <w:bCs/>
          <w:snapToGrid w:val="0"/>
        </w:rPr>
        <w:t>The PBAC noted that the MOGA stated that a</w:t>
      </w:r>
      <w:r w:rsidR="00EC2FC5">
        <w:rPr>
          <w:rFonts w:asciiTheme="minorHAnsi" w:hAnsiTheme="minorHAnsi"/>
          <w:bCs/>
          <w:snapToGrid w:val="0"/>
        </w:rPr>
        <w:t>n</w:t>
      </w:r>
      <w:r w:rsidR="00EC2FC5" w:rsidRPr="002E7BAB">
        <w:rPr>
          <w:rFonts w:asciiTheme="minorHAnsi" w:hAnsiTheme="minorHAnsi"/>
          <w:bCs/>
          <w:snapToGrid w:val="0"/>
        </w:rPr>
        <w:t xml:space="preserve"> ESMO-MCBS score for the </w:t>
      </w:r>
      <w:r w:rsidR="00EC2FC5" w:rsidRPr="00565C8B">
        <w:rPr>
          <w:rFonts w:asciiTheme="minorHAnsi" w:hAnsiTheme="minorHAnsi"/>
          <w:bCs/>
          <w:i/>
          <w:iCs/>
          <w:snapToGrid w:val="0"/>
        </w:rPr>
        <w:t>BRCA1/2</w:t>
      </w:r>
      <w:r w:rsidR="00EC2FC5" w:rsidRPr="002E7BAB">
        <w:rPr>
          <w:rFonts w:asciiTheme="minorHAnsi" w:hAnsiTheme="minorHAnsi"/>
          <w:bCs/>
          <w:snapToGrid w:val="0"/>
        </w:rPr>
        <w:t xml:space="preserve"> subgroup </w:t>
      </w:r>
      <w:r w:rsidR="005B2D6B" w:rsidRPr="002E7BAB">
        <w:rPr>
          <w:rFonts w:asciiTheme="minorHAnsi" w:hAnsiTheme="minorHAnsi"/>
          <w:bCs/>
          <w:snapToGrid w:val="0"/>
        </w:rPr>
        <w:t>could not be determined as the population size was too small.</w:t>
      </w:r>
      <w:r w:rsidRPr="002E7BAB">
        <w:rPr>
          <w:rFonts w:asciiTheme="minorHAnsi" w:hAnsiTheme="minorHAnsi"/>
          <w:bCs/>
          <w:snapToGrid w:val="0"/>
          <w:sz w:val="16"/>
        </w:rPr>
        <w:t xml:space="preserve"> </w:t>
      </w:r>
    </w:p>
    <w:p w14:paraId="609C0765" w14:textId="74CB602A" w:rsidR="00B60939" w:rsidRPr="00EC2FC5" w:rsidRDefault="00B60939" w:rsidP="002E4F02">
      <w:pPr>
        <w:pStyle w:val="4-SubsectionHeading"/>
      </w:pPr>
      <w:r w:rsidRPr="00EC2FC5">
        <w:t>Clinical trials</w:t>
      </w:r>
      <w:bookmarkEnd w:id="21"/>
      <w:bookmarkEnd w:id="23"/>
      <w:bookmarkEnd w:id="24"/>
    </w:p>
    <w:p w14:paraId="6FB52C47" w14:textId="78D78A0B" w:rsidR="00B17D8C" w:rsidRPr="00EC2FC5" w:rsidRDefault="00A73134" w:rsidP="00FE2E26">
      <w:pPr>
        <w:pStyle w:val="3-BodyText"/>
      </w:pPr>
      <w:r w:rsidRPr="00EC2FC5">
        <w:rPr>
          <w:snapToGrid/>
        </w:rPr>
        <w:t xml:space="preserve">The submission </w:t>
      </w:r>
      <w:r w:rsidR="00D5243B" w:rsidRPr="00EC2FC5">
        <w:rPr>
          <w:snapToGrid/>
        </w:rPr>
        <w:t>wa</w:t>
      </w:r>
      <w:r w:rsidRPr="00EC2FC5">
        <w:rPr>
          <w:snapToGrid/>
        </w:rPr>
        <w:t xml:space="preserve">s based on one head-to-head trial comparing </w:t>
      </w:r>
      <w:r w:rsidR="004F524B" w:rsidRPr="00EC2FC5">
        <w:t>talazoparib + enzalutamide</w:t>
      </w:r>
      <w:r w:rsidR="00B17D8C" w:rsidRPr="00EC2FC5">
        <w:t xml:space="preserve"> </w:t>
      </w:r>
      <w:r w:rsidR="00521A00" w:rsidRPr="00EC2FC5">
        <w:t>versus</w:t>
      </w:r>
      <w:r w:rsidR="00B17D8C" w:rsidRPr="00EC2FC5">
        <w:t xml:space="preserve"> </w:t>
      </w:r>
      <w:r w:rsidR="004F524B" w:rsidRPr="00EC2FC5">
        <w:t>placebo + enzalutamide</w:t>
      </w:r>
      <w:r w:rsidR="0055674E" w:rsidRPr="00EC2FC5">
        <w:rPr>
          <w:snapToGrid/>
        </w:rPr>
        <w:t>,</w:t>
      </w:r>
      <w:r w:rsidRPr="00EC2FC5">
        <w:rPr>
          <w:snapToGrid/>
        </w:rPr>
        <w:t xml:space="preserve"> </w:t>
      </w:r>
      <w:r w:rsidR="004F524B" w:rsidRPr="00EC2FC5">
        <w:rPr>
          <w:snapToGrid/>
        </w:rPr>
        <w:t xml:space="preserve">TALAPRO-2. </w:t>
      </w:r>
      <w:r w:rsidR="00475609" w:rsidRPr="00EC2FC5">
        <w:rPr>
          <w:snapToGrid/>
        </w:rPr>
        <w:t xml:space="preserve">The </w:t>
      </w:r>
      <w:r w:rsidR="00AE6164" w:rsidRPr="00EC2FC5">
        <w:rPr>
          <w:snapToGrid/>
        </w:rPr>
        <w:t>submission’s</w:t>
      </w:r>
      <w:r w:rsidR="00475609" w:rsidRPr="00EC2FC5">
        <w:rPr>
          <w:snapToGrid/>
        </w:rPr>
        <w:t xml:space="preserve"> clinical claim was based on a subgroup of patients with </w:t>
      </w:r>
      <w:r w:rsidR="00AE6164" w:rsidRPr="00EC2FC5">
        <w:rPr>
          <w:i/>
          <w:iCs/>
          <w:snapToGrid/>
        </w:rPr>
        <w:t>BRCA1/2</w:t>
      </w:r>
      <w:r w:rsidR="00475609" w:rsidRPr="00EC2FC5">
        <w:rPr>
          <w:snapToGrid/>
        </w:rPr>
        <w:t xml:space="preserve"> pathogenic variant</w:t>
      </w:r>
      <w:r w:rsidR="00521A00" w:rsidRPr="00EC2FC5">
        <w:rPr>
          <w:snapToGrid/>
        </w:rPr>
        <w:t xml:space="preserve"> in Cohort 2 of the trial</w:t>
      </w:r>
      <w:r w:rsidR="00475609" w:rsidRPr="00EC2FC5">
        <w:rPr>
          <w:snapToGrid/>
        </w:rPr>
        <w:t>.</w:t>
      </w:r>
    </w:p>
    <w:p w14:paraId="1C33E42F" w14:textId="333141A0" w:rsidR="00DF3BF5" w:rsidRPr="000B725B" w:rsidRDefault="00DF3BF5" w:rsidP="00FE2E26">
      <w:pPr>
        <w:pStyle w:val="3-BodyText"/>
      </w:pPr>
      <w:r w:rsidRPr="000B725B">
        <w:t xml:space="preserve">TALAPRO-2 </w:t>
      </w:r>
      <w:r w:rsidR="00475609" w:rsidRPr="000B725B">
        <w:t xml:space="preserve">included two patient cohorts, Cohort 1 and Cohort 2. Initially the trial </w:t>
      </w:r>
      <w:r w:rsidRPr="000B725B">
        <w:t>enrolled mCRPC patients regardless of homologous recombination repair (HRR) status</w:t>
      </w:r>
      <w:r w:rsidR="009E51BF" w:rsidRPr="000B725B">
        <w:t xml:space="preserve"> into</w:t>
      </w:r>
      <w:r w:rsidRPr="000B725B">
        <w:t xml:space="preserve"> Cohort 1 (all-comers, n=805)</w:t>
      </w:r>
      <w:r w:rsidR="009E51BF" w:rsidRPr="000B725B">
        <w:t>. O</w:t>
      </w:r>
      <w:r w:rsidRPr="000B725B">
        <w:t>nce recruitment was complete, patients with HRR alterations</w:t>
      </w:r>
      <w:r w:rsidR="00475609" w:rsidRPr="000B725B">
        <w:t xml:space="preserve"> </w:t>
      </w:r>
      <w:r w:rsidRPr="000B725B">
        <w:t xml:space="preserve">were recruited to Cohort 2 (n=399). </w:t>
      </w:r>
      <w:r w:rsidR="00475609" w:rsidRPr="000B725B">
        <w:t xml:space="preserve">Cohort 2 included a subgroup of patients with </w:t>
      </w:r>
      <w:r w:rsidR="00475609" w:rsidRPr="000337F9">
        <w:rPr>
          <w:i/>
          <w:iCs/>
        </w:rPr>
        <w:t>BRCA1/2</w:t>
      </w:r>
      <w:r w:rsidR="00475609" w:rsidRPr="000B725B">
        <w:t xml:space="preserve"> pathogenic variant (n=158). </w:t>
      </w:r>
      <w:r w:rsidRPr="000B725B">
        <w:t>Central randomisation (1:1) was appropriately stratified by previous treatment with any non-hormonal therapy or taxane-based chemotherapy for castration-sensitive prostate cancer (CSPC) and HRR alteration status</w:t>
      </w:r>
      <w:r w:rsidR="00475609" w:rsidRPr="000B725B">
        <w:t xml:space="preserve"> (yes or no)</w:t>
      </w:r>
      <w:r w:rsidRPr="000B725B">
        <w:t xml:space="preserve">. The trial was not stratified for </w:t>
      </w:r>
      <w:r w:rsidRPr="000337F9">
        <w:rPr>
          <w:i/>
          <w:iCs/>
        </w:rPr>
        <w:t>BRCA1/2</w:t>
      </w:r>
      <w:r w:rsidRPr="000B725B">
        <w:t xml:space="preserve"> status</w:t>
      </w:r>
      <w:r w:rsidR="009E51BF" w:rsidRPr="000B725B">
        <w:t>,</w:t>
      </w:r>
      <w:r w:rsidRPr="000B725B">
        <w:t xml:space="preserve"> </w:t>
      </w:r>
      <w:r w:rsidR="00475609" w:rsidRPr="000B725B">
        <w:t xml:space="preserve">nor the </w:t>
      </w:r>
      <w:r w:rsidRPr="000B725B">
        <w:t>site of metastases (bone only vs visceral vs other)</w:t>
      </w:r>
      <w:r w:rsidR="009E51BF" w:rsidRPr="000B725B">
        <w:t>;</w:t>
      </w:r>
      <w:r w:rsidRPr="000B725B">
        <w:t xml:space="preserve"> </w:t>
      </w:r>
      <w:r w:rsidR="00475609" w:rsidRPr="000B725B">
        <w:t>however</w:t>
      </w:r>
      <w:r w:rsidR="009E51BF" w:rsidRPr="000B725B">
        <w:t>,</w:t>
      </w:r>
      <w:r w:rsidR="00475609" w:rsidRPr="000B725B">
        <w:t xml:space="preserve"> despite this, the </w:t>
      </w:r>
      <w:r w:rsidRPr="000337F9">
        <w:rPr>
          <w:i/>
          <w:iCs/>
        </w:rPr>
        <w:t>BRCA1/2</w:t>
      </w:r>
      <w:r w:rsidRPr="000B725B">
        <w:t xml:space="preserve"> </w:t>
      </w:r>
      <w:r w:rsidR="00F13554">
        <w:t xml:space="preserve">post hoc </w:t>
      </w:r>
      <w:r w:rsidRPr="000B725B">
        <w:t xml:space="preserve">subgroup </w:t>
      </w:r>
      <w:r w:rsidR="00475609" w:rsidRPr="000B725B">
        <w:t xml:space="preserve">appeared reasonably well balanced </w:t>
      </w:r>
      <w:r w:rsidR="009E51BF" w:rsidRPr="000B725B">
        <w:t xml:space="preserve">with respect to </w:t>
      </w:r>
      <w:r w:rsidR="00475609" w:rsidRPr="000B725B">
        <w:t>potential confounders.</w:t>
      </w:r>
    </w:p>
    <w:p w14:paraId="786CFBC2" w14:textId="72406223" w:rsidR="00826EA5" w:rsidRPr="000B725B" w:rsidRDefault="00A73134" w:rsidP="00FE2E26">
      <w:pPr>
        <w:pStyle w:val="3-BodyText"/>
      </w:pPr>
      <w:r w:rsidRPr="000B725B">
        <w:rPr>
          <w:snapToGrid/>
        </w:rPr>
        <w:t xml:space="preserve">Details of the trial presented in the submission are provided in </w:t>
      </w:r>
      <w:r w:rsidR="004D4A3F" w:rsidRPr="000B725B">
        <w:rPr>
          <w:snapToGrid/>
        </w:rPr>
        <w:fldChar w:fldCharType="begin" w:fldLock="1"/>
      </w:r>
      <w:r w:rsidR="004D4A3F" w:rsidRPr="000B725B">
        <w:rPr>
          <w:snapToGrid/>
        </w:rPr>
        <w:instrText xml:space="preserve"> REF _Ref155082649 \h </w:instrText>
      </w:r>
      <w:r w:rsidR="000B725B" w:rsidRPr="000B725B">
        <w:rPr>
          <w:snapToGrid/>
        </w:rPr>
        <w:instrText xml:space="preserve"> \* MERGEFORMAT </w:instrText>
      </w:r>
      <w:r w:rsidR="004D4A3F" w:rsidRPr="000B725B">
        <w:rPr>
          <w:snapToGrid/>
        </w:rPr>
      </w:r>
      <w:r w:rsidR="004D4A3F" w:rsidRPr="000B725B">
        <w:rPr>
          <w:snapToGrid/>
        </w:rPr>
        <w:fldChar w:fldCharType="separate"/>
      </w:r>
      <w:r w:rsidR="00324A7E" w:rsidRPr="000B725B">
        <w:t xml:space="preserve">Table </w:t>
      </w:r>
      <w:r w:rsidR="00324A7E" w:rsidRPr="000B725B">
        <w:rPr>
          <w:noProof/>
        </w:rPr>
        <w:t>2</w:t>
      </w:r>
      <w:r w:rsidR="004D4A3F" w:rsidRPr="000B725B">
        <w:rPr>
          <w:snapToGrid/>
        </w:rPr>
        <w:fldChar w:fldCharType="end"/>
      </w:r>
      <w:r w:rsidR="004D4A3F" w:rsidRPr="000B725B">
        <w:rPr>
          <w:snapToGrid/>
        </w:rPr>
        <w:t>.</w:t>
      </w:r>
    </w:p>
    <w:p w14:paraId="7DE3A286" w14:textId="05C4FCA2" w:rsidR="008E0D3C" w:rsidRDefault="00F822E2" w:rsidP="000B725B">
      <w:pPr>
        <w:pStyle w:val="Caption"/>
        <w:rPr>
          <w:rStyle w:val="CommentReference"/>
          <w:b/>
          <w:szCs w:val="24"/>
        </w:rPr>
      </w:pPr>
      <w:bookmarkStart w:id="26" w:name="_Ref155082649"/>
      <w:r w:rsidRPr="005A293B">
        <w:lastRenderedPageBreak/>
        <w:t xml:space="preserve">Table </w:t>
      </w:r>
      <w:fldSimple w:instr=" SEQ Table \* ARABIC " w:fldLock="1">
        <w:r w:rsidR="00A01609">
          <w:rPr>
            <w:noProof/>
          </w:rPr>
          <w:t>2</w:t>
        </w:r>
      </w:fldSimple>
      <w:bookmarkEnd w:id="26"/>
      <w:r w:rsidRPr="005A293B">
        <w:t>:</w:t>
      </w:r>
      <w:r w:rsidRPr="005A293B">
        <w:rPr>
          <w:rStyle w:val="CommentReference"/>
          <w:b/>
          <w:szCs w:val="24"/>
        </w:rPr>
        <w:t xml:space="preserve"> Key trial and main reports presented in the submission</w:t>
      </w:r>
    </w:p>
    <w:tbl>
      <w:tblPr>
        <w:tblStyle w:val="TableGrid"/>
        <w:tblW w:w="5000" w:type="pct"/>
        <w:tblLook w:val="04A0" w:firstRow="1" w:lastRow="0" w:firstColumn="1" w:lastColumn="0" w:noHBand="0" w:noVBand="1"/>
        <w:tblCaption w:val="Table 2: Key trial and main reports presented in the submission"/>
      </w:tblPr>
      <w:tblGrid>
        <w:gridCol w:w="1312"/>
        <w:gridCol w:w="5921"/>
        <w:gridCol w:w="1784"/>
      </w:tblGrid>
      <w:tr w:rsidR="008013C4" w:rsidRPr="0098179B" w14:paraId="1F43560B" w14:textId="5D7DE2AB" w:rsidTr="0012355C">
        <w:trPr>
          <w:tblHeader/>
        </w:trPr>
        <w:tc>
          <w:tcPr>
            <w:tcW w:w="728" w:type="pct"/>
          </w:tcPr>
          <w:p w14:paraId="545A4A61" w14:textId="77777777" w:rsidR="008013C4" w:rsidRPr="0098179B" w:rsidRDefault="008013C4" w:rsidP="0098179B">
            <w:pPr>
              <w:pStyle w:val="TableText0"/>
              <w:rPr>
                <w:b/>
                <w:bCs w:val="0"/>
              </w:rPr>
            </w:pPr>
            <w:r w:rsidRPr="0098179B">
              <w:rPr>
                <w:b/>
                <w:bCs w:val="0"/>
              </w:rPr>
              <w:t>Trial ID</w:t>
            </w:r>
          </w:p>
        </w:tc>
        <w:tc>
          <w:tcPr>
            <w:tcW w:w="3283" w:type="pct"/>
          </w:tcPr>
          <w:p w14:paraId="26E44BF9" w14:textId="3770370E" w:rsidR="008013C4" w:rsidRPr="0098179B" w:rsidRDefault="008013C4" w:rsidP="0098179B">
            <w:pPr>
              <w:pStyle w:val="TableText0"/>
              <w:rPr>
                <w:b/>
                <w:bCs w:val="0"/>
              </w:rPr>
            </w:pPr>
            <w:r w:rsidRPr="0098179B">
              <w:rPr>
                <w:b/>
                <w:bCs w:val="0"/>
              </w:rPr>
              <w:t>Protocol title/ publication title</w:t>
            </w:r>
          </w:p>
        </w:tc>
        <w:tc>
          <w:tcPr>
            <w:tcW w:w="989" w:type="pct"/>
          </w:tcPr>
          <w:p w14:paraId="416D94C9" w14:textId="29D3D1DE" w:rsidR="008013C4" w:rsidRPr="0098179B" w:rsidDel="008013C4" w:rsidRDefault="008013C4" w:rsidP="0098179B">
            <w:pPr>
              <w:pStyle w:val="TableText0"/>
              <w:rPr>
                <w:b/>
                <w:bCs w:val="0"/>
              </w:rPr>
            </w:pPr>
            <w:r w:rsidRPr="0098179B">
              <w:rPr>
                <w:b/>
                <w:bCs w:val="0"/>
              </w:rPr>
              <w:t>Publication citation</w:t>
            </w:r>
          </w:p>
        </w:tc>
      </w:tr>
      <w:tr w:rsidR="008013C4" w:rsidRPr="00E338EA" w14:paraId="21B5CC49" w14:textId="23F1B49E" w:rsidTr="0012355C">
        <w:tc>
          <w:tcPr>
            <w:tcW w:w="728" w:type="pct"/>
            <w:vMerge w:val="restart"/>
          </w:tcPr>
          <w:p w14:paraId="4532AA1B" w14:textId="77777777" w:rsidR="008013C4" w:rsidRDefault="008013C4" w:rsidP="0098179B">
            <w:pPr>
              <w:pStyle w:val="TableText0"/>
            </w:pPr>
            <w:r w:rsidRPr="00CE2B88">
              <w:t>TALAPRO-2</w:t>
            </w:r>
          </w:p>
          <w:p w14:paraId="53B34FBD" w14:textId="43B4A0D4" w:rsidR="008013C4" w:rsidRPr="00CE2B88" w:rsidRDefault="008013C4" w:rsidP="0098179B">
            <w:pPr>
              <w:pStyle w:val="TableText0"/>
            </w:pPr>
            <w:r w:rsidRPr="00CE2B88">
              <w:rPr>
                <w:shd w:val="clear" w:color="auto" w:fill="FFFFFF"/>
              </w:rPr>
              <w:t>NCT03395197</w:t>
            </w:r>
          </w:p>
        </w:tc>
        <w:tc>
          <w:tcPr>
            <w:tcW w:w="3283" w:type="pct"/>
          </w:tcPr>
          <w:p w14:paraId="2106ECC4" w14:textId="4178AF5A" w:rsidR="008013C4" w:rsidRPr="002203F6" w:rsidRDefault="00F57404" w:rsidP="0098179B">
            <w:pPr>
              <w:pStyle w:val="TableText0"/>
              <w:rPr>
                <w:rFonts w:eastAsia="TimesNewRoman"/>
              </w:rPr>
            </w:pPr>
            <w:r w:rsidRPr="00F57404">
              <w:rPr>
                <w:rFonts w:eastAsia="TimesNewRoman"/>
              </w:rPr>
              <w:t xml:space="preserve">Protocol number C3441021. A Phase 3, randomised, double-blind, placebo-controlled study of talazoparib with enzalutamide in metastatic castration resistant prostate cancer. </w:t>
            </w:r>
          </w:p>
        </w:tc>
        <w:tc>
          <w:tcPr>
            <w:tcW w:w="989" w:type="pct"/>
          </w:tcPr>
          <w:p w14:paraId="0AAAE3D3" w14:textId="66EC8C5B" w:rsidR="008013C4" w:rsidRDefault="008013C4" w:rsidP="0098179B">
            <w:pPr>
              <w:pStyle w:val="TableText0"/>
              <w:rPr>
                <w:rFonts w:eastAsia="TimesNewRoman"/>
              </w:rPr>
            </w:pPr>
            <w:r>
              <w:rPr>
                <w:rFonts w:eastAsia="TimesNewRoman"/>
              </w:rPr>
              <w:t xml:space="preserve">Study protocol- report date: </w:t>
            </w:r>
            <w:r w:rsidRPr="008013C4">
              <w:rPr>
                <w:rFonts w:eastAsia="TimesNewRoman"/>
              </w:rPr>
              <w:t>17 Jun</w:t>
            </w:r>
            <w:r w:rsidR="00F57404">
              <w:rPr>
                <w:rFonts w:eastAsia="TimesNewRoman"/>
              </w:rPr>
              <w:t>e</w:t>
            </w:r>
            <w:r w:rsidRPr="008013C4">
              <w:rPr>
                <w:rFonts w:eastAsia="TimesNewRoman"/>
              </w:rPr>
              <w:t xml:space="preserve"> 2021</w:t>
            </w:r>
            <w:r>
              <w:rPr>
                <w:rFonts w:eastAsia="TimesNewRoman"/>
              </w:rPr>
              <w:t xml:space="preserve"> </w:t>
            </w:r>
          </w:p>
        </w:tc>
      </w:tr>
      <w:tr w:rsidR="008013C4" w:rsidRPr="00E338EA" w14:paraId="0DC2A3FE" w14:textId="58F2C1A2" w:rsidTr="0012355C">
        <w:tc>
          <w:tcPr>
            <w:tcW w:w="728" w:type="pct"/>
            <w:vMerge/>
          </w:tcPr>
          <w:p w14:paraId="7D8307A4" w14:textId="0BB1F5E3" w:rsidR="008013C4" w:rsidRPr="00E338EA" w:rsidRDefault="008013C4" w:rsidP="0098179B">
            <w:pPr>
              <w:pStyle w:val="TableText0"/>
            </w:pPr>
          </w:p>
        </w:tc>
        <w:tc>
          <w:tcPr>
            <w:tcW w:w="3283" w:type="pct"/>
          </w:tcPr>
          <w:p w14:paraId="26C925FA" w14:textId="218DAD6F" w:rsidR="008013C4" w:rsidRPr="00737560" w:rsidRDefault="00F57404" w:rsidP="0098179B">
            <w:pPr>
              <w:pStyle w:val="TableText0"/>
              <w:rPr>
                <w:rFonts w:eastAsia="TimesNewRoman"/>
              </w:rPr>
            </w:pPr>
            <w:r w:rsidRPr="00F57404">
              <w:rPr>
                <w:rFonts w:eastAsia="TimesNewRoman"/>
              </w:rPr>
              <w:t>TALAPRO 2: A Phase 3, Randomized, Double-blind-, Placebo-Controlled Study of Talazoparib with Enzalutamide in Metastatic Castration Resistant Prostate Cancer (Cohort 2 selected for gene alterations associated with HRR deficiencies).</w:t>
            </w:r>
          </w:p>
        </w:tc>
        <w:tc>
          <w:tcPr>
            <w:tcW w:w="989" w:type="pct"/>
          </w:tcPr>
          <w:p w14:paraId="73FB5597" w14:textId="3FF55B35" w:rsidR="008013C4" w:rsidRDefault="0066692E" w:rsidP="0098179B">
            <w:pPr>
              <w:pStyle w:val="TableText0"/>
              <w:rPr>
                <w:rFonts w:eastAsia="TimesNewRoman"/>
              </w:rPr>
            </w:pPr>
            <w:r>
              <w:rPr>
                <w:rFonts w:eastAsia="TimesNewRoman"/>
              </w:rPr>
              <w:t>S</w:t>
            </w:r>
            <w:r w:rsidR="008013C4">
              <w:rPr>
                <w:rFonts w:eastAsia="TimesNewRoman"/>
              </w:rPr>
              <w:t xml:space="preserve">tudy report- </w:t>
            </w:r>
            <w:r w:rsidR="00F57404">
              <w:rPr>
                <w:rFonts w:eastAsia="TimesNewRoman"/>
              </w:rPr>
              <w:br/>
              <w:t>3 October</w:t>
            </w:r>
            <w:r w:rsidR="008013C4">
              <w:rPr>
                <w:rFonts w:eastAsia="TimesNewRoman"/>
              </w:rPr>
              <w:t xml:space="preserve"> 202</w:t>
            </w:r>
            <w:r w:rsidR="00F57404">
              <w:rPr>
                <w:rFonts w:eastAsia="TimesNewRoman"/>
              </w:rPr>
              <w:t>2</w:t>
            </w:r>
          </w:p>
        </w:tc>
      </w:tr>
      <w:tr w:rsidR="008013C4" w:rsidRPr="00E338EA" w14:paraId="1050866B" w14:textId="0C0F77B9" w:rsidTr="0012355C">
        <w:tc>
          <w:tcPr>
            <w:tcW w:w="728" w:type="pct"/>
            <w:vMerge/>
          </w:tcPr>
          <w:p w14:paraId="2B19F461" w14:textId="77777777" w:rsidR="008013C4" w:rsidRPr="00E338EA" w:rsidRDefault="008013C4" w:rsidP="0098179B">
            <w:pPr>
              <w:pStyle w:val="TableText0"/>
            </w:pPr>
          </w:p>
        </w:tc>
        <w:tc>
          <w:tcPr>
            <w:tcW w:w="3283" w:type="pct"/>
          </w:tcPr>
          <w:p w14:paraId="1DC10103" w14:textId="23048311" w:rsidR="008013C4" w:rsidRDefault="008013C4" w:rsidP="0098179B">
            <w:pPr>
              <w:pStyle w:val="TableText0"/>
              <w:rPr>
                <w:rFonts w:eastAsia="TimesNewRoman"/>
              </w:rPr>
            </w:pPr>
            <w:r w:rsidRPr="00CE2B88">
              <w:rPr>
                <w:rFonts w:eastAsia="TimesNewRoman"/>
              </w:rPr>
              <w:t>Study Report Output for PRJC344 Submission</w:t>
            </w:r>
            <w:r>
              <w:rPr>
                <w:rFonts w:eastAsia="TimesNewRoman"/>
              </w:rPr>
              <w:t>*</w:t>
            </w:r>
          </w:p>
        </w:tc>
        <w:tc>
          <w:tcPr>
            <w:tcW w:w="989" w:type="pct"/>
          </w:tcPr>
          <w:p w14:paraId="48709D0B" w14:textId="4A00ABF7" w:rsidR="008013C4" w:rsidRPr="00CE2B88" w:rsidRDefault="0066692E" w:rsidP="0098179B">
            <w:pPr>
              <w:pStyle w:val="TableText0"/>
              <w:rPr>
                <w:rFonts w:eastAsia="TimesNewRoman"/>
              </w:rPr>
            </w:pPr>
            <w:r>
              <w:rPr>
                <w:rFonts w:eastAsia="TimesNewRoman"/>
              </w:rPr>
              <w:t>Study report-</w:t>
            </w:r>
            <w:r w:rsidR="00F57404">
              <w:rPr>
                <w:rFonts w:eastAsia="TimesNewRoman"/>
              </w:rPr>
              <w:br/>
              <w:t>28 March 2023</w:t>
            </w:r>
          </w:p>
        </w:tc>
      </w:tr>
      <w:tr w:rsidR="008013C4" w:rsidRPr="00E338EA" w14:paraId="3E4AB016" w14:textId="2345889D" w:rsidTr="0012355C">
        <w:tc>
          <w:tcPr>
            <w:tcW w:w="728" w:type="pct"/>
            <w:vMerge/>
          </w:tcPr>
          <w:p w14:paraId="648E9116" w14:textId="77777777" w:rsidR="008013C4" w:rsidRPr="00E338EA" w:rsidRDefault="008013C4" w:rsidP="0098179B">
            <w:pPr>
              <w:pStyle w:val="TableText0"/>
            </w:pPr>
          </w:p>
        </w:tc>
        <w:tc>
          <w:tcPr>
            <w:tcW w:w="3283" w:type="pct"/>
          </w:tcPr>
          <w:p w14:paraId="4C60F2AD" w14:textId="46C6AE40" w:rsidR="008013C4" w:rsidRPr="00E338EA" w:rsidRDefault="008013C4" w:rsidP="0098179B">
            <w:pPr>
              <w:pStyle w:val="TableText0"/>
            </w:pPr>
            <w:r w:rsidRPr="005A293B">
              <w:t>Agarwal N, Azad AA, Carles J, et al. Talazoparib + enzalutamide in men with first-line metastatic castration-resistant prostate cancer (TALAPRO-2): a randomised, placebo-controlled, phase 3 trial.</w:t>
            </w:r>
          </w:p>
        </w:tc>
        <w:tc>
          <w:tcPr>
            <w:tcW w:w="989" w:type="pct"/>
          </w:tcPr>
          <w:p w14:paraId="3D96ABCD" w14:textId="5E9690A4" w:rsidR="008013C4" w:rsidRPr="005A293B" w:rsidRDefault="0066692E" w:rsidP="0098179B">
            <w:pPr>
              <w:pStyle w:val="TableText0"/>
            </w:pPr>
            <w:r w:rsidRPr="005A293B">
              <w:t>Lancet 2023; 402 (103980): 291-303</w:t>
            </w:r>
          </w:p>
        </w:tc>
      </w:tr>
      <w:tr w:rsidR="008013C4" w:rsidRPr="00E338EA" w14:paraId="0E3C6C19" w14:textId="6804994D" w:rsidTr="0012355C">
        <w:tc>
          <w:tcPr>
            <w:tcW w:w="728" w:type="pct"/>
            <w:vMerge/>
          </w:tcPr>
          <w:p w14:paraId="468ED8FE" w14:textId="77777777" w:rsidR="008013C4" w:rsidRPr="00E338EA" w:rsidRDefault="008013C4" w:rsidP="0098179B">
            <w:pPr>
              <w:pStyle w:val="TableText0"/>
            </w:pPr>
          </w:p>
        </w:tc>
        <w:tc>
          <w:tcPr>
            <w:tcW w:w="3283" w:type="pct"/>
          </w:tcPr>
          <w:p w14:paraId="71275D8A" w14:textId="0E47FA5E" w:rsidR="008013C4" w:rsidRDefault="008013C4" w:rsidP="0098179B">
            <w:pPr>
              <w:pStyle w:val="TableText0"/>
              <w:rPr>
                <w:rFonts w:eastAsia="TimesNewRoman"/>
              </w:rPr>
            </w:pPr>
            <w:r w:rsidRPr="00385C54">
              <w:t>Erratum: Department of Error (</w:t>
            </w:r>
            <w:r w:rsidR="0066692E" w:rsidRPr="00385C54">
              <w:t>The Lancet</w:t>
            </w:r>
            <w:r w:rsidRPr="00385C54">
              <w:t xml:space="preserve"> (2023) 402(10398) (291-303), (S0140673623010553), (10.1016/S0140-6736(23)01055-3)).</w:t>
            </w:r>
          </w:p>
        </w:tc>
        <w:tc>
          <w:tcPr>
            <w:tcW w:w="989" w:type="pct"/>
          </w:tcPr>
          <w:p w14:paraId="137A0268" w14:textId="081BA4B9" w:rsidR="008013C4" w:rsidRPr="00385C54" w:rsidRDefault="0066692E" w:rsidP="0098179B">
            <w:pPr>
              <w:pStyle w:val="TableText0"/>
            </w:pPr>
            <w:r w:rsidRPr="00385C54">
              <w:t>Lancet (2023) 402(10398) (291-303)</w:t>
            </w:r>
          </w:p>
        </w:tc>
      </w:tr>
      <w:tr w:rsidR="008013C4" w:rsidRPr="00E338EA" w14:paraId="23774833" w14:textId="4ABB04AE" w:rsidTr="0012355C">
        <w:tc>
          <w:tcPr>
            <w:tcW w:w="728" w:type="pct"/>
            <w:vMerge/>
          </w:tcPr>
          <w:p w14:paraId="415EA36F" w14:textId="77777777" w:rsidR="008013C4" w:rsidRPr="00E338EA" w:rsidRDefault="008013C4" w:rsidP="0098179B">
            <w:pPr>
              <w:pStyle w:val="TableText0"/>
            </w:pPr>
          </w:p>
        </w:tc>
        <w:tc>
          <w:tcPr>
            <w:tcW w:w="3283" w:type="pct"/>
          </w:tcPr>
          <w:p w14:paraId="66B0B0B0" w14:textId="4F179B1A" w:rsidR="008013C4" w:rsidRPr="00A05B93" w:rsidRDefault="008013C4" w:rsidP="0098179B">
            <w:pPr>
              <w:pStyle w:val="TableText0"/>
            </w:pPr>
            <w:r w:rsidRPr="00CE2B88">
              <w:t xml:space="preserve">Agarwal N, Azad A, Shore ND, et al. Talazoparib + enzalutamide in metastatic castration-resistant prostate cancer: TALAPRO-2 phase III study design. </w:t>
            </w:r>
          </w:p>
        </w:tc>
        <w:tc>
          <w:tcPr>
            <w:tcW w:w="989" w:type="pct"/>
          </w:tcPr>
          <w:p w14:paraId="03AF6A32" w14:textId="21A961EF" w:rsidR="008013C4" w:rsidRPr="00CE2B88" w:rsidRDefault="0066692E" w:rsidP="0098179B">
            <w:pPr>
              <w:pStyle w:val="TableText0"/>
            </w:pPr>
            <w:r w:rsidRPr="00CE2B88">
              <w:t>Future Oncol. 2022;18(4):425-436.</w:t>
            </w:r>
          </w:p>
        </w:tc>
      </w:tr>
    </w:tbl>
    <w:p w14:paraId="7E315B46" w14:textId="0353E222" w:rsidR="00C85D09" w:rsidRDefault="00C85D09" w:rsidP="00C85D09">
      <w:pPr>
        <w:pStyle w:val="FooterTableFigure"/>
        <w:jc w:val="both"/>
      </w:pPr>
      <w:r w:rsidRPr="005A293B">
        <w:t>Source: Table 2.</w:t>
      </w:r>
      <w:r w:rsidR="00123996" w:rsidRPr="005A293B">
        <w:t>2-2</w:t>
      </w:r>
      <w:r w:rsidRPr="005A293B">
        <w:t>, p5</w:t>
      </w:r>
      <w:r w:rsidR="002C520D" w:rsidRPr="005A293B">
        <w:t>3</w:t>
      </w:r>
      <w:r w:rsidRPr="005A293B">
        <w:t xml:space="preserve"> of the submission.</w:t>
      </w:r>
    </w:p>
    <w:p w14:paraId="4416EA06" w14:textId="700FC534" w:rsidR="00385C54" w:rsidRPr="006E4BFC" w:rsidRDefault="00385C54" w:rsidP="00385C54">
      <w:pPr>
        <w:pStyle w:val="FooterTableFigure"/>
        <w:jc w:val="both"/>
      </w:pPr>
      <w:r w:rsidRPr="006E4BFC">
        <w:t>* This report which presented the final overall survival outcomes was received on 29/11/2023, following evaluators request.</w:t>
      </w:r>
    </w:p>
    <w:p w14:paraId="2CA5806B" w14:textId="374F144C" w:rsidR="00C85D09" w:rsidRPr="005A293B" w:rsidRDefault="008F120A" w:rsidP="00565C8B">
      <w:pPr>
        <w:pStyle w:val="3-BodyText"/>
      </w:pPr>
      <w:r w:rsidRPr="005A293B">
        <w:t xml:space="preserve">The key features of the </w:t>
      </w:r>
      <w:r w:rsidR="002C520D" w:rsidRPr="005A293B">
        <w:t>TALAPRO-2</w:t>
      </w:r>
      <w:r w:rsidR="00C85D09" w:rsidRPr="005A293B">
        <w:t xml:space="preserve"> trial</w:t>
      </w:r>
      <w:r w:rsidRPr="005A293B">
        <w:t xml:space="preserve"> are summarised in</w:t>
      </w:r>
      <w:r w:rsidR="00D6076E" w:rsidRPr="005A293B">
        <w:t xml:space="preserve"> </w:t>
      </w:r>
      <w:r w:rsidR="00D6076E" w:rsidRPr="005A293B">
        <w:fldChar w:fldCharType="begin" w:fldLock="1"/>
      </w:r>
      <w:r w:rsidR="00D6076E" w:rsidRPr="005A293B">
        <w:instrText xml:space="preserve"> REF _Ref104804098 \h  \* MERGEFORMAT </w:instrText>
      </w:r>
      <w:r w:rsidR="00D6076E" w:rsidRPr="005A293B">
        <w:fldChar w:fldCharType="separate"/>
      </w:r>
      <w:r w:rsidR="00324A7E" w:rsidRPr="00324A7E">
        <w:t>Table 3</w:t>
      </w:r>
      <w:r w:rsidR="00D6076E" w:rsidRPr="005A293B">
        <w:fldChar w:fldCharType="end"/>
      </w:r>
      <w:r w:rsidRPr="005A293B">
        <w:t>.</w:t>
      </w:r>
      <w:r w:rsidR="00BC591F" w:rsidRPr="005A293B">
        <w:t xml:space="preserve"> </w:t>
      </w:r>
    </w:p>
    <w:p w14:paraId="355E2F15" w14:textId="2A8DBD45" w:rsidR="007F1017" w:rsidRPr="005A293B" w:rsidRDefault="00696EF9" w:rsidP="00D6076E">
      <w:pPr>
        <w:pStyle w:val="Caption"/>
        <w:rPr>
          <w:rStyle w:val="CommentReference"/>
          <w:rFonts w:eastAsiaTheme="majorEastAsia" w:cstheme="majorBidi"/>
          <w:b/>
          <w:szCs w:val="24"/>
        </w:rPr>
      </w:pPr>
      <w:bookmarkStart w:id="27" w:name="_Ref104804098"/>
      <w:r w:rsidRPr="005A293B">
        <w:rPr>
          <w:rStyle w:val="CommentReference"/>
          <w:rFonts w:eastAsiaTheme="majorEastAsia" w:cstheme="majorBidi"/>
          <w:b/>
          <w:szCs w:val="24"/>
        </w:rPr>
        <w:t xml:space="preserve">Table </w:t>
      </w:r>
      <w:r w:rsidRPr="005A293B">
        <w:rPr>
          <w:rStyle w:val="CommentReference"/>
          <w:rFonts w:eastAsiaTheme="majorEastAsia" w:cstheme="majorBidi"/>
          <w:b/>
          <w:szCs w:val="24"/>
        </w:rPr>
        <w:fldChar w:fldCharType="begin" w:fldLock="1"/>
      </w:r>
      <w:r w:rsidRPr="005A293B">
        <w:rPr>
          <w:rStyle w:val="CommentReference"/>
          <w:rFonts w:eastAsiaTheme="majorEastAsia" w:cstheme="majorBidi"/>
          <w:b/>
          <w:szCs w:val="24"/>
        </w:rPr>
        <w:instrText xml:space="preserve"> SEQ Table \* ARABIC </w:instrText>
      </w:r>
      <w:r w:rsidRPr="005A293B">
        <w:rPr>
          <w:rStyle w:val="CommentReference"/>
          <w:rFonts w:eastAsiaTheme="majorEastAsia" w:cstheme="majorBidi"/>
          <w:b/>
          <w:szCs w:val="24"/>
        </w:rPr>
        <w:fldChar w:fldCharType="separate"/>
      </w:r>
      <w:r w:rsidR="00A01609">
        <w:rPr>
          <w:rStyle w:val="CommentReference"/>
          <w:rFonts w:eastAsiaTheme="majorEastAsia" w:cstheme="majorBidi"/>
          <w:b/>
          <w:noProof/>
          <w:szCs w:val="24"/>
        </w:rPr>
        <w:t>3</w:t>
      </w:r>
      <w:r w:rsidRPr="005A293B">
        <w:rPr>
          <w:rStyle w:val="CommentReference"/>
          <w:rFonts w:eastAsiaTheme="majorEastAsia" w:cstheme="majorBidi"/>
          <w:b/>
          <w:szCs w:val="24"/>
        </w:rPr>
        <w:fldChar w:fldCharType="end"/>
      </w:r>
      <w:bookmarkEnd w:id="27"/>
      <w:r w:rsidR="00D6076E" w:rsidRPr="005A293B">
        <w:rPr>
          <w:rStyle w:val="CommentReference"/>
          <w:rFonts w:eastAsiaTheme="majorEastAsia" w:cstheme="majorBidi"/>
          <w:b/>
          <w:szCs w:val="24"/>
        </w:rPr>
        <w:t xml:space="preserve">: </w:t>
      </w:r>
      <w:r w:rsidR="007F1017" w:rsidRPr="005A293B">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794"/>
        <w:gridCol w:w="601"/>
        <w:gridCol w:w="1560"/>
        <w:gridCol w:w="860"/>
        <w:gridCol w:w="1701"/>
        <w:gridCol w:w="1134"/>
        <w:gridCol w:w="1367"/>
      </w:tblGrid>
      <w:tr w:rsidR="00C90B2B" w:rsidRPr="005A293B" w14:paraId="0638220B" w14:textId="77777777" w:rsidTr="0012355C">
        <w:trPr>
          <w:cantSplit/>
          <w:tblHeader/>
        </w:trPr>
        <w:tc>
          <w:tcPr>
            <w:tcW w:w="995" w:type="pct"/>
            <w:shd w:val="clear" w:color="auto" w:fill="auto"/>
            <w:vAlign w:val="center"/>
          </w:tcPr>
          <w:p w14:paraId="6359657B" w14:textId="77777777" w:rsidR="00C85D09" w:rsidRPr="005A293B" w:rsidRDefault="00C85D09" w:rsidP="001E53B4">
            <w:pPr>
              <w:pStyle w:val="In-tableHeading"/>
              <w:rPr>
                <w:lang w:val="en-AU"/>
              </w:rPr>
            </w:pPr>
            <w:r w:rsidRPr="005A293B">
              <w:rPr>
                <w:lang w:val="en-AU"/>
              </w:rPr>
              <w:t>Trial</w:t>
            </w:r>
          </w:p>
        </w:tc>
        <w:tc>
          <w:tcPr>
            <w:tcW w:w="333" w:type="pct"/>
            <w:shd w:val="clear" w:color="auto" w:fill="auto"/>
            <w:vAlign w:val="center"/>
          </w:tcPr>
          <w:p w14:paraId="7796FF10" w14:textId="77777777" w:rsidR="00C85D09" w:rsidRPr="005A293B" w:rsidRDefault="00C85D09" w:rsidP="001E53B4">
            <w:pPr>
              <w:pStyle w:val="In-tableHeading"/>
              <w:jc w:val="center"/>
              <w:rPr>
                <w:lang w:val="en-AU"/>
              </w:rPr>
            </w:pPr>
            <w:r w:rsidRPr="005A293B">
              <w:rPr>
                <w:lang w:val="en-AU"/>
              </w:rPr>
              <w:t>N</w:t>
            </w:r>
          </w:p>
        </w:tc>
        <w:tc>
          <w:tcPr>
            <w:tcW w:w="865" w:type="pct"/>
            <w:shd w:val="clear" w:color="auto" w:fill="auto"/>
            <w:vAlign w:val="center"/>
          </w:tcPr>
          <w:p w14:paraId="76C411C7" w14:textId="77777777" w:rsidR="00C85D09" w:rsidRPr="005A293B" w:rsidRDefault="00C85D09" w:rsidP="001E53B4">
            <w:pPr>
              <w:pStyle w:val="In-tableHeading"/>
              <w:jc w:val="center"/>
              <w:rPr>
                <w:lang w:val="en-AU"/>
              </w:rPr>
            </w:pPr>
            <w:r w:rsidRPr="005A293B">
              <w:rPr>
                <w:lang w:val="en-AU"/>
              </w:rPr>
              <w:t>Design/ duration</w:t>
            </w:r>
          </w:p>
        </w:tc>
        <w:tc>
          <w:tcPr>
            <w:tcW w:w="477" w:type="pct"/>
            <w:shd w:val="clear" w:color="auto" w:fill="auto"/>
            <w:vAlign w:val="center"/>
          </w:tcPr>
          <w:p w14:paraId="5AEB00FE" w14:textId="77777777" w:rsidR="00C85D09" w:rsidRPr="005A293B" w:rsidRDefault="00C85D09" w:rsidP="001E53B4">
            <w:pPr>
              <w:pStyle w:val="In-tableHeading"/>
              <w:jc w:val="center"/>
              <w:rPr>
                <w:lang w:val="en-AU"/>
              </w:rPr>
            </w:pPr>
            <w:r w:rsidRPr="005A293B">
              <w:rPr>
                <w:lang w:val="en-AU"/>
              </w:rPr>
              <w:t>Risk of bias</w:t>
            </w:r>
          </w:p>
        </w:tc>
        <w:tc>
          <w:tcPr>
            <w:tcW w:w="943" w:type="pct"/>
            <w:shd w:val="clear" w:color="auto" w:fill="auto"/>
            <w:vAlign w:val="center"/>
          </w:tcPr>
          <w:p w14:paraId="0491FA4D" w14:textId="77777777" w:rsidR="00C85D09" w:rsidRPr="005A293B" w:rsidRDefault="00C85D09" w:rsidP="001E53B4">
            <w:pPr>
              <w:pStyle w:val="In-tableHeading"/>
              <w:jc w:val="center"/>
              <w:rPr>
                <w:lang w:val="en-AU"/>
              </w:rPr>
            </w:pPr>
            <w:r w:rsidRPr="005A293B">
              <w:rPr>
                <w:lang w:val="en-AU"/>
              </w:rPr>
              <w:t>Patient population</w:t>
            </w:r>
          </w:p>
        </w:tc>
        <w:tc>
          <w:tcPr>
            <w:tcW w:w="629" w:type="pct"/>
            <w:shd w:val="clear" w:color="auto" w:fill="auto"/>
            <w:vAlign w:val="center"/>
          </w:tcPr>
          <w:p w14:paraId="6F3C1045" w14:textId="77777777" w:rsidR="00C85D09" w:rsidRPr="005A293B" w:rsidRDefault="00C85D09" w:rsidP="001E53B4">
            <w:pPr>
              <w:pStyle w:val="In-tableHeading"/>
              <w:jc w:val="center"/>
              <w:rPr>
                <w:lang w:val="en-AU"/>
              </w:rPr>
            </w:pPr>
            <w:r w:rsidRPr="005A293B">
              <w:rPr>
                <w:lang w:val="en-AU"/>
              </w:rPr>
              <w:t>Outcome(s)</w:t>
            </w:r>
          </w:p>
        </w:tc>
        <w:tc>
          <w:tcPr>
            <w:tcW w:w="758" w:type="pct"/>
            <w:shd w:val="clear" w:color="auto" w:fill="auto"/>
            <w:vAlign w:val="center"/>
          </w:tcPr>
          <w:p w14:paraId="6E491F06" w14:textId="77777777" w:rsidR="00C85D09" w:rsidRPr="005A293B" w:rsidRDefault="00C85D09" w:rsidP="001E53B4">
            <w:pPr>
              <w:pStyle w:val="In-tableHeading"/>
              <w:jc w:val="center"/>
              <w:rPr>
                <w:lang w:val="en-AU"/>
              </w:rPr>
            </w:pPr>
            <w:r w:rsidRPr="005A293B">
              <w:rPr>
                <w:lang w:val="en-AU"/>
              </w:rPr>
              <w:t>Use in modelled evaluation</w:t>
            </w:r>
          </w:p>
        </w:tc>
      </w:tr>
      <w:tr w:rsidR="00C85D09" w:rsidRPr="005A293B" w14:paraId="41A6BB68" w14:textId="77777777" w:rsidTr="0012355C">
        <w:trPr>
          <w:cantSplit/>
        </w:trPr>
        <w:tc>
          <w:tcPr>
            <w:tcW w:w="5000" w:type="pct"/>
            <w:gridSpan w:val="7"/>
            <w:shd w:val="clear" w:color="auto" w:fill="auto"/>
            <w:vAlign w:val="center"/>
          </w:tcPr>
          <w:p w14:paraId="327EB306" w14:textId="5EB185FE" w:rsidR="00C85D09" w:rsidRPr="005A293B" w:rsidRDefault="00F82E7A" w:rsidP="001E53B4">
            <w:pPr>
              <w:pStyle w:val="In-tableHeading"/>
              <w:rPr>
                <w:lang w:val="en-AU"/>
              </w:rPr>
            </w:pPr>
            <w:r w:rsidRPr="005A293B">
              <w:rPr>
                <w:lang w:val="en-AU"/>
              </w:rPr>
              <w:t>Talazoparib + enzalutamide</w:t>
            </w:r>
            <w:r w:rsidR="00C85D09" w:rsidRPr="005A293B">
              <w:rPr>
                <w:lang w:val="en-AU"/>
              </w:rPr>
              <w:t xml:space="preserve"> vs. </w:t>
            </w:r>
            <w:r w:rsidRPr="005A293B">
              <w:rPr>
                <w:lang w:val="en-AU"/>
              </w:rPr>
              <w:t>enzalutamide</w:t>
            </w:r>
          </w:p>
        </w:tc>
      </w:tr>
      <w:tr w:rsidR="00C90B2B" w:rsidRPr="005A293B" w14:paraId="7B5803FA" w14:textId="77777777" w:rsidTr="0012355C">
        <w:trPr>
          <w:cantSplit/>
        </w:trPr>
        <w:tc>
          <w:tcPr>
            <w:tcW w:w="995" w:type="pct"/>
            <w:shd w:val="clear" w:color="auto" w:fill="auto"/>
            <w:vAlign w:val="center"/>
          </w:tcPr>
          <w:p w14:paraId="34705089" w14:textId="43B81F19" w:rsidR="00C90B2B" w:rsidRPr="005A293B" w:rsidRDefault="00C90B2B" w:rsidP="00C90B2B">
            <w:pPr>
              <w:pStyle w:val="TableText0"/>
            </w:pPr>
            <w:r w:rsidRPr="005A293B">
              <w:t xml:space="preserve">TALAPRO-2, Cohort 1 </w:t>
            </w:r>
            <w:r w:rsidRPr="005A293B">
              <w:br/>
              <w:t>(all-comers)</w:t>
            </w:r>
          </w:p>
        </w:tc>
        <w:tc>
          <w:tcPr>
            <w:tcW w:w="333" w:type="pct"/>
            <w:shd w:val="clear" w:color="auto" w:fill="auto"/>
            <w:vAlign w:val="center"/>
          </w:tcPr>
          <w:p w14:paraId="53CE63BF" w14:textId="15764CA0" w:rsidR="00C90B2B" w:rsidRPr="005A293B" w:rsidRDefault="00C90B2B" w:rsidP="00C90B2B">
            <w:pPr>
              <w:pStyle w:val="TableText0"/>
              <w:jc w:val="center"/>
            </w:pPr>
            <w:r w:rsidRPr="005A293B">
              <w:t>805</w:t>
            </w:r>
          </w:p>
        </w:tc>
        <w:tc>
          <w:tcPr>
            <w:tcW w:w="865" w:type="pct"/>
            <w:shd w:val="clear" w:color="auto" w:fill="auto"/>
            <w:vAlign w:val="center"/>
          </w:tcPr>
          <w:p w14:paraId="2FD57745" w14:textId="34B6F597" w:rsidR="00C90B2B" w:rsidRPr="005A293B" w:rsidRDefault="00C90B2B" w:rsidP="00C90B2B">
            <w:pPr>
              <w:pStyle w:val="TableText0"/>
              <w:jc w:val="center"/>
            </w:pPr>
            <w:r w:rsidRPr="005A293B">
              <w:t>R, DB, P3, PC, MC, ongoing</w:t>
            </w:r>
          </w:p>
        </w:tc>
        <w:tc>
          <w:tcPr>
            <w:tcW w:w="477" w:type="pct"/>
            <w:shd w:val="clear" w:color="auto" w:fill="auto"/>
            <w:vAlign w:val="center"/>
          </w:tcPr>
          <w:p w14:paraId="2B4D6696" w14:textId="7ADA59A8" w:rsidR="00C90B2B" w:rsidRPr="000B725B" w:rsidRDefault="00C90B2B" w:rsidP="00C90B2B">
            <w:pPr>
              <w:pStyle w:val="TableText0"/>
              <w:jc w:val="center"/>
              <w:rPr>
                <w:iCs/>
              </w:rPr>
            </w:pPr>
            <w:r w:rsidRPr="000B725B">
              <w:rPr>
                <w:iCs/>
              </w:rPr>
              <w:t>Low</w:t>
            </w:r>
          </w:p>
        </w:tc>
        <w:tc>
          <w:tcPr>
            <w:tcW w:w="943" w:type="pct"/>
            <w:shd w:val="clear" w:color="auto" w:fill="auto"/>
            <w:vAlign w:val="center"/>
          </w:tcPr>
          <w:p w14:paraId="53655E22" w14:textId="25AE6E28" w:rsidR="00C90B2B" w:rsidRPr="005A293B" w:rsidRDefault="00C90B2B" w:rsidP="00C90B2B">
            <w:pPr>
              <w:pStyle w:val="TableText0"/>
              <w:jc w:val="center"/>
            </w:pPr>
            <w:r w:rsidRPr="005A293B">
              <w:t>mCRPC</w:t>
            </w:r>
          </w:p>
        </w:tc>
        <w:tc>
          <w:tcPr>
            <w:tcW w:w="629" w:type="pct"/>
            <w:shd w:val="clear" w:color="auto" w:fill="auto"/>
            <w:vAlign w:val="center"/>
          </w:tcPr>
          <w:p w14:paraId="72D92FCA" w14:textId="2FC4AC34" w:rsidR="00C90B2B" w:rsidRPr="005A293B" w:rsidRDefault="00C90B2B" w:rsidP="00C90B2B">
            <w:pPr>
              <w:pStyle w:val="TableText0"/>
              <w:jc w:val="center"/>
            </w:pPr>
            <w:r w:rsidRPr="005A293B">
              <w:t>OS, rPFS</w:t>
            </w:r>
          </w:p>
        </w:tc>
        <w:tc>
          <w:tcPr>
            <w:tcW w:w="758" w:type="pct"/>
            <w:shd w:val="clear" w:color="auto" w:fill="auto"/>
            <w:vAlign w:val="center"/>
          </w:tcPr>
          <w:p w14:paraId="110B58BD" w14:textId="270F1F28" w:rsidR="00C90B2B" w:rsidRPr="005A293B" w:rsidRDefault="00C90B2B" w:rsidP="00C90B2B">
            <w:pPr>
              <w:pStyle w:val="TableText0"/>
              <w:jc w:val="center"/>
            </w:pPr>
            <w:r w:rsidRPr="005A293B">
              <w:t>Not used</w:t>
            </w:r>
          </w:p>
        </w:tc>
      </w:tr>
      <w:tr w:rsidR="00C90B2B" w:rsidRPr="005A293B" w14:paraId="0AAE6794" w14:textId="77777777" w:rsidTr="0012355C">
        <w:trPr>
          <w:cantSplit/>
        </w:trPr>
        <w:tc>
          <w:tcPr>
            <w:tcW w:w="995" w:type="pct"/>
            <w:shd w:val="clear" w:color="auto" w:fill="auto"/>
            <w:vAlign w:val="center"/>
          </w:tcPr>
          <w:p w14:paraId="7A9D8C4C" w14:textId="212C8A91" w:rsidR="00C90B2B" w:rsidRPr="005A293B" w:rsidRDefault="00C90B2B" w:rsidP="00C90B2B">
            <w:pPr>
              <w:pStyle w:val="TableText0"/>
            </w:pPr>
            <w:r w:rsidRPr="005A293B">
              <w:t>TALAPRO-2, Cohort 2 (HRRm)</w:t>
            </w:r>
          </w:p>
        </w:tc>
        <w:tc>
          <w:tcPr>
            <w:tcW w:w="333" w:type="pct"/>
            <w:shd w:val="clear" w:color="auto" w:fill="auto"/>
            <w:vAlign w:val="center"/>
          </w:tcPr>
          <w:p w14:paraId="091C30D4" w14:textId="766657E9" w:rsidR="00C90B2B" w:rsidRPr="005A293B" w:rsidRDefault="00C90B2B" w:rsidP="00C90B2B">
            <w:pPr>
              <w:pStyle w:val="TableText0"/>
              <w:jc w:val="center"/>
            </w:pPr>
            <w:r w:rsidRPr="005A293B">
              <w:t>399</w:t>
            </w:r>
          </w:p>
        </w:tc>
        <w:tc>
          <w:tcPr>
            <w:tcW w:w="865" w:type="pct"/>
            <w:shd w:val="clear" w:color="auto" w:fill="auto"/>
            <w:vAlign w:val="center"/>
          </w:tcPr>
          <w:p w14:paraId="1989FA2D" w14:textId="57C5BD77" w:rsidR="00C90B2B" w:rsidRPr="005A293B" w:rsidRDefault="00C90B2B" w:rsidP="00C90B2B">
            <w:pPr>
              <w:pStyle w:val="TableText0"/>
              <w:jc w:val="center"/>
            </w:pPr>
            <w:r w:rsidRPr="005A293B">
              <w:t>R, DB, P3, PC, MC, ongoing</w:t>
            </w:r>
            <w:r w:rsidR="00D23866" w:rsidRPr="005A293B">
              <w:t xml:space="preserve"> </w:t>
            </w:r>
            <w:r w:rsidR="00D23866" w:rsidRPr="005A293B">
              <w:rPr>
                <w:vertAlign w:val="superscript"/>
              </w:rPr>
              <w:t>a</w:t>
            </w:r>
          </w:p>
        </w:tc>
        <w:tc>
          <w:tcPr>
            <w:tcW w:w="477" w:type="pct"/>
            <w:shd w:val="clear" w:color="auto" w:fill="auto"/>
            <w:vAlign w:val="center"/>
          </w:tcPr>
          <w:p w14:paraId="5D4F5CEC" w14:textId="0A2B1A53" w:rsidR="00C90B2B" w:rsidRPr="000B725B" w:rsidRDefault="00C90B2B" w:rsidP="00C90B2B">
            <w:pPr>
              <w:pStyle w:val="TableText0"/>
              <w:jc w:val="center"/>
              <w:rPr>
                <w:iCs/>
              </w:rPr>
            </w:pPr>
            <w:r w:rsidRPr="000B725B">
              <w:rPr>
                <w:iCs/>
              </w:rPr>
              <w:t>Low</w:t>
            </w:r>
          </w:p>
        </w:tc>
        <w:tc>
          <w:tcPr>
            <w:tcW w:w="943" w:type="pct"/>
            <w:shd w:val="clear" w:color="auto" w:fill="auto"/>
            <w:vAlign w:val="center"/>
          </w:tcPr>
          <w:p w14:paraId="48ACBC00" w14:textId="329D9EFF" w:rsidR="00C90B2B" w:rsidRPr="005A293B" w:rsidRDefault="00C90B2B" w:rsidP="00C90B2B">
            <w:pPr>
              <w:pStyle w:val="TableText0"/>
              <w:jc w:val="center"/>
            </w:pPr>
            <w:r w:rsidRPr="005A293B">
              <w:t>mCRPC, HRRm</w:t>
            </w:r>
          </w:p>
        </w:tc>
        <w:tc>
          <w:tcPr>
            <w:tcW w:w="629" w:type="pct"/>
            <w:shd w:val="clear" w:color="auto" w:fill="auto"/>
            <w:vAlign w:val="center"/>
          </w:tcPr>
          <w:p w14:paraId="25B525EA" w14:textId="63E962FE" w:rsidR="00C90B2B" w:rsidRPr="005A293B" w:rsidRDefault="00C90B2B" w:rsidP="00C90B2B">
            <w:pPr>
              <w:pStyle w:val="TableText0"/>
              <w:jc w:val="center"/>
            </w:pPr>
            <w:r w:rsidRPr="005A293B">
              <w:t>OS, rPFS</w:t>
            </w:r>
          </w:p>
        </w:tc>
        <w:tc>
          <w:tcPr>
            <w:tcW w:w="758" w:type="pct"/>
            <w:shd w:val="clear" w:color="auto" w:fill="auto"/>
            <w:vAlign w:val="center"/>
          </w:tcPr>
          <w:p w14:paraId="317C5AA6" w14:textId="62CC9AA9" w:rsidR="00C90B2B" w:rsidRPr="005A293B" w:rsidRDefault="005411A2" w:rsidP="00C90B2B">
            <w:pPr>
              <w:pStyle w:val="TableText0"/>
              <w:jc w:val="center"/>
            </w:pPr>
            <w:r>
              <w:t>U</w:t>
            </w:r>
            <w:r w:rsidR="00C90B2B" w:rsidRPr="005A293B">
              <w:t>sed</w:t>
            </w:r>
            <w:r>
              <w:t xml:space="preserve"> </w:t>
            </w:r>
            <w:r>
              <w:br/>
              <w:t>(safety outcomes)</w:t>
            </w:r>
          </w:p>
        </w:tc>
      </w:tr>
      <w:tr w:rsidR="00C90B2B" w:rsidRPr="005A293B" w14:paraId="27F75743" w14:textId="77777777" w:rsidTr="0012355C">
        <w:trPr>
          <w:cantSplit/>
        </w:trPr>
        <w:tc>
          <w:tcPr>
            <w:tcW w:w="995" w:type="pct"/>
            <w:shd w:val="clear" w:color="auto" w:fill="auto"/>
            <w:vAlign w:val="center"/>
          </w:tcPr>
          <w:p w14:paraId="2623F470" w14:textId="77417425" w:rsidR="00C90B2B" w:rsidRPr="005A293B" w:rsidRDefault="00C90B2B" w:rsidP="00C90B2B">
            <w:pPr>
              <w:pStyle w:val="TableText0"/>
            </w:pPr>
            <w:r w:rsidRPr="005A293B">
              <w:t xml:space="preserve">TALAPRO-2, Cohort 2 (HRRm), </w:t>
            </w:r>
            <w:r w:rsidRPr="005A293B">
              <w:rPr>
                <w:i/>
                <w:iCs/>
              </w:rPr>
              <w:t>BRCA1/2</w:t>
            </w:r>
            <w:r w:rsidRPr="005A293B">
              <w:t xml:space="preserve"> post hoc subgroup</w:t>
            </w:r>
          </w:p>
        </w:tc>
        <w:tc>
          <w:tcPr>
            <w:tcW w:w="333" w:type="pct"/>
            <w:shd w:val="clear" w:color="auto" w:fill="auto"/>
            <w:vAlign w:val="center"/>
          </w:tcPr>
          <w:p w14:paraId="4C654481" w14:textId="2A6C8716" w:rsidR="00C90B2B" w:rsidRPr="005A293B" w:rsidRDefault="00C90B2B" w:rsidP="00C90B2B">
            <w:pPr>
              <w:pStyle w:val="TableText0"/>
              <w:jc w:val="center"/>
            </w:pPr>
            <w:r w:rsidRPr="005A293B">
              <w:t>158</w:t>
            </w:r>
            <w:r w:rsidR="00D23866" w:rsidRPr="005A293B">
              <w:t xml:space="preserve"> </w:t>
            </w:r>
            <w:r w:rsidR="00D23866" w:rsidRPr="005A293B">
              <w:rPr>
                <w:vertAlign w:val="superscript"/>
              </w:rPr>
              <w:t>b</w:t>
            </w:r>
          </w:p>
        </w:tc>
        <w:tc>
          <w:tcPr>
            <w:tcW w:w="865" w:type="pct"/>
            <w:shd w:val="clear" w:color="auto" w:fill="auto"/>
            <w:vAlign w:val="center"/>
          </w:tcPr>
          <w:p w14:paraId="6401DE34" w14:textId="0B262FD5" w:rsidR="00C90B2B" w:rsidRPr="005A293B" w:rsidRDefault="00C90B2B" w:rsidP="00C90B2B">
            <w:pPr>
              <w:pStyle w:val="TableText0"/>
              <w:jc w:val="center"/>
            </w:pPr>
            <w:r w:rsidRPr="005A293B">
              <w:t>R, DB, P3, PC, MC, ongoing</w:t>
            </w:r>
            <w:r w:rsidR="004D4A3F">
              <w:t xml:space="preserve"> </w:t>
            </w:r>
            <w:r w:rsidR="004D4A3F" w:rsidRPr="004D4A3F">
              <w:rPr>
                <w:vertAlign w:val="superscript"/>
              </w:rPr>
              <w:t>a</w:t>
            </w:r>
          </w:p>
        </w:tc>
        <w:tc>
          <w:tcPr>
            <w:tcW w:w="477" w:type="pct"/>
            <w:shd w:val="clear" w:color="auto" w:fill="auto"/>
            <w:vAlign w:val="center"/>
          </w:tcPr>
          <w:p w14:paraId="36B66CD3" w14:textId="49B3C0B2" w:rsidR="00C90B2B" w:rsidRPr="000B725B" w:rsidRDefault="00C90B2B" w:rsidP="00C90B2B">
            <w:pPr>
              <w:pStyle w:val="TableText0"/>
              <w:jc w:val="center"/>
              <w:rPr>
                <w:iCs/>
              </w:rPr>
            </w:pPr>
            <w:r w:rsidRPr="000B725B">
              <w:rPr>
                <w:iCs/>
              </w:rPr>
              <w:t>Medium</w:t>
            </w:r>
            <w:r w:rsidR="00D23866" w:rsidRPr="000B725B">
              <w:rPr>
                <w:iCs/>
              </w:rPr>
              <w:t xml:space="preserve"> </w:t>
            </w:r>
            <w:r w:rsidR="00D23866" w:rsidRPr="000B725B">
              <w:rPr>
                <w:iCs/>
                <w:vertAlign w:val="superscript"/>
              </w:rPr>
              <w:t>c</w:t>
            </w:r>
          </w:p>
        </w:tc>
        <w:tc>
          <w:tcPr>
            <w:tcW w:w="943" w:type="pct"/>
            <w:shd w:val="clear" w:color="auto" w:fill="auto"/>
            <w:vAlign w:val="center"/>
          </w:tcPr>
          <w:p w14:paraId="0F799EC4" w14:textId="33586744" w:rsidR="00C90B2B" w:rsidRPr="005A293B" w:rsidRDefault="00C90B2B" w:rsidP="00C90B2B">
            <w:pPr>
              <w:pStyle w:val="TableText0"/>
              <w:jc w:val="center"/>
            </w:pPr>
            <w:r w:rsidRPr="005A293B">
              <w:t xml:space="preserve">mCRPC, HRRm, and </w:t>
            </w:r>
            <w:r w:rsidRPr="005A293B">
              <w:rPr>
                <w:i/>
                <w:iCs/>
              </w:rPr>
              <w:t>BRCA1/2</w:t>
            </w:r>
            <w:r w:rsidRPr="005A293B">
              <w:t>-positive</w:t>
            </w:r>
          </w:p>
        </w:tc>
        <w:tc>
          <w:tcPr>
            <w:tcW w:w="629" w:type="pct"/>
            <w:shd w:val="clear" w:color="auto" w:fill="auto"/>
            <w:vAlign w:val="center"/>
          </w:tcPr>
          <w:p w14:paraId="47CC7CF3" w14:textId="617E625C" w:rsidR="00C90B2B" w:rsidRPr="005A293B" w:rsidRDefault="00C90B2B" w:rsidP="00C90B2B">
            <w:pPr>
              <w:pStyle w:val="TableText0"/>
              <w:jc w:val="center"/>
            </w:pPr>
            <w:r w:rsidRPr="005A293B">
              <w:t>OS, rPFS</w:t>
            </w:r>
          </w:p>
        </w:tc>
        <w:tc>
          <w:tcPr>
            <w:tcW w:w="758" w:type="pct"/>
            <w:shd w:val="clear" w:color="auto" w:fill="auto"/>
            <w:vAlign w:val="center"/>
          </w:tcPr>
          <w:p w14:paraId="0AE25584" w14:textId="48904846" w:rsidR="00C90B2B" w:rsidRPr="005A293B" w:rsidRDefault="00C90B2B" w:rsidP="00C90B2B">
            <w:pPr>
              <w:pStyle w:val="TableText0"/>
              <w:jc w:val="center"/>
            </w:pPr>
            <w:r w:rsidRPr="005A293B">
              <w:t>Used</w:t>
            </w:r>
          </w:p>
        </w:tc>
      </w:tr>
    </w:tbl>
    <w:p w14:paraId="4D17935D" w14:textId="77777777" w:rsidR="00FD5FEE" w:rsidRPr="000B725B" w:rsidRDefault="00FD5FEE" w:rsidP="00FD5FEE">
      <w:pPr>
        <w:pStyle w:val="TableFigureFooter"/>
      </w:pPr>
      <w:r w:rsidRPr="000B725B">
        <w:t>Source: Table 2.2-3, p57, Table 2.3-1, p60 and Table 2.4-5, p75 of the submission.</w:t>
      </w:r>
    </w:p>
    <w:p w14:paraId="1C7D2862" w14:textId="77777777" w:rsidR="00FD5FEE" w:rsidRPr="000B725B" w:rsidRDefault="00FD5FEE" w:rsidP="00FD5FEE">
      <w:pPr>
        <w:pStyle w:val="TableFigureFooter"/>
      </w:pPr>
      <w:r w:rsidRPr="000B725B">
        <w:t>BRCA=breast cancer gene; DB=double blind; DCO=data cut off, ENZ=enzalutamide; HRRm= Homologous Recombination Repair Gene Mutation; IA=interim analysis, MC=multi-centre; mCRPC=metastatic castration-resistant prostate cancer; OS=overall survival; P3=phase 3; PC=placebo-controlled; PBO=placebo; R=randomised; rPFS=radiographic progression-free survival; TAL=talazoparib.</w:t>
      </w:r>
    </w:p>
    <w:p w14:paraId="76B60981" w14:textId="5E0B683A" w:rsidR="002C520D" w:rsidRPr="000B725B" w:rsidRDefault="00D23866" w:rsidP="002C520D">
      <w:pPr>
        <w:pStyle w:val="TableFigureFooter"/>
      </w:pPr>
      <w:r w:rsidRPr="000B725B">
        <w:rPr>
          <w:vertAlign w:val="superscript"/>
        </w:rPr>
        <w:t>a</w:t>
      </w:r>
      <w:r w:rsidR="00FD5FEE" w:rsidRPr="000B725B">
        <w:tab/>
      </w:r>
      <w:r w:rsidR="002C520D" w:rsidRPr="000B725B">
        <w:t>Data up to DCO 3 October 2022 available for rPFS and up to DCO 28 March 2023 available for OS</w:t>
      </w:r>
      <w:r w:rsidR="00C90B2B" w:rsidRPr="000B725B">
        <w:t>.</w:t>
      </w:r>
    </w:p>
    <w:p w14:paraId="60E06EE1" w14:textId="760F1C39" w:rsidR="00D23866" w:rsidRPr="000B725B" w:rsidRDefault="00D23866" w:rsidP="004D4A3F">
      <w:pPr>
        <w:pStyle w:val="TableFigureFooter"/>
        <w:spacing w:before="240"/>
        <w:ind w:left="165" w:hanging="165"/>
        <w:jc w:val="both"/>
      </w:pPr>
      <w:r w:rsidRPr="000B725B">
        <w:rPr>
          <w:vertAlign w:val="superscript"/>
        </w:rPr>
        <w:t>b</w:t>
      </w:r>
      <w:r w:rsidR="00FD5FEE" w:rsidRPr="000B725B">
        <w:rPr>
          <w:vertAlign w:val="superscript"/>
        </w:rPr>
        <w:tab/>
      </w:r>
      <w:bookmarkStart w:id="28" w:name="_Hlk153455881"/>
      <w:r w:rsidR="006847F2" w:rsidRPr="000B725B">
        <w:t xml:space="preserve">Inconsistencies were identified in reporting the numbers of patients in the </w:t>
      </w:r>
      <w:r w:rsidR="006847F2" w:rsidRPr="000337F9">
        <w:rPr>
          <w:i/>
          <w:iCs/>
        </w:rPr>
        <w:t>BRCA1/2</w:t>
      </w:r>
      <w:r w:rsidR="006847F2" w:rsidRPr="000B725B">
        <w:t xml:space="preserve"> subgroup. The clinical study report (p184) indicated 73 </w:t>
      </w:r>
      <w:r w:rsidR="006847F2" w:rsidRPr="000337F9">
        <w:rPr>
          <w:i/>
          <w:iCs/>
        </w:rPr>
        <w:t>BRCA1/2</w:t>
      </w:r>
      <w:r w:rsidR="006847F2" w:rsidRPr="000B725B">
        <w:t xml:space="preserve"> gene alterations in the intervention arm (11 BRCA1 and 65 BRCA2) and 85 in the comparator arm (12 BRCA1 and 73 BRCA2). However, the submission reported 71 in the intervention arm and 84 in the comparator arm in Table 2.4-2, p69, and 70 and 84 in Table 2.3-2, p63.</w:t>
      </w:r>
      <w:bookmarkEnd w:id="28"/>
    </w:p>
    <w:p w14:paraId="17649499" w14:textId="3CBA9C4F" w:rsidR="00C90B2B" w:rsidRPr="005A293B" w:rsidRDefault="00D23866" w:rsidP="004D4A3F">
      <w:pPr>
        <w:pStyle w:val="TableFigureFooter"/>
        <w:spacing w:before="240"/>
        <w:ind w:left="165" w:hanging="165"/>
        <w:jc w:val="both"/>
        <w:rPr>
          <w:i/>
          <w:iCs/>
        </w:rPr>
      </w:pPr>
      <w:r w:rsidRPr="000B725B">
        <w:rPr>
          <w:vertAlign w:val="superscript"/>
        </w:rPr>
        <w:t>c</w:t>
      </w:r>
      <w:r w:rsidR="00FD5FEE" w:rsidRPr="000B725B">
        <w:tab/>
      </w:r>
      <w:r w:rsidR="00C90B2B" w:rsidRPr="000B725B">
        <w:t xml:space="preserve">Randomisation did not account for </w:t>
      </w:r>
      <w:r w:rsidR="00C90B2B" w:rsidRPr="000337F9">
        <w:rPr>
          <w:i/>
          <w:iCs/>
        </w:rPr>
        <w:t>BRCA1/2</w:t>
      </w:r>
      <w:r w:rsidR="00C90B2B" w:rsidRPr="000B725B">
        <w:t xml:space="preserve"> status, leading to minor inconsistencies in population characteristics of treatment arms in this subgroup.</w:t>
      </w:r>
    </w:p>
    <w:p w14:paraId="08F12A9E" w14:textId="16C1F826" w:rsidR="00A63A90" w:rsidRPr="000B725B" w:rsidRDefault="00A63A90" w:rsidP="00565C8B">
      <w:pPr>
        <w:pStyle w:val="3-BodyText"/>
      </w:pPr>
      <w:r w:rsidRPr="000B725B">
        <w:t>TALAPRO-2 is still ongoing</w:t>
      </w:r>
      <w:r w:rsidR="00F13554">
        <w:t xml:space="preserve">, </w:t>
      </w:r>
      <w:r w:rsidR="00F13554" w:rsidRPr="006E4BFC">
        <w:t xml:space="preserve">with final </w:t>
      </w:r>
      <w:r w:rsidR="00624F7B" w:rsidRPr="00624F7B">
        <w:t xml:space="preserve">radiographic progression-free survival </w:t>
      </w:r>
      <w:r w:rsidR="00624F7B">
        <w:t>(</w:t>
      </w:r>
      <w:r w:rsidR="00F13554" w:rsidRPr="006E4BFC">
        <w:t>rPFS</w:t>
      </w:r>
      <w:r w:rsidR="00624F7B">
        <w:t>)</w:t>
      </w:r>
      <w:r w:rsidR="00F13554" w:rsidRPr="006E4BFC">
        <w:t xml:space="preserve"> and </w:t>
      </w:r>
      <w:r w:rsidR="00624F7B" w:rsidRPr="00624F7B">
        <w:t xml:space="preserve">overall survival </w:t>
      </w:r>
      <w:r w:rsidR="00624F7B">
        <w:t>(</w:t>
      </w:r>
      <w:r w:rsidR="00F13554" w:rsidRPr="006E4BFC">
        <w:t>OS</w:t>
      </w:r>
      <w:r w:rsidR="00624F7B">
        <w:t>)</w:t>
      </w:r>
      <w:r w:rsidR="00F13554" w:rsidRPr="006E4BFC">
        <w:t xml:space="preserve"> analyses expected to be performed in July 2024</w:t>
      </w:r>
      <w:r w:rsidRPr="006E4BFC">
        <w:t xml:space="preserve">. </w:t>
      </w:r>
      <w:r w:rsidRPr="000B725B">
        <w:t xml:space="preserve">The clinical evidence reported </w:t>
      </w:r>
      <w:r w:rsidR="00FD5FEE" w:rsidRPr="000B725B">
        <w:t>in the submission</w:t>
      </w:r>
      <w:r w:rsidRPr="000B725B">
        <w:t xml:space="preserve"> for Cohort 2 </w:t>
      </w:r>
      <w:r w:rsidR="00D23866" w:rsidRPr="000B725B">
        <w:t xml:space="preserve">and </w:t>
      </w:r>
      <w:r w:rsidR="00FD5FEE" w:rsidRPr="000B725B">
        <w:t xml:space="preserve">the </w:t>
      </w:r>
      <w:r w:rsidR="00D23866" w:rsidRPr="000337F9">
        <w:rPr>
          <w:i/>
          <w:iCs/>
        </w:rPr>
        <w:t>BRCA1/2</w:t>
      </w:r>
      <w:r w:rsidR="00D23866" w:rsidRPr="000B725B">
        <w:t xml:space="preserve"> subgroup </w:t>
      </w:r>
      <w:r w:rsidR="00521A00" w:rsidRPr="000B725B">
        <w:t xml:space="preserve">were from </w:t>
      </w:r>
      <w:r w:rsidRPr="000B725B">
        <w:t>two data cut offs (DCOs):</w:t>
      </w:r>
    </w:p>
    <w:p w14:paraId="26FCA739" w14:textId="52F4616D" w:rsidR="00A63A90" w:rsidRPr="000B725B" w:rsidRDefault="00A63A90" w:rsidP="004D4A3F">
      <w:pPr>
        <w:pStyle w:val="ListParagraph"/>
        <w:ind w:left="1134"/>
      </w:pPr>
      <w:r w:rsidRPr="000B725B">
        <w:t>DCO 03 October 2022:</w:t>
      </w:r>
      <w:r w:rsidR="00B02DDC" w:rsidRPr="000B725B">
        <w:t xml:space="preserve"> where</w:t>
      </w:r>
      <w:r w:rsidRPr="000B725B">
        <w:t xml:space="preserve"> the submission </w:t>
      </w:r>
      <w:r w:rsidR="00D23866" w:rsidRPr="000B725B">
        <w:t>reported</w:t>
      </w:r>
      <w:r w:rsidRPr="000B725B">
        <w:t xml:space="preserve"> the final analysis of the primary endpoint (blinded independent central review (BICR) reported rPFS) and </w:t>
      </w:r>
      <w:r w:rsidRPr="000B725B">
        <w:lastRenderedPageBreak/>
        <w:t>the first interim analysis of the key secondary endpoint (OS). The minimum follow-up period in Cohort 2 was 15 months.</w:t>
      </w:r>
    </w:p>
    <w:p w14:paraId="45A7F58C" w14:textId="767CCDCE" w:rsidR="00A63A90" w:rsidRPr="000B725B" w:rsidRDefault="00A63A90" w:rsidP="004D4A3F">
      <w:pPr>
        <w:pStyle w:val="ListParagraph"/>
        <w:ind w:left="1134"/>
      </w:pPr>
      <w:r w:rsidRPr="000B725B">
        <w:t xml:space="preserve">DCO 28 March 2023: </w:t>
      </w:r>
      <w:r w:rsidR="00F13554">
        <w:t>at which an analysis</w:t>
      </w:r>
      <w:r w:rsidR="00B02DDC" w:rsidRPr="000B725B">
        <w:t xml:space="preserve"> of OS for Cohort 2 was reported. The </w:t>
      </w:r>
      <w:r w:rsidR="00F57404" w:rsidRPr="000B725B">
        <w:t>median follow-up duration</w:t>
      </w:r>
      <w:r w:rsidR="00B02DDC" w:rsidRPr="000B725B">
        <w:t>s were</w:t>
      </w:r>
      <w:r w:rsidR="00F57404" w:rsidRPr="000B725B">
        <w:t xml:space="preserve"> 27.6 and 25.5 months in </w:t>
      </w:r>
      <w:r w:rsidR="00B02DDC" w:rsidRPr="000B725B">
        <w:t xml:space="preserve">the </w:t>
      </w:r>
      <w:r w:rsidR="00F57404" w:rsidRPr="000B725B">
        <w:t>talazoparib + enzalutamide and placebo + enzalutamide arms, respectively</w:t>
      </w:r>
      <w:r w:rsidRPr="000B725B">
        <w:t xml:space="preserve">. </w:t>
      </w:r>
    </w:p>
    <w:p w14:paraId="0C8A9B57" w14:textId="65872EAF" w:rsidR="00F65E0E" w:rsidRPr="000B725B" w:rsidRDefault="00F65E0E" w:rsidP="00FE2E26">
      <w:pPr>
        <w:pStyle w:val="3-BodyText"/>
      </w:pPr>
      <w:r w:rsidRPr="000B725B">
        <w:t xml:space="preserve">Baseline characteristics and disease characteristics were well balanced between treatment groups in </w:t>
      </w:r>
      <w:r w:rsidR="00D23866" w:rsidRPr="000B725B">
        <w:t xml:space="preserve">Cohort 2. In the </w:t>
      </w:r>
      <w:r w:rsidR="00D23866" w:rsidRPr="000337F9">
        <w:rPr>
          <w:i/>
          <w:iCs/>
        </w:rPr>
        <w:t>BRCA1/2</w:t>
      </w:r>
      <w:r w:rsidR="00D23866" w:rsidRPr="000B725B">
        <w:t xml:space="preserve"> </w:t>
      </w:r>
      <w:r w:rsidR="00F13554">
        <w:t xml:space="preserve">post hoc </w:t>
      </w:r>
      <w:r w:rsidR="00D23866" w:rsidRPr="000B725B">
        <w:t xml:space="preserve">subgroup, while patient characteristics largely remained consistent across treatment arms, </w:t>
      </w:r>
      <w:r w:rsidR="005411A2" w:rsidRPr="000B725B">
        <w:t xml:space="preserve">minor </w:t>
      </w:r>
      <w:r w:rsidR="00D23866" w:rsidRPr="000B725B">
        <w:t>variations were observed in ECOG status, Gleason score, median serum PSA, and prior anticancer therapies, including taxane.</w:t>
      </w:r>
    </w:p>
    <w:p w14:paraId="1F73912C" w14:textId="0405A333" w:rsidR="00D23866" w:rsidRPr="000B725B" w:rsidRDefault="002E7BAB" w:rsidP="00D23866">
      <w:pPr>
        <w:pStyle w:val="3-BodyText"/>
      </w:pPr>
      <w:r>
        <w:t xml:space="preserve">The </w:t>
      </w:r>
      <w:r w:rsidR="00D23866" w:rsidRPr="000B725B">
        <w:t xml:space="preserve">TALAPRO-2 trial was </w:t>
      </w:r>
      <w:r>
        <w:t>not formally</w:t>
      </w:r>
      <w:r w:rsidR="00D23866" w:rsidRPr="000B725B">
        <w:t xml:space="preserve"> powered to detect </w:t>
      </w:r>
      <w:r>
        <w:t xml:space="preserve">precise </w:t>
      </w:r>
      <w:r w:rsidR="00D23866" w:rsidRPr="000B725B">
        <w:t xml:space="preserve">differences in </w:t>
      </w:r>
      <w:r>
        <w:t xml:space="preserve">rPFS and OS in </w:t>
      </w:r>
      <w:r w:rsidR="00D23866" w:rsidRPr="000B725B">
        <w:t xml:space="preserve">the post-hoc </w:t>
      </w:r>
      <w:r w:rsidR="00D23866" w:rsidRPr="000337F9">
        <w:rPr>
          <w:i/>
          <w:iCs/>
        </w:rPr>
        <w:t>BRCA1/2</w:t>
      </w:r>
      <w:r w:rsidR="00D23866" w:rsidRPr="000B725B">
        <w:t xml:space="preserve"> subgroup </w:t>
      </w:r>
      <w:r w:rsidR="00FD5FEE" w:rsidRPr="000B725B">
        <w:t>given its</w:t>
      </w:r>
      <w:r w:rsidR="00D23866" w:rsidRPr="000B725B">
        <w:t xml:space="preserve"> small sample size (n=</w:t>
      </w:r>
      <w:r w:rsidR="00E9121C" w:rsidRPr="000B725B">
        <w:t>7</w:t>
      </w:r>
      <w:r w:rsidR="00E9121C">
        <w:t>1</w:t>
      </w:r>
      <w:r w:rsidR="00E9121C" w:rsidRPr="000B725B">
        <w:t xml:space="preserve"> </w:t>
      </w:r>
      <w:r w:rsidR="00D23866" w:rsidRPr="000B725B">
        <w:t>in the intervention arm and n=84 in the comparator arm)</w:t>
      </w:r>
      <w:r>
        <w:t>; therefore, the estimates of efficacy were statistically imprecise</w:t>
      </w:r>
      <w:r w:rsidR="00FD5FEE" w:rsidRPr="000B725B">
        <w:t>.</w:t>
      </w:r>
      <w:r>
        <w:t xml:space="preserve"> In addition, the data were</w:t>
      </w:r>
      <w:r w:rsidR="00FD5FEE" w:rsidRPr="000B725B">
        <w:t xml:space="preserve"> immature</w:t>
      </w:r>
      <w:r>
        <w:t>,</w:t>
      </w:r>
      <w:r w:rsidR="00FD5FEE" w:rsidRPr="000B725B">
        <w:t xml:space="preserve"> with the number of observed events well below the</w:t>
      </w:r>
      <w:r w:rsidR="00D23866" w:rsidRPr="000B725B">
        <w:t xml:space="preserve"> estimated numbers needed for significant differences in rPFS (224 events) and OS (438 events) as per the study protocol</w:t>
      </w:r>
      <w:r>
        <w:t>, meaning the magnitude of any benefit observed was uncertain</w:t>
      </w:r>
      <w:r w:rsidR="00D23866" w:rsidRPr="000B725B">
        <w:t>.</w:t>
      </w:r>
    </w:p>
    <w:p w14:paraId="2E4D6AF5" w14:textId="7F9A1A20" w:rsidR="00D23866" w:rsidRDefault="00D23866" w:rsidP="00D23866">
      <w:pPr>
        <w:pStyle w:val="3-BodyText"/>
      </w:pPr>
      <w:r w:rsidRPr="000B725B">
        <w:t xml:space="preserve">Approximately </w:t>
      </w:r>
      <w:r w:rsidR="005D2612">
        <w:t xml:space="preserve">2.8% of </w:t>
      </w:r>
      <w:r w:rsidRPr="000337F9">
        <w:rPr>
          <w:i/>
          <w:iCs/>
        </w:rPr>
        <w:t>BRCA1/2</w:t>
      </w:r>
      <w:r w:rsidRPr="000B725B">
        <w:t xml:space="preserve"> subgroup received </w:t>
      </w:r>
      <w:r w:rsidR="006847F2" w:rsidRPr="000B725B">
        <w:t>enzalutamide</w:t>
      </w:r>
      <w:r w:rsidRPr="000B725B">
        <w:t xml:space="preserve"> </w:t>
      </w:r>
      <w:r w:rsidR="005D2612">
        <w:t xml:space="preserve">or olaparib </w:t>
      </w:r>
      <w:r w:rsidRPr="000B725B">
        <w:t xml:space="preserve">post talazoparib + enzalutamide. </w:t>
      </w:r>
      <w:r w:rsidR="00F0045B" w:rsidRPr="000B725B">
        <w:t>These subsequent treatments</w:t>
      </w:r>
      <w:r w:rsidRPr="000B725B">
        <w:t xml:space="preserve"> would not be permitted on PBS.</w:t>
      </w:r>
    </w:p>
    <w:p w14:paraId="453896AB" w14:textId="759EB90E" w:rsidR="005D2612" w:rsidRPr="006E4BFC" w:rsidRDefault="005D2612" w:rsidP="00D23866">
      <w:pPr>
        <w:pStyle w:val="3-BodyText"/>
      </w:pPr>
      <w:r w:rsidRPr="006E4BFC">
        <w:rPr>
          <w:rFonts w:eastAsia="Calibri"/>
          <w:lang w:val="en-US"/>
        </w:rPr>
        <w:t xml:space="preserve">The ESC noted that a small number of patients in the enzalutamide monotherapy arm of the </w:t>
      </w:r>
      <w:r w:rsidRPr="006E4BFC">
        <w:rPr>
          <w:rFonts w:eastAsia="Calibri"/>
          <w:i/>
          <w:iCs/>
          <w:lang w:val="en-US"/>
        </w:rPr>
        <w:t>BRCA1/2</w:t>
      </w:r>
      <w:r w:rsidRPr="006E4BFC">
        <w:rPr>
          <w:rFonts w:eastAsia="Calibri"/>
          <w:lang w:val="en-US"/>
        </w:rPr>
        <w:t xml:space="preserve"> subgroup (n=17</w:t>
      </w:r>
      <w:r w:rsidR="00061706" w:rsidRPr="006E4BFC">
        <w:rPr>
          <w:rFonts w:eastAsia="Calibri"/>
          <w:lang w:val="en-US"/>
        </w:rPr>
        <w:t>/84</w:t>
      </w:r>
      <w:r w:rsidRPr="006E4BFC">
        <w:rPr>
          <w:rFonts w:eastAsia="Calibri"/>
          <w:lang w:val="en-US"/>
        </w:rPr>
        <w:t>, 20.2%</w:t>
      </w:r>
      <w:r w:rsidR="00061706" w:rsidRPr="006E4BFC">
        <w:rPr>
          <w:rFonts w:eastAsia="Calibri"/>
          <w:lang w:val="en-US"/>
        </w:rPr>
        <w:t xml:space="preserve"> or 17/49, 34.7% of patients who progressed and received another therapy</w:t>
      </w:r>
      <w:r w:rsidRPr="006E4BFC">
        <w:rPr>
          <w:rFonts w:eastAsia="Calibri"/>
          <w:lang w:val="en-US"/>
        </w:rPr>
        <w:t>) received subsequent PARP inhibition</w:t>
      </w:r>
      <w:r w:rsidR="00061706" w:rsidRPr="006E4BFC">
        <w:rPr>
          <w:rFonts w:eastAsia="Calibri"/>
          <w:lang w:val="en-US"/>
        </w:rPr>
        <w:t xml:space="preserve">. The ESC noted that the </w:t>
      </w:r>
      <w:r w:rsidR="00A8370D" w:rsidRPr="006E4BFC">
        <w:rPr>
          <w:rFonts w:eastAsia="Calibri"/>
          <w:lang w:val="en-US"/>
        </w:rPr>
        <w:t xml:space="preserve">applicability of the trial results </w:t>
      </w:r>
      <w:r w:rsidR="00A80E4E" w:rsidRPr="006E4BFC">
        <w:rPr>
          <w:rFonts w:eastAsia="Calibri"/>
          <w:lang w:val="en-US"/>
        </w:rPr>
        <w:t>in the enzalutamide monotherapy arm</w:t>
      </w:r>
      <w:r w:rsidR="00E9051A" w:rsidRPr="006E4BFC">
        <w:rPr>
          <w:rFonts w:eastAsia="Calibri"/>
          <w:lang w:val="en-US"/>
        </w:rPr>
        <w:t xml:space="preserve"> </w:t>
      </w:r>
      <w:r w:rsidR="00A8370D" w:rsidRPr="006E4BFC">
        <w:rPr>
          <w:rFonts w:eastAsia="Calibri"/>
          <w:lang w:val="en-US"/>
        </w:rPr>
        <w:t>to Australian clinical practice</w:t>
      </w:r>
      <w:r w:rsidR="00061706" w:rsidRPr="006E4BFC">
        <w:rPr>
          <w:rFonts w:eastAsia="Calibri"/>
          <w:lang w:val="en-US"/>
        </w:rPr>
        <w:t xml:space="preserve"> was potentially limited as it would be expected that more than 20% of patients would receive subsequent olaparib in clinical practice</w:t>
      </w:r>
      <w:r w:rsidRPr="006E4BFC">
        <w:rPr>
          <w:rFonts w:eastAsia="Calibri"/>
          <w:lang w:val="en-US"/>
        </w:rPr>
        <w:t>.</w:t>
      </w:r>
    </w:p>
    <w:p w14:paraId="341EE8B1" w14:textId="7DE9CF30" w:rsidR="00205754" w:rsidRPr="000B725B" w:rsidRDefault="00744847" w:rsidP="00205754">
      <w:pPr>
        <w:pStyle w:val="3-BodyText"/>
      </w:pPr>
      <w:r w:rsidRPr="000B725B">
        <w:t>D</w:t>
      </w:r>
      <w:r w:rsidR="00727EA3" w:rsidRPr="000B725B">
        <w:t xml:space="preserve">ata on treatment discontinuation and loss to follow-up were </w:t>
      </w:r>
      <w:r w:rsidRPr="000B725B">
        <w:t>only reported for Cohort 2 in the submission and</w:t>
      </w:r>
      <w:r w:rsidR="005033E2" w:rsidRPr="000B725B">
        <w:t xml:space="preserve"> accompanying</w:t>
      </w:r>
      <w:r w:rsidRPr="000B725B">
        <w:t xml:space="preserve"> CSR and </w:t>
      </w:r>
      <w:r w:rsidR="00727EA3" w:rsidRPr="000B725B">
        <w:t xml:space="preserve">not </w:t>
      </w:r>
      <w:r w:rsidRPr="000B725B">
        <w:t xml:space="preserve">for </w:t>
      </w:r>
      <w:r w:rsidR="00727EA3" w:rsidRPr="000B725B">
        <w:t xml:space="preserve">the </w:t>
      </w:r>
      <w:r w:rsidR="00727EA3" w:rsidRPr="000337F9">
        <w:rPr>
          <w:i/>
          <w:iCs/>
        </w:rPr>
        <w:t>BRCA1/2</w:t>
      </w:r>
      <w:r w:rsidR="00727EA3" w:rsidRPr="000B725B">
        <w:t xml:space="preserve"> subgroup.</w:t>
      </w:r>
      <w:r w:rsidRPr="000B725B">
        <w:t xml:space="preserve"> T</w:t>
      </w:r>
      <w:r w:rsidR="00D77C99" w:rsidRPr="000B725B">
        <w:t>i</w:t>
      </w:r>
      <w:r w:rsidRPr="000B725B">
        <w:t xml:space="preserve">me to treatment discontinuation (TTD) for the </w:t>
      </w:r>
      <w:r w:rsidRPr="000337F9">
        <w:rPr>
          <w:i/>
          <w:iCs/>
        </w:rPr>
        <w:t>BRCA1/2</w:t>
      </w:r>
      <w:r w:rsidRPr="000B725B">
        <w:t xml:space="preserve"> population however was used in the modelled economic evaluation, but this was not able to be independently verified during the evaluation. TTD in </w:t>
      </w:r>
      <w:r w:rsidR="005033E2" w:rsidRPr="000B725B">
        <w:t xml:space="preserve">the </w:t>
      </w:r>
      <w:r w:rsidR="000B2FE2" w:rsidRPr="000B725B">
        <w:t>talazoparib + enzalutamide arm</w:t>
      </w:r>
      <w:r w:rsidRPr="000B725B">
        <w:t xml:space="preserve"> was considerably shorter than </w:t>
      </w:r>
      <w:r w:rsidR="000B2FE2" w:rsidRPr="000B725B">
        <w:t>r</w:t>
      </w:r>
      <w:r w:rsidRPr="000B725B">
        <w:t>PFS</w:t>
      </w:r>
      <w:r w:rsidR="005033E2" w:rsidRPr="000B725B">
        <w:t xml:space="preserve"> </w:t>
      </w:r>
      <w:r w:rsidRPr="000B725B">
        <w:t>(</w:t>
      </w:r>
      <w:r w:rsidR="004D4A3F" w:rsidRPr="000B725B">
        <w:t xml:space="preserve">median </w:t>
      </w:r>
      <w:r w:rsidRPr="000B725B">
        <w:t xml:space="preserve">difference of </w:t>
      </w:r>
      <w:r w:rsidR="004D4A3F" w:rsidRPr="000B725B">
        <w:t>1</w:t>
      </w:r>
      <w:r w:rsidR="000B2FE2" w:rsidRPr="000B725B">
        <w:t>1</w:t>
      </w:r>
      <w:r w:rsidR="004D4A3F" w:rsidRPr="000B725B">
        <w:t xml:space="preserve"> </w:t>
      </w:r>
      <w:r w:rsidRPr="000B725B">
        <w:t>months), a difference not able to</w:t>
      </w:r>
      <w:r w:rsidR="00D77C99" w:rsidRPr="000B725B">
        <w:t xml:space="preserve"> be</w:t>
      </w:r>
      <w:r w:rsidRPr="000B725B">
        <w:t xml:space="preserve"> consolidated </w:t>
      </w:r>
      <w:r w:rsidR="00B02DDC" w:rsidRPr="000B725B">
        <w:t xml:space="preserve">given trial </w:t>
      </w:r>
      <w:r w:rsidR="005033E2" w:rsidRPr="000B725B">
        <w:t>discontinuations due to AEs were low (10% in the talazoparib +</w:t>
      </w:r>
      <w:r w:rsidR="00F0045B" w:rsidRPr="000B725B">
        <w:t xml:space="preserve"> </w:t>
      </w:r>
      <w:r w:rsidR="005033E2" w:rsidRPr="000B725B">
        <w:t>enzalutamide arm and 7% in the placebo + enzalutamide</w:t>
      </w:r>
      <w:r w:rsidR="00B02DDC" w:rsidRPr="000B725B">
        <w:t xml:space="preserve"> arm</w:t>
      </w:r>
      <w:r w:rsidR="005033E2" w:rsidRPr="000B725B">
        <w:t xml:space="preserve">). </w:t>
      </w:r>
    </w:p>
    <w:p w14:paraId="4A4FE085" w14:textId="1C5613CC" w:rsidR="00B60939" w:rsidRPr="005A293B" w:rsidRDefault="00B60939" w:rsidP="00EC5836">
      <w:pPr>
        <w:pStyle w:val="4-SubsectionHeading"/>
      </w:pPr>
      <w:bookmarkStart w:id="29" w:name="_Toc22897641"/>
      <w:bookmarkStart w:id="30" w:name="_Toc144911474"/>
      <w:bookmarkStart w:id="31" w:name="_Toc156833536"/>
      <w:r w:rsidRPr="005A293B">
        <w:t>Comparative effectiveness</w:t>
      </w:r>
      <w:bookmarkEnd w:id="29"/>
      <w:bookmarkEnd w:id="30"/>
      <w:bookmarkEnd w:id="31"/>
    </w:p>
    <w:p w14:paraId="42F13FB7" w14:textId="2C21255E" w:rsidR="002B51EA" w:rsidRPr="000B725B" w:rsidRDefault="003F59A7" w:rsidP="00FE2E26">
      <w:pPr>
        <w:pStyle w:val="3-BodyText"/>
      </w:pPr>
      <w:r w:rsidRPr="000B725B">
        <w:fldChar w:fldCharType="begin" w:fldLock="1"/>
      </w:r>
      <w:r w:rsidRPr="000B725B">
        <w:instrText xml:space="preserve"> REF _Ref142987884 \h </w:instrText>
      </w:r>
      <w:r w:rsidR="00D77C99" w:rsidRPr="000B725B">
        <w:instrText xml:space="preserve"> \* MERGEFORMAT </w:instrText>
      </w:r>
      <w:r w:rsidRPr="000B725B">
        <w:fldChar w:fldCharType="separate"/>
      </w:r>
      <w:r w:rsidR="00324A7E" w:rsidRPr="000B725B">
        <w:t>Table 4</w:t>
      </w:r>
      <w:r w:rsidRPr="000B725B">
        <w:fldChar w:fldCharType="end"/>
      </w:r>
      <w:r w:rsidRPr="000B725B">
        <w:t xml:space="preserve"> </w:t>
      </w:r>
      <w:r w:rsidR="000C7B10" w:rsidRPr="000B725B">
        <w:t xml:space="preserve">summarises key time to event outcomes from </w:t>
      </w:r>
      <w:r w:rsidR="000005F5" w:rsidRPr="000B725B">
        <w:t>TALAPRO-2</w:t>
      </w:r>
      <w:r w:rsidR="00B02DDC" w:rsidRPr="000B725B">
        <w:t xml:space="preserve"> </w:t>
      </w:r>
      <w:r w:rsidR="002B51EA" w:rsidRPr="000B725B">
        <w:t xml:space="preserve">for the </w:t>
      </w:r>
      <w:r w:rsidR="006C3ED1" w:rsidRPr="000337F9">
        <w:rPr>
          <w:i/>
          <w:iCs/>
        </w:rPr>
        <w:t>BRCA1/2</w:t>
      </w:r>
      <w:r w:rsidR="00744847" w:rsidRPr="000B725B">
        <w:t xml:space="preserve"> subgroup, its </w:t>
      </w:r>
      <w:r w:rsidR="002B51EA" w:rsidRPr="000B725B">
        <w:t>complement,</w:t>
      </w:r>
      <w:r w:rsidR="00744847" w:rsidRPr="000B725B">
        <w:t xml:space="preserve"> and </w:t>
      </w:r>
      <w:r w:rsidR="002B51EA" w:rsidRPr="000B725B">
        <w:t xml:space="preserve">the overall </w:t>
      </w:r>
      <w:r w:rsidR="00744847" w:rsidRPr="000B725B">
        <w:t>Cohort 2.</w:t>
      </w:r>
      <w:r w:rsidR="002B51EA" w:rsidRPr="000B725B">
        <w:t xml:space="preserve"> Results from Cohort 1 of TALAPRO-2 </w:t>
      </w:r>
      <w:r w:rsidR="00B02DDC" w:rsidRPr="000B725B">
        <w:t xml:space="preserve">(an </w:t>
      </w:r>
      <w:r w:rsidR="002B51EA" w:rsidRPr="000B725B">
        <w:t>all-comers mCRPC population</w:t>
      </w:r>
      <w:r w:rsidR="00B02DDC" w:rsidRPr="000B725B">
        <w:t xml:space="preserve">) </w:t>
      </w:r>
      <w:r w:rsidR="006F16CF" w:rsidRPr="000B725B">
        <w:t>were</w:t>
      </w:r>
      <w:r w:rsidR="002B51EA" w:rsidRPr="000B725B">
        <w:t xml:space="preserve"> not presented in the submission.</w:t>
      </w:r>
    </w:p>
    <w:p w14:paraId="7AC0ADF8" w14:textId="4B2E60DB" w:rsidR="00E4451C" w:rsidRPr="00D77C99" w:rsidRDefault="00E4451C" w:rsidP="00D77C99">
      <w:pPr>
        <w:pStyle w:val="3-BodyText"/>
        <w:keepNext/>
        <w:keepLines/>
        <w:numPr>
          <w:ilvl w:val="0"/>
          <w:numId w:val="0"/>
        </w:numPr>
        <w:spacing w:after="0"/>
        <w:rPr>
          <w:szCs w:val="20"/>
        </w:rPr>
      </w:pPr>
      <w:bookmarkStart w:id="32" w:name="_Ref142987884"/>
      <w:r w:rsidRPr="00D77C99">
        <w:rPr>
          <w:rFonts w:ascii="Arial Narrow" w:hAnsi="Arial Narrow"/>
          <w:b/>
          <w:bCs/>
          <w:sz w:val="20"/>
          <w:szCs w:val="20"/>
        </w:rPr>
        <w:lastRenderedPageBreak/>
        <w:t xml:space="preserve">Table </w:t>
      </w:r>
      <w:r w:rsidR="00B55C3D" w:rsidRPr="00D77C99">
        <w:rPr>
          <w:rFonts w:ascii="Arial Narrow" w:hAnsi="Arial Narrow"/>
          <w:b/>
          <w:bCs/>
          <w:sz w:val="20"/>
          <w:szCs w:val="20"/>
        </w:rPr>
        <w:fldChar w:fldCharType="begin" w:fldLock="1"/>
      </w:r>
      <w:r w:rsidR="00B55C3D" w:rsidRPr="00D77C99">
        <w:rPr>
          <w:rFonts w:ascii="Arial Narrow" w:hAnsi="Arial Narrow"/>
          <w:b/>
          <w:bCs/>
          <w:sz w:val="20"/>
          <w:szCs w:val="20"/>
        </w:rPr>
        <w:instrText xml:space="preserve"> SEQ Table \* ARABIC </w:instrText>
      </w:r>
      <w:r w:rsidR="00B55C3D" w:rsidRPr="00D77C99">
        <w:rPr>
          <w:rFonts w:ascii="Arial Narrow" w:hAnsi="Arial Narrow"/>
          <w:b/>
          <w:bCs/>
          <w:sz w:val="20"/>
          <w:szCs w:val="20"/>
        </w:rPr>
        <w:fldChar w:fldCharType="separate"/>
      </w:r>
      <w:r w:rsidR="00A01609">
        <w:rPr>
          <w:rFonts w:ascii="Arial Narrow" w:hAnsi="Arial Narrow"/>
          <w:b/>
          <w:bCs/>
          <w:noProof/>
          <w:sz w:val="20"/>
          <w:szCs w:val="20"/>
        </w:rPr>
        <w:t>4</w:t>
      </w:r>
      <w:r w:rsidR="00B55C3D" w:rsidRPr="00D77C99">
        <w:rPr>
          <w:rFonts w:ascii="Arial Narrow" w:hAnsi="Arial Narrow"/>
          <w:b/>
          <w:bCs/>
          <w:noProof/>
          <w:sz w:val="20"/>
          <w:szCs w:val="20"/>
        </w:rPr>
        <w:fldChar w:fldCharType="end"/>
      </w:r>
      <w:bookmarkEnd w:id="32"/>
      <w:r w:rsidRPr="00D77C99">
        <w:rPr>
          <w:rFonts w:ascii="Arial Narrow" w:hAnsi="Arial Narrow"/>
          <w:b/>
          <w:bCs/>
          <w:sz w:val="20"/>
          <w:szCs w:val="20"/>
        </w:rPr>
        <w:t xml:space="preserve">: Summary of rPFS and OS </w:t>
      </w:r>
      <w:r w:rsidR="002B51EA">
        <w:rPr>
          <w:rFonts w:ascii="Arial Narrow" w:hAnsi="Arial Narrow"/>
          <w:b/>
          <w:bCs/>
          <w:sz w:val="20"/>
          <w:szCs w:val="20"/>
        </w:rPr>
        <w:t xml:space="preserve">from </w:t>
      </w:r>
      <w:r w:rsidR="000005F5" w:rsidRPr="00D77C99">
        <w:rPr>
          <w:rFonts w:ascii="Arial Narrow" w:hAnsi="Arial Narrow"/>
          <w:b/>
          <w:bCs/>
          <w:sz w:val="20"/>
          <w:szCs w:val="20"/>
        </w:rPr>
        <w:t>TALAPRO-2</w:t>
      </w:r>
      <w:r w:rsidR="002B51EA">
        <w:rPr>
          <w:rFonts w:ascii="Arial Narrow" w:hAnsi="Arial Narrow"/>
          <w:b/>
          <w:bCs/>
          <w:sz w:val="20"/>
          <w:szCs w:val="20"/>
        </w:rPr>
        <w:t>, Cohort 2</w:t>
      </w:r>
    </w:p>
    <w:tbl>
      <w:tblPr>
        <w:tblStyle w:val="TableGrid"/>
        <w:tblW w:w="5000" w:type="pct"/>
        <w:tblCellMar>
          <w:left w:w="28" w:type="dxa"/>
          <w:right w:w="28" w:type="dxa"/>
        </w:tblCellMar>
        <w:tblLook w:val="04A0" w:firstRow="1" w:lastRow="0" w:firstColumn="1" w:lastColumn="0" w:noHBand="0" w:noVBand="1"/>
        <w:tblCaption w:val="Table 4: Summary of rPFS and OS from TALAPRO-2, Cohort 2"/>
      </w:tblPr>
      <w:tblGrid>
        <w:gridCol w:w="1166"/>
        <w:gridCol w:w="1304"/>
        <w:gridCol w:w="1178"/>
        <w:gridCol w:w="1414"/>
        <w:gridCol w:w="1414"/>
        <w:gridCol w:w="1378"/>
        <w:gridCol w:w="1163"/>
      </w:tblGrid>
      <w:tr w:rsidR="000005F5" w:rsidRPr="005A293B" w14:paraId="49B8FED8" w14:textId="77777777" w:rsidTr="0012355C">
        <w:trPr>
          <w:tblHeader/>
        </w:trPr>
        <w:tc>
          <w:tcPr>
            <w:tcW w:w="647" w:type="pct"/>
            <w:vMerge w:val="restart"/>
            <w:tcBorders>
              <w:top w:val="single" w:sz="4" w:space="0" w:color="auto"/>
              <w:left w:val="single" w:sz="4" w:space="0" w:color="auto"/>
              <w:bottom w:val="single" w:sz="4" w:space="0" w:color="auto"/>
              <w:right w:val="single" w:sz="4" w:space="0" w:color="auto"/>
            </w:tcBorders>
            <w:vAlign w:val="center"/>
          </w:tcPr>
          <w:p w14:paraId="24554971" w14:textId="77777777" w:rsidR="000005F5" w:rsidRPr="005A293B" w:rsidRDefault="000005F5" w:rsidP="00D77C99">
            <w:pPr>
              <w:keepNext/>
              <w:keepLines/>
              <w:spacing w:before="10" w:after="10"/>
              <w:jc w:val="center"/>
              <w:rPr>
                <w:rFonts w:ascii="Arial Narrow" w:hAnsi="Arial Narrow"/>
                <w:sz w:val="19"/>
                <w:szCs w:val="19"/>
                <w:lang w:eastAsia="en-US"/>
              </w:rPr>
            </w:pPr>
          </w:p>
        </w:tc>
        <w:tc>
          <w:tcPr>
            <w:tcW w:w="1376" w:type="pct"/>
            <w:gridSpan w:val="2"/>
            <w:tcBorders>
              <w:top w:val="single" w:sz="4" w:space="0" w:color="auto"/>
              <w:left w:val="single" w:sz="4" w:space="0" w:color="auto"/>
              <w:bottom w:val="single" w:sz="4" w:space="0" w:color="auto"/>
              <w:right w:val="single" w:sz="4" w:space="0" w:color="auto"/>
            </w:tcBorders>
            <w:vAlign w:val="center"/>
            <w:hideMark/>
          </w:tcPr>
          <w:p w14:paraId="76EF4665" w14:textId="77777777" w:rsidR="000005F5" w:rsidRPr="005A293B" w:rsidRDefault="000005F5" w:rsidP="00D77C99">
            <w:pPr>
              <w:keepNext/>
              <w:keepLines/>
              <w:spacing w:before="10" w:after="10"/>
              <w:jc w:val="center"/>
              <w:rPr>
                <w:rFonts w:ascii="Arial Narrow" w:hAnsi="Arial Narrow"/>
                <w:b/>
                <w:bCs/>
                <w:sz w:val="19"/>
                <w:szCs w:val="19"/>
                <w:lang w:eastAsia="en-US"/>
              </w:rPr>
            </w:pPr>
            <w:r w:rsidRPr="005A293B">
              <w:rPr>
                <w:rFonts w:ascii="Arial Narrow" w:hAnsi="Arial Narrow"/>
                <w:b/>
                <w:bCs/>
                <w:sz w:val="19"/>
                <w:szCs w:val="19"/>
                <w:lang w:eastAsia="en-US"/>
              </w:rPr>
              <w:t>n events /N patients (%)</w:t>
            </w:r>
          </w:p>
        </w:tc>
        <w:tc>
          <w:tcPr>
            <w:tcW w:w="784" w:type="pct"/>
            <w:vMerge w:val="restart"/>
            <w:tcBorders>
              <w:top w:val="single" w:sz="4" w:space="0" w:color="auto"/>
              <w:left w:val="single" w:sz="4" w:space="0" w:color="auto"/>
              <w:right w:val="single" w:sz="4" w:space="0" w:color="auto"/>
            </w:tcBorders>
            <w:vAlign w:val="center"/>
            <w:hideMark/>
          </w:tcPr>
          <w:p w14:paraId="546C826F" w14:textId="77777777" w:rsidR="000005F5" w:rsidRPr="005A293B" w:rsidRDefault="000005F5" w:rsidP="00D77C99">
            <w:pPr>
              <w:keepNext/>
              <w:keepLines/>
              <w:spacing w:before="10" w:after="10"/>
              <w:jc w:val="center"/>
              <w:rPr>
                <w:rFonts w:ascii="Arial Narrow" w:hAnsi="Arial Narrow"/>
                <w:b/>
                <w:bCs/>
                <w:sz w:val="19"/>
                <w:szCs w:val="19"/>
                <w:lang w:eastAsia="en-US"/>
              </w:rPr>
            </w:pPr>
            <w:r w:rsidRPr="005A293B">
              <w:rPr>
                <w:rFonts w:ascii="Arial Narrow" w:hAnsi="Arial Narrow"/>
                <w:b/>
                <w:bCs/>
                <w:sz w:val="19"/>
                <w:szCs w:val="19"/>
                <w:lang w:eastAsia="en-US"/>
              </w:rPr>
              <w:t>HR (95% CI)</w:t>
            </w:r>
          </w:p>
          <w:p w14:paraId="61D4ABF9" w14:textId="77777777" w:rsidR="000005F5" w:rsidRPr="005A293B" w:rsidRDefault="000005F5" w:rsidP="00D77C99">
            <w:pPr>
              <w:keepNext/>
              <w:keepLines/>
              <w:spacing w:before="10" w:after="10"/>
              <w:jc w:val="center"/>
              <w:rPr>
                <w:rFonts w:ascii="Arial Narrow" w:hAnsi="Arial Narrow"/>
                <w:b/>
                <w:bCs/>
                <w:sz w:val="19"/>
                <w:szCs w:val="19"/>
                <w:lang w:eastAsia="en-US"/>
              </w:rPr>
            </w:pPr>
          </w:p>
        </w:tc>
        <w:tc>
          <w:tcPr>
            <w:tcW w:w="1548" w:type="pct"/>
            <w:gridSpan w:val="2"/>
            <w:tcBorders>
              <w:top w:val="single" w:sz="4" w:space="0" w:color="auto"/>
              <w:left w:val="single" w:sz="4" w:space="0" w:color="auto"/>
              <w:bottom w:val="single" w:sz="4" w:space="0" w:color="auto"/>
              <w:right w:val="single" w:sz="4" w:space="0" w:color="auto"/>
            </w:tcBorders>
            <w:vAlign w:val="center"/>
            <w:hideMark/>
          </w:tcPr>
          <w:p w14:paraId="36D64C85" w14:textId="77777777" w:rsidR="000005F5" w:rsidRPr="005A293B" w:rsidRDefault="000005F5" w:rsidP="00D77C99">
            <w:pPr>
              <w:keepNext/>
              <w:keepLines/>
              <w:spacing w:before="10" w:after="10"/>
              <w:jc w:val="center"/>
              <w:rPr>
                <w:rFonts w:ascii="Arial Narrow" w:hAnsi="Arial Narrow"/>
                <w:b/>
                <w:bCs/>
                <w:sz w:val="19"/>
                <w:szCs w:val="19"/>
                <w:lang w:eastAsia="en-US"/>
              </w:rPr>
            </w:pPr>
            <w:r w:rsidRPr="005A293B">
              <w:rPr>
                <w:rFonts w:ascii="Arial Narrow" w:hAnsi="Arial Narrow"/>
                <w:b/>
                <w:bCs/>
                <w:sz w:val="19"/>
                <w:szCs w:val="19"/>
                <w:lang w:eastAsia="en-US"/>
              </w:rPr>
              <w:t>Median duration (95% CI), months</w:t>
            </w:r>
          </w:p>
        </w:tc>
        <w:tc>
          <w:tcPr>
            <w:tcW w:w="645" w:type="pct"/>
            <w:vMerge w:val="restart"/>
            <w:tcBorders>
              <w:top w:val="single" w:sz="4" w:space="0" w:color="auto"/>
              <w:left w:val="single" w:sz="4" w:space="0" w:color="auto"/>
              <w:right w:val="single" w:sz="4" w:space="0" w:color="auto"/>
            </w:tcBorders>
          </w:tcPr>
          <w:p w14:paraId="564254B8" w14:textId="77777777" w:rsidR="000005F5" w:rsidRPr="005A293B" w:rsidRDefault="000005F5" w:rsidP="00D77C99">
            <w:pPr>
              <w:keepNext/>
              <w:keepLines/>
              <w:spacing w:before="10" w:after="10"/>
              <w:jc w:val="center"/>
              <w:rPr>
                <w:rFonts w:ascii="Arial Narrow" w:hAnsi="Arial Narrow"/>
                <w:b/>
                <w:bCs/>
                <w:sz w:val="19"/>
                <w:szCs w:val="19"/>
                <w:lang w:eastAsia="en-US"/>
              </w:rPr>
            </w:pPr>
            <w:r w:rsidRPr="005A293B">
              <w:rPr>
                <w:rFonts w:ascii="Arial Narrow" w:hAnsi="Arial Narrow"/>
                <w:b/>
                <w:bCs/>
                <w:sz w:val="19"/>
                <w:szCs w:val="19"/>
                <w:lang w:eastAsia="en-US"/>
              </w:rPr>
              <w:t>Difference in median months</w:t>
            </w:r>
          </w:p>
        </w:tc>
      </w:tr>
      <w:tr w:rsidR="000005F5" w:rsidRPr="005A293B" w14:paraId="1F20DC51" w14:textId="77777777" w:rsidTr="0012355C">
        <w:trPr>
          <w:tblHeader/>
        </w:trPr>
        <w:tc>
          <w:tcPr>
            <w:tcW w:w="647" w:type="pct"/>
            <w:vMerge/>
            <w:tcBorders>
              <w:top w:val="single" w:sz="4" w:space="0" w:color="auto"/>
              <w:left w:val="single" w:sz="4" w:space="0" w:color="auto"/>
              <w:bottom w:val="single" w:sz="4" w:space="0" w:color="auto"/>
              <w:right w:val="single" w:sz="4" w:space="0" w:color="auto"/>
            </w:tcBorders>
            <w:vAlign w:val="center"/>
            <w:hideMark/>
          </w:tcPr>
          <w:p w14:paraId="591582CD" w14:textId="77777777" w:rsidR="000005F5" w:rsidRPr="005A293B" w:rsidRDefault="000005F5" w:rsidP="00D77C99">
            <w:pPr>
              <w:keepNext/>
              <w:keepLines/>
              <w:jc w:val="center"/>
              <w:rPr>
                <w:rFonts w:ascii="Arial Narrow" w:hAnsi="Arial Narrow"/>
                <w:sz w:val="19"/>
                <w:szCs w:val="19"/>
                <w:lang w:eastAsia="en-US"/>
              </w:rPr>
            </w:pPr>
          </w:p>
        </w:tc>
        <w:tc>
          <w:tcPr>
            <w:tcW w:w="723" w:type="pct"/>
            <w:tcBorders>
              <w:top w:val="single" w:sz="4" w:space="0" w:color="auto"/>
              <w:left w:val="single" w:sz="4" w:space="0" w:color="auto"/>
              <w:bottom w:val="single" w:sz="4" w:space="0" w:color="auto"/>
              <w:right w:val="single" w:sz="4" w:space="0" w:color="auto"/>
            </w:tcBorders>
            <w:vAlign w:val="center"/>
            <w:hideMark/>
          </w:tcPr>
          <w:p w14:paraId="2947E69D" w14:textId="77777777" w:rsidR="000005F5" w:rsidRPr="005A293B" w:rsidRDefault="000005F5" w:rsidP="00D77C99">
            <w:pPr>
              <w:keepNext/>
              <w:keepLines/>
              <w:spacing w:before="10" w:after="10"/>
              <w:jc w:val="center"/>
              <w:rPr>
                <w:rFonts w:ascii="Arial Narrow" w:hAnsi="Arial Narrow"/>
                <w:b/>
                <w:sz w:val="19"/>
                <w:szCs w:val="19"/>
                <w:lang w:eastAsia="en-US"/>
              </w:rPr>
            </w:pPr>
            <w:r w:rsidRPr="005A293B">
              <w:rPr>
                <w:rFonts w:ascii="Arial Narrow" w:hAnsi="Arial Narrow"/>
                <w:b/>
                <w:sz w:val="19"/>
                <w:szCs w:val="19"/>
                <w:lang w:eastAsia="en-US"/>
              </w:rPr>
              <w:t>TAL+ENZ</w:t>
            </w:r>
          </w:p>
        </w:tc>
        <w:tc>
          <w:tcPr>
            <w:tcW w:w="653" w:type="pct"/>
            <w:tcBorders>
              <w:top w:val="single" w:sz="4" w:space="0" w:color="auto"/>
              <w:left w:val="single" w:sz="4" w:space="0" w:color="auto"/>
              <w:bottom w:val="single" w:sz="4" w:space="0" w:color="auto"/>
              <w:right w:val="single" w:sz="4" w:space="0" w:color="auto"/>
            </w:tcBorders>
            <w:vAlign w:val="center"/>
            <w:hideMark/>
          </w:tcPr>
          <w:p w14:paraId="4666DD57" w14:textId="77777777" w:rsidR="000005F5" w:rsidRPr="005A293B" w:rsidRDefault="000005F5" w:rsidP="00D77C99">
            <w:pPr>
              <w:keepNext/>
              <w:keepLines/>
              <w:spacing w:before="10" w:after="10"/>
              <w:jc w:val="center"/>
              <w:rPr>
                <w:rFonts w:ascii="Arial Narrow" w:hAnsi="Arial Narrow"/>
                <w:b/>
                <w:sz w:val="19"/>
                <w:szCs w:val="19"/>
                <w:lang w:eastAsia="en-US"/>
              </w:rPr>
            </w:pPr>
            <w:r w:rsidRPr="005A293B">
              <w:rPr>
                <w:rFonts w:ascii="Arial Narrow" w:hAnsi="Arial Narrow"/>
                <w:b/>
                <w:sz w:val="19"/>
                <w:szCs w:val="19"/>
                <w:lang w:eastAsia="en-US"/>
              </w:rPr>
              <w:t>PBO+ENZ</w:t>
            </w:r>
          </w:p>
        </w:tc>
        <w:tc>
          <w:tcPr>
            <w:tcW w:w="784" w:type="pct"/>
            <w:vMerge/>
            <w:tcBorders>
              <w:left w:val="single" w:sz="4" w:space="0" w:color="auto"/>
              <w:bottom w:val="single" w:sz="4" w:space="0" w:color="auto"/>
              <w:right w:val="single" w:sz="4" w:space="0" w:color="auto"/>
            </w:tcBorders>
            <w:vAlign w:val="center"/>
            <w:hideMark/>
          </w:tcPr>
          <w:p w14:paraId="7346374E" w14:textId="77777777" w:rsidR="000005F5" w:rsidRPr="005A293B" w:rsidRDefault="000005F5" w:rsidP="00D77C99">
            <w:pPr>
              <w:keepNext/>
              <w:keepLines/>
              <w:spacing w:before="10" w:after="10"/>
              <w:jc w:val="center"/>
              <w:rPr>
                <w:rFonts w:ascii="Arial Narrow" w:hAnsi="Arial Narrow"/>
                <w:b/>
                <w:sz w:val="19"/>
                <w:szCs w:val="19"/>
                <w:lang w:eastAsia="en-US"/>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67C4B055" w14:textId="77777777" w:rsidR="000005F5" w:rsidRPr="005A293B" w:rsidRDefault="000005F5" w:rsidP="00D77C99">
            <w:pPr>
              <w:keepNext/>
              <w:keepLines/>
              <w:spacing w:before="10" w:after="10"/>
              <w:jc w:val="center"/>
              <w:rPr>
                <w:rFonts w:ascii="Arial Narrow" w:hAnsi="Arial Narrow"/>
                <w:b/>
                <w:sz w:val="19"/>
                <w:szCs w:val="19"/>
                <w:lang w:eastAsia="en-US"/>
              </w:rPr>
            </w:pPr>
            <w:r w:rsidRPr="005A293B">
              <w:rPr>
                <w:rFonts w:ascii="Arial Narrow" w:hAnsi="Arial Narrow"/>
                <w:b/>
                <w:sz w:val="19"/>
                <w:szCs w:val="19"/>
                <w:lang w:eastAsia="en-US"/>
              </w:rPr>
              <w:t>TAL+ENZ</w:t>
            </w:r>
          </w:p>
        </w:tc>
        <w:tc>
          <w:tcPr>
            <w:tcW w:w="764" w:type="pct"/>
            <w:tcBorders>
              <w:top w:val="single" w:sz="4" w:space="0" w:color="auto"/>
              <w:left w:val="single" w:sz="4" w:space="0" w:color="auto"/>
              <w:bottom w:val="single" w:sz="4" w:space="0" w:color="auto"/>
              <w:right w:val="single" w:sz="4" w:space="0" w:color="auto"/>
            </w:tcBorders>
            <w:vAlign w:val="center"/>
            <w:hideMark/>
          </w:tcPr>
          <w:p w14:paraId="7FAD9699" w14:textId="77777777" w:rsidR="000005F5" w:rsidRPr="005A293B" w:rsidRDefault="000005F5" w:rsidP="00D77C99">
            <w:pPr>
              <w:keepNext/>
              <w:keepLines/>
              <w:spacing w:before="10" w:after="10"/>
              <w:jc w:val="center"/>
              <w:rPr>
                <w:rFonts w:ascii="Arial Narrow" w:hAnsi="Arial Narrow"/>
                <w:b/>
                <w:sz w:val="19"/>
                <w:szCs w:val="19"/>
                <w:lang w:eastAsia="en-US"/>
              </w:rPr>
            </w:pPr>
            <w:r w:rsidRPr="005A293B">
              <w:rPr>
                <w:rFonts w:ascii="Arial Narrow" w:hAnsi="Arial Narrow"/>
                <w:b/>
                <w:sz w:val="19"/>
                <w:szCs w:val="19"/>
                <w:lang w:eastAsia="en-US"/>
              </w:rPr>
              <w:t>PBO+ENZ</w:t>
            </w:r>
          </w:p>
        </w:tc>
        <w:tc>
          <w:tcPr>
            <w:tcW w:w="645" w:type="pct"/>
            <w:vMerge/>
            <w:tcBorders>
              <w:left w:val="single" w:sz="4" w:space="0" w:color="auto"/>
              <w:bottom w:val="single" w:sz="4" w:space="0" w:color="auto"/>
              <w:right w:val="single" w:sz="4" w:space="0" w:color="auto"/>
            </w:tcBorders>
          </w:tcPr>
          <w:p w14:paraId="41777719" w14:textId="77777777" w:rsidR="000005F5" w:rsidRPr="005A293B" w:rsidRDefault="000005F5" w:rsidP="00D77C99">
            <w:pPr>
              <w:keepNext/>
              <w:keepLines/>
              <w:spacing w:before="10" w:after="10"/>
              <w:jc w:val="center"/>
              <w:rPr>
                <w:rFonts w:ascii="Arial Narrow" w:hAnsi="Arial Narrow"/>
                <w:b/>
                <w:sz w:val="19"/>
                <w:szCs w:val="19"/>
                <w:lang w:eastAsia="en-US"/>
              </w:rPr>
            </w:pPr>
          </w:p>
        </w:tc>
      </w:tr>
      <w:tr w:rsidR="000005F5" w:rsidRPr="005A293B" w14:paraId="7AF280EC" w14:textId="77777777" w:rsidTr="0012355C">
        <w:tc>
          <w:tcPr>
            <w:tcW w:w="5000" w:type="pct"/>
            <w:gridSpan w:val="7"/>
            <w:tcBorders>
              <w:top w:val="single" w:sz="4" w:space="0" w:color="auto"/>
              <w:left w:val="single" w:sz="4" w:space="0" w:color="auto"/>
              <w:bottom w:val="single" w:sz="4" w:space="0" w:color="auto"/>
              <w:right w:val="single" w:sz="4" w:space="0" w:color="auto"/>
            </w:tcBorders>
            <w:vAlign w:val="center"/>
          </w:tcPr>
          <w:p w14:paraId="4AB0C7EC" w14:textId="77777777" w:rsidR="000005F5" w:rsidRPr="005A293B" w:rsidRDefault="000005F5" w:rsidP="00D77C99">
            <w:pPr>
              <w:keepNext/>
              <w:keepLines/>
              <w:spacing w:before="10" w:after="10"/>
              <w:rPr>
                <w:rFonts w:ascii="Arial Narrow" w:hAnsi="Arial Narrow"/>
                <w:b/>
                <w:sz w:val="19"/>
                <w:szCs w:val="19"/>
                <w:lang w:eastAsia="en-US"/>
              </w:rPr>
            </w:pPr>
            <w:r w:rsidRPr="005A293B">
              <w:rPr>
                <w:rFonts w:ascii="Arial Narrow" w:hAnsi="Arial Narrow"/>
                <w:b/>
                <w:sz w:val="19"/>
                <w:szCs w:val="19"/>
              </w:rPr>
              <w:t>rPFS – BICR assessed (DCO 3 October 2022)</w:t>
            </w:r>
          </w:p>
        </w:tc>
      </w:tr>
      <w:tr w:rsidR="000005F5" w:rsidRPr="005A293B" w14:paraId="35CC55E8" w14:textId="77777777" w:rsidTr="0012355C">
        <w:tc>
          <w:tcPr>
            <w:tcW w:w="647" w:type="pct"/>
            <w:tcBorders>
              <w:top w:val="single" w:sz="4" w:space="0" w:color="auto"/>
              <w:left w:val="single" w:sz="4" w:space="0" w:color="auto"/>
              <w:bottom w:val="single" w:sz="4" w:space="0" w:color="auto"/>
              <w:right w:val="single" w:sz="4" w:space="0" w:color="auto"/>
            </w:tcBorders>
            <w:vAlign w:val="center"/>
            <w:hideMark/>
          </w:tcPr>
          <w:p w14:paraId="6B5DA35C" w14:textId="77777777" w:rsidR="000005F5" w:rsidRPr="005A293B" w:rsidRDefault="000005F5" w:rsidP="00D77C99">
            <w:pPr>
              <w:keepNext/>
              <w:keepLines/>
              <w:spacing w:before="10" w:after="10"/>
              <w:rPr>
                <w:rFonts w:ascii="Arial Narrow" w:hAnsi="Arial Narrow"/>
                <w:sz w:val="19"/>
                <w:szCs w:val="19"/>
                <w:lang w:eastAsia="en-US"/>
              </w:rPr>
            </w:pPr>
            <w:r w:rsidRPr="005A293B">
              <w:rPr>
                <w:rFonts w:ascii="Arial Narrow" w:hAnsi="Arial Narrow"/>
                <w:sz w:val="19"/>
                <w:szCs w:val="19"/>
                <w:lang w:eastAsia="en-US"/>
              </w:rPr>
              <w:t>Cohort 2</w:t>
            </w:r>
          </w:p>
        </w:tc>
        <w:tc>
          <w:tcPr>
            <w:tcW w:w="723" w:type="pct"/>
            <w:tcBorders>
              <w:top w:val="single" w:sz="4" w:space="0" w:color="auto"/>
              <w:left w:val="single" w:sz="4" w:space="0" w:color="auto"/>
              <w:bottom w:val="single" w:sz="4" w:space="0" w:color="auto"/>
              <w:right w:val="single" w:sz="4" w:space="0" w:color="auto"/>
            </w:tcBorders>
            <w:vAlign w:val="center"/>
            <w:hideMark/>
          </w:tcPr>
          <w:p w14:paraId="0250FEFB"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66/200 (33.0)</w:t>
            </w:r>
          </w:p>
        </w:tc>
        <w:tc>
          <w:tcPr>
            <w:tcW w:w="653" w:type="pct"/>
            <w:tcBorders>
              <w:top w:val="single" w:sz="4" w:space="0" w:color="auto"/>
              <w:left w:val="single" w:sz="4" w:space="0" w:color="auto"/>
              <w:bottom w:val="single" w:sz="4" w:space="0" w:color="auto"/>
              <w:right w:val="single" w:sz="4" w:space="0" w:color="auto"/>
            </w:tcBorders>
            <w:vAlign w:val="center"/>
            <w:hideMark/>
          </w:tcPr>
          <w:p w14:paraId="78528EB7"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104/199 (52.3)</w:t>
            </w:r>
          </w:p>
        </w:tc>
        <w:tc>
          <w:tcPr>
            <w:tcW w:w="784" w:type="pct"/>
            <w:tcBorders>
              <w:top w:val="single" w:sz="4" w:space="0" w:color="auto"/>
              <w:left w:val="single" w:sz="4" w:space="0" w:color="auto"/>
              <w:bottom w:val="single" w:sz="4" w:space="0" w:color="auto"/>
              <w:right w:val="single" w:sz="4" w:space="0" w:color="auto"/>
            </w:tcBorders>
            <w:vAlign w:val="center"/>
            <w:hideMark/>
          </w:tcPr>
          <w:p w14:paraId="1239F0C8" w14:textId="77777777" w:rsidR="000005F5" w:rsidRPr="005D2612" w:rsidRDefault="000005F5" w:rsidP="00D77C99">
            <w:pPr>
              <w:keepNext/>
              <w:keepLines/>
              <w:spacing w:before="10" w:after="10"/>
              <w:jc w:val="center"/>
              <w:rPr>
                <w:rFonts w:ascii="Arial Narrow" w:hAnsi="Arial Narrow"/>
                <w:b/>
                <w:bCs/>
                <w:sz w:val="19"/>
                <w:szCs w:val="19"/>
                <w:lang w:eastAsia="en-US"/>
              </w:rPr>
            </w:pPr>
            <w:r w:rsidRPr="005D2612">
              <w:rPr>
                <w:rFonts w:ascii="Arial Narrow" w:hAnsi="Arial Narrow"/>
                <w:b/>
                <w:bCs/>
                <w:sz w:val="19"/>
                <w:szCs w:val="19"/>
                <w:lang w:eastAsia="en-US"/>
              </w:rPr>
              <w:t>0.45 (0.33, 0.61)</w:t>
            </w:r>
          </w:p>
        </w:tc>
        <w:tc>
          <w:tcPr>
            <w:tcW w:w="784" w:type="pct"/>
            <w:tcBorders>
              <w:top w:val="single" w:sz="4" w:space="0" w:color="auto"/>
              <w:left w:val="single" w:sz="4" w:space="0" w:color="auto"/>
              <w:bottom w:val="single" w:sz="4" w:space="0" w:color="auto"/>
              <w:right w:val="single" w:sz="4" w:space="0" w:color="auto"/>
            </w:tcBorders>
            <w:vAlign w:val="center"/>
            <w:hideMark/>
          </w:tcPr>
          <w:p w14:paraId="53D6DB3B"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NE (21.9, NE)</w:t>
            </w:r>
          </w:p>
        </w:tc>
        <w:tc>
          <w:tcPr>
            <w:tcW w:w="764" w:type="pct"/>
            <w:tcBorders>
              <w:top w:val="single" w:sz="4" w:space="0" w:color="auto"/>
              <w:left w:val="single" w:sz="4" w:space="0" w:color="auto"/>
              <w:bottom w:val="single" w:sz="4" w:space="0" w:color="auto"/>
              <w:right w:val="single" w:sz="4" w:space="0" w:color="auto"/>
            </w:tcBorders>
            <w:vAlign w:val="center"/>
            <w:hideMark/>
          </w:tcPr>
          <w:p w14:paraId="74A55793" w14:textId="09E8810A"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13.8</w:t>
            </w:r>
            <w:r w:rsidR="008B1219" w:rsidRPr="005D2612">
              <w:rPr>
                <w:rFonts w:ascii="Arial Narrow" w:hAnsi="Arial Narrow"/>
                <w:sz w:val="19"/>
                <w:szCs w:val="19"/>
                <w:lang w:eastAsia="en-US"/>
              </w:rPr>
              <w:t>*</w:t>
            </w:r>
            <w:r w:rsidRPr="005D2612">
              <w:rPr>
                <w:rFonts w:ascii="Arial Narrow" w:hAnsi="Arial Narrow"/>
                <w:sz w:val="19"/>
                <w:szCs w:val="19"/>
                <w:lang w:eastAsia="en-US"/>
              </w:rPr>
              <w:t xml:space="preserve"> (11.0, 16.7)</w:t>
            </w:r>
          </w:p>
        </w:tc>
        <w:tc>
          <w:tcPr>
            <w:tcW w:w="645" w:type="pct"/>
            <w:tcBorders>
              <w:top w:val="single" w:sz="4" w:space="0" w:color="auto"/>
              <w:left w:val="single" w:sz="4" w:space="0" w:color="auto"/>
              <w:bottom w:val="single" w:sz="4" w:space="0" w:color="auto"/>
              <w:right w:val="single" w:sz="4" w:space="0" w:color="auto"/>
            </w:tcBorders>
            <w:vAlign w:val="center"/>
          </w:tcPr>
          <w:p w14:paraId="061D86E3"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NE</w:t>
            </w:r>
          </w:p>
        </w:tc>
      </w:tr>
      <w:tr w:rsidR="000005F5" w:rsidRPr="005A293B" w14:paraId="44216329" w14:textId="77777777" w:rsidTr="0012355C">
        <w:tc>
          <w:tcPr>
            <w:tcW w:w="647" w:type="pct"/>
            <w:tcBorders>
              <w:top w:val="single" w:sz="4" w:space="0" w:color="auto"/>
              <w:left w:val="single" w:sz="4" w:space="0" w:color="auto"/>
              <w:bottom w:val="nil"/>
              <w:right w:val="single" w:sz="4" w:space="0" w:color="auto"/>
            </w:tcBorders>
            <w:vAlign w:val="center"/>
            <w:hideMark/>
          </w:tcPr>
          <w:p w14:paraId="7B087BE5" w14:textId="77777777" w:rsidR="000005F5" w:rsidRPr="005A293B" w:rsidRDefault="000005F5" w:rsidP="00D77C99">
            <w:pPr>
              <w:keepNext/>
              <w:keepLines/>
              <w:spacing w:before="10" w:after="10"/>
              <w:ind w:left="104"/>
              <w:rPr>
                <w:rFonts w:ascii="Arial Narrow" w:hAnsi="Arial Narrow"/>
                <w:sz w:val="19"/>
                <w:szCs w:val="19"/>
                <w:lang w:eastAsia="en-US"/>
              </w:rPr>
            </w:pPr>
            <w:r w:rsidRPr="005A293B">
              <w:rPr>
                <w:rFonts w:ascii="Arial Narrow" w:hAnsi="Arial Narrow"/>
                <w:i/>
                <w:iCs/>
                <w:sz w:val="19"/>
                <w:szCs w:val="19"/>
                <w:lang w:eastAsia="en-US"/>
              </w:rPr>
              <w:t>-BRCA1/2</w:t>
            </w:r>
          </w:p>
        </w:tc>
        <w:tc>
          <w:tcPr>
            <w:tcW w:w="723" w:type="pct"/>
            <w:tcBorders>
              <w:top w:val="single" w:sz="4" w:space="0" w:color="auto"/>
              <w:left w:val="single" w:sz="4" w:space="0" w:color="auto"/>
              <w:bottom w:val="nil"/>
              <w:right w:val="single" w:sz="4" w:space="0" w:color="auto"/>
            </w:tcBorders>
            <w:vAlign w:val="center"/>
          </w:tcPr>
          <w:p w14:paraId="0F85FF7F"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15/71 (21.1)</w:t>
            </w:r>
          </w:p>
        </w:tc>
        <w:tc>
          <w:tcPr>
            <w:tcW w:w="653" w:type="pct"/>
            <w:tcBorders>
              <w:top w:val="single" w:sz="4" w:space="0" w:color="auto"/>
              <w:left w:val="single" w:sz="4" w:space="0" w:color="auto"/>
              <w:bottom w:val="nil"/>
              <w:right w:val="single" w:sz="4" w:space="0" w:color="auto"/>
            </w:tcBorders>
            <w:vAlign w:val="center"/>
          </w:tcPr>
          <w:p w14:paraId="22A775FE"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54/84 (64.3)</w:t>
            </w:r>
          </w:p>
        </w:tc>
        <w:tc>
          <w:tcPr>
            <w:tcW w:w="784" w:type="pct"/>
            <w:tcBorders>
              <w:top w:val="single" w:sz="4" w:space="0" w:color="auto"/>
              <w:left w:val="single" w:sz="4" w:space="0" w:color="auto"/>
              <w:bottom w:val="nil"/>
              <w:right w:val="single" w:sz="4" w:space="0" w:color="auto"/>
            </w:tcBorders>
            <w:vAlign w:val="center"/>
          </w:tcPr>
          <w:p w14:paraId="0D66565C"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0.20 (0.11, 0.36)</w:t>
            </w:r>
          </w:p>
        </w:tc>
        <w:tc>
          <w:tcPr>
            <w:tcW w:w="784" w:type="pct"/>
            <w:tcBorders>
              <w:top w:val="single" w:sz="4" w:space="0" w:color="auto"/>
              <w:left w:val="single" w:sz="4" w:space="0" w:color="auto"/>
              <w:bottom w:val="nil"/>
              <w:right w:val="single" w:sz="4" w:space="0" w:color="auto"/>
            </w:tcBorders>
            <w:vAlign w:val="center"/>
          </w:tcPr>
          <w:p w14:paraId="2A0BCD08"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NE (NE, NE)</w:t>
            </w:r>
          </w:p>
        </w:tc>
        <w:tc>
          <w:tcPr>
            <w:tcW w:w="764" w:type="pct"/>
            <w:tcBorders>
              <w:top w:val="single" w:sz="4" w:space="0" w:color="auto"/>
              <w:left w:val="single" w:sz="4" w:space="0" w:color="auto"/>
              <w:bottom w:val="nil"/>
              <w:right w:val="single" w:sz="4" w:space="0" w:color="auto"/>
            </w:tcBorders>
            <w:vAlign w:val="center"/>
          </w:tcPr>
          <w:p w14:paraId="21C57BEF"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11.0 (8.3, 11.1)</w:t>
            </w:r>
          </w:p>
        </w:tc>
        <w:tc>
          <w:tcPr>
            <w:tcW w:w="645" w:type="pct"/>
            <w:tcBorders>
              <w:top w:val="single" w:sz="4" w:space="0" w:color="auto"/>
              <w:left w:val="single" w:sz="4" w:space="0" w:color="auto"/>
              <w:bottom w:val="nil"/>
              <w:right w:val="single" w:sz="4" w:space="0" w:color="auto"/>
            </w:tcBorders>
            <w:vAlign w:val="center"/>
          </w:tcPr>
          <w:p w14:paraId="30303300"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NE</w:t>
            </w:r>
          </w:p>
        </w:tc>
      </w:tr>
      <w:tr w:rsidR="000005F5" w:rsidRPr="005A293B" w14:paraId="17BCE773" w14:textId="77777777" w:rsidTr="0012355C">
        <w:tc>
          <w:tcPr>
            <w:tcW w:w="647" w:type="pct"/>
            <w:tcBorders>
              <w:top w:val="single" w:sz="4" w:space="0" w:color="auto"/>
              <w:left w:val="single" w:sz="4" w:space="0" w:color="auto"/>
              <w:bottom w:val="single" w:sz="4" w:space="0" w:color="auto"/>
              <w:right w:val="single" w:sz="4" w:space="0" w:color="auto"/>
            </w:tcBorders>
            <w:vAlign w:val="center"/>
            <w:hideMark/>
          </w:tcPr>
          <w:p w14:paraId="4FE605C4" w14:textId="77777777" w:rsidR="000005F5" w:rsidRPr="005A293B" w:rsidRDefault="000005F5" w:rsidP="00D77C99">
            <w:pPr>
              <w:keepNext/>
              <w:keepLines/>
              <w:spacing w:before="10" w:after="10"/>
              <w:ind w:left="104"/>
              <w:rPr>
                <w:rFonts w:ascii="Arial Narrow" w:hAnsi="Arial Narrow"/>
                <w:sz w:val="19"/>
                <w:szCs w:val="19"/>
                <w:vertAlign w:val="superscript"/>
                <w:lang w:eastAsia="en-US"/>
              </w:rPr>
            </w:pPr>
            <w:r w:rsidRPr="005A293B">
              <w:rPr>
                <w:rFonts w:ascii="Arial Narrow" w:hAnsi="Arial Narrow"/>
                <w:i/>
                <w:iCs/>
                <w:sz w:val="19"/>
                <w:szCs w:val="19"/>
                <w:lang w:eastAsia="en-US"/>
              </w:rPr>
              <w:t>-BRCA</w:t>
            </w:r>
            <w:r w:rsidRPr="005A293B">
              <w:rPr>
                <w:rFonts w:ascii="Arial Narrow" w:hAnsi="Arial Narrow"/>
                <w:sz w:val="19"/>
                <w:szCs w:val="19"/>
                <w:lang w:eastAsia="en-US"/>
              </w:rPr>
              <w:t xml:space="preserve">wt </w:t>
            </w:r>
          </w:p>
        </w:tc>
        <w:tc>
          <w:tcPr>
            <w:tcW w:w="723" w:type="pct"/>
            <w:tcBorders>
              <w:top w:val="single" w:sz="4" w:space="0" w:color="auto"/>
              <w:left w:val="single" w:sz="4" w:space="0" w:color="auto"/>
              <w:bottom w:val="single" w:sz="4" w:space="0" w:color="auto"/>
              <w:right w:val="single" w:sz="4" w:space="0" w:color="auto"/>
            </w:tcBorders>
            <w:vAlign w:val="center"/>
          </w:tcPr>
          <w:p w14:paraId="4678234B"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50/127 (39.4)</w:t>
            </w:r>
          </w:p>
        </w:tc>
        <w:tc>
          <w:tcPr>
            <w:tcW w:w="653" w:type="pct"/>
            <w:tcBorders>
              <w:top w:val="single" w:sz="4" w:space="0" w:color="auto"/>
              <w:left w:val="single" w:sz="4" w:space="0" w:color="auto"/>
              <w:bottom w:val="single" w:sz="4" w:space="0" w:color="auto"/>
              <w:right w:val="single" w:sz="4" w:space="0" w:color="auto"/>
            </w:tcBorders>
            <w:vAlign w:val="center"/>
          </w:tcPr>
          <w:p w14:paraId="09EECE17"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50/113 (44.2)</w:t>
            </w:r>
          </w:p>
        </w:tc>
        <w:tc>
          <w:tcPr>
            <w:tcW w:w="784" w:type="pct"/>
            <w:tcBorders>
              <w:top w:val="single" w:sz="4" w:space="0" w:color="auto"/>
              <w:left w:val="single" w:sz="4" w:space="0" w:color="auto"/>
              <w:bottom w:val="single" w:sz="4" w:space="0" w:color="auto"/>
              <w:right w:val="single" w:sz="4" w:space="0" w:color="auto"/>
            </w:tcBorders>
            <w:vAlign w:val="center"/>
          </w:tcPr>
          <w:p w14:paraId="2964F3AA" w14:textId="77777777" w:rsidR="000005F5" w:rsidRPr="005D2612" w:rsidRDefault="000005F5" w:rsidP="00D77C99">
            <w:pPr>
              <w:keepNext/>
              <w:keepLines/>
              <w:jc w:val="center"/>
              <w:rPr>
                <w:rFonts w:ascii="Arial Narrow" w:hAnsi="Arial Narrow"/>
                <w:sz w:val="19"/>
                <w:szCs w:val="19"/>
                <w:lang w:eastAsia="en-US"/>
              </w:rPr>
            </w:pPr>
            <w:r w:rsidRPr="005D2612">
              <w:rPr>
                <w:rFonts w:ascii="Arial Narrow" w:hAnsi="Arial Narrow"/>
                <w:sz w:val="19"/>
                <w:szCs w:val="19"/>
                <w:lang w:eastAsia="en-US"/>
              </w:rPr>
              <w:t>0.69 (0.46, 1.02)</w:t>
            </w:r>
          </w:p>
        </w:tc>
        <w:tc>
          <w:tcPr>
            <w:tcW w:w="784" w:type="pct"/>
            <w:tcBorders>
              <w:top w:val="single" w:sz="4" w:space="0" w:color="auto"/>
              <w:left w:val="single" w:sz="4" w:space="0" w:color="auto"/>
              <w:bottom w:val="single" w:sz="4" w:space="0" w:color="auto"/>
              <w:right w:val="single" w:sz="4" w:space="0" w:color="auto"/>
            </w:tcBorders>
            <w:vAlign w:val="center"/>
          </w:tcPr>
          <w:p w14:paraId="20E49A26"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24.7 (16.4, NE)</w:t>
            </w:r>
          </w:p>
        </w:tc>
        <w:tc>
          <w:tcPr>
            <w:tcW w:w="764" w:type="pct"/>
            <w:tcBorders>
              <w:top w:val="single" w:sz="4" w:space="0" w:color="auto"/>
              <w:left w:val="single" w:sz="4" w:space="0" w:color="auto"/>
              <w:bottom w:val="single" w:sz="4" w:space="0" w:color="auto"/>
              <w:right w:val="single" w:sz="4" w:space="0" w:color="auto"/>
            </w:tcBorders>
            <w:vAlign w:val="center"/>
          </w:tcPr>
          <w:p w14:paraId="7CFA7207"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16.7 (13.8, 27.7)</w:t>
            </w:r>
          </w:p>
        </w:tc>
        <w:tc>
          <w:tcPr>
            <w:tcW w:w="645" w:type="pct"/>
            <w:tcBorders>
              <w:top w:val="single" w:sz="4" w:space="0" w:color="auto"/>
              <w:left w:val="single" w:sz="4" w:space="0" w:color="auto"/>
              <w:bottom w:val="single" w:sz="4" w:space="0" w:color="auto"/>
              <w:right w:val="single" w:sz="4" w:space="0" w:color="auto"/>
            </w:tcBorders>
            <w:vAlign w:val="center"/>
          </w:tcPr>
          <w:p w14:paraId="2EF568A9"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8.0</w:t>
            </w:r>
          </w:p>
        </w:tc>
      </w:tr>
      <w:tr w:rsidR="000005F5" w:rsidRPr="005A293B" w14:paraId="5B66491A" w14:textId="77777777" w:rsidTr="0012355C">
        <w:tc>
          <w:tcPr>
            <w:tcW w:w="5000" w:type="pct"/>
            <w:gridSpan w:val="7"/>
            <w:tcBorders>
              <w:top w:val="single" w:sz="4" w:space="0" w:color="auto"/>
              <w:left w:val="single" w:sz="4" w:space="0" w:color="auto"/>
              <w:bottom w:val="single" w:sz="4" w:space="0" w:color="auto"/>
              <w:right w:val="single" w:sz="4" w:space="0" w:color="auto"/>
            </w:tcBorders>
            <w:vAlign w:val="center"/>
          </w:tcPr>
          <w:p w14:paraId="4507E844" w14:textId="77777777" w:rsidR="000005F5" w:rsidRPr="005A293B" w:rsidRDefault="000005F5" w:rsidP="00D77C99">
            <w:pPr>
              <w:keepNext/>
              <w:keepLines/>
              <w:spacing w:before="10" w:after="10"/>
              <w:rPr>
                <w:rFonts w:ascii="Arial Narrow" w:hAnsi="Arial Narrow"/>
                <w:sz w:val="19"/>
                <w:szCs w:val="19"/>
                <w:lang w:eastAsia="en-US"/>
              </w:rPr>
            </w:pPr>
            <w:r w:rsidRPr="005A293B">
              <w:rPr>
                <w:rFonts w:ascii="Arial Narrow" w:hAnsi="Arial Narrow"/>
                <w:b/>
                <w:bCs/>
                <w:sz w:val="19"/>
                <w:szCs w:val="19"/>
                <w:lang w:eastAsia="en-US"/>
              </w:rPr>
              <w:t>rPFS – investigator assessed (DCO 3</w:t>
            </w:r>
            <w:r w:rsidRPr="005A293B">
              <w:rPr>
                <w:rFonts w:ascii="Arial Narrow" w:hAnsi="Arial Narrow"/>
                <w:b/>
                <w:sz w:val="19"/>
                <w:szCs w:val="19"/>
              </w:rPr>
              <w:t xml:space="preserve"> October 2022</w:t>
            </w:r>
            <w:r w:rsidRPr="005A293B">
              <w:rPr>
                <w:rFonts w:ascii="Arial Narrow" w:hAnsi="Arial Narrow"/>
                <w:b/>
                <w:bCs/>
                <w:sz w:val="19"/>
                <w:szCs w:val="19"/>
                <w:lang w:eastAsia="en-US"/>
              </w:rPr>
              <w:t>)</w:t>
            </w:r>
          </w:p>
        </w:tc>
      </w:tr>
      <w:tr w:rsidR="000005F5" w:rsidRPr="005A293B" w14:paraId="17A2BEA1" w14:textId="77777777" w:rsidTr="0012355C">
        <w:tc>
          <w:tcPr>
            <w:tcW w:w="647" w:type="pct"/>
            <w:tcBorders>
              <w:top w:val="single" w:sz="4" w:space="0" w:color="auto"/>
              <w:left w:val="single" w:sz="4" w:space="0" w:color="auto"/>
              <w:bottom w:val="single" w:sz="4" w:space="0" w:color="auto"/>
              <w:right w:val="single" w:sz="4" w:space="0" w:color="auto"/>
            </w:tcBorders>
            <w:vAlign w:val="center"/>
            <w:hideMark/>
          </w:tcPr>
          <w:p w14:paraId="7E0F4076" w14:textId="77777777" w:rsidR="000005F5" w:rsidRPr="005A293B" w:rsidRDefault="000005F5" w:rsidP="00D77C99">
            <w:pPr>
              <w:keepNext/>
              <w:keepLines/>
              <w:spacing w:before="10" w:after="10"/>
              <w:rPr>
                <w:rFonts w:ascii="Arial Narrow" w:hAnsi="Arial Narrow"/>
                <w:sz w:val="19"/>
                <w:szCs w:val="19"/>
                <w:lang w:eastAsia="en-US"/>
              </w:rPr>
            </w:pPr>
            <w:r w:rsidRPr="005A293B">
              <w:rPr>
                <w:rFonts w:ascii="Arial Narrow" w:hAnsi="Arial Narrow"/>
                <w:sz w:val="19"/>
                <w:szCs w:val="19"/>
                <w:lang w:eastAsia="en-US"/>
              </w:rPr>
              <w:t>Cohort 2</w:t>
            </w:r>
          </w:p>
        </w:tc>
        <w:tc>
          <w:tcPr>
            <w:tcW w:w="723" w:type="pct"/>
            <w:tcBorders>
              <w:top w:val="single" w:sz="4" w:space="0" w:color="auto"/>
              <w:left w:val="single" w:sz="4" w:space="0" w:color="auto"/>
              <w:bottom w:val="single" w:sz="4" w:space="0" w:color="auto"/>
              <w:right w:val="single" w:sz="4" w:space="0" w:color="auto"/>
            </w:tcBorders>
            <w:vAlign w:val="center"/>
          </w:tcPr>
          <w:p w14:paraId="2A28DCCA"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52/200 (26.0)</w:t>
            </w:r>
          </w:p>
        </w:tc>
        <w:tc>
          <w:tcPr>
            <w:tcW w:w="653" w:type="pct"/>
            <w:tcBorders>
              <w:top w:val="single" w:sz="4" w:space="0" w:color="auto"/>
              <w:left w:val="single" w:sz="4" w:space="0" w:color="auto"/>
              <w:bottom w:val="single" w:sz="4" w:space="0" w:color="auto"/>
              <w:right w:val="single" w:sz="4" w:space="0" w:color="auto"/>
            </w:tcBorders>
            <w:vAlign w:val="center"/>
          </w:tcPr>
          <w:p w14:paraId="7CAAF6D7"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82/199 (41.2)</w:t>
            </w:r>
          </w:p>
        </w:tc>
        <w:tc>
          <w:tcPr>
            <w:tcW w:w="784" w:type="pct"/>
            <w:tcBorders>
              <w:top w:val="single" w:sz="4" w:space="0" w:color="auto"/>
              <w:left w:val="single" w:sz="4" w:space="0" w:color="auto"/>
              <w:bottom w:val="single" w:sz="4" w:space="0" w:color="auto"/>
              <w:right w:val="single" w:sz="4" w:space="0" w:color="auto"/>
            </w:tcBorders>
            <w:vAlign w:val="center"/>
          </w:tcPr>
          <w:p w14:paraId="45CC7E8E" w14:textId="77777777" w:rsidR="000005F5" w:rsidRPr="005D2612" w:rsidRDefault="000005F5" w:rsidP="00D77C99">
            <w:pPr>
              <w:keepNext/>
              <w:keepLines/>
              <w:spacing w:before="10" w:after="10"/>
              <w:jc w:val="center"/>
              <w:rPr>
                <w:rFonts w:ascii="Arial Narrow" w:hAnsi="Arial Narrow"/>
                <w:b/>
                <w:bCs/>
                <w:sz w:val="19"/>
                <w:szCs w:val="19"/>
                <w:lang w:eastAsia="en-US"/>
              </w:rPr>
            </w:pPr>
            <w:r w:rsidRPr="005D2612">
              <w:rPr>
                <w:rFonts w:ascii="Arial Narrow" w:hAnsi="Arial Narrow"/>
                <w:b/>
                <w:bCs/>
                <w:sz w:val="19"/>
                <w:szCs w:val="19"/>
                <w:lang w:eastAsia="en-US"/>
              </w:rPr>
              <w:t>0.48 (0.33, 0.67)</w:t>
            </w:r>
          </w:p>
        </w:tc>
        <w:tc>
          <w:tcPr>
            <w:tcW w:w="784" w:type="pct"/>
            <w:tcBorders>
              <w:top w:val="single" w:sz="4" w:space="0" w:color="auto"/>
              <w:left w:val="single" w:sz="4" w:space="0" w:color="auto"/>
              <w:bottom w:val="single" w:sz="4" w:space="0" w:color="auto"/>
              <w:right w:val="single" w:sz="4" w:space="0" w:color="auto"/>
            </w:tcBorders>
            <w:vAlign w:val="center"/>
          </w:tcPr>
          <w:p w14:paraId="511FEF84"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NE (30.3, NE)</w:t>
            </w:r>
          </w:p>
        </w:tc>
        <w:tc>
          <w:tcPr>
            <w:tcW w:w="764" w:type="pct"/>
            <w:tcBorders>
              <w:top w:val="single" w:sz="4" w:space="0" w:color="auto"/>
              <w:left w:val="single" w:sz="4" w:space="0" w:color="auto"/>
              <w:bottom w:val="single" w:sz="4" w:space="0" w:color="auto"/>
              <w:right w:val="single" w:sz="4" w:space="0" w:color="auto"/>
            </w:tcBorders>
            <w:vAlign w:val="center"/>
          </w:tcPr>
          <w:p w14:paraId="5134844D"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16.9 (13.9, 21.3)</w:t>
            </w:r>
          </w:p>
        </w:tc>
        <w:tc>
          <w:tcPr>
            <w:tcW w:w="645" w:type="pct"/>
            <w:tcBorders>
              <w:top w:val="single" w:sz="4" w:space="0" w:color="auto"/>
              <w:left w:val="single" w:sz="4" w:space="0" w:color="auto"/>
              <w:bottom w:val="single" w:sz="4" w:space="0" w:color="auto"/>
              <w:right w:val="single" w:sz="4" w:space="0" w:color="auto"/>
            </w:tcBorders>
            <w:vAlign w:val="center"/>
          </w:tcPr>
          <w:p w14:paraId="66C466A5"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NE</w:t>
            </w:r>
          </w:p>
        </w:tc>
      </w:tr>
      <w:tr w:rsidR="000005F5" w:rsidRPr="005A293B" w14:paraId="1E10DB5F" w14:textId="77777777" w:rsidTr="0012355C">
        <w:tc>
          <w:tcPr>
            <w:tcW w:w="647" w:type="pct"/>
            <w:tcBorders>
              <w:top w:val="single" w:sz="4" w:space="0" w:color="auto"/>
              <w:left w:val="single" w:sz="4" w:space="0" w:color="auto"/>
              <w:bottom w:val="single" w:sz="4" w:space="0" w:color="auto"/>
              <w:right w:val="single" w:sz="4" w:space="0" w:color="auto"/>
            </w:tcBorders>
            <w:vAlign w:val="center"/>
            <w:hideMark/>
          </w:tcPr>
          <w:p w14:paraId="5977F589" w14:textId="77777777" w:rsidR="000005F5" w:rsidRPr="005A293B" w:rsidRDefault="000005F5" w:rsidP="00D77C99">
            <w:pPr>
              <w:keepNext/>
              <w:keepLines/>
              <w:spacing w:before="10" w:after="10"/>
              <w:ind w:left="104"/>
              <w:rPr>
                <w:rFonts w:ascii="Arial Narrow" w:hAnsi="Arial Narrow"/>
                <w:sz w:val="19"/>
                <w:szCs w:val="19"/>
                <w:lang w:eastAsia="en-US"/>
              </w:rPr>
            </w:pPr>
            <w:r w:rsidRPr="005A293B">
              <w:rPr>
                <w:rFonts w:ascii="Arial Narrow" w:hAnsi="Arial Narrow"/>
                <w:i/>
                <w:iCs/>
                <w:sz w:val="19"/>
                <w:szCs w:val="19"/>
                <w:lang w:eastAsia="en-US"/>
              </w:rPr>
              <w:t>-BRCA1/2</w:t>
            </w:r>
          </w:p>
        </w:tc>
        <w:tc>
          <w:tcPr>
            <w:tcW w:w="723" w:type="pct"/>
            <w:tcBorders>
              <w:top w:val="single" w:sz="4" w:space="0" w:color="auto"/>
              <w:left w:val="single" w:sz="4" w:space="0" w:color="auto"/>
              <w:bottom w:val="single" w:sz="4" w:space="0" w:color="auto"/>
              <w:right w:val="single" w:sz="4" w:space="0" w:color="auto"/>
            </w:tcBorders>
            <w:vAlign w:val="center"/>
          </w:tcPr>
          <w:p w14:paraId="6A137ACF"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653" w:type="pct"/>
            <w:tcBorders>
              <w:top w:val="single" w:sz="4" w:space="0" w:color="auto"/>
              <w:left w:val="single" w:sz="4" w:space="0" w:color="auto"/>
              <w:bottom w:val="single" w:sz="4" w:space="0" w:color="auto"/>
              <w:right w:val="single" w:sz="4" w:space="0" w:color="auto"/>
            </w:tcBorders>
            <w:vAlign w:val="center"/>
          </w:tcPr>
          <w:p w14:paraId="085B4293"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784" w:type="pct"/>
            <w:tcBorders>
              <w:top w:val="single" w:sz="4" w:space="0" w:color="auto"/>
              <w:left w:val="single" w:sz="4" w:space="0" w:color="auto"/>
              <w:bottom w:val="single" w:sz="4" w:space="0" w:color="auto"/>
              <w:right w:val="single" w:sz="4" w:space="0" w:color="auto"/>
            </w:tcBorders>
            <w:vAlign w:val="center"/>
          </w:tcPr>
          <w:p w14:paraId="3015C00B"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784" w:type="pct"/>
            <w:tcBorders>
              <w:top w:val="single" w:sz="4" w:space="0" w:color="auto"/>
              <w:left w:val="single" w:sz="4" w:space="0" w:color="auto"/>
              <w:bottom w:val="single" w:sz="4" w:space="0" w:color="auto"/>
              <w:right w:val="single" w:sz="4" w:space="0" w:color="auto"/>
            </w:tcBorders>
            <w:vAlign w:val="center"/>
          </w:tcPr>
          <w:p w14:paraId="4D753A24"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764" w:type="pct"/>
            <w:tcBorders>
              <w:top w:val="single" w:sz="4" w:space="0" w:color="auto"/>
              <w:left w:val="single" w:sz="4" w:space="0" w:color="auto"/>
              <w:bottom w:val="single" w:sz="4" w:space="0" w:color="auto"/>
              <w:right w:val="single" w:sz="4" w:space="0" w:color="auto"/>
            </w:tcBorders>
            <w:vAlign w:val="center"/>
          </w:tcPr>
          <w:p w14:paraId="2544503F"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645" w:type="pct"/>
            <w:tcBorders>
              <w:top w:val="single" w:sz="4" w:space="0" w:color="auto"/>
              <w:left w:val="single" w:sz="4" w:space="0" w:color="auto"/>
              <w:bottom w:val="single" w:sz="4" w:space="0" w:color="auto"/>
              <w:right w:val="single" w:sz="4" w:space="0" w:color="auto"/>
            </w:tcBorders>
            <w:vAlign w:val="center"/>
          </w:tcPr>
          <w:p w14:paraId="48C73A35"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NE</w:t>
            </w:r>
          </w:p>
        </w:tc>
      </w:tr>
      <w:tr w:rsidR="000005F5" w:rsidRPr="005A293B" w14:paraId="26372AE9" w14:textId="77777777" w:rsidTr="0012355C">
        <w:tc>
          <w:tcPr>
            <w:tcW w:w="647" w:type="pct"/>
            <w:tcBorders>
              <w:top w:val="single" w:sz="4" w:space="0" w:color="auto"/>
              <w:left w:val="single" w:sz="4" w:space="0" w:color="auto"/>
              <w:bottom w:val="double" w:sz="4" w:space="0" w:color="auto"/>
              <w:right w:val="single" w:sz="4" w:space="0" w:color="auto"/>
            </w:tcBorders>
            <w:vAlign w:val="center"/>
            <w:hideMark/>
          </w:tcPr>
          <w:p w14:paraId="07BC965E" w14:textId="77777777" w:rsidR="000005F5" w:rsidRPr="005A293B" w:rsidRDefault="000005F5" w:rsidP="00D77C99">
            <w:pPr>
              <w:keepNext/>
              <w:keepLines/>
              <w:spacing w:before="10" w:after="10"/>
              <w:ind w:left="104"/>
              <w:rPr>
                <w:rFonts w:ascii="Arial Narrow" w:hAnsi="Arial Narrow"/>
                <w:sz w:val="19"/>
                <w:szCs w:val="19"/>
                <w:lang w:eastAsia="en-US"/>
              </w:rPr>
            </w:pPr>
            <w:r w:rsidRPr="005A293B">
              <w:rPr>
                <w:rFonts w:ascii="Arial Narrow" w:hAnsi="Arial Narrow"/>
                <w:i/>
                <w:iCs/>
                <w:sz w:val="19"/>
                <w:szCs w:val="19"/>
                <w:lang w:eastAsia="en-US"/>
              </w:rPr>
              <w:t>-BRCA</w:t>
            </w:r>
            <w:r w:rsidRPr="005A293B">
              <w:rPr>
                <w:rFonts w:ascii="Arial Narrow" w:hAnsi="Arial Narrow"/>
                <w:sz w:val="19"/>
                <w:szCs w:val="19"/>
                <w:lang w:eastAsia="en-US"/>
              </w:rPr>
              <w:t>wt</w:t>
            </w:r>
          </w:p>
        </w:tc>
        <w:tc>
          <w:tcPr>
            <w:tcW w:w="723" w:type="pct"/>
            <w:tcBorders>
              <w:top w:val="single" w:sz="4" w:space="0" w:color="auto"/>
              <w:left w:val="single" w:sz="4" w:space="0" w:color="auto"/>
              <w:bottom w:val="double" w:sz="4" w:space="0" w:color="auto"/>
              <w:right w:val="single" w:sz="4" w:space="0" w:color="auto"/>
            </w:tcBorders>
            <w:vAlign w:val="center"/>
          </w:tcPr>
          <w:p w14:paraId="68E1593B"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653" w:type="pct"/>
            <w:tcBorders>
              <w:top w:val="single" w:sz="4" w:space="0" w:color="auto"/>
              <w:left w:val="single" w:sz="4" w:space="0" w:color="auto"/>
              <w:bottom w:val="double" w:sz="4" w:space="0" w:color="auto"/>
              <w:right w:val="single" w:sz="4" w:space="0" w:color="auto"/>
            </w:tcBorders>
            <w:vAlign w:val="center"/>
          </w:tcPr>
          <w:p w14:paraId="28291868"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784" w:type="pct"/>
            <w:tcBorders>
              <w:top w:val="single" w:sz="4" w:space="0" w:color="auto"/>
              <w:left w:val="single" w:sz="4" w:space="0" w:color="auto"/>
              <w:bottom w:val="double" w:sz="4" w:space="0" w:color="auto"/>
              <w:right w:val="single" w:sz="4" w:space="0" w:color="auto"/>
            </w:tcBorders>
            <w:vAlign w:val="center"/>
          </w:tcPr>
          <w:p w14:paraId="4B9A1DCE" w14:textId="77777777" w:rsidR="000005F5" w:rsidRPr="00B0591B" w:rsidRDefault="000005F5" w:rsidP="00D77C99">
            <w:pPr>
              <w:keepNext/>
              <w:keepLines/>
              <w:spacing w:before="10" w:after="10"/>
              <w:jc w:val="center"/>
              <w:rPr>
                <w:rFonts w:ascii="Arial Narrow" w:hAnsi="Arial Narrow"/>
                <w:b/>
                <w:bCs/>
                <w:sz w:val="19"/>
                <w:szCs w:val="19"/>
                <w:lang w:eastAsia="en-US"/>
              </w:rPr>
            </w:pPr>
            <w:r w:rsidRPr="00B0591B">
              <w:rPr>
                <w:rFonts w:ascii="Arial Narrow" w:hAnsi="Arial Narrow"/>
                <w:sz w:val="19"/>
                <w:szCs w:val="19"/>
                <w:lang w:eastAsia="en-US"/>
              </w:rPr>
              <w:t>NR</w:t>
            </w:r>
          </w:p>
        </w:tc>
        <w:tc>
          <w:tcPr>
            <w:tcW w:w="784" w:type="pct"/>
            <w:tcBorders>
              <w:top w:val="single" w:sz="4" w:space="0" w:color="auto"/>
              <w:left w:val="single" w:sz="4" w:space="0" w:color="auto"/>
              <w:bottom w:val="double" w:sz="4" w:space="0" w:color="auto"/>
              <w:right w:val="single" w:sz="4" w:space="0" w:color="auto"/>
            </w:tcBorders>
            <w:vAlign w:val="center"/>
          </w:tcPr>
          <w:p w14:paraId="7276415F"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764" w:type="pct"/>
            <w:tcBorders>
              <w:top w:val="single" w:sz="4" w:space="0" w:color="auto"/>
              <w:left w:val="single" w:sz="4" w:space="0" w:color="auto"/>
              <w:bottom w:val="double" w:sz="4" w:space="0" w:color="auto"/>
              <w:right w:val="single" w:sz="4" w:space="0" w:color="auto"/>
            </w:tcBorders>
            <w:vAlign w:val="center"/>
          </w:tcPr>
          <w:p w14:paraId="3DB6DC0A"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NR</w:t>
            </w:r>
          </w:p>
        </w:tc>
        <w:tc>
          <w:tcPr>
            <w:tcW w:w="645" w:type="pct"/>
            <w:tcBorders>
              <w:top w:val="single" w:sz="4" w:space="0" w:color="auto"/>
              <w:left w:val="single" w:sz="4" w:space="0" w:color="auto"/>
              <w:bottom w:val="double" w:sz="4" w:space="0" w:color="auto"/>
              <w:right w:val="single" w:sz="4" w:space="0" w:color="auto"/>
            </w:tcBorders>
            <w:vAlign w:val="center"/>
          </w:tcPr>
          <w:p w14:paraId="2B242F4B"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NE</w:t>
            </w:r>
          </w:p>
        </w:tc>
      </w:tr>
      <w:tr w:rsidR="000005F5" w:rsidRPr="005A293B" w14:paraId="22A762F2" w14:textId="77777777" w:rsidTr="0012355C">
        <w:trPr>
          <w:trHeight w:val="49"/>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D75FE3E" w14:textId="77777777" w:rsidR="000005F5" w:rsidRPr="005A293B" w:rsidRDefault="000005F5" w:rsidP="00D77C99">
            <w:pPr>
              <w:keepNext/>
              <w:keepLines/>
              <w:spacing w:before="10" w:after="10"/>
              <w:rPr>
                <w:rFonts w:ascii="Arial Narrow" w:hAnsi="Arial Narrow"/>
                <w:sz w:val="19"/>
                <w:szCs w:val="19"/>
                <w:lang w:eastAsia="en-US"/>
              </w:rPr>
            </w:pPr>
            <w:r w:rsidRPr="005A293B">
              <w:rPr>
                <w:rFonts w:ascii="Arial Narrow" w:hAnsi="Arial Narrow"/>
                <w:b/>
                <w:sz w:val="19"/>
                <w:szCs w:val="19"/>
                <w:lang w:eastAsia="en-US"/>
              </w:rPr>
              <w:t xml:space="preserve">OS (DCO </w:t>
            </w:r>
            <w:r w:rsidRPr="005A293B">
              <w:rPr>
                <w:rFonts w:ascii="Arial Narrow" w:hAnsi="Arial Narrow"/>
                <w:b/>
                <w:sz w:val="19"/>
                <w:szCs w:val="19"/>
              </w:rPr>
              <w:t>3 October 2022</w:t>
            </w:r>
            <w:r w:rsidRPr="005A293B">
              <w:rPr>
                <w:rFonts w:ascii="Arial Narrow" w:hAnsi="Arial Narrow"/>
                <w:b/>
                <w:sz w:val="19"/>
                <w:szCs w:val="19"/>
                <w:lang w:eastAsia="en-US"/>
              </w:rPr>
              <w:t>)</w:t>
            </w:r>
          </w:p>
        </w:tc>
      </w:tr>
      <w:tr w:rsidR="000005F5" w:rsidRPr="005A293B" w14:paraId="55B04DEE" w14:textId="77777777" w:rsidTr="0012355C">
        <w:trPr>
          <w:trHeight w:val="49"/>
        </w:trPr>
        <w:tc>
          <w:tcPr>
            <w:tcW w:w="647" w:type="pct"/>
            <w:tcBorders>
              <w:top w:val="nil"/>
              <w:left w:val="single" w:sz="4" w:space="0" w:color="auto"/>
              <w:bottom w:val="single" w:sz="4" w:space="0" w:color="auto"/>
              <w:right w:val="single" w:sz="4" w:space="0" w:color="auto"/>
            </w:tcBorders>
            <w:vAlign w:val="center"/>
            <w:hideMark/>
          </w:tcPr>
          <w:p w14:paraId="2FC36906" w14:textId="77777777" w:rsidR="000005F5" w:rsidRPr="005A293B" w:rsidRDefault="000005F5" w:rsidP="00D77C99">
            <w:pPr>
              <w:keepNext/>
              <w:keepLines/>
              <w:spacing w:before="10" w:after="10"/>
              <w:rPr>
                <w:rFonts w:ascii="Arial Narrow" w:hAnsi="Arial Narrow"/>
                <w:sz w:val="19"/>
                <w:szCs w:val="19"/>
                <w:lang w:eastAsia="en-US"/>
              </w:rPr>
            </w:pPr>
            <w:r w:rsidRPr="005A293B">
              <w:rPr>
                <w:rFonts w:ascii="Arial Narrow" w:hAnsi="Arial Narrow"/>
                <w:sz w:val="19"/>
                <w:szCs w:val="19"/>
                <w:lang w:eastAsia="en-US"/>
              </w:rPr>
              <w:t>Cohort 2</w:t>
            </w:r>
          </w:p>
        </w:tc>
        <w:tc>
          <w:tcPr>
            <w:tcW w:w="723" w:type="pct"/>
            <w:tcBorders>
              <w:top w:val="nil"/>
              <w:left w:val="single" w:sz="4" w:space="0" w:color="auto"/>
              <w:bottom w:val="single" w:sz="4" w:space="0" w:color="auto"/>
              <w:right w:val="single" w:sz="4" w:space="0" w:color="auto"/>
            </w:tcBorders>
            <w:vAlign w:val="center"/>
          </w:tcPr>
          <w:p w14:paraId="76A0C65F"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43/200 (21.5)</w:t>
            </w:r>
          </w:p>
        </w:tc>
        <w:tc>
          <w:tcPr>
            <w:tcW w:w="653" w:type="pct"/>
            <w:tcBorders>
              <w:top w:val="nil"/>
              <w:left w:val="single" w:sz="4" w:space="0" w:color="auto"/>
              <w:bottom w:val="single" w:sz="4" w:space="0" w:color="auto"/>
              <w:right w:val="single" w:sz="4" w:space="0" w:color="auto"/>
            </w:tcBorders>
            <w:vAlign w:val="center"/>
          </w:tcPr>
          <w:p w14:paraId="10E71763"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53/199 (26.6)</w:t>
            </w:r>
          </w:p>
        </w:tc>
        <w:tc>
          <w:tcPr>
            <w:tcW w:w="784" w:type="pct"/>
            <w:tcBorders>
              <w:top w:val="nil"/>
              <w:left w:val="single" w:sz="4" w:space="0" w:color="auto"/>
              <w:bottom w:val="single" w:sz="4" w:space="0" w:color="auto"/>
              <w:right w:val="single" w:sz="4" w:space="0" w:color="auto"/>
            </w:tcBorders>
            <w:vAlign w:val="center"/>
          </w:tcPr>
          <w:p w14:paraId="0C78E199"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0.69 (0.46, 1.03)</w:t>
            </w:r>
          </w:p>
        </w:tc>
        <w:tc>
          <w:tcPr>
            <w:tcW w:w="784" w:type="pct"/>
            <w:tcBorders>
              <w:top w:val="nil"/>
              <w:left w:val="single" w:sz="4" w:space="0" w:color="auto"/>
              <w:bottom w:val="single" w:sz="4" w:space="0" w:color="auto"/>
              <w:right w:val="single" w:sz="4" w:space="0" w:color="auto"/>
            </w:tcBorders>
            <w:vAlign w:val="center"/>
          </w:tcPr>
          <w:p w14:paraId="147359A4"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NE (36.4, NE)</w:t>
            </w:r>
          </w:p>
        </w:tc>
        <w:tc>
          <w:tcPr>
            <w:tcW w:w="764" w:type="pct"/>
            <w:tcBorders>
              <w:top w:val="nil"/>
              <w:left w:val="single" w:sz="4" w:space="0" w:color="auto"/>
              <w:bottom w:val="single" w:sz="4" w:space="0" w:color="auto"/>
              <w:right w:val="single" w:sz="4" w:space="0" w:color="auto"/>
            </w:tcBorders>
            <w:vAlign w:val="center"/>
          </w:tcPr>
          <w:p w14:paraId="28429EC1"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33.7 (27.6, NE)</w:t>
            </w:r>
          </w:p>
        </w:tc>
        <w:tc>
          <w:tcPr>
            <w:tcW w:w="645" w:type="pct"/>
            <w:tcBorders>
              <w:top w:val="nil"/>
              <w:left w:val="single" w:sz="4" w:space="0" w:color="auto"/>
              <w:bottom w:val="single" w:sz="4" w:space="0" w:color="auto"/>
              <w:right w:val="single" w:sz="4" w:space="0" w:color="auto"/>
            </w:tcBorders>
            <w:vAlign w:val="center"/>
          </w:tcPr>
          <w:p w14:paraId="1ED1121B"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NE</w:t>
            </w:r>
          </w:p>
        </w:tc>
      </w:tr>
      <w:tr w:rsidR="000005F5" w:rsidRPr="005A293B" w14:paraId="479F1ACD" w14:textId="77777777" w:rsidTr="0012355C">
        <w:tc>
          <w:tcPr>
            <w:tcW w:w="647" w:type="pct"/>
            <w:tcBorders>
              <w:top w:val="nil"/>
              <w:left w:val="single" w:sz="4" w:space="0" w:color="auto"/>
              <w:bottom w:val="single" w:sz="4" w:space="0" w:color="auto"/>
              <w:right w:val="single" w:sz="4" w:space="0" w:color="auto"/>
            </w:tcBorders>
            <w:vAlign w:val="center"/>
            <w:hideMark/>
          </w:tcPr>
          <w:p w14:paraId="67AA7F2C" w14:textId="77777777" w:rsidR="000005F5" w:rsidRPr="005A293B" w:rsidRDefault="000005F5" w:rsidP="00D77C99">
            <w:pPr>
              <w:keepNext/>
              <w:keepLines/>
              <w:spacing w:before="10" w:after="10"/>
              <w:ind w:left="104"/>
              <w:rPr>
                <w:rFonts w:ascii="Arial Narrow" w:hAnsi="Arial Narrow"/>
                <w:sz w:val="19"/>
                <w:szCs w:val="19"/>
                <w:lang w:eastAsia="en-US"/>
              </w:rPr>
            </w:pPr>
            <w:r w:rsidRPr="005A293B">
              <w:rPr>
                <w:rFonts w:ascii="Arial Narrow" w:hAnsi="Arial Narrow"/>
                <w:i/>
                <w:iCs/>
                <w:sz w:val="19"/>
                <w:szCs w:val="19"/>
                <w:lang w:eastAsia="en-US"/>
              </w:rPr>
              <w:t>-BRCA1/2</w:t>
            </w:r>
          </w:p>
        </w:tc>
        <w:tc>
          <w:tcPr>
            <w:tcW w:w="723" w:type="pct"/>
            <w:tcBorders>
              <w:top w:val="nil"/>
              <w:left w:val="single" w:sz="4" w:space="0" w:color="auto"/>
              <w:bottom w:val="single" w:sz="4" w:space="0" w:color="auto"/>
              <w:right w:val="single" w:sz="4" w:space="0" w:color="auto"/>
            </w:tcBorders>
            <w:vAlign w:val="center"/>
          </w:tcPr>
          <w:p w14:paraId="12DDA16A"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13/71 (18.3)</w:t>
            </w:r>
          </w:p>
        </w:tc>
        <w:tc>
          <w:tcPr>
            <w:tcW w:w="653" w:type="pct"/>
            <w:tcBorders>
              <w:top w:val="nil"/>
              <w:left w:val="single" w:sz="4" w:space="0" w:color="auto"/>
              <w:bottom w:val="single" w:sz="4" w:space="0" w:color="auto"/>
              <w:right w:val="single" w:sz="4" w:space="0" w:color="auto"/>
            </w:tcBorders>
            <w:vAlign w:val="center"/>
          </w:tcPr>
          <w:p w14:paraId="5B861E99"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21/84 (25.0)</w:t>
            </w:r>
          </w:p>
        </w:tc>
        <w:tc>
          <w:tcPr>
            <w:tcW w:w="784" w:type="pct"/>
            <w:tcBorders>
              <w:top w:val="nil"/>
              <w:left w:val="single" w:sz="4" w:space="0" w:color="auto"/>
              <w:bottom w:val="single" w:sz="4" w:space="0" w:color="auto"/>
              <w:right w:val="single" w:sz="4" w:space="0" w:color="auto"/>
            </w:tcBorders>
            <w:vAlign w:val="center"/>
          </w:tcPr>
          <w:p w14:paraId="4350AB2C"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0.61 (0.31, 1.23)</w:t>
            </w:r>
          </w:p>
        </w:tc>
        <w:tc>
          <w:tcPr>
            <w:tcW w:w="784" w:type="pct"/>
            <w:tcBorders>
              <w:top w:val="nil"/>
              <w:left w:val="single" w:sz="4" w:space="0" w:color="auto"/>
              <w:bottom w:val="single" w:sz="4" w:space="0" w:color="auto"/>
              <w:right w:val="single" w:sz="4" w:space="0" w:color="auto"/>
            </w:tcBorders>
            <w:vAlign w:val="center"/>
          </w:tcPr>
          <w:p w14:paraId="08C39DCA"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NE (29.8, NE)</w:t>
            </w:r>
          </w:p>
        </w:tc>
        <w:tc>
          <w:tcPr>
            <w:tcW w:w="764" w:type="pct"/>
            <w:tcBorders>
              <w:top w:val="nil"/>
              <w:left w:val="single" w:sz="4" w:space="0" w:color="auto"/>
              <w:bottom w:val="single" w:sz="4" w:space="0" w:color="auto"/>
              <w:right w:val="single" w:sz="4" w:space="0" w:color="auto"/>
            </w:tcBorders>
            <w:vAlign w:val="center"/>
          </w:tcPr>
          <w:p w14:paraId="538909F3"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NE (24.5, NE)</w:t>
            </w:r>
          </w:p>
        </w:tc>
        <w:tc>
          <w:tcPr>
            <w:tcW w:w="645" w:type="pct"/>
            <w:tcBorders>
              <w:top w:val="nil"/>
              <w:left w:val="single" w:sz="4" w:space="0" w:color="auto"/>
              <w:bottom w:val="single" w:sz="4" w:space="0" w:color="auto"/>
              <w:right w:val="single" w:sz="4" w:space="0" w:color="auto"/>
            </w:tcBorders>
            <w:vAlign w:val="center"/>
          </w:tcPr>
          <w:p w14:paraId="4B4F98A0"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NE</w:t>
            </w:r>
          </w:p>
        </w:tc>
      </w:tr>
      <w:tr w:rsidR="000005F5" w:rsidRPr="005A293B" w14:paraId="182EBEF1" w14:textId="77777777" w:rsidTr="0012355C">
        <w:tc>
          <w:tcPr>
            <w:tcW w:w="647" w:type="pct"/>
            <w:tcBorders>
              <w:top w:val="nil"/>
              <w:left w:val="single" w:sz="4" w:space="0" w:color="auto"/>
              <w:bottom w:val="single" w:sz="4" w:space="0" w:color="auto"/>
              <w:right w:val="single" w:sz="4" w:space="0" w:color="auto"/>
            </w:tcBorders>
            <w:vAlign w:val="center"/>
            <w:hideMark/>
          </w:tcPr>
          <w:p w14:paraId="3DD3FACC" w14:textId="77777777" w:rsidR="000005F5" w:rsidRPr="005A293B" w:rsidRDefault="000005F5" w:rsidP="00D77C99">
            <w:pPr>
              <w:keepNext/>
              <w:keepLines/>
              <w:spacing w:before="10" w:after="10"/>
              <w:ind w:left="104"/>
              <w:rPr>
                <w:rFonts w:ascii="Arial Narrow" w:hAnsi="Arial Narrow"/>
                <w:sz w:val="19"/>
                <w:szCs w:val="19"/>
                <w:lang w:eastAsia="en-US"/>
              </w:rPr>
            </w:pPr>
            <w:r w:rsidRPr="005A293B">
              <w:rPr>
                <w:rFonts w:ascii="Arial Narrow" w:hAnsi="Arial Narrow"/>
                <w:i/>
                <w:iCs/>
                <w:sz w:val="19"/>
                <w:szCs w:val="19"/>
                <w:lang w:eastAsia="en-US"/>
              </w:rPr>
              <w:t>-BRCA</w:t>
            </w:r>
            <w:r w:rsidRPr="005A293B">
              <w:rPr>
                <w:rFonts w:ascii="Arial Narrow" w:hAnsi="Arial Narrow"/>
                <w:sz w:val="19"/>
                <w:szCs w:val="19"/>
                <w:lang w:eastAsia="en-US"/>
              </w:rPr>
              <w:t>wt</w:t>
            </w:r>
          </w:p>
        </w:tc>
        <w:tc>
          <w:tcPr>
            <w:tcW w:w="723" w:type="pct"/>
            <w:tcBorders>
              <w:top w:val="nil"/>
              <w:left w:val="single" w:sz="4" w:space="0" w:color="auto"/>
              <w:bottom w:val="single" w:sz="4" w:space="0" w:color="auto"/>
              <w:right w:val="single" w:sz="4" w:space="0" w:color="auto"/>
            </w:tcBorders>
            <w:vAlign w:val="center"/>
          </w:tcPr>
          <w:p w14:paraId="0849332A"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29/127 (22.8)</w:t>
            </w:r>
          </w:p>
        </w:tc>
        <w:tc>
          <w:tcPr>
            <w:tcW w:w="653" w:type="pct"/>
            <w:tcBorders>
              <w:top w:val="nil"/>
              <w:left w:val="single" w:sz="4" w:space="0" w:color="auto"/>
              <w:bottom w:val="single" w:sz="4" w:space="0" w:color="auto"/>
              <w:right w:val="single" w:sz="4" w:space="0" w:color="auto"/>
            </w:tcBorders>
            <w:vAlign w:val="center"/>
          </w:tcPr>
          <w:p w14:paraId="7B3C7792"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32/113 (28.3)</w:t>
            </w:r>
          </w:p>
        </w:tc>
        <w:tc>
          <w:tcPr>
            <w:tcW w:w="784" w:type="pct"/>
            <w:tcBorders>
              <w:top w:val="nil"/>
              <w:left w:val="single" w:sz="4" w:space="0" w:color="auto"/>
              <w:bottom w:val="single" w:sz="4" w:space="0" w:color="auto"/>
              <w:right w:val="single" w:sz="4" w:space="0" w:color="auto"/>
            </w:tcBorders>
            <w:vAlign w:val="center"/>
          </w:tcPr>
          <w:p w14:paraId="59C40769"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0.66 (0.40, 1.11)</w:t>
            </w:r>
          </w:p>
        </w:tc>
        <w:tc>
          <w:tcPr>
            <w:tcW w:w="784" w:type="pct"/>
            <w:tcBorders>
              <w:top w:val="nil"/>
              <w:left w:val="single" w:sz="4" w:space="0" w:color="auto"/>
              <w:bottom w:val="single" w:sz="4" w:space="0" w:color="auto"/>
              <w:right w:val="single" w:sz="4" w:space="0" w:color="auto"/>
            </w:tcBorders>
            <w:vAlign w:val="center"/>
          </w:tcPr>
          <w:p w14:paraId="505D2C39"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36.4 (36.4, NE)</w:t>
            </w:r>
          </w:p>
        </w:tc>
        <w:tc>
          <w:tcPr>
            <w:tcW w:w="764" w:type="pct"/>
            <w:tcBorders>
              <w:top w:val="nil"/>
              <w:left w:val="single" w:sz="4" w:space="0" w:color="auto"/>
              <w:bottom w:val="single" w:sz="4" w:space="0" w:color="auto"/>
              <w:right w:val="single" w:sz="4" w:space="0" w:color="auto"/>
            </w:tcBorders>
            <w:vAlign w:val="center"/>
          </w:tcPr>
          <w:p w14:paraId="217661D2"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33.7 (27.6, NE)</w:t>
            </w:r>
          </w:p>
        </w:tc>
        <w:tc>
          <w:tcPr>
            <w:tcW w:w="645" w:type="pct"/>
            <w:tcBorders>
              <w:top w:val="nil"/>
              <w:left w:val="single" w:sz="4" w:space="0" w:color="auto"/>
              <w:bottom w:val="single" w:sz="4" w:space="0" w:color="auto"/>
              <w:right w:val="single" w:sz="4" w:space="0" w:color="auto"/>
            </w:tcBorders>
            <w:vAlign w:val="center"/>
          </w:tcPr>
          <w:p w14:paraId="55938A55"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2.7</w:t>
            </w:r>
          </w:p>
        </w:tc>
      </w:tr>
      <w:tr w:rsidR="000005F5" w:rsidRPr="005A293B" w14:paraId="7AFFC244" w14:textId="77777777" w:rsidTr="0012355C">
        <w:tc>
          <w:tcPr>
            <w:tcW w:w="5000" w:type="pct"/>
            <w:gridSpan w:val="7"/>
            <w:tcBorders>
              <w:top w:val="single" w:sz="4" w:space="0" w:color="auto"/>
              <w:left w:val="single" w:sz="4" w:space="0" w:color="auto"/>
              <w:bottom w:val="single" w:sz="4" w:space="0" w:color="auto"/>
              <w:right w:val="single" w:sz="4" w:space="0" w:color="auto"/>
            </w:tcBorders>
            <w:vAlign w:val="center"/>
          </w:tcPr>
          <w:p w14:paraId="545FD1C8" w14:textId="77777777" w:rsidR="000005F5" w:rsidRPr="005A293B" w:rsidRDefault="000005F5" w:rsidP="00D77C99">
            <w:pPr>
              <w:keepNext/>
              <w:keepLines/>
              <w:spacing w:before="10" w:after="10"/>
              <w:rPr>
                <w:rFonts w:ascii="Arial Narrow" w:hAnsi="Arial Narrow"/>
                <w:b/>
                <w:sz w:val="19"/>
                <w:szCs w:val="19"/>
                <w:lang w:eastAsia="en-US"/>
              </w:rPr>
            </w:pPr>
            <w:r w:rsidRPr="005A293B">
              <w:rPr>
                <w:rFonts w:ascii="Arial Narrow" w:hAnsi="Arial Narrow"/>
                <w:b/>
                <w:sz w:val="19"/>
                <w:szCs w:val="19"/>
                <w:lang w:eastAsia="en-US"/>
              </w:rPr>
              <w:t>OS (DCO 28</w:t>
            </w:r>
            <w:r w:rsidRPr="005A293B">
              <w:rPr>
                <w:rFonts w:ascii="Arial Narrow" w:hAnsi="Arial Narrow"/>
                <w:b/>
                <w:sz w:val="19"/>
                <w:szCs w:val="19"/>
              </w:rPr>
              <w:t xml:space="preserve"> March 2023</w:t>
            </w:r>
            <w:r w:rsidRPr="005A293B">
              <w:rPr>
                <w:rFonts w:ascii="Arial Narrow" w:hAnsi="Arial Narrow"/>
                <w:b/>
                <w:sz w:val="19"/>
                <w:szCs w:val="19"/>
                <w:lang w:eastAsia="en-US"/>
              </w:rPr>
              <w:t>)</w:t>
            </w:r>
          </w:p>
        </w:tc>
      </w:tr>
      <w:tr w:rsidR="000005F5" w:rsidRPr="005A293B" w14:paraId="27537777" w14:textId="77777777" w:rsidTr="0012355C">
        <w:tc>
          <w:tcPr>
            <w:tcW w:w="647" w:type="pct"/>
            <w:tcBorders>
              <w:top w:val="single" w:sz="4" w:space="0" w:color="auto"/>
              <w:left w:val="single" w:sz="4" w:space="0" w:color="auto"/>
              <w:bottom w:val="single" w:sz="4" w:space="0" w:color="auto"/>
              <w:right w:val="single" w:sz="4" w:space="0" w:color="auto"/>
            </w:tcBorders>
            <w:vAlign w:val="center"/>
          </w:tcPr>
          <w:p w14:paraId="1F84C1F7" w14:textId="77777777" w:rsidR="000005F5" w:rsidRPr="005A293B" w:rsidRDefault="000005F5" w:rsidP="00D77C99">
            <w:pPr>
              <w:keepNext/>
              <w:keepLines/>
              <w:spacing w:before="10" w:after="10"/>
              <w:rPr>
                <w:rFonts w:ascii="Arial Narrow" w:hAnsi="Arial Narrow"/>
                <w:i/>
                <w:iCs/>
                <w:sz w:val="19"/>
                <w:szCs w:val="19"/>
                <w:lang w:eastAsia="en-US"/>
              </w:rPr>
            </w:pPr>
            <w:r w:rsidRPr="005A293B">
              <w:rPr>
                <w:rFonts w:ascii="Arial Narrow" w:hAnsi="Arial Narrow"/>
                <w:sz w:val="19"/>
                <w:szCs w:val="19"/>
                <w:lang w:eastAsia="en-US"/>
              </w:rPr>
              <w:t>Cohort 2</w:t>
            </w:r>
          </w:p>
        </w:tc>
        <w:tc>
          <w:tcPr>
            <w:tcW w:w="723" w:type="pct"/>
            <w:tcBorders>
              <w:top w:val="single" w:sz="4" w:space="0" w:color="auto"/>
              <w:left w:val="single" w:sz="4" w:space="0" w:color="auto"/>
              <w:bottom w:val="single" w:sz="4" w:space="0" w:color="auto"/>
              <w:right w:val="single" w:sz="4" w:space="0" w:color="auto"/>
            </w:tcBorders>
            <w:vAlign w:val="center"/>
          </w:tcPr>
          <w:p w14:paraId="4311E00C"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60/200 (30.0)</w:t>
            </w:r>
          </w:p>
        </w:tc>
        <w:tc>
          <w:tcPr>
            <w:tcW w:w="653" w:type="pct"/>
            <w:tcBorders>
              <w:top w:val="single" w:sz="4" w:space="0" w:color="auto"/>
              <w:left w:val="single" w:sz="4" w:space="0" w:color="auto"/>
              <w:bottom w:val="single" w:sz="4" w:space="0" w:color="auto"/>
              <w:right w:val="single" w:sz="4" w:space="0" w:color="auto"/>
            </w:tcBorders>
            <w:vAlign w:val="center"/>
          </w:tcPr>
          <w:p w14:paraId="1FCCF27F"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76/199 (38.2)</w:t>
            </w:r>
          </w:p>
        </w:tc>
        <w:tc>
          <w:tcPr>
            <w:tcW w:w="784" w:type="pct"/>
            <w:tcBorders>
              <w:top w:val="single" w:sz="4" w:space="0" w:color="auto"/>
              <w:left w:val="single" w:sz="4" w:space="0" w:color="auto"/>
              <w:bottom w:val="single" w:sz="4" w:space="0" w:color="auto"/>
              <w:right w:val="single" w:sz="4" w:space="0" w:color="auto"/>
            </w:tcBorders>
            <w:vAlign w:val="center"/>
          </w:tcPr>
          <w:p w14:paraId="147FA637"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b/>
                <w:bCs/>
                <w:sz w:val="19"/>
                <w:szCs w:val="19"/>
                <w:lang w:eastAsia="en-US"/>
              </w:rPr>
              <w:t>0.66 (0.47, 0.93)</w:t>
            </w:r>
          </w:p>
        </w:tc>
        <w:tc>
          <w:tcPr>
            <w:tcW w:w="784" w:type="pct"/>
            <w:tcBorders>
              <w:top w:val="single" w:sz="4" w:space="0" w:color="auto"/>
              <w:left w:val="single" w:sz="4" w:space="0" w:color="auto"/>
              <w:bottom w:val="single" w:sz="4" w:space="0" w:color="auto"/>
              <w:right w:val="single" w:sz="4" w:space="0" w:color="auto"/>
            </w:tcBorders>
            <w:vAlign w:val="center"/>
          </w:tcPr>
          <w:p w14:paraId="001848AD"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41.9 (34.5, NE)</w:t>
            </w:r>
          </w:p>
        </w:tc>
        <w:tc>
          <w:tcPr>
            <w:tcW w:w="764" w:type="pct"/>
            <w:tcBorders>
              <w:top w:val="single" w:sz="4" w:space="0" w:color="auto"/>
              <w:left w:val="single" w:sz="4" w:space="0" w:color="auto"/>
              <w:bottom w:val="single" w:sz="4" w:space="0" w:color="auto"/>
              <w:right w:val="single" w:sz="4" w:space="0" w:color="auto"/>
            </w:tcBorders>
            <w:vAlign w:val="center"/>
          </w:tcPr>
          <w:p w14:paraId="3EA8CD45"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30.8 (26.8, 38.8)</w:t>
            </w:r>
          </w:p>
        </w:tc>
        <w:tc>
          <w:tcPr>
            <w:tcW w:w="645" w:type="pct"/>
            <w:tcBorders>
              <w:top w:val="single" w:sz="4" w:space="0" w:color="auto"/>
              <w:left w:val="single" w:sz="4" w:space="0" w:color="auto"/>
              <w:bottom w:val="single" w:sz="4" w:space="0" w:color="auto"/>
              <w:right w:val="single" w:sz="4" w:space="0" w:color="auto"/>
            </w:tcBorders>
            <w:vAlign w:val="center"/>
          </w:tcPr>
          <w:p w14:paraId="6CD7A14A"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11.1</w:t>
            </w:r>
          </w:p>
        </w:tc>
      </w:tr>
      <w:tr w:rsidR="000005F5" w:rsidRPr="005A293B" w14:paraId="4B3CDCD2" w14:textId="77777777" w:rsidTr="0012355C">
        <w:tc>
          <w:tcPr>
            <w:tcW w:w="647" w:type="pct"/>
            <w:tcBorders>
              <w:top w:val="single" w:sz="4" w:space="0" w:color="auto"/>
              <w:left w:val="single" w:sz="4" w:space="0" w:color="auto"/>
              <w:bottom w:val="single" w:sz="4" w:space="0" w:color="auto"/>
              <w:right w:val="single" w:sz="4" w:space="0" w:color="auto"/>
            </w:tcBorders>
            <w:vAlign w:val="center"/>
          </w:tcPr>
          <w:p w14:paraId="481AD324" w14:textId="77777777" w:rsidR="000005F5" w:rsidRPr="005A293B" w:rsidRDefault="000005F5" w:rsidP="00D77C99">
            <w:pPr>
              <w:keepNext/>
              <w:keepLines/>
              <w:spacing w:before="10" w:after="10"/>
              <w:ind w:left="104"/>
              <w:rPr>
                <w:rFonts w:ascii="Arial Narrow" w:hAnsi="Arial Narrow"/>
                <w:i/>
                <w:iCs/>
                <w:sz w:val="19"/>
                <w:szCs w:val="19"/>
                <w:lang w:eastAsia="en-US"/>
              </w:rPr>
            </w:pPr>
            <w:r w:rsidRPr="005A293B">
              <w:rPr>
                <w:rFonts w:ascii="Arial Narrow" w:hAnsi="Arial Narrow"/>
                <w:i/>
                <w:iCs/>
                <w:sz w:val="19"/>
                <w:szCs w:val="19"/>
                <w:lang w:eastAsia="en-US"/>
              </w:rPr>
              <w:t>-BRCA1/2</w:t>
            </w:r>
          </w:p>
        </w:tc>
        <w:tc>
          <w:tcPr>
            <w:tcW w:w="723" w:type="pct"/>
            <w:tcBorders>
              <w:top w:val="single" w:sz="4" w:space="0" w:color="auto"/>
              <w:left w:val="single" w:sz="4" w:space="0" w:color="auto"/>
              <w:bottom w:val="single" w:sz="4" w:space="0" w:color="auto"/>
              <w:right w:val="single" w:sz="4" w:space="0" w:color="auto"/>
            </w:tcBorders>
            <w:vAlign w:val="center"/>
          </w:tcPr>
          <w:p w14:paraId="4822EDC9"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18/71 (25.4)</w:t>
            </w:r>
          </w:p>
        </w:tc>
        <w:tc>
          <w:tcPr>
            <w:tcW w:w="653" w:type="pct"/>
            <w:tcBorders>
              <w:top w:val="single" w:sz="4" w:space="0" w:color="auto"/>
              <w:left w:val="single" w:sz="4" w:space="0" w:color="auto"/>
              <w:bottom w:val="single" w:sz="4" w:space="0" w:color="auto"/>
              <w:right w:val="single" w:sz="4" w:space="0" w:color="auto"/>
            </w:tcBorders>
            <w:vAlign w:val="center"/>
          </w:tcPr>
          <w:p w14:paraId="7F090C76"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34/84 (40.5)</w:t>
            </w:r>
          </w:p>
        </w:tc>
        <w:tc>
          <w:tcPr>
            <w:tcW w:w="784" w:type="pct"/>
            <w:tcBorders>
              <w:top w:val="single" w:sz="4" w:space="0" w:color="auto"/>
              <w:left w:val="single" w:sz="4" w:space="0" w:color="auto"/>
              <w:bottom w:val="single" w:sz="4" w:space="0" w:color="auto"/>
              <w:right w:val="single" w:sz="4" w:space="0" w:color="auto"/>
            </w:tcBorders>
            <w:vAlign w:val="center"/>
          </w:tcPr>
          <w:p w14:paraId="192FFFE8" w14:textId="77777777" w:rsidR="000005F5" w:rsidRPr="00B0591B" w:rsidRDefault="000005F5" w:rsidP="00D77C99">
            <w:pPr>
              <w:keepNext/>
              <w:keepLines/>
              <w:spacing w:before="10" w:after="10"/>
              <w:jc w:val="center"/>
              <w:rPr>
                <w:rFonts w:ascii="Arial Narrow" w:hAnsi="Arial Narrow"/>
                <w:sz w:val="19"/>
                <w:szCs w:val="19"/>
                <w:lang w:eastAsia="en-US"/>
              </w:rPr>
            </w:pPr>
            <w:r w:rsidRPr="00B0591B">
              <w:rPr>
                <w:rFonts w:ascii="Arial Narrow" w:hAnsi="Arial Narrow"/>
                <w:sz w:val="19"/>
                <w:szCs w:val="19"/>
                <w:lang w:eastAsia="en-US"/>
              </w:rPr>
              <w:t>0.47 (0.26, 0.85)</w:t>
            </w:r>
          </w:p>
        </w:tc>
        <w:tc>
          <w:tcPr>
            <w:tcW w:w="784" w:type="pct"/>
            <w:tcBorders>
              <w:top w:val="single" w:sz="4" w:space="0" w:color="auto"/>
              <w:left w:val="single" w:sz="4" w:space="0" w:color="auto"/>
              <w:bottom w:val="single" w:sz="4" w:space="0" w:color="auto"/>
              <w:right w:val="single" w:sz="4" w:space="0" w:color="auto"/>
            </w:tcBorders>
            <w:vAlign w:val="center"/>
          </w:tcPr>
          <w:p w14:paraId="617936A1"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41.9 (33, NE)</w:t>
            </w:r>
          </w:p>
        </w:tc>
        <w:tc>
          <w:tcPr>
            <w:tcW w:w="764" w:type="pct"/>
            <w:tcBorders>
              <w:top w:val="single" w:sz="4" w:space="0" w:color="auto"/>
              <w:left w:val="single" w:sz="4" w:space="0" w:color="auto"/>
              <w:bottom w:val="single" w:sz="4" w:space="0" w:color="auto"/>
              <w:right w:val="single" w:sz="4" w:space="0" w:color="auto"/>
            </w:tcBorders>
            <w:vAlign w:val="center"/>
          </w:tcPr>
          <w:p w14:paraId="0231A60B"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26.1 (22.6, NE)</w:t>
            </w:r>
          </w:p>
        </w:tc>
        <w:tc>
          <w:tcPr>
            <w:tcW w:w="645" w:type="pct"/>
            <w:tcBorders>
              <w:top w:val="single" w:sz="4" w:space="0" w:color="auto"/>
              <w:left w:val="single" w:sz="4" w:space="0" w:color="auto"/>
              <w:bottom w:val="single" w:sz="4" w:space="0" w:color="auto"/>
              <w:right w:val="single" w:sz="4" w:space="0" w:color="auto"/>
            </w:tcBorders>
            <w:vAlign w:val="center"/>
          </w:tcPr>
          <w:p w14:paraId="45BBA885" w14:textId="77777777" w:rsidR="000005F5" w:rsidRPr="005D2612" w:rsidRDefault="000005F5" w:rsidP="00D77C99">
            <w:pPr>
              <w:keepNext/>
              <w:keepLines/>
              <w:spacing w:before="10" w:after="10"/>
              <w:jc w:val="center"/>
              <w:rPr>
                <w:rFonts w:ascii="Arial Narrow" w:hAnsi="Arial Narrow"/>
                <w:sz w:val="19"/>
                <w:szCs w:val="19"/>
                <w:lang w:eastAsia="en-US"/>
              </w:rPr>
            </w:pPr>
            <w:r w:rsidRPr="005D2612">
              <w:rPr>
                <w:rFonts w:ascii="Arial Narrow" w:hAnsi="Arial Narrow"/>
                <w:sz w:val="19"/>
                <w:szCs w:val="19"/>
                <w:lang w:eastAsia="en-US"/>
              </w:rPr>
              <w:t>15.8</w:t>
            </w:r>
          </w:p>
        </w:tc>
      </w:tr>
      <w:tr w:rsidR="000005F5" w:rsidRPr="005A293B" w14:paraId="265F8375" w14:textId="77777777" w:rsidTr="0012355C">
        <w:tc>
          <w:tcPr>
            <w:tcW w:w="647" w:type="pct"/>
            <w:tcBorders>
              <w:top w:val="single" w:sz="4" w:space="0" w:color="auto"/>
              <w:left w:val="single" w:sz="4" w:space="0" w:color="auto"/>
              <w:bottom w:val="single" w:sz="4" w:space="0" w:color="auto"/>
              <w:right w:val="single" w:sz="4" w:space="0" w:color="auto"/>
            </w:tcBorders>
            <w:vAlign w:val="center"/>
          </w:tcPr>
          <w:p w14:paraId="78F04159" w14:textId="77777777" w:rsidR="000005F5" w:rsidRPr="005A293B" w:rsidRDefault="000005F5" w:rsidP="00D77C99">
            <w:pPr>
              <w:keepNext/>
              <w:keepLines/>
              <w:spacing w:before="10" w:after="10"/>
              <w:ind w:left="104"/>
              <w:rPr>
                <w:rFonts w:ascii="Arial Narrow" w:hAnsi="Arial Narrow"/>
                <w:i/>
                <w:iCs/>
                <w:sz w:val="19"/>
                <w:szCs w:val="19"/>
                <w:lang w:eastAsia="en-US"/>
              </w:rPr>
            </w:pPr>
            <w:r w:rsidRPr="005A293B">
              <w:rPr>
                <w:rFonts w:ascii="Arial Narrow" w:hAnsi="Arial Narrow"/>
                <w:i/>
                <w:iCs/>
                <w:sz w:val="19"/>
                <w:szCs w:val="19"/>
                <w:lang w:eastAsia="en-US"/>
              </w:rPr>
              <w:t>-BRCA</w:t>
            </w:r>
            <w:r w:rsidRPr="005A293B">
              <w:rPr>
                <w:rFonts w:ascii="Arial Narrow" w:hAnsi="Arial Narrow"/>
                <w:sz w:val="19"/>
                <w:szCs w:val="19"/>
                <w:lang w:eastAsia="en-US"/>
              </w:rPr>
              <w:t>wt</w:t>
            </w:r>
          </w:p>
        </w:tc>
        <w:tc>
          <w:tcPr>
            <w:tcW w:w="723" w:type="pct"/>
            <w:tcBorders>
              <w:top w:val="single" w:sz="4" w:space="0" w:color="auto"/>
              <w:left w:val="single" w:sz="4" w:space="0" w:color="auto"/>
              <w:bottom w:val="single" w:sz="4" w:space="0" w:color="auto"/>
              <w:right w:val="single" w:sz="4" w:space="0" w:color="auto"/>
            </w:tcBorders>
            <w:vAlign w:val="center"/>
          </w:tcPr>
          <w:p w14:paraId="3407E41A"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42/129 (23.6)</w:t>
            </w:r>
          </w:p>
        </w:tc>
        <w:tc>
          <w:tcPr>
            <w:tcW w:w="653" w:type="pct"/>
            <w:tcBorders>
              <w:top w:val="single" w:sz="4" w:space="0" w:color="auto"/>
              <w:left w:val="single" w:sz="4" w:space="0" w:color="auto"/>
              <w:bottom w:val="single" w:sz="4" w:space="0" w:color="auto"/>
              <w:right w:val="single" w:sz="4" w:space="0" w:color="auto"/>
            </w:tcBorders>
            <w:vAlign w:val="center"/>
          </w:tcPr>
          <w:p w14:paraId="2DC67B29"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42/115 (36.5)</w:t>
            </w:r>
          </w:p>
        </w:tc>
        <w:tc>
          <w:tcPr>
            <w:tcW w:w="784" w:type="pct"/>
            <w:tcBorders>
              <w:top w:val="single" w:sz="4" w:space="0" w:color="auto"/>
              <w:left w:val="single" w:sz="4" w:space="0" w:color="auto"/>
              <w:bottom w:val="single" w:sz="4" w:space="0" w:color="auto"/>
              <w:right w:val="single" w:sz="4" w:space="0" w:color="auto"/>
            </w:tcBorders>
            <w:vAlign w:val="center"/>
          </w:tcPr>
          <w:p w14:paraId="326F92D6"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0.80 (0.52. 1.22)</w:t>
            </w:r>
          </w:p>
        </w:tc>
        <w:tc>
          <w:tcPr>
            <w:tcW w:w="784" w:type="pct"/>
            <w:tcBorders>
              <w:top w:val="single" w:sz="4" w:space="0" w:color="auto"/>
              <w:left w:val="single" w:sz="4" w:space="0" w:color="auto"/>
              <w:bottom w:val="single" w:sz="4" w:space="0" w:color="auto"/>
              <w:right w:val="single" w:sz="4" w:space="0" w:color="auto"/>
            </w:tcBorders>
            <w:vAlign w:val="center"/>
          </w:tcPr>
          <w:p w14:paraId="7D60E565"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37.3 (34.5, NE)</w:t>
            </w:r>
          </w:p>
        </w:tc>
        <w:tc>
          <w:tcPr>
            <w:tcW w:w="764" w:type="pct"/>
            <w:tcBorders>
              <w:top w:val="single" w:sz="4" w:space="0" w:color="auto"/>
              <w:left w:val="single" w:sz="4" w:space="0" w:color="auto"/>
              <w:bottom w:val="single" w:sz="4" w:space="0" w:color="auto"/>
              <w:right w:val="single" w:sz="4" w:space="0" w:color="auto"/>
            </w:tcBorders>
            <w:vAlign w:val="center"/>
          </w:tcPr>
          <w:p w14:paraId="094D42BD" w14:textId="77777777" w:rsidR="000005F5" w:rsidRPr="005A293B" w:rsidRDefault="000005F5" w:rsidP="00D77C99">
            <w:pPr>
              <w:keepNext/>
              <w:keepLines/>
              <w:spacing w:before="10" w:after="10"/>
              <w:jc w:val="center"/>
              <w:rPr>
                <w:rFonts w:ascii="Arial Narrow" w:hAnsi="Arial Narrow"/>
                <w:sz w:val="19"/>
                <w:szCs w:val="19"/>
                <w:lang w:eastAsia="en-US"/>
              </w:rPr>
            </w:pPr>
            <w:r w:rsidRPr="005A293B">
              <w:rPr>
                <w:rFonts w:ascii="Arial Narrow" w:hAnsi="Arial Narrow"/>
                <w:sz w:val="19"/>
                <w:szCs w:val="19"/>
                <w:lang w:eastAsia="en-US"/>
              </w:rPr>
              <w:t>33.7 (29.0, NE)</w:t>
            </w:r>
          </w:p>
        </w:tc>
        <w:tc>
          <w:tcPr>
            <w:tcW w:w="645" w:type="pct"/>
            <w:tcBorders>
              <w:top w:val="single" w:sz="4" w:space="0" w:color="auto"/>
              <w:left w:val="single" w:sz="4" w:space="0" w:color="auto"/>
              <w:bottom w:val="single" w:sz="4" w:space="0" w:color="auto"/>
              <w:right w:val="single" w:sz="4" w:space="0" w:color="auto"/>
            </w:tcBorders>
            <w:vAlign w:val="center"/>
          </w:tcPr>
          <w:p w14:paraId="740607A0" w14:textId="77777777" w:rsidR="000005F5" w:rsidRPr="005A293B" w:rsidRDefault="000005F5" w:rsidP="00D77C99">
            <w:pPr>
              <w:keepNext/>
              <w:keepLines/>
              <w:spacing w:before="10" w:after="10"/>
              <w:jc w:val="center"/>
              <w:rPr>
                <w:rFonts w:ascii="Arial Narrow" w:hAnsi="Arial Narrow"/>
                <w:i/>
                <w:iCs/>
                <w:sz w:val="19"/>
                <w:szCs w:val="19"/>
                <w:lang w:eastAsia="en-US"/>
              </w:rPr>
            </w:pPr>
            <w:r w:rsidRPr="005A293B">
              <w:rPr>
                <w:rFonts w:ascii="Arial Narrow" w:hAnsi="Arial Narrow"/>
                <w:i/>
                <w:iCs/>
                <w:sz w:val="19"/>
                <w:szCs w:val="19"/>
                <w:lang w:eastAsia="en-US"/>
              </w:rPr>
              <w:t>3.6</w:t>
            </w:r>
          </w:p>
        </w:tc>
      </w:tr>
    </w:tbl>
    <w:p w14:paraId="32070C49" w14:textId="77777777" w:rsidR="002B51EA" w:rsidRPr="005A293B" w:rsidRDefault="002B51EA" w:rsidP="00D77C99">
      <w:pPr>
        <w:pStyle w:val="TableFigureFooter"/>
        <w:keepNext/>
        <w:keepLines/>
        <w:jc w:val="both"/>
        <w:rPr>
          <w:snapToGrid/>
          <w:szCs w:val="18"/>
        </w:rPr>
      </w:pPr>
      <w:r w:rsidRPr="005A293B">
        <w:rPr>
          <w:b/>
          <w:bCs/>
          <w:snapToGrid/>
          <w:szCs w:val="18"/>
        </w:rPr>
        <w:t>Bold</w:t>
      </w:r>
      <w:r w:rsidRPr="005A293B">
        <w:rPr>
          <w:snapToGrid/>
          <w:szCs w:val="18"/>
        </w:rPr>
        <w:t>= statistically significant</w:t>
      </w:r>
    </w:p>
    <w:p w14:paraId="34521986" w14:textId="2EFE3985" w:rsidR="000005F5" w:rsidRPr="005A293B" w:rsidRDefault="000005F5" w:rsidP="00D77C99">
      <w:pPr>
        <w:pStyle w:val="TableFigureFooter"/>
        <w:keepNext/>
        <w:keepLines/>
        <w:jc w:val="both"/>
        <w:rPr>
          <w:snapToGrid/>
          <w:szCs w:val="18"/>
        </w:rPr>
      </w:pPr>
      <w:r w:rsidRPr="005A293B">
        <w:rPr>
          <w:snapToGrid/>
          <w:szCs w:val="18"/>
        </w:rPr>
        <w:t>Source: Table 2.5-1, p82, Table 2.5-2, p84, Table 2.6-1, p98, Table 2.6-2, p100 &amp; Table 2.6-3, p102 of the submission and Table 14.2.1.4.1a, Table 14.2.1.4.3a, Table 14.2.1.1.16a, p7 of the ‘28MAR23 DATACUT_C344101 OS update DDR.pdf’ document received on 29/11/2023.</w:t>
      </w:r>
    </w:p>
    <w:p w14:paraId="7F771E4A" w14:textId="67EF0B2D" w:rsidR="00423B7B" w:rsidRPr="000B725B" w:rsidRDefault="000005F5" w:rsidP="008B1219">
      <w:pPr>
        <w:pStyle w:val="TableFigureFooter"/>
        <w:keepNext/>
        <w:keepLines/>
        <w:spacing w:after="0"/>
        <w:jc w:val="both"/>
      </w:pPr>
      <w:r w:rsidRPr="005A293B">
        <w:rPr>
          <w:snapToGrid/>
          <w:szCs w:val="18"/>
        </w:rPr>
        <w:t xml:space="preserve">BICR=blinded independent central review; </w:t>
      </w:r>
      <w:r w:rsidRPr="005A293B">
        <w:rPr>
          <w:i/>
          <w:iCs/>
          <w:snapToGrid/>
          <w:szCs w:val="18"/>
        </w:rPr>
        <w:t>BRCA</w:t>
      </w:r>
      <w:r w:rsidRPr="005A293B">
        <w:rPr>
          <w:snapToGrid/>
          <w:szCs w:val="18"/>
        </w:rPr>
        <w:t xml:space="preserve">=breast cancer gene; </w:t>
      </w:r>
      <w:r w:rsidRPr="005A293B">
        <w:rPr>
          <w:i/>
          <w:iCs/>
          <w:snapToGrid/>
          <w:szCs w:val="18"/>
        </w:rPr>
        <w:t>BRCA</w:t>
      </w:r>
      <w:r w:rsidRPr="005A293B">
        <w:rPr>
          <w:snapToGrid/>
          <w:szCs w:val="18"/>
        </w:rPr>
        <w:t xml:space="preserve">wt=BRCA wild type; CI=confidence interval; DCO=data cut-off; ENZ=enzalutamide; HR=hazard ratio; NE=not estimable; NR=not reported; OS=overall survival; PBO=placebo; rPFS=radiographic </w:t>
      </w:r>
      <w:r w:rsidRPr="000B725B">
        <w:rPr>
          <w:snapToGrid/>
          <w:szCs w:val="18"/>
        </w:rPr>
        <w:t>progression-free survival; TAL=talazoparib</w:t>
      </w:r>
      <w:r w:rsidR="00E4451C" w:rsidRPr="000B725B">
        <w:t>.</w:t>
      </w:r>
    </w:p>
    <w:p w14:paraId="654206CB" w14:textId="45AB0A5F" w:rsidR="005D1895" w:rsidRPr="000B725B" w:rsidRDefault="008B1219" w:rsidP="00565C8B">
      <w:pPr>
        <w:spacing w:after="120"/>
        <w:ind w:left="165" w:hanging="165"/>
        <w:jc w:val="both"/>
        <w:rPr>
          <w:rFonts w:ascii="Arial Narrow" w:hAnsi="Arial Narrow"/>
          <w:sz w:val="18"/>
          <w:szCs w:val="18"/>
        </w:rPr>
      </w:pPr>
      <w:r w:rsidRPr="000B725B">
        <w:rPr>
          <w:rFonts w:ascii="Arial Narrow" w:hAnsi="Arial Narrow"/>
          <w:sz w:val="18"/>
          <w:szCs w:val="18"/>
        </w:rPr>
        <w:t>*</w:t>
      </w:r>
      <w:r w:rsidR="00293B4D" w:rsidRPr="000B725B">
        <w:rPr>
          <w:rFonts w:ascii="Arial Narrow" w:hAnsi="Arial Narrow"/>
          <w:sz w:val="18"/>
          <w:szCs w:val="18"/>
        </w:rPr>
        <w:tab/>
      </w:r>
      <w:r w:rsidRPr="000B725B">
        <w:rPr>
          <w:rFonts w:ascii="Arial Narrow" w:hAnsi="Arial Narrow"/>
          <w:sz w:val="18"/>
          <w:szCs w:val="18"/>
        </w:rPr>
        <w:t xml:space="preserve">A disparity was found regarding the median duration to BICR-assessed rPFS in placebo + enzalutamide arm: while Table 2.5-1, page 82 of the submission and also page 81 of the CSR, indicate 13.8 months, page 82 of the submission reports 16.8 months. </w:t>
      </w:r>
    </w:p>
    <w:p w14:paraId="449691BE" w14:textId="0F399F6E" w:rsidR="005033E2" w:rsidRPr="005033E2" w:rsidRDefault="00CB5B5C" w:rsidP="00DA151B">
      <w:pPr>
        <w:pStyle w:val="3-BodyText"/>
      </w:pPr>
      <w:r w:rsidRPr="005A293B">
        <w:t>T</w:t>
      </w:r>
      <w:r w:rsidR="000B3DAB" w:rsidRPr="005A293B">
        <w:t>he primary outcome</w:t>
      </w:r>
      <w:r w:rsidR="002B51EA">
        <w:t xml:space="preserve"> from </w:t>
      </w:r>
      <w:r w:rsidR="0094266C">
        <w:t xml:space="preserve">TALAPRO-2 </w:t>
      </w:r>
      <w:r w:rsidR="002B51EA">
        <w:t xml:space="preserve">was blinded </w:t>
      </w:r>
      <w:r w:rsidR="002B51EA" w:rsidRPr="00DA151B">
        <w:t>independent central review (</w:t>
      </w:r>
      <w:r w:rsidR="00E747B4" w:rsidRPr="005A293B">
        <w:t>BICR</w:t>
      </w:r>
      <w:r w:rsidR="002B51EA">
        <w:t>)</w:t>
      </w:r>
      <w:r w:rsidR="000B3DAB" w:rsidRPr="005A293B">
        <w:t>-</w:t>
      </w:r>
      <w:r w:rsidR="002B51EA">
        <w:t xml:space="preserve">radiographic </w:t>
      </w:r>
      <w:r w:rsidR="002B51EA" w:rsidRPr="005033E2">
        <w:t>progression</w:t>
      </w:r>
      <w:r w:rsidR="002B51EA">
        <w:t xml:space="preserve"> free survival (</w:t>
      </w:r>
      <w:r w:rsidR="000B3DAB" w:rsidRPr="005A293B">
        <w:t>rPFS</w:t>
      </w:r>
      <w:r w:rsidR="002B51EA">
        <w:t>)</w:t>
      </w:r>
      <w:r w:rsidRPr="005A293B">
        <w:t xml:space="preserve"> at</w:t>
      </w:r>
      <w:r w:rsidR="000B3DAB" w:rsidRPr="005A293B">
        <w:t xml:space="preserve"> DCO</w:t>
      </w:r>
      <w:r w:rsidR="00E747B4" w:rsidRPr="005A293B">
        <w:t xml:space="preserve"> 3 October 2022</w:t>
      </w:r>
      <w:r w:rsidR="002B51EA">
        <w:t>.</w:t>
      </w:r>
      <w:r w:rsidR="00DA151B">
        <w:t xml:space="preserve"> </w:t>
      </w:r>
      <w:r w:rsidR="00DA151B">
        <w:fldChar w:fldCharType="begin" w:fldLock="1"/>
      </w:r>
      <w:r w:rsidR="00DA151B">
        <w:instrText xml:space="preserve"> REF _Ref155612445 \h </w:instrText>
      </w:r>
      <w:r w:rsidR="00DA151B">
        <w:fldChar w:fldCharType="separate"/>
      </w:r>
      <w:r w:rsidR="00324A7E">
        <w:t xml:space="preserve">Figure </w:t>
      </w:r>
      <w:r w:rsidR="00324A7E">
        <w:rPr>
          <w:noProof/>
        </w:rPr>
        <w:t>1</w:t>
      </w:r>
      <w:r w:rsidR="00DA151B">
        <w:fldChar w:fldCharType="end"/>
      </w:r>
      <w:r w:rsidR="00DA151B">
        <w:t xml:space="preserve"> </w:t>
      </w:r>
      <w:r w:rsidR="005033E2" w:rsidRPr="005033E2">
        <w:t xml:space="preserve">presents the Kaplan Meier plots of rPFS </w:t>
      </w:r>
      <w:r w:rsidR="00DA151B">
        <w:t xml:space="preserve">for </w:t>
      </w:r>
      <w:r w:rsidR="005033E2" w:rsidRPr="005033E2">
        <w:t>Cohort 2</w:t>
      </w:r>
      <w:r w:rsidR="00DA151B">
        <w:t xml:space="preserve">, </w:t>
      </w:r>
      <w:r w:rsidR="005033E2" w:rsidRPr="005033E2">
        <w:t xml:space="preserve">the </w:t>
      </w:r>
      <w:r w:rsidR="005033E2" w:rsidRPr="006D3AD0">
        <w:rPr>
          <w:i/>
          <w:iCs/>
        </w:rPr>
        <w:t>BRCA1/2</w:t>
      </w:r>
      <w:r w:rsidR="005033E2" w:rsidRPr="005033E2">
        <w:t xml:space="preserve"> subgroup</w:t>
      </w:r>
      <w:r w:rsidR="00DA151B">
        <w:t xml:space="preserve"> and its complement</w:t>
      </w:r>
      <w:r w:rsidR="005033E2" w:rsidRPr="005033E2">
        <w:t>.</w:t>
      </w:r>
    </w:p>
    <w:p w14:paraId="5F61F047" w14:textId="434C277D" w:rsidR="005033E2" w:rsidRDefault="00DA151B" w:rsidP="00106904">
      <w:pPr>
        <w:pStyle w:val="Caption"/>
        <w:rPr>
          <w:szCs w:val="20"/>
        </w:rPr>
      </w:pPr>
      <w:bookmarkStart w:id="33" w:name="_Ref155612445"/>
      <w:r>
        <w:lastRenderedPageBreak/>
        <w:t xml:space="preserve">Figure </w:t>
      </w:r>
      <w:fldSimple w:instr=" SEQ Figure \* ARABIC " w:fldLock="1">
        <w:r w:rsidR="00324A7E">
          <w:rPr>
            <w:noProof/>
          </w:rPr>
          <w:t>1</w:t>
        </w:r>
      </w:fldSimple>
      <w:bookmarkEnd w:id="33"/>
      <w:r>
        <w:t>:</w:t>
      </w:r>
      <w:r w:rsidR="005033E2" w:rsidRPr="00DA151B">
        <w:rPr>
          <w:szCs w:val="20"/>
        </w:rPr>
        <w:t xml:space="preserve"> Kaplan-Meier plots of BICR- and investigator-assessed rPFS in TALAPRO-2 Cohort 2 and BICR-assessed rPFS in </w:t>
      </w:r>
      <w:r w:rsidR="005033E2" w:rsidRPr="006D3AD0">
        <w:rPr>
          <w:i/>
          <w:iCs/>
          <w:szCs w:val="20"/>
        </w:rPr>
        <w:t>BRCA1/2</w:t>
      </w:r>
      <w:r w:rsidR="005033E2" w:rsidRPr="00DA151B">
        <w:rPr>
          <w:szCs w:val="20"/>
        </w:rPr>
        <w:t xml:space="preserve"> and non-</w:t>
      </w:r>
      <w:r w:rsidR="005033E2" w:rsidRPr="006D3AD0">
        <w:rPr>
          <w:i/>
          <w:iCs/>
          <w:szCs w:val="20"/>
        </w:rPr>
        <w:t>BRCA1/2</w:t>
      </w:r>
      <w:r w:rsidR="005033E2" w:rsidRPr="00DA151B">
        <w:rPr>
          <w:szCs w:val="20"/>
        </w:rPr>
        <w:t xml:space="preserve"> subgroups </w:t>
      </w:r>
      <w:r w:rsidR="00F0045B">
        <w:rPr>
          <w:szCs w:val="20"/>
        </w:rPr>
        <w:t>(</w:t>
      </w:r>
      <w:r w:rsidR="005033E2" w:rsidRPr="00DA151B">
        <w:rPr>
          <w:szCs w:val="20"/>
        </w:rPr>
        <w:t>DCO 3 October 2022)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32"/>
        <w:gridCol w:w="4695"/>
      </w:tblGrid>
      <w:tr w:rsidR="005033E2" w:rsidRPr="005A293B" w14:paraId="5421B8BD" w14:textId="77777777" w:rsidTr="0012355C">
        <w:tc>
          <w:tcPr>
            <w:tcW w:w="2399" w:type="pct"/>
            <w:vAlign w:val="center"/>
          </w:tcPr>
          <w:p w14:paraId="38A12789" w14:textId="77777777" w:rsidR="001E4AE0" w:rsidRDefault="001E4AE0" w:rsidP="00106904">
            <w:pPr>
              <w:pStyle w:val="In-tableHeading"/>
              <w:keepLines/>
              <w:rPr>
                <w:lang w:val="en-AU"/>
              </w:rPr>
            </w:pPr>
          </w:p>
          <w:p w14:paraId="4B4BADDB" w14:textId="6A6B7CD7" w:rsidR="005033E2" w:rsidRPr="005A293B" w:rsidRDefault="005033E2" w:rsidP="001E4AE0">
            <w:pPr>
              <w:pStyle w:val="In-tableHeading"/>
              <w:keepLines/>
              <w:rPr>
                <w:lang w:val="en-AU"/>
              </w:rPr>
            </w:pPr>
            <w:r w:rsidRPr="005A293B">
              <w:rPr>
                <w:lang w:val="en-AU"/>
              </w:rPr>
              <w:t>a. Cohort 2, all HRR genes (BICR-assessed)</w:t>
            </w:r>
          </w:p>
        </w:tc>
        <w:tc>
          <w:tcPr>
            <w:tcW w:w="2601" w:type="pct"/>
            <w:vAlign w:val="center"/>
          </w:tcPr>
          <w:p w14:paraId="791D0C3D" w14:textId="77777777" w:rsidR="001E4AE0" w:rsidRDefault="001E4AE0" w:rsidP="00106904">
            <w:pPr>
              <w:pStyle w:val="In-tableHeading"/>
              <w:keepLines/>
              <w:rPr>
                <w:lang w:val="en-AU"/>
              </w:rPr>
            </w:pPr>
          </w:p>
          <w:p w14:paraId="31599123" w14:textId="36B28174" w:rsidR="005033E2" w:rsidRPr="005A293B" w:rsidRDefault="005033E2" w:rsidP="001E4AE0">
            <w:pPr>
              <w:pStyle w:val="In-tableHeading"/>
              <w:keepLines/>
              <w:rPr>
                <w:lang w:val="en-AU"/>
              </w:rPr>
            </w:pPr>
            <w:r w:rsidRPr="005A293B">
              <w:rPr>
                <w:lang w:val="en-AU"/>
              </w:rPr>
              <w:t>b. Cohort 2, all HRR genes (investigator-assessed)</w:t>
            </w:r>
          </w:p>
        </w:tc>
      </w:tr>
      <w:tr w:rsidR="005033E2" w:rsidRPr="005A293B" w14:paraId="253D74B4" w14:textId="77777777" w:rsidTr="0012355C">
        <w:tc>
          <w:tcPr>
            <w:tcW w:w="2399" w:type="pct"/>
            <w:vAlign w:val="center"/>
          </w:tcPr>
          <w:p w14:paraId="2CB92060" w14:textId="77777777" w:rsidR="005033E2" w:rsidRPr="005A293B" w:rsidRDefault="005033E2" w:rsidP="001E4AE0">
            <w:pPr>
              <w:pStyle w:val="In-tableHeading"/>
              <w:keepLines/>
              <w:jc w:val="center"/>
              <w:rPr>
                <w:noProof/>
                <w:lang w:val="en-AU"/>
              </w:rPr>
            </w:pPr>
            <w:r w:rsidRPr="005A293B">
              <w:rPr>
                <w:noProof/>
                <w:lang w:val="en-AU"/>
              </w:rPr>
              <w:drawing>
                <wp:inline distT="0" distB="0" distL="0" distR="0" wp14:anchorId="22838DC4" wp14:editId="0A362131">
                  <wp:extent cx="2793791" cy="2097024"/>
                  <wp:effectExtent l="0" t="0" r="6985" b="0"/>
                  <wp:docPr id="28" name="Picture 28" descr="a. Cohort 2, all HRR genes (BICR-assessed)"/>
                  <wp:cNvGraphicFramePr/>
                  <a:graphic xmlns:a="http://schemas.openxmlformats.org/drawingml/2006/main">
                    <a:graphicData uri="http://schemas.openxmlformats.org/drawingml/2006/picture">
                      <pic:pic xmlns:pic="http://schemas.openxmlformats.org/drawingml/2006/picture">
                        <pic:nvPicPr>
                          <pic:cNvPr id="28" name="Picture 28" descr="a. Cohort 2, all HRR genes (BICR-assessed)"/>
                          <pic:cNvPicPr/>
                        </pic:nvPicPr>
                        <pic:blipFill rotWithShape="1">
                          <a:blip r:embed="rId8">
                            <a:extLst>
                              <a:ext uri="{BEBA8EAE-BF5A-486C-A8C5-ECC9F3942E4B}">
                                <a14:imgProps xmlns:a14="http://schemas.microsoft.com/office/drawing/2010/main">
                                  <a14:imgLayer r:embed="rId9">
                                    <a14:imgEffect>
                                      <a14:sharpenSoften amount="39000"/>
                                    </a14:imgEffect>
                                  </a14:imgLayer>
                                </a14:imgProps>
                              </a:ext>
                            </a:extLst>
                          </a:blip>
                          <a:srcRect l="1330" t="2527" r="1774" b="1805"/>
                          <a:stretch/>
                        </pic:blipFill>
                        <pic:spPr bwMode="auto">
                          <a:xfrm>
                            <a:off x="0" y="0"/>
                            <a:ext cx="2884128" cy="2164831"/>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601" w:type="pct"/>
            <w:vAlign w:val="center"/>
          </w:tcPr>
          <w:p w14:paraId="551BC410" w14:textId="77777777" w:rsidR="005033E2" w:rsidRPr="005A293B" w:rsidRDefault="005033E2" w:rsidP="001E4AE0">
            <w:pPr>
              <w:pStyle w:val="In-tableHeading"/>
              <w:keepLines/>
              <w:jc w:val="center"/>
              <w:rPr>
                <w:noProof/>
                <w:lang w:val="en-AU"/>
              </w:rPr>
            </w:pPr>
            <w:r w:rsidRPr="005A293B">
              <w:rPr>
                <w:noProof/>
                <w:lang w:val="en-AU"/>
              </w:rPr>
              <w:drawing>
                <wp:inline distT="0" distB="0" distL="0" distR="0" wp14:anchorId="2897292C" wp14:editId="3D40C568">
                  <wp:extent cx="2947306" cy="2148713"/>
                  <wp:effectExtent l="0" t="0" r="5715" b="4445"/>
                  <wp:docPr id="31" name="Picture 31" descr="b. Cohort 2, all HRR genes (investigator-assess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b. Cohort 2, all HRR genes (investigator-assessed)&#10;"/>
                          <pic:cNvPicPr/>
                        </pic:nvPicPr>
                        <pic:blipFill rotWithShape="1">
                          <a:blip r:embed="rId10">
                            <a:extLst>
                              <a:ext uri="{BEBA8EAE-BF5A-486C-A8C5-ECC9F3942E4B}">
                                <a14:imgProps xmlns:a14="http://schemas.microsoft.com/office/drawing/2010/main">
                                  <a14:imgLayer r:embed="rId11">
                                    <a14:imgEffect>
                                      <a14:sharpenSoften amount="42000"/>
                                    </a14:imgEffect>
                                  </a14:imgLayer>
                                </a14:imgProps>
                              </a:ext>
                            </a:extLst>
                          </a:blip>
                          <a:srcRect t="10647"/>
                          <a:stretch/>
                        </pic:blipFill>
                        <pic:spPr bwMode="auto">
                          <a:xfrm>
                            <a:off x="0" y="0"/>
                            <a:ext cx="3010245" cy="2194598"/>
                          </a:xfrm>
                          <a:prstGeom prst="rect">
                            <a:avLst/>
                          </a:prstGeom>
                          <a:ln>
                            <a:noFill/>
                          </a:ln>
                          <a:extLst>
                            <a:ext uri="{53640926-AAD7-44D8-BBD7-CCE9431645EC}">
                              <a14:shadowObscured xmlns:a14="http://schemas.microsoft.com/office/drawing/2010/main"/>
                            </a:ext>
                          </a:extLst>
                        </pic:spPr>
                      </pic:pic>
                    </a:graphicData>
                  </a:graphic>
                </wp:inline>
              </w:drawing>
            </w:r>
          </w:p>
        </w:tc>
      </w:tr>
      <w:tr w:rsidR="005033E2" w:rsidRPr="005A293B" w14:paraId="678C58B3" w14:textId="77777777" w:rsidTr="0012355C">
        <w:tc>
          <w:tcPr>
            <w:tcW w:w="2399" w:type="pct"/>
            <w:vAlign w:val="center"/>
          </w:tcPr>
          <w:p w14:paraId="41B2DD88" w14:textId="77777777" w:rsidR="005033E2" w:rsidRPr="005A293B" w:rsidRDefault="005033E2" w:rsidP="001E4AE0">
            <w:pPr>
              <w:pStyle w:val="In-tableHeading"/>
              <w:keepLines/>
              <w:rPr>
                <w:noProof/>
                <w:lang w:val="en-AU"/>
              </w:rPr>
            </w:pPr>
            <w:r w:rsidRPr="005A293B">
              <w:rPr>
                <w:noProof/>
                <w:lang w:val="en-AU"/>
              </w:rPr>
              <w:t>c.</w:t>
            </w:r>
            <w:r w:rsidRPr="005A293B">
              <w:rPr>
                <w:i/>
                <w:iCs/>
                <w:lang w:val="en-AU"/>
              </w:rPr>
              <w:t xml:space="preserve"> </w:t>
            </w:r>
            <w:r w:rsidRPr="005A293B">
              <w:rPr>
                <w:lang w:val="en-AU"/>
              </w:rPr>
              <w:t>Cohort 2,</w:t>
            </w:r>
            <w:r w:rsidRPr="005A293B">
              <w:rPr>
                <w:i/>
                <w:iCs/>
                <w:lang w:val="en-AU"/>
              </w:rPr>
              <w:t xml:space="preserve"> BRCA1/2</w:t>
            </w:r>
            <w:r w:rsidRPr="005A293B">
              <w:rPr>
                <w:lang w:val="en-AU"/>
              </w:rPr>
              <w:t xml:space="preserve"> subgroup (BICR-assessed)</w:t>
            </w:r>
          </w:p>
        </w:tc>
        <w:tc>
          <w:tcPr>
            <w:tcW w:w="2601" w:type="pct"/>
            <w:vAlign w:val="center"/>
          </w:tcPr>
          <w:p w14:paraId="05E97078" w14:textId="77777777" w:rsidR="005033E2" w:rsidRPr="005A293B" w:rsidRDefault="005033E2" w:rsidP="001E4AE0">
            <w:pPr>
              <w:pStyle w:val="In-tableHeading"/>
              <w:keepLines/>
              <w:rPr>
                <w:noProof/>
                <w:lang w:val="en-AU"/>
              </w:rPr>
            </w:pPr>
            <w:r w:rsidRPr="005A293B">
              <w:rPr>
                <w:noProof/>
                <w:lang w:val="en-AU"/>
              </w:rPr>
              <w:t>d.</w:t>
            </w:r>
            <w:r w:rsidRPr="005A293B">
              <w:rPr>
                <w:i/>
                <w:iCs/>
                <w:lang w:val="en-AU"/>
              </w:rPr>
              <w:t xml:space="preserve"> </w:t>
            </w:r>
            <w:r w:rsidRPr="005A293B">
              <w:rPr>
                <w:lang w:val="en-AU"/>
              </w:rPr>
              <w:t xml:space="preserve">Cohort 2, </w:t>
            </w:r>
            <w:r w:rsidRPr="005A293B">
              <w:rPr>
                <w:i/>
                <w:iCs/>
                <w:lang w:val="en-AU"/>
              </w:rPr>
              <w:t>non-BRCA1/2</w:t>
            </w:r>
            <w:r w:rsidRPr="005A293B">
              <w:rPr>
                <w:lang w:val="en-AU"/>
              </w:rPr>
              <w:t xml:space="preserve"> subgroup (BICR-assessed)</w:t>
            </w:r>
          </w:p>
        </w:tc>
      </w:tr>
      <w:tr w:rsidR="005033E2" w:rsidRPr="005A293B" w14:paraId="21B085B8" w14:textId="77777777" w:rsidTr="0012355C">
        <w:tc>
          <w:tcPr>
            <w:tcW w:w="2399" w:type="pct"/>
            <w:vAlign w:val="center"/>
          </w:tcPr>
          <w:p w14:paraId="0E33B235" w14:textId="77777777" w:rsidR="005033E2" w:rsidRPr="005A293B" w:rsidRDefault="005033E2" w:rsidP="001E4AE0">
            <w:pPr>
              <w:pStyle w:val="In-tableHeading"/>
              <w:keepLines/>
              <w:jc w:val="center"/>
              <w:rPr>
                <w:noProof/>
                <w:lang w:val="en-AU"/>
              </w:rPr>
            </w:pPr>
            <w:r w:rsidRPr="005A293B">
              <w:rPr>
                <w:noProof/>
                <w:lang w:val="en-AU"/>
              </w:rPr>
              <w:drawing>
                <wp:inline distT="0" distB="0" distL="0" distR="0" wp14:anchorId="5E78E20E" wp14:editId="46997738">
                  <wp:extent cx="2712720" cy="2011680"/>
                  <wp:effectExtent l="0" t="0" r="0" b="7620"/>
                  <wp:docPr id="33" name="Picture 33" descr="c. Cohort 2, BRCA1/2 subgroup (BICR-assessed)"/>
                  <wp:cNvGraphicFramePr/>
                  <a:graphic xmlns:a="http://schemas.openxmlformats.org/drawingml/2006/main">
                    <a:graphicData uri="http://schemas.openxmlformats.org/drawingml/2006/picture">
                      <pic:pic xmlns:pic="http://schemas.openxmlformats.org/drawingml/2006/picture">
                        <pic:nvPicPr>
                          <pic:cNvPr id="33" name="Picture 33" descr="c. Cohort 2, BRCA1/2 subgroup (BICR-assessed)"/>
                          <pic:cNvPicPr/>
                        </pic:nvPicPr>
                        <pic:blipFill>
                          <a:blip r:embed="rId12"/>
                          <a:stretch>
                            <a:fillRect/>
                          </a:stretch>
                        </pic:blipFill>
                        <pic:spPr>
                          <a:xfrm>
                            <a:off x="0" y="0"/>
                            <a:ext cx="2769412" cy="2053721"/>
                          </a:xfrm>
                          <a:prstGeom prst="rect">
                            <a:avLst/>
                          </a:prstGeom>
                        </pic:spPr>
                      </pic:pic>
                    </a:graphicData>
                  </a:graphic>
                </wp:inline>
              </w:drawing>
            </w:r>
          </w:p>
        </w:tc>
        <w:tc>
          <w:tcPr>
            <w:tcW w:w="2601" w:type="pct"/>
            <w:vAlign w:val="center"/>
          </w:tcPr>
          <w:p w14:paraId="7048534C" w14:textId="77777777" w:rsidR="005033E2" w:rsidRPr="005A293B" w:rsidRDefault="005033E2" w:rsidP="001E4AE0">
            <w:pPr>
              <w:pStyle w:val="In-tableHeading"/>
              <w:keepLines/>
              <w:jc w:val="center"/>
              <w:rPr>
                <w:noProof/>
                <w:lang w:val="en-AU"/>
              </w:rPr>
            </w:pPr>
            <w:r w:rsidRPr="005A293B">
              <w:rPr>
                <w:noProof/>
                <w:lang w:val="en-AU"/>
              </w:rPr>
              <w:drawing>
                <wp:inline distT="0" distB="0" distL="0" distR="0" wp14:anchorId="310E749E" wp14:editId="2103BE63">
                  <wp:extent cx="3034665" cy="2084731"/>
                  <wp:effectExtent l="0" t="0" r="0" b="0"/>
                  <wp:docPr id="34" name="Picture 34" descr="d. Cohort 2, non-BRCA1/2 subgroup (BICR-ass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 Cohort 2, non-BRCA1/2 subgroup (BICR-assessed)"/>
                          <pic:cNvPicPr/>
                        </pic:nvPicPr>
                        <pic:blipFill>
                          <a:blip r:embed="rId13"/>
                          <a:stretch>
                            <a:fillRect/>
                          </a:stretch>
                        </pic:blipFill>
                        <pic:spPr>
                          <a:xfrm>
                            <a:off x="0" y="0"/>
                            <a:ext cx="3039066" cy="2087754"/>
                          </a:xfrm>
                          <a:prstGeom prst="rect">
                            <a:avLst/>
                          </a:prstGeom>
                        </pic:spPr>
                      </pic:pic>
                    </a:graphicData>
                  </a:graphic>
                </wp:inline>
              </w:drawing>
            </w:r>
          </w:p>
        </w:tc>
      </w:tr>
    </w:tbl>
    <w:p w14:paraId="0C06A81B" w14:textId="77777777" w:rsidR="005033E2" w:rsidRPr="005A293B" w:rsidRDefault="005033E2" w:rsidP="001E4AE0">
      <w:pPr>
        <w:pStyle w:val="TableFooter"/>
        <w:keepNext/>
        <w:keepLines/>
        <w:rPr>
          <w:lang w:eastAsia="en-GB"/>
        </w:rPr>
      </w:pPr>
      <w:r w:rsidRPr="005A293B">
        <w:rPr>
          <w:lang w:eastAsia="en-GB"/>
        </w:rPr>
        <w:t>Source: Figure 2.5-1, p83 and Figure 2.6.1, p99 of the submission and Figure 4, p86 and Figure 17, p115 of the CSR, data cut-off 3OCT2022.</w:t>
      </w:r>
    </w:p>
    <w:p w14:paraId="766BD97D" w14:textId="77777777" w:rsidR="005033E2" w:rsidRPr="005A293B" w:rsidRDefault="005033E2" w:rsidP="00565C8B">
      <w:pPr>
        <w:pStyle w:val="TableFooter"/>
        <w:spacing w:after="120"/>
        <w:rPr>
          <w:lang w:eastAsia="en-GB"/>
        </w:rPr>
      </w:pPr>
      <w:r w:rsidRPr="00DA151B">
        <w:rPr>
          <w:lang w:eastAsia="en-GB"/>
        </w:rPr>
        <w:t>BRCA</w:t>
      </w:r>
      <w:r w:rsidRPr="005A293B">
        <w:rPr>
          <w:lang w:eastAsia="en-GB"/>
        </w:rPr>
        <w:t>=Breast cancer gene; BICR= blinded independent central review; rPFS=radiographic progression-free survival</w:t>
      </w:r>
    </w:p>
    <w:p w14:paraId="4F7D2C5E" w14:textId="3051C4B5" w:rsidR="00CB5B5C" w:rsidRPr="000B725B" w:rsidRDefault="002B51EA" w:rsidP="002B51EA">
      <w:pPr>
        <w:pStyle w:val="3-BodyText"/>
      </w:pPr>
      <w:r w:rsidRPr="000B725B">
        <w:t xml:space="preserve">BICR rPFS was significantly longer in the talazoparib + enzalutamide </w:t>
      </w:r>
      <w:r w:rsidR="003C4451" w:rsidRPr="000B725B">
        <w:t xml:space="preserve">arm </w:t>
      </w:r>
      <w:r w:rsidRPr="000B725B">
        <w:t xml:space="preserve">compared to placebo + enzalutamide in </w:t>
      </w:r>
      <w:r w:rsidR="00E747B4" w:rsidRPr="000B725B">
        <w:t xml:space="preserve">Cohort 2 </w:t>
      </w:r>
      <w:r w:rsidRPr="000B725B">
        <w:t xml:space="preserve">(median </w:t>
      </w:r>
      <w:r w:rsidR="00293B4D" w:rsidRPr="000B725B">
        <w:t xml:space="preserve">not able to be estimated </w:t>
      </w:r>
      <w:r w:rsidRPr="000B725B">
        <w:t>(NE) versus 13.8</w:t>
      </w:r>
      <w:r w:rsidR="00477CD8">
        <w:t> </w:t>
      </w:r>
      <w:r w:rsidRPr="000B725B">
        <w:t>months)</w:t>
      </w:r>
      <w:r w:rsidR="00061706">
        <w:t xml:space="preserve">. </w:t>
      </w:r>
      <w:r w:rsidR="003C4451" w:rsidRPr="000B725B">
        <w:t xml:space="preserve">The </w:t>
      </w:r>
      <w:r w:rsidR="0094266C" w:rsidRPr="000B725B">
        <w:t>size of the estimated</w:t>
      </w:r>
      <w:r w:rsidR="003C4451" w:rsidRPr="000B725B">
        <w:t xml:space="preserve"> benefit was larger in the </w:t>
      </w:r>
      <w:r w:rsidR="00AE6164" w:rsidRPr="000337F9">
        <w:rPr>
          <w:i/>
          <w:iCs/>
        </w:rPr>
        <w:t>BRCA1/2</w:t>
      </w:r>
      <w:r w:rsidR="00CB5B5C" w:rsidRPr="000B725B">
        <w:t xml:space="preserve"> subgroup (</w:t>
      </w:r>
      <w:r w:rsidR="00F13554">
        <w:t xml:space="preserve">HR = </w:t>
      </w:r>
      <w:r w:rsidR="00CB5B5C" w:rsidRPr="000B725B">
        <w:t>0.</w:t>
      </w:r>
      <w:r w:rsidR="003C4451" w:rsidRPr="000B725B">
        <w:t>2</w:t>
      </w:r>
      <w:r w:rsidR="00F13554">
        <w:t>0;</w:t>
      </w:r>
      <w:r w:rsidR="003C4451" w:rsidRPr="000B725B">
        <w:t xml:space="preserve"> 95% CI: 0.11, 0.36)</w:t>
      </w:r>
      <w:r w:rsidR="00CB5B5C" w:rsidRPr="000B725B">
        <w:t xml:space="preserve"> </w:t>
      </w:r>
      <w:r w:rsidR="003C4451" w:rsidRPr="000B725B">
        <w:t xml:space="preserve">versus </w:t>
      </w:r>
      <w:r w:rsidR="005D1895" w:rsidRPr="000B725B">
        <w:t>Cohort 2</w:t>
      </w:r>
      <w:r w:rsidR="003C4451" w:rsidRPr="000B725B">
        <w:t xml:space="preserve"> (HR</w:t>
      </w:r>
      <w:r w:rsidR="00F13554">
        <w:t xml:space="preserve"> =</w:t>
      </w:r>
      <w:r w:rsidR="003C4451" w:rsidRPr="000B725B">
        <w:t xml:space="preserve"> 0.45</w:t>
      </w:r>
      <w:r w:rsidR="00F13554">
        <w:t>;</w:t>
      </w:r>
      <w:r w:rsidR="003C4451" w:rsidRPr="000B725B">
        <w:t xml:space="preserve"> 95% CI: 0.33, 0.61</w:t>
      </w:r>
      <w:r w:rsidR="00CB5B5C" w:rsidRPr="000B725B">
        <w:t>).</w:t>
      </w:r>
    </w:p>
    <w:p w14:paraId="6F6B7B8B" w14:textId="596F1C4D" w:rsidR="003A7BD0" w:rsidRPr="000B725B" w:rsidRDefault="0094266C" w:rsidP="00D77C99">
      <w:pPr>
        <w:pStyle w:val="3-BodyText"/>
      </w:pPr>
      <w:r w:rsidRPr="000B725B">
        <w:t xml:space="preserve">The presented </w:t>
      </w:r>
      <w:r w:rsidR="005D1895" w:rsidRPr="000B725B">
        <w:t xml:space="preserve">rPFS data was </w:t>
      </w:r>
      <w:r w:rsidRPr="000B725B">
        <w:t xml:space="preserve">however </w:t>
      </w:r>
      <w:r w:rsidR="005D1895" w:rsidRPr="000B725B">
        <w:t xml:space="preserve">immature with only 33% of patients in the talazoparib + enzalutamide arm having progressed at DCO 3 October 2022. </w:t>
      </w:r>
      <w:r w:rsidR="00F13554">
        <w:t>T</w:t>
      </w:r>
      <w:r w:rsidR="005D1895" w:rsidRPr="000B725B">
        <w:t xml:space="preserve">he clinical trial protocol </w:t>
      </w:r>
      <w:r w:rsidRPr="000B725B">
        <w:t>indicat</w:t>
      </w:r>
      <w:r w:rsidR="00F13554">
        <w:t>ed</w:t>
      </w:r>
      <w:r w:rsidR="00CB5B5C" w:rsidRPr="000B725B">
        <w:t xml:space="preserve"> </w:t>
      </w:r>
      <w:r w:rsidR="005D1895" w:rsidRPr="000B725B">
        <w:t xml:space="preserve">that </w:t>
      </w:r>
      <w:r w:rsidR="00CB5B5C" w:rsidRPr="000B725B">
        <w:t xml:space="preserve">final rPFS and OS </w:t>
      </w:r>
      <w:r w:rsidR="005D1895" w:rsidRPr="000B725B">
        <w:t xml:space="preserve">are </w:t>
      </w:r>
      <w:r w:rsidR="00CB5B5C" w:rsidRPr="000B725B">
        <w:t>to be reported in Analysis 4</w:t>
      </w:r>
      <w:r w:rsidR="005D1895" w:rsidRPr="000B725B">
        <w:t xml:space="preserve"> </w:t>
      </w:r>
      <w:r w:rsidR="00F13554">
        <w:t>which is event driven and planned for approximately July 2024</w:t>
      </w:r>
      <w:r w:rsidR="00CB5B5C" w:rsidRPr="000B725B">
        <w:t xml:space="preserve">. </w:t>
      </w:r>
    </w:p>
    <w:p w14:paraId="46B6BF6F" w14:textId="2AEE919F" w:rsidR="003A7BD0" w:rsidRPr="000B725B" w:rsidRDefault="0094266C" w:rsidP="00D77C99">
      <w:pPr>
        <w:pStyle w:val="3-BodyText"/>
      </w:pPr>
      <w:r w:rsidRPr="000B725B">
        <w:t>E</w:t>
      </w:r>
      <w:r w:rsidR="003A7BD0" w:rsidRPr="000B725B">
        <w:t xml:space="preserve">xploratory subgroup analyses of BICR-assessed rPFS in Cohort 2 including various covariates (i.e., age at randomisation, race, ECOG performance status, Gleason score, stage at diagnosis, type of progression, baseline PSA value, metastasis site and prior docetaxel or NHA treatment), </w:t>
      </w:r>
      <w:r w:rsidR="00F822E2" w:rsidRPr="000B725B">
        <w:t xml:space="preserve">demonstrated </w:t>
      </w:r>
      <w:r w:rsidR="005D1895" w:rsidRPr="000B725B">
        <w:t xml:space="preserve">generally </w:t>
      </w:r>
      <w:r w:rsidR="00F822E2" w:rsidRPr="000B725B">
        <w:t xml:space="preserve">consistent treatment effect </w:t>
      </w:r>
      <w:r w:rsidR="005D1895" w:rsidRPr="000B725B">
        <w:t>of</w:t>
      </w:r>
      <w:r w:rsidR="00F822E2" w:rsidRPr="000B725B">
        <w:t xml:space="preserve"> </w:t>
      </w:r>
      <w:r w:rsidR="00F822E2" w:rsidRPr="000B725B">
        <w:lastRenderedPageBreak/>
        <w:t>talazoparib + enzalutamide</w:t>
      </w:r>
      <w:r w:rsidR="005D1895" w:rsidRPr="000B725B">
        <w:t xml:space="preserve"> versus enzalutamide monotherapy across these subgroups.</w:t>
      </w:r>
    </w:p>
    <w:p w14:paraId="6B557041" w14:textId="28E90352" w:rsidR="003F727A" w:rsidRPr="000B725B" w:rsidRDefault="00F822E2" w:rsidP="003B47E9">
      <w:pPr>
        <w:pStyle w:val="3-BodyText"/>
      </w:pPr>
      <w:r w:rsidRPr="000B725B">
        <w:fldChar w:fldCharType="begin" w:fldLock="1"/>
      </w:r>
      <w:r w:rsidRPr="000B725B">
        <w:instrText xml:space="preserve"> REF _Ref153528764 \h </w:instrText>
      </w:r>
      <w:r w:rsidR="003F65EE" w:rsidRPr="000B725B">
        <w:instrText xml:space="preserve"> \* MERGEFORMAT </w:instrText>
      </w:r>
      <w:r w:rsidRPr="000B725B">
        <w:fldChar w:fldCharType="separate"/>
      </w:r>
      <w:r w:rsidR="00324A7E" w:rsidRPr="000B725B">
        <w:t>Figure 2</w:t>
      </w:r>
      <w:r w:rsidRPr="000B725B">
        <w:fldChar w:fldCharType="end"/>
      </w:r>
      <w:r w:rsidRPr="000B725B">
        <w:t xml:space="preserve"> </w:t>
      </w:r>
      <w:r w:rsidR="00867E05" w:rsidRPr="000B725B">
        <w:t>present</w:t>
      </w:r>
      <w:r w:rsidR="003F727A" w:rsidRPr="000B725B">
        <w:t>s</w:t>
      </w:r>
      <w:r w:rsidR="00867E05" w:rsidRPr="000B725B">
        <w:t xml:space="preserve"> the </w:t>
      </w:r>
      <w:r w:rsidR="009C3129" w:rsidRPr="000B725B">
        <w:t>KM</w:t>
      </w:r>
      <w:r w:rsidR="00867E05" w:rsidRPr="000B725B">
        <w:t xml:space="preserve"> plots </w:t>
      </w:r>
      <w:r w:rsidR="003F727A" w:rsidRPr="000B725B">
        <w:t xml:space="preserve">of overall survival (OS) in the </w:t>
      </w:r>
      <w:r w:rsidR="003F727A" w:rsidRPr="000337F9">
        <w:rPr>
          <w:i/>
          <w:iCs/>
        </w:rPr>
        <w:t>BRCA1/2</w:t>
      </w:r>
      <w:r w:rsidR="003F727A" w:rsidRPr="000B725B">
        <w:t xml:space="preserve"> subgroup, its complement, and the overall Cohort 2 at DCOs 3 October 2022 and 28 March 2023.</w:t>
      </w:r>
    </w:p>
    <w:p w14:paraId="703C7EBE" w14:textId="1425D2AB" w:rsidR="007B16BB" w:rsidRPr="003F65EE" w:rsidRDefault="00F822E2" w:rsidP="006D3AD0">
      <w:pPr>
        <w:pStyle w:val="3-BodyText"/>
        <w:keepNext/>
        <w:keepLines/>
        <w:numPr>
          <w:ilvl w:val="0"/>
          <w:numId w:val="0"/>
        </w:numPr>
        <w:rPr>
          <w:rStyle w:val="TableFigureFooterChar"/>
          <w:b/>
          <w:bCs/>
          <w:sz w:val="20"/>
          <w:szCs w:val="20"/>
        </w:rPr>
      </w:pPr>
      <w:bookmarkStart w:id="34" w:name="_Ref153528764"/>
      <w:r w:rsidRPr="003F65EE">
        <w:rPr>
          <w:rFonts w:ascii="Arial Narrow" w:hAnsi="Arial Narrow"/>
          <w:b/>
          <w:bCs/>
          <w:sz w:val="20"/>
          <w:szCs w:val="20"/>
        </w:rPr>
        <w:lastRenderedPageBreak/>
        <w:t xml:space="preserve">Figure </w:t>
      </w:r>
      <w:r w:rsidR="00B55C3D" w:rsidRPr="003F65EE">
        <w:rPr>
          <w:rFonts w:ascii="Arial Narrow" w:hAnsi="Arial Narrow"/>
          <w:b/>
          <w:bCs/>
          <w:sz w:val="20"/>
          <w:szCs w:val="20"/>
        </w:rPr>
        <w:fldChar w:fldCharType="begin" w:fldLock="1"/>
      </w:r>
      <w:r w:rsidR="00B55C3D" w:rsidRPr="003F65EE">
        <w:rPr>
          <w:rFonts w:ascii="Arial Narrow" w:hAnsi="Arial Narrow"/>
          <w:b/>
          <w:bCs/>
          <w:sz w:val="20"/>
          <w:szCs w:val="20"/>
        </w:rPr>
        <w:instrText xml:space="preserve"> SEQ Figure \* ARABIC </w:instrText>
      </w:r>
      <w:r w:rsidR="00B55C3D" w:rsidRPr="003F65EE">
        <w:rPr>
          <w:rFonts w:ascii="Arial Narrow" w:hAnsi="Arial Narrow"/>
          <w:b/>
          <w:bCs/>
          <w:sz w:val="20"/>
          <w:szCs w:val="20"/>
        </w:rPr>
        <w:fldChar w:fldCharType="separate"/>
      </w:r>
      <w:r w:rsidR="00324A7E">
        <w:rPr>
          <w:rFonts w:ascii="Arial Narrow" w:hAnsi="Arial Narrow"/>
          <w:b/>
          <w:bCs/>
          <w:noProof/>
          <w:sz w:val="20"/>
          <w:szCs w:val="20"/>
        </w:rPr>
        <w:t>2</w:t>
      </w:r>
      <w:r w:rsidR="00B55C3D" w:rsidRPr="003F65EE">
        <w:rPr>
          <w:rFonts w:ascii="Arial Narrow" w:hAnsi="Arial Narrow"/>
          <w:b/>
          <w:bCs/>
          <w:noProof/>
          <w:sz w:val="20"/>
          <w:szCs w:val="20"/>
        </w:rPr>
        <w:fldChar w:fldCharType="end"/>
      </w:r>
      <w:bookmarkEnd w:id="34"/>
      <w:r w:rsidR="00935AD9">
        <w:rPr>
          <w:rFonts w:ascii="Arial Narrow" w:hAnsi="Arial Narrow"/>
          <w:b/>
          <w:bCs/>
          <w:noProof/>
          <w:sz w:val="20"/>
          <w:szCs w:val="20"/>
        </w:rPr>
        <w:t>:</w:t>
      </w:r>
      <w:r w:rsidRPr="003F65EE">
        <w:rPr>
          <w:rFonts w:ascii="Arial Narrow" w:hAnsi="Arial Narrow"/>
          <w:b/>
          <w:bCs/>
          <w:sz w:val="20"/>
          <w:szCs w:val="20"/>
        </w:rPr>
        <w:t xml:space="preserve"> Kaplan-Meier plot of OS in TALAPRO-2 Cohort 2 (DCOs 3 October 2022 and 28 March 2023)</w:t>
      </w:r>
      <w:r w:rsidR="00112280" w:rsidRPr="003F65EE">
        <w:rPr>
          <w:rFonts w:ascii="Arial Narrow" w:hAnsi="Arial Narrow"/>
          <w:b/>
          <w:bCs/>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3"/>
        <w:gridCol w:w="4514"/>
      </w:tblGrid>
      <w:tr w:rsidR="007B16BB" w:rsidRPr="005A293B" w14:paraId="0A42BC6F" w14:textId="77777777" w:rsidTr="0012355C">
        <w:tc>
          <w:tcPr>
            <w:tcW w:w="2500" w:type="pct"/>
          </w:tcPr>
          <w:p w14:paraId="5BD73FE6" w14:textId="77777777" w:rsidR="007B16BB" w:rsidRPr="005A293B" w:rsidRDefault="007B16BB" w:rsidP="006D3AD0">
            <w:pPr>
              <w:pStyle w:val="TableFooter"/>
              <w:keepNext/>
              <w:keepLines/>
              <w:rPr>
                <w:rFonts w:eastAsiaTheme="majorEastAsia" w:cs="Times New Roman"/>
                <w:b/>
                <w:sz w:val="20"/>
              </w:rPr>
            </w:pPr>
            <w:r w:rsidRPr="005A293B">
              <w:rPr>
                <w:rFonts w:eastAsiaTheme="majorEastAsia" w:cs="Times New Roman"/>
                <w:b/>
                <w:sz w:val="20"/>
              </w:rPr>
              <w:t>a. Cohort 2, all HRR genes (3 October 2022)</w:t>
            </w:r>
          </w:p>
        </w:tc>
        <w:tc>
          <w:tcPr>
            <w:tcW w:w="2500" w:type="pct"/>
          </w:tcPr>
          <w:p w14:paraId="6BBB4493" w14:textId="77777777" w:rsidR="007B16BB" w:rsidRPr="005A293B" w:rsidRDefault="007B16BB" w:rsidP="006D3AD0">
            <w:pPr>
              <w:pStyle w:val="TableFooter"/>
              <w:keepNext/>
              <w:keepLines/>
              <w:rPr>
                <w:rFonts w:eastAsiaTheme="majorEastAsia" w:cs="Times New Roman"/>
                <w:b/>
                <w:sz w:val="20"/>
              </w:rPr>
            </w:pPr>
            <w:r w:rsidRPr="005A293B">
              <w:rPr>
                <w:rFonts w:eastAsiaTheme="majorEastAsia" w:cs="Times New Roman"/>
                <w:b/>
                <w:sz w:val="20"/>
              </w:rPr>
              <w:t>b. Cohort 2, all HRR genes (28 March 2023)</w:t>
            </w:r>
          </w:p>
        </w:tc>
      </w:tr>
      <w:tr w:rsidR="007B16BB" w:rsidRPr="005A293B" w14:paraId="11A143A4" w14:textId="77777777" w:rsidTr="0012355C">
        <w:tc>
          <w:tcPr>
            <w:tcW w:w="2500" w:type="pct"/>
          </w:tcPr>
          <w:p w14:paraId="3D4399B5" w14:textId="77777777" w:rsidR="007B16BB" w:rsidRPr="005A293B" w:rsidRDefault="007B16BB" w:rsidP="006D3AD0">
            <w:pPr>
              <w:pStyle w:val="TableFooter"/>
              <w:keepNext/>
              <w:keepLines/>
              <w:rPr>
                <w:rFonts w:eastAsiaTheme="majorEastAsia" w:cs="Times New Roman"/>
                <w:b/>
                <w:sz w:val="20"/>
              </w:rPr>
            </w:pPr>
            <w:r w:rsidRPr="005A293B">
              <w:rPr>
                <w:noProof/>
              </w:rPr>
              <w:drawing>
                <wp:inline distT="0" distB="0" distL="0" distR="0" wp14:anchorId="13B18B98" wp14:editId="797D2F98">
                  <wp:extent cx="2830830" cy="2043836"/>
                  <wp:effectExtent l="19050" t="19050" r="26670" b="13970"/>
                  <wp:docPr id="26" name="Picture 26" descr="a. Cohort 2, all HRR genes (3 October 2022)"/>
                  <wp:cNvGraphicFramePr/>
                  <a:graphic xmlns:a="http://schemas.openxmlformats.org/drawingml/2006/main">
                    <a:graphicData uri="http://schemas.openxmlformats.org/drawingml/2006/picture">
                      <pic:pic xmlns:pic="http://schemas.openxmlformats.org/drawingml/2006/picture">
                        <pic:nvPicPr>
                          <pic:cNvPr id="26" name="Picture 26" descr="a. Cohort 2, all HRR genes (3 October 2022)"/>
                          <pic:cNvPicPr/>
                        </pic:nvPicPr>
                        <pic:blipFill>
                          <a:blip r:embed="rId14"/>
                          <a:stretch>
                            <a:fillRect/>
                          </a:stretch>
                        </pic:blipFill>
                        <pic:spPr>
                          <a:xfrm>
                            <a:off x="0" y="0"/>
                            <a:ext cx="2858222" cy="2063613"/>
                          </a:xfrm>
                          <a:prstGeom prst="rect">
                            <a:avLst/>
                          </a:prstGeom>
                          <a:ln>
                            <a:solidFill>
                              <a:schemeClr val="bg1">
                                <a:lumMod val="85000"/>
                              </a:schemeClr>
                            </a:solidFill>
                          </a:ln>
                        </pic:spPr>
                      </pic:pic>
                    </a:graphicData>
                  </a:graphic>
                </wp:inline>
              </w:drawing>
            </w:r>
          </w:p>
        </w:tc>
        <w:tc>
          <w:tcPr>
            <w:tcW w:w="2500" w:type="pct"/>
          </w:tcPr>
          <w:p w14:paraId="656C951C" w14:textId="77777777" w:rsidR="007B16BB" w:rsidRPr="005A293B" w:rsidRDefault="007B16BB" w:rsidP="006D3AD0">
            <w:pPr>
              <w:pStyle w:val="TableFooter"/>
              <w:keepNext/>
              <w:keepLines/>
              <w:rPr>
                <w:rFonts w:eastAsiaTheme="majorEastAsia" w:cs="Times New Roman"/>
                <w:b/>
                <w:sz w:val="20"/>
              </w:rPr>
            </w:pPr>
            <w:r w:rsidRPr="005A293B">
              <w:rPr>
                <w:noProof/>
              </w:rPr>
              <w:drawing>
                <wp:inline distT="0" distB="0" distL="0" distR="0" wp14:anchorId="7A5FB101" wp14:editId="79F3A9CD">
                  <wp:extent cx="2914770" cy="2147570"/>
                  <wp:effectExtent l="0" t="0" r="0" b="5080"/>
                  <wp:docPr id="11" name="Picture 11" descr="b. Cohort 2, all HRR genes (28 March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 Cohort 2, all HRR genes (28 March 2023)"/>
                          <pic:cNvPicPr/>
                        </pic:nvPicPr>
                        <pic:blipFill rotWithShape="1">
                          <a:blip r:embed="rId15"/>
                          <a:srcRect b="2890"/>
                          <a:stretch/>
                        </pic:blipFill>
                        <pic:spPr bwMode="auto">
                          <a:xfrm>
                            <a:off x="0" y="0"/>
                            <a:ext cx="2935241" cy="2162653"/>
                          </a:xfrm>
                          <a:prstGeom prst="rect">
                            <a:avLst/>
                          </a:prstGeom>
                          <a:ln>
                            <a:noFill/>
                          </a:ln>
                          <a:extLst>
                            <a:ext uri="{53640926-AAD7-44D8-BBD7-CCE9431645EC}">
                              <a14:shadowObscured xmlns:a14="http://schemas.microsoft.com/office/drawing/2010/main"/>
                            </a:ext>
                          </a:extLst>
                        </pic:spPr>
                      </pic:pic>
                    </a:graphicData>
                  </a:graphic>
                </wp:inline>
              </w:drawing>
            </w:r>
          </w:p>
        </w:tc>
      </w:tr>
      <w:tr w:rsidR="007B16BB" w:rsidRPr="005A293B" w14:paraId="3AFD11F8" w14:textId="77777777" w:rsidTr="0012355C">
        <w:tc>
          <w:tcPr>
            <w:tcW w:w="2500" w:type="pct"/>
          </w:tcPr>
          <w:p w14:paraId="72ACB6B4" w14:textId="77777777" w:rsidR="007B16BB" w:rsidRPr="005A293B" w:rsidRDefault="007B16BB" w:rsidP="006D3AD0">
            <w:pPr>
              <w:pStyle w:val="TableFooter"/>
              <w:keepNext/>
              <w:keepLines/>
              <w:rPr>
                <w:rFonts w:eastAsiaTheme="majorEastAsia" w:cs="Times New Roman"/>
                <w:b/>
                <w:sz w:val="20"/>
              </w:rPr>
            </w:pPr>
            <w:r w:rsidRPr="005A293B">
              <w:rPr>
                <w:rFonts w:eastAsiaTheme="majorEastAsia" w:cs="Times New Roman"/>
                <w:b/>
                <w:sz w:val="20"/>
              </w:rPr>
              <w:t xml:space="preserve">c. Cohort 2, </w:t>
            </w:r>
            <w:r w:rsidRPr="005A293B">
              <w:rPr>
                <w:rFonts w:eastAsiaTheme="majorEastAsia" w:cs="Times New Roman"/>
                <w:b/>
                <w:i/>
                <w:iCs/>
                <w:sz w:val="20"/>
              </w:rPr>
              <w:t>BRCA1/2</w:t>
            </w:r>
            <w:r w:rsidRPr="005A293B">
              <w:rPr>
                <w:rFonts w:eastAsiaTheme="majorEastAsia" w:cs="Times New Roman"/>
                <w:b/>
                <w:sz w:val="20"/>
              </w:rPr>
              <w:t xml:space="preserve"> subgroup (3 October 2022)</w:t>
            </w:r>
          </w:p>
        </w:tc>
        <w:tc>
          <w:tcPr>
            <w:tcW w:w="2500" w:type="pct"/>
          </w:tcPr>
          <w:p w14:paraId="66EA0635" w14:textId="77777777" w:rsidR="007B16BB" w:rsidRPr="005A293B" w:rsidRDefault="007B16BB" w:rsidP="006D3AD0">
            <w:pPr>
              <w:pStyle w:val="TableFooter"/>
              <w:keepNext/>
              <w:keepLines/>
              <w:rPr>
                <w:rFonts w:eastAsiaTheme="majorEastAsia" w:cs="Times New Roman"/>
                <w:b/>
                <w:sz w:val="20"/>
              </w:rPr>
            </w:pPr>
            <w:r w:rsidRPr="005A293B">
              <w:rPr>
                <w:rFonts w:eastAsiaTheme="majorEastAsia" w:cs="Times New Roman"/>
                <w:b/>
                <w:sz w:val="20"/>
              </w:rPr>
              <w:t xml:space="preserve">d. Cohort 2, </w:t>
            </w:r>
            <w:r w:rsidRPr="005A293B">
              <w:rPr>
                <w:rFonts w:eastAsiaTheme="majorEastAsia" w:cs="Times New Roman"/>
                <w:b/>
                <w:i/>
                <w:iCs/>
                <w:sz w:val="20"/>
              </w:rPr>
              <w:t>BRCA1/2</w:t>
            </w:r>
            <w:r w:rsidRPr="005A293B">
              <w:rPr>
                <w:rFonts w:eastAsiaTheme="majorEastAsia" w:cs="Times New Roman"/>
                <w:b/>
                <w:sz w:val="20"/>
              </w:rPr>
              <w:t xml:space="preserve"> subgroup (28 March 2023)</w:t>
            </w:r>
          </w:p>
        </w:tc>
      </w:tr>
      <w:tr w:rsidR="007B16BB" w:rsidRPr="005A293B" w14:paraId="5578DC63" w14:textId="77777777" w:rsidTr="0012355C">
        <w:tc>
          <w:tcPr>
            <w:tcW w:w="2500" w:type="pct"/>
          </w:tcPr>
          <w:p w14:paraId="19A73475" w14:textId="77777777" w:rsidR="007B16BB" w:rsidRPr="005A293B" w:rsidRDefault="007B16BB" w:rsidP="006D3AD0">
            <w:pPr>
              <w:pStyle w:val="TableFooter"/>
              <w:keepNext/>
              <w:keepLines/>
              <w:rPr>
                <w:rFonts w:eastAsiaTheme="majorEastAsia" w:cs="Times New Roman"/>
                <w:b/>
                <w:sz w:val="20"/>
              </w:rPr>
            </w:pPr>
            <w:r w:rsidRPr="005A293B">
              <w:rPr>
                <w:noProof/>
              </w:rPr>
              <w:drawing>
                <wp:inline distT="0" distB="0" distL="0" distR="0" wp14:anchorId="2CACCFCE" wp14:editId="399C7E49">
                  <wp:extent cx="2823210" cy="2348179"/>
                  <wp:effectExtent l="0" t="0" r="0" b="0"/>
                  <wp:docPr id="7" name="Picture 7" descr="c. Cohort 2, BRCA1/2 subgroup (3 October 2022)"/>
                  <wp:cNvGraphicFramePr/>
                  <a:graphic xmlns:a="http://schemas.openxmlformats.org/drawingml/2006/main">
                    <a:graphicData uri="http://schemas.openxmlformats.org/drawingml/2006/picture">
                      <pic:pic xmlns:pic="http://schemas.openxmlformats.org/drawingml/2006/picture">
                        <pic:nvPicPr>
                          <pic:cNvPr id="7" name="Picture 7" descr="c. Cohort 2, BRCA1/2 subgroup (3 October 2022)"/>
                          <pic:cNvPicPr/>
                        </pic:nvPicPr>
                        <pic:blipFill>
                          <a:blip r:embed="rId16"/>
                          <a:stretch>
                            <a:fillRect/>
                          </a:stretch>
                        </pic:blipFill>
                        <pic:spPr>
                          <a:xfrm>
                            <a:off x="0" y="0"/>
                            <a:ext cx="2852503" cy="2372543"/>
                          </a:xfrm>
                          <a:prstGeom prst="rect">
                            <a:avLst/>
                          </a:prstGeom>
                        </pic:spPr>
                      </pic:pic>
                    </a:graphicData>
                  </a:graphic>
                </wp:inline>
              </w:drawing>
            </w:r>
          </w:p>
        </w:tc>
        <w:tc>
          <w:tcPr>
            <w:tcW w:w="2500" w:type="pct"/>
          </w:tcPr>
          <w:p w14:paraId="3E942C6B" w14:textId="77777777" w:rsidR="007B16BB" w:rsidRPr="005A293B" w:rsidRDefault="007B16BB" w:rsidP="006D3AD0">
            <w:pPr>
              <w:pStyle w:val="TableFooter"/>
              <w:keepNext/>
              <w:keepLines/>
              <w:rPr>
                <w:rFonts w:eastAsiaTheme="majorEastAsia" w:cs="Times New Roman"/>
                <w:sz w:val="20"/>
              </w:rPr>
            </w:pPr>
            <w:r w:rsidRPr="005A293B">
              <w:rPr>
                <w:noProof/>
              </w:rPr>
              <w:drawing>
                <wp:inline distT="0" distB="0" distL="0" distR="0" wp14:anchorId="0C08F501" wp14:editId="7CA5C1C6">
                  <wp:extent cx="2816225" cy="2399385"/>
                  <wp:effectExtent l="0" t="0" r="3175" b="1270"/>
                  <wp:docPr id="8" name="Picture 8" descr="d. Cohort 2, BRCA1/2 subgroup (28 March 2023)"/>
                  <wp:cNvGraphicFramePr/>
                  <a:graphic xmlns:a="http://schemas.openxmlformats.org/drawingml/2006/main">
                    <a:graphicData uri="http://schemas.openxmlformats.org/drawingml/2006/picture">
                      <pic:pic xmlns:pic="http://schemas.openxmlformats.org/drawingml/2006/picture">
                        <pic:nvPicPr>
                          <pic:cNvPr id="8" name="Picture 8" descr="d. Cohort 2, BRCA1/2 subgroup (28 March 2023)"/>
                          <pic:cNvPicPr/>
                        </pic:nvPicPr>
                        <pic:blipFill>
                          <a:blip r:embed="rId17"/>
                          <a:stretch>
                            <a:fillRect/>
                          </a:stretch>
                        </pic:blipFill>
                        <pic:spPr>
                          <a:xfrm>
                            <a:off x="0" y="0"/>
                            <a:ext cx="2886474" cy="2459236"/>
                          </a:xfrm>
                          <a:prstGeom prst="rect">
                            <a:avLst/>
                          </a:prstGeom>
                        </pic:spPr>
                      </pic:pic>
                    </a:graphicData>
                  </a:graphic>
                </wp:inline>
              </w:drawing>
            </w:r>
          </w:p>
        </w:tc>
      </w:tr>
      <w:tr w:rsidR="007B16BB" w:rsidRPr="005A293B" w14:paraId="214C0EDF" w14:textId="77777777" w:rsidTr="0012355C">
        <w:tc>
          <w:tcPr>
            <w:tcW w:w="2500" w:type="pct"/>
          </w:tcPr>
          <w:p w14:paraId="18ABA1CD" w14:textId="77777777" w:rsidR="007B16BB" w:rsidRPr="005A293B" w:rsidRDefault="007B16BB" w:rsidP="006D3AD0">
            <w:pPr>
              <w:pStyle w:val="TableFooter"/>
              <w:keepNext/>
              <w:keepLines/>
              <w:rPr>
                <w:rFonts w:eastAsiaTheme="majorEastAsia" w:cs="Times New Roman"/>
                <w:b/>
                <w:sz w:val="20"/>
              </w:rPr>
            </w:pPr>
            <w:r w:rsidRPr="005A293B">
              <w:rPr>
                <w:rFonts w:eastAsiaTheme="majorEastAsia" w:cs="Times New Roman"/>
                <w:b/>
                <w:sz w:val="20"/>
              </w:rPr>
              <w:t>e. Cohort 2, non-</w:t>
            </w:r>
            <w:r w:rsidRPr="005A293B">
              <w:rPr>
                <w:rFonts w:eastAsiaTheme="majorEastAsia" w:cs="Times New Roman"/>
                <w:b/>
                <w:i/>
                <w:iCs/>
                <w:sz w:val="20"/>
              </w:rPr>
              <w:t>BRCA1/2</w:t>
            </w:r>
            <w:r w:rsidRPr="005A293B">
              <w:rPr>
                <w:rFonts w:eastAsiaTheme="majorEastAsia" w:cs="Times New Roman"/>
                <w:b/>
                <w:sz w:val="20"/>
              </w:rPr>
              <w:t xml:space="preserve"> subgroup (3 October 2022)</w:t>
            </w:r>
          </w:p>
        </w:tc>
        <w:tc>
          <w:tcPr>
            <w:tcW w:w="2500" w:type="pct"/>
          </w:tcPr>
          <w:p w14:paraId="0B6AF52A" w14:textId="77777777" w:rsidR="007B16BB" w:rsidRPr="005A293B" w:rsidRDefault="007B16BB" w:rsidP="006D3AD0">
            <w:pPr>
              <w:pStyle w:val="TableFooter"/>
              <w:keepNext/>
              <w:keepLines/>
              <w:rPr>
                <w:rFonts w:eastAsiaTheme="majorEastAsia" w:cs="Times New Roman"/>
                <w:b/>
                <w:sz w:val="20"/>
              </w:rPr>
            </w:pPr>
            <w:r w:rsidRPr="005A293B">
              <w:rPr>
                <w:rFonts w:eastAsiaTheme="majorEastAsia" w:cs="Times New Roman"/>
                <w:b/>
                <w:sz w:val="20"/>
              </w:rPr>
              <w:t>f. Cohort 2, non-</w:t>
            </w:r>
            <w:r w:rsidRPr="005A293B">
              <w:rPr>
                <w:rFonts w:eastAsiaTheme="majorEastAsia" w:cs="Times New Roman"/>
                <w:b/>
                <w:i/>
                <w:iCs/>
                <w:sz w:val="20"/>
              </w:rPr>
              <w:t>BRCA1/2</w:t>
            </w:r>
            <w:r w:rsidRPr="005A293B">
              <w:rPr>
                <w:rFonts w:eastAsiaTheme="majorEastAsia" w:cs="Times New Roman"/>
                <w:b/>
                <w:sz w:val="20"/>
              </w:rPr>
              <w:t xml:space="preserve"> subgroup (28 March 2023)</w:t>
            </w:r>
          </w:p>
        </w:tc>
      </w:tr>
      <w:tr w:rsidR="007B16BB" w:rsidRPr="005A293B" w14:paraId="0E9F634F" w14:textId="77777777" w:rsidTr="0012355C">
        <w:tc>
          <w:tcPr>
            <w:tcW w:w="2500" w:type="pct"/>
          </w:tcPr>
          <w:p w14:paraId="7DE346D7" w14:textId="77777777" w:rsidR="007B16BB" w:rsidRPr="005A293B" w:rsidRDefault="007B16BB" w:rsidP="006D3AD0">
            <w:pPr>
              <w:pStyle w:val="TableFooter"/>
              <w:keepNext/>
              <w:keepLines/>
              <w:rPr>
                <w:rFonts w:eastAsiaTheme="majorEastAsia" w:cs="Times New Roman"/>
                <w:b/>
                <w:sz w:val="20"/>
              </w:rPr>
            </w:pPr>
            <w:r w:rsidRPr="005A293B">
              <w:rPr>
                <w:noProof/>
              </w:rPr>
              <w:drawing>
                <wp:inline distT="0" distB="0" distL="0" distR="0" wp14:anchorId="326476DD" wp14:editId="31F7BF4D">
                  <wp:extent cx="2915285" cy="1831975"/>
                  <wp:effectExtent l="0" t="0" r="0" b="0"/>
                  <wp:docPr id="15" name="Picture 15" descr="e. Cohort 2, non-BRCA1/2 subgroup (3 Octo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 Cohort 2, non-BRCA1/2 subgroup (3 October 2022)"/>
                          <pic:cNvPicPr/>
                        </pic:nvPicPr>
                        <pic:blipFill>
                          <a:blip r:embed="rId18"/>
                          <a:stretch>
                            <a:fillRect/>
                          </a:stretch>
                        </pic:blipFill>
                        <pic:spPr>
                          <a:xfrm>
                            <a:off x="0" y="0"/>
                            <a:ext cx="2915285" cy="1831975"/>
                          </a:xfrm>
                          <a:prstGeom prst="rect">
                            <a:avLst/>
                          </a:prstGeom>
                        </pic:spPr>
                      </pic:pic>
                    </a:graphicData>
                  </a:graphic>
                </wp:inline>
              </w:drawing>
            </w:r>
          </w:p>
        </w:tc>
        <w:tc>
          <w:tcPr>
            <w:tcW w:w="2500" w:type="pct"/>
          </w:tcPr>
          <w:p w14:paraId="1321B166" w14:textId="77777777" w:rsidR="007B16BB" w:rsidRPr="005A293B" w:rsidRDefault="007B16BB" w:rsidP="006D3AD0">
            <w:pPr>
              <w:pStyle w:val="TableFooter"/>
              <w:keepNext/>
              <w:keepLines/>
              <w:rPr>
                <w:rFonts w:eastAsiaTheme="majorEastAsia" w:cs="Times New Roman"/>
                <w:b/>
                <w:sz w:val="20"/>
              </w:rPr>
            </w:pPr>
            <w:r w:rsidRPr="005A293B">
              <w:rPr>
                <w:noProof/>
              </w:rPr>
              <w:drawing>
                <wp:inline distT="0" distB="0" distL="0" distR="0" wp14:anchorId="13096182" wp14:editId="5B8E9E8A">
                  <wp:extent cx="2915285" cy="1884680"/>
                  <wp:effectExtent l="0" t="0" r="0" b="1270"/>
                  <wp:docPr id="16" name="Picture 16" descr="f. Cohort 2, non-BRCA1/2 subgroup (28 March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 Cohort 2, non-BRCA1/2 subgroup (28 March 2023)"/>
                          <pic:cNvPicPr/>
                        </pic:nvPicPr>
                        <pic:blipFill>
                          <a:blip r:embed="rId19"/>
                          <a:stretch>
                            <a:fillRect/>
                          </a:stretch>
                        </pic:blipFill>
                        <pic:spPr>
                          <a:xfrm>
                            <a:off x="0" y="0"/>
                            <a:ext cx="2915285" cy="1884680"/>
                          </a:xfrm>
                          <a:prstGeom prst="rect">
                            <a:avLst/>
                          </a:prstGeom>
                        </pic:spPr>
                      </pic:pic>
                    </a:graphicData>
                  </a:graphic>
                </wp:inline>
              </w:drawing>
            </w:r>
          </w:p>
        </w:tc>
      </w:tr>
    </w:tbl>
    <w:p w14:paraId="2F5E8264" w14:textId="5AE58FD4" w:rsidR="007B16BB" w:rsidRPr="005A293B" w:rsidRDefault="007B16BB" w:rsidP="006D3AD0">
      <w:pPr>
        <w:pStyle w:val="TableFigureFooter"/>
        <w:keepNext/>
        <w:keepLines/>
        <w:spacing w:after="0"/>
        <w:jc w:val="both"/>
        <w:rPr>
          <w:lang w:eastAsia="en-GB"/>
        </w:rPr>
      </w:pPr>
      <w:r w:rsidRPr="005A293B">
        <w:rPr>
          <w:lang w:eastAsia="en-GB"/>
        </w:rPr>
        <w:t xml:space="preserve">Source: Figure 2.5-2, p84 and Figure 2.6-2, p101 and Figure 2.6-3, p102 of the submission </w:t>
      </w:r>
      <w:r w:rsidRPr="005A293B">
        <w:rPr>
          <w:szCs w:val="18"/>
        </w:rPr>
        <w:t>and Figure 14.2.2.4a, p15 of the ‘28MAR23 DATACUT_C344101 OS update DDR.pdf’ document received on 29/11/2023.</w:t>
      </w:r>
    </w:p>
    <w:p w14:paraId="08BBED26" w14:textId="23014DB7" w:rsidR="00C20E78" w:rsidRDefault="007B16BB" w:rsidP="00565C8B">
      <w:pPr>
        <w:pStyle w:val="TableFooter"/>
        <w:spacing w:after="120"/>
        <w:rPr>
          <w:lang w:eastAsia="en-GB"/>
        </w:rPr>
      </w:pPr>
      <w:r w:rsidRPr="005A293B">
        <w:rPr>
          <w:i/>
          <w:iCs/>
          <w:lang w:eastAsia="en-GB"/>
        </w:rPr>
        <w:t>BRCA</w:t>
      </w:r>
      <w:r w:rsidRPr="005A293B">
        <w:rPr>
          <w:lang w:eastAsia="en-GB"/>
        </w:rPr>
        <w:t>= Breast Cancer gene; CI=confidence interval; DCO=data cut off, HR=hazard ratio; NE=not estimated; OS=overall survival.</w:t>
      </w:r>
    </w:p>
    <w:p w14:paraId="31847F7D" w14:textId="5355A15A" w:rsidR="003F727A" w:rsidRPr="000B725B" w:rsidRDefault="003F727A" w:rsidP="003F727A">
      <w:pPr>
        <w:pStyle w:val="3-BodyText"/>
      </w:pPr>
      <w:r w:rsidRPr="000B725B">
        <w:t xml:space="preserve">At DCO 3 October 2022, 96 deaths were observed in Cohort 2 (24% data maturity). Among these, 43 </w:t>
      </w:r>
      <w:r w:rsidR="0094266C" w:rsidRPr="000B725B">
        <w:t xml:space="preserve">and 53 </w:t>
      </w:r>
      <w:r w:rsidRPr="000B725B">
        <w:t xml:space="preserve">deaths occurred in the talazoparib + enzalutamide </w:t>
      </w:r>
      <w:r w:rsidR="0094266C" w:rsidRPr="000B725B">
        <w:t xml:space="preserve">and </w:t>
      </w:r>
      <w:r w:rsidRPr="000B725B">
        <w:t xml:space="preserve">the </w:t>
      </w:r>
      <w:r w:rsidRPr="000B725B">
        <w:lastRenderedPageBreak/>
        <w:t xml:space="preserve">placebo + enzalutamide </w:t>
      </w:r>
      <w:r w:rsidR="00E64D9F" w:rsidRPr="000B725B">
        <w:t>arm</w:t>
      </w:r>
      <w:r w:rsidR="0094266C" w:rsidRPr="000B725B">
        <w:t>s</w:t>
      </w:r>
      <w:r w:rsidR="00737560" w:rsidRPr="000B725B">
        <w:t>,</w:t>
      </w:r>
      <w:r w:rsidR="0094266C" w:rsidRPr="000B725B">
        <w:t xml:space="preserve"> respectively</w:t>
      </w:r>
      <w:r w:rsidRPr="000B725B">
        <w:t xml:space="preserve"> (HR</w:t>
      </w:r>
      <w:r w:rsidR="00F13554">
        <w:t xml:space="preserve"> </w:t>
      </w:r>
      <w:r w:rsidRPr="000B725B">
        <w:t>=</w:t>
      </w:r>
      <w:r w:rsidR="00F13554">
        <w:t xml:space="preserve"> </w:t>
      </w:r>
      <w:r w:rsidRPr="000B725B">
        <w:t>0.69</w:t>
      </w:r>
      <w:r w:rsidR="00F13554">
        <w:t>;</w:t>
      </w:r>
      <w:r w:rsidRPr="000B725B">
        <w:t xml:space="preserve"> 95% CI: 0.46</w:t>
      </w:r>
      <w:r w:rsidR="009E51BF" w:rsidRPr="000B725B">
        <w:t>,</w:t>
      </w:r>
      <w:r w:rsidRPr="000B725B">
        <w:t xml:space="preserve"> 1.03). In the </w:t>
      </w:r>
      <w:r w:rsidRPr="000337F9">
        <w:rPr>
          <w:i/>
          <w:iCs/>
        </w:rPr>
        <w:t>BRCA1/2</w:t>
      </w:r>
      <w:r w:rsidRPr="000B725B">
        <w:t xml:space="preserve"> subgroup, 34 </w:t>
      </w:r>
      <w:r w:rsidR="0094266C" w:rsidRPr="000B725B">
        <w:t xml:space="preserve">deaths were </w:t>
      </w:r>
      <w:r w:rsidRPr="000B725B">
        <w:t>observed, 13 in the talazoparib + enzalutamide</w:t>
      </w:r>
      <w:r w:rsidR="0094266C" w:rsidRPr="000B725B">
        <w:t xml:space="preserve"> arm</w:t>
      </w:r>
      <w:r w:rsidRPr="000B725B">
        <w:t xml:space="preserve"> and 21 in the placebo + enzalutamide </w:t>
      </w:r>
      <w:r w:rsidR="0094266C" w:rsidRPr="000B725B">
        <w:t xml:space="preserve">arm </w:t>
      </w:r>
      <w:r w:rsidRPr="000B725B">
        <w:t>(HR</w:t>
      </w:r>
      <w:r w:rsidR="00F13554">
        <w:t xml:space="preserve"> </w:t>
      </w:r>
      <w:r w:rsidRPr="000B725B">
        <w:t>=</w:t>
      </w:r>
      <w:r w:rsidR="00F13554">
        <w:t xml:space="preserve"> </w:t>
      </w:r>
      <w:r w:rsidRPr="000B725B">
        <w:t>0.61</w:t>
      </w:r>
      <w:r w:rsidR="00F13554">
        <w:t>;</w:t>
      </w:r>
      <w:r w:rsidRPr="000B725B">
        <w:t xml:space="preserve"> 95% CI: 0.306</w:t>
      </w:r>
      <w:r w:rsidR="009E51BF" w:rsidRPr="000B725B">
        <w:t>,</w:t>
      </w:r>
      <w:r w:rsidRPr="000B725B">
        <w:t xml:space="preserve"> 1.23). </w:t>
      </w:r>
    </w:p>
    <w:p w14:paraId="22925DC4" w14:textId="70B9157F" w:rsidR="003F727A" w:rsidRPr="000B725B" w:rsidRDefault="003F727A" w:rsidP="003F727A">
      <w:pPr>
        <w:pStyle w:val="3-BodyText"/>
      </w:pPr>
      <w:r w:rsidRPr="000B725B">
        <w:t xml:space="preserve">At DCO 28 March 2023, </w:t>
      </w:r>
      <w:r w:rsidR="0008468E" w:rsidRPr="000B725B">
        <w:t xml:space="preserve">136 deaths were observed in Cohort 2 (34% data maturity), with 60 and 76 deaths in the talazoparib + enzalutamide and placebo + enzalutamide </w:t>
      </w:r>
      <w:r w:rsidR="00E64D9F" w:rsidRPr="000B725B">
        <w:t>arm</w:t>
      </w:r>
      <w:r w:rsidR="0094266C" w:rsidRPr="000B725B">
        <w:t>s</w:t>
      </w:r>
      <w:r w:rsidR="0008468E" w:rsidRPr="000B725B">
        <w:t xml:space="preserve"> respectively. The estimated median OS was 41.9 months and 30.8 months respectively, statistically significantly in favour of the talazoparib + enzalutamide </w:t>
      </w:r>
      <w:r w:rsidR="0094266C" w:rsidRPr="000B725B">
        <w:t xml:space="preserve">arm </w:t>
      </w:r>
      <w:r w:rsidR="0008468E" w:rsidRPr="000B725B">
        <w:t>(HR</w:t>
      </w:r>
      <w:r w:rsidR="00F13554">
        <w:t xml:space="preserve"> </w:t>
      </w:r>
      <w:r w:rsidR="009E51BF" w:rsidRPr="000B725B">
        <w:t>=</w:t>
      </w:r>
      <w:r w:rsidR="00F13554">
        <w:t xml:space="preserve"> </w:t>
      </w:r>
      <w:r w:rsidR="0008468E" w:rsidRPr="000B725B">
        <w:t>0.66</w:t>
      </w:r>
      <w:r w:rsidR="00F13554">
        <w:t>;</w:t>
      </w:r>
      <w:r w:rsidR="0008468E" w:rsidRPr="000B725B">
        <w:t xml:space="preserve"> 95% CI: 0.47</w:t>
      </w:r>
      <w:r w:rsidR="009E51BF" w:rsidRPr="000B725B">
        <w:t xml:space="preserve">, </w:t>
      </w:r>
      <w:r w:rsidR="0008468E" w:rsidRPr="000B725B">
        <w:t xml:space="preserve">0.93). The survival benefit was driven by benefits in the </w:t>
      </w:r>
      <w:r w:rsidR="00785B0C" w:rsidRPr="000337F9">
        <w:rPr>
          <w:i/>
          <w:iCs/>
        </w:rPr>
        <w:t>BRCA1/2</w:t>
      </w:r>
      <w:r w:rsidR="0008468E" w:rsidRPr="000B725B">
        <w:t xml:space="preserve"> subgroup, with </w:t>
      </w:r>
      <w:r w:rsidRPr="000B725B">
        <w:t>52 death</w:t>
      </w:r>
      <w:r w:rsidR="009E51BF" w:rsidRPr="000B725B">
        <w:t>s</w:t>
      </w:r>
      <w:r w:rsidRPr="000B725B">
        <w:t xml:space="preserve"> (33.5% data maturity), of which 18 occurred in the talazoparib + enzalutamide group and 34 occurred in the placebo + enzalutamide </w:t>
      </w:r>
      <w:r w:rsidR="00E64D9F" w:rsidRPr="000B725B">
        <w:t>arm</w:t>
      </w:r>
      <w:r w:rsidRPr="000B725B">
        <w:t>,</w:t>
      </w:r>
      <w:r w:rsidR="003F65EE" w:rsidRPr="000B725B">
        <w:t xml:space="preserve"> </w:t>
      </w:r>
      <w:r w:rsidR="0008468E" w:rsidRPr="000B725B">
        <w:t xml:space="preserve">indicating benefit for those </w:t>
      </w:r>
      <w:r w:rsidR="00E64D9F" w:rsidRPr="000B725B">
        <w:t xml:space="preserve">treated with </w:t>
      </w:r>
      <w:r w:rsidRPr="000B725B">
        <w:t>talazoparib + enzalutamide</w:t>
      </w:r>
      <w:r w:rsidR="0008468E" w:rsidRPr="000B725B">
        <w:t xml:space="preserve"> </w:t>
      </w:r>
      <w:r w:rsidRPr="000B725B">
        <w:t>(HR</w:t>
      </w:r>
      <w:r w:rsidR="00F13554">
        <w:t xml:space="preserve"> </w:t>
      </w:r>
      <w:r w:rsidR="009E51BF" w:rsidRPr="000B725B">
        <w:t>=</w:t>
      </w:r>
      <w:r w:rsidR="00F13554">
        <w:t xml:space="preserve"> </w:t>
      </w:r>
      <w:r w:rsidRPr="000B725B">
        <w:t>0.47</w:t>
      </w:r>
      <w:r w:rsidR="00F13554">
        <w:t>;</w:t>
      </w:r>
      <w:r w:rsidRPr="000B725B">
        <w:t xml:space="preserve"> 95% CI: 0.262</w:t>
      </w:r>
      <w:r w:rsidR="009E51BF" w:rsidRPr="000B725B">
        <w:t>,</w:t>
      </w:r>
      <w:r w:rsidRPr="000B725B">
        <w:t xml:space="preserve"> 0.845). </w:t>
      </w:r>
      <w:r w:rsidR="0008468E" w:rsidRPr="000B725B">
        <w:t>The</w:t>
      </w:r>
      <w:r w:rsidR="00E64D9F" w:rsidRPr="000B725B">
        <w:t xml:space="preserve"> </w:t>
      </w:r>
      <w:r w:rsidR="0008468E" w:rsidRPr="000B725B">
        <w:t>m</w:t>
      </w:r>
      <w:r w:rsidRPr="000B725B">
        <w:t xml:space="preserve">edian OS </w:t>
      </w:r>
      <w:r w:rsidR="00DA151B" w:rsidRPr="000B725B">
        <w:t xml:space="preserve">in the </w:t>
      </w:r>
      <w:r w:rsidR="00DA151B" w:rsidRPr="000337F9">
        <w:rPr>
          <w:i/>
          <w:iCs/>
        </w:rPr>
        <w:t>BRCA1/2</w:t>
      </w:r>
      <w:r w:rsidR="00DA151B" w:rsidRPr="000B725B">
        <w:t xml:space="preserve"> subgroup </w:t>
      </w:r>
      <w:r w:rsidRPr="000B725B">
        <w:t>was 41.9 months (95% CI: 33</w:t>
      </w:r>
      <w:r w:rsidR="009E51BF" w:rsidRPr="000B725B">
        <w:t xml:space="preserve">, </w:t>
      </w:r>
      <w:r w:rsidRPr="000B725B">
        <w:t>NR) in the talazoparib + enzalutamide arm and 26.1 months (95% CI: 22.6</w:t>
      </w:r>
      <w:r w:rsidR="009E51BF" w:rsidRPr="000B725B">
        <w:t xml:space="preserve">, </w:t>
      </w:r>
      <w:r w:rsidRPr="000B725B">
        <w:t>NR) in the placebo + enzalutamide arm</w:t>
      </w:r>
      <w:r w:rsidR="00E64D9F" w:rsidRPr="000B725B">
        <w:t xml:space="preserve"> with</w:t>
      </w:r>
      <w:r w:rsidRPr="000B725B">
        <w:t xml:space="preserve"> an</w:t>
      </w:r>
      <w:r w:rsidR="00E64D9F" w:rsidRPr="000B725B">
        <w:t xml:space="preserve"> estimated</w:t>
      </w:r>
      <w:r w:rsidRPr="000B725B">
        <w:t xml:space="preserve"> incremental benefit of 15.8</w:t>
      </w:r>
      <w:r w:rsidR="008F02DF">
        <w:t> </w:t>
      </w:r>
      <w:r w:rsidRPr="000B725B">
        <w:t>months.</w:t>
      </w:r>
      <w:r w:rsidR="0008468E" w:rsidRPr="000B725B">
        <w:t xml:space="preserve"> There w</w:t>
      </w:r>
      <w:r w:rsidR="006D3299" w:rsidRPr="000B725B">
        <w:t>ere</w:t>
      </w:r>
      <w:r w:rsidR="0008468E" w:rsidRPr="000B725B">
        <w:t xml:space="preserve"> no significant difference</w:t>
      </w:r>
      <w:r w:rsidR="00D13DD2" w:rsidRPr="000B725B">
        <w:t>s</w:t>
      </w:r>
      <w:r w:rsidR="0008468E" w:rsidRPr="000B725B">
        <w:t xml:space="preserve"> in deaths </w:t>
      </w:r>
      <w:r w:rsidR="006D3299" w:rsidRPr="000B725B">
        <w:t>across the two treatment arms</w:t>
      </w:r>
      <w:r w:rsidR="0008468E" w:rsidRPr="000B725B">
        <w:t xml:space="preserve"> </w:t>
      </w:r>
      <w:r w:rsidR="006D3299" w:rsidRPr="000B725B">
        <w:t xml:space="preserve">for </w:t>
      </w:r>
      <w:r w:rsidR="0008468E" w:rsidRPr="000B725B">
        <w:t xml:space="preserve">the </w:t>
      </w:r>
      <w:r w:rsidR="00162A7D" w:rsidRPr="000B725B">
        <w:t>non-</w:t>
      </w:r>
      <w:r w:rsidR="00D13DD2" w:rsidRPr="00565C8B">
        <w:rPr>
          <w:i/>
          <w:iCs/>
        </w:rPr>
        <w:t>BRCA</w:t>
      </w:r>
      <w:r w:rsidR="00785B0C" w:rsidRPr="000B725B">
        <w:t xml:space="preserve"> </w:t>
      </w:r>
      <w:r w:rsidR="00D13DD2" w:rsidRPr="000B725B">
        <w:t xml:space="preserve">subgroup </w:t>
      </w:r>
      <w:r w:rsidR="0008468E" w:rsidRPr="000B725B">
        <w:t xml:space="preserve">at </w:t>
      </w:r>
      <w:r w:rsidR="006D3299" w:rsidRPr="000B725B">
        <w:t xml:space="preserve">either </w:t>
      </w:r>
      <w:r w:rsidR="0008468E" w:rsidRPr="000B725B">
        <w:t xml:space="preserve">DCO 3 October 2022 or </w:t>
      </w:r>
      <w:r w:rsidR="006D3299" w:rsidRPr="000B725B">
        <w:t>DCO 28</w:t>
      </w:r>
      <w:r w:rsidR="008F02DF">
        <w:t> </w:t>
      </w:r>
      <w:r w:rsidR="006D3299" w:rsidRPr="000B725B">
        <w:t>March</w:t>
      </w:r>
      <w:r w:rsidR="008F02DF">
        <w:t> </w:t>
      </w:r>
      <w:r w:rsidR="006D3299" w:rsidRPr="000B725B">
        <w:t>2023.</w:t>
      </w:r>
    </w:p>
    <w:p w14:paraId="0DC2D993" w14:textId="17D40074" w:rsidR="00162A7D" w:rsidRPr="000B725B" w:rsidRDefault="00162A7D" w:rsidP="003F727A">
      <w:pPr>
        <w:pStyle w:val="3-BodyText"/>
      </w:pPr>
      <w:r w:rsidRPr="000B725B">
        <w:t xml:space="preserve">With only 52 events observed </w:t>
      </w:r>
      <w:r w:rsidR="00E64D9F" w:rsidRPr="000B725B">
        <w:t>out of a total</w:t>
      </w:r>
      <w:r w:rsidRPr="000B725B">
        <w:t xml:space="preserve"> 155 patients within the </w:t>
      </w:r>
      <w:r w:rsidRPr="000337F9">
        <w:rPr>
          <w:i/>
          <w:iCs/>
        </w:rPr>
        <w:t>BRCA1/2</w:t>
      </w:r>
      <w:r w:rsidRPr="000B725B">
        <w:t xml:space="preserve"> subgroup</w:t>
      </w:r>
      <w:r w:rsidR="00DA151B" w:rsidRPr="000B725B">
        <w:t xml:space="preserve"> OS data was still immature</w:t>
      </w:r>
      <w:r w:rsidRPr="000B725B">
        <w:t>. Given the small sample size, the subgroup analys</w:t>
      </w:r>
      <w:r w:rsidR="00DA151B" w:rsidRPr="000B725B">
        <w:t>is also appeared to lack</w:t>
      </w:r>
      <w:r w:rsidRPr="000B725B">
        <w:t xml:space="preserve"> the statistical power to confidently detect robust differences, thereby increasing the potential for spurious findings.</w:t>
      </w:r>
    </w:p>
    <w:p w14:paraId="59161E6C" w14:textId="61D220AA" w:rsidR="00B01839" w:rsidRPr="000B725B" w:rsidRDefault="00B01839" w:rsidP="00FE2E26">
      <w:pPr>
        <w:pStyle w:val="3-BodyText"/>
        <w:rPr>
          <w:color w:val="0066FF"/>
        </w:rPr>
      </w:pPr>
      <w:r w:rsidRPr="000B725B">
        <w:rPr>
          <w:lang w:eastAsia="en-GB"/>
        </w:rPr>
        <w:t xml:space="preserve">The submission </w:t>
      </w:r>
      <w:r w:rsidR="00DA151B" w:rsidRPr="000B725B">
        <w:rPr>
          <w:lang w:eastAsia="en-GB"/>
        </w:rPr>
        <w:t xml:space="preserve">also reported </w:t>
      </w:r>
      <w:r w:rsidRPr="000B725B">
        <w:rPr>
          <w:lang w:eastAsia="en-GB"/>
        </w:rPr>
        <w:t>BICR-assessed objective response rates for patients with measurable disease at baseline</w:t>
      </w:r>
      <w:r w:rsidR="00F13554">
        <w:rPr>
          <w:lang w:eastAsia="en-GB"/>
        </w:rPr>
        <w:t>, with f</w:t>
      </w:r>
      <w:r w:rsidRPr="000B725B">
        <w:rPr>
          <w:lang w:eastAsia="en-GB"/>
        </w:rPr>
        <w:t xml:space="preserve">avourable results observed in </w:t>
      </w:r>
      <w:r w:rsidR="00F13554">
        <w:rPr>
          <w:lang w:eastAsia="en-GB"/>
        </w:rPr>
        <w:t xml:space="preserve">both </w:t>
      </w:r>
      <w:r w:rsidRPr="000B725B">
        <w:rPr>
          <w:lang w:eastAsia="en-GB"/>
        </w:rPr>
        <w:t>the talazoparib + enzalutamide arm in Cohort 2</w:t>
      </w:r>
      <w:r w:rsidR="00D13DD2" w:rsidRPr="000B725B">
        <w:rPr>
          <w:lang w:eastAsia="en-GB"/>
        </w:rPr>
        <w:t xml:space="preserve"> </w:t>
      </w:r>
      <w:r w:rsidR="00F13554">
        <w:rPr>
          <w:lang w:eastAsia="en-GB"/>
        </w:rPr>
        <w:t xml:space="preserve">(RD = </w:t>
      </w:r>
      <w:r w:rsidR="00F13554" w:rsidRPr="000B725B">
        <w:rPr>
          <w:lang w:eastAsia="en-GB"/>
        </w:rPr>
        <w:t>27.1%</w:t>
      </w:r>
      <w:r w:rsidR="00F13554">
        <w:rPr>
          <w:lang w:eastAsia="en-GB"/>
        </w:rPr>
        <w:t xml:space="preserve">; </w:t>
      </w:r>
      <w:r w:rsidR="00F13554" w:rsidRPr="000B725B">
        <w:rPr>
          <w:lang w:eastAsia="en-GB"/>
        </w:rPr>
        <w:t>95% CI</w:t>
      </w:r>
      <w:r w:rsidR="00F13554">
        <w:rPr>
          <w:lang w:eastAsia="en-GB"/>
        </w:rPr>
        <w:t>:</w:t>
      </w:r>
      <w:r w:rsidR="00F13554" w:rsidRPr="000B725B">
        <w:rPr>
          <w:lang w:eastAsia="en-GB"/>
        </w:rPr>
        <w:t xml:space="preserve"> 11.1%, 43.2%)</w:t>
      </w:r>
      <w:r w:rsidR="00F13554">
        <w:rPr>
          <w:lang w:eastAsia="en-GB"/>
        </w:rPr>
        <w:t xml:space="preserve"> </w:t>
      </w:r>
      <w:r w:rsidR="00D13DD2" w:rsidRPr="000B725B">
        <w:rPr>
          <w:lang w:eastAsia="en-GB"/>
        </w:rPr>
        <w:t xml:space="preserve">and in the </w:t>
      </w:r>
      <w:r w:rsidRPr="000337F9">
        <w:rPr>
          <w:i/>
          <w:iCs/>
          <w:lang w:eastAsia="en-GB"/>
        </w:rPr>
        <w:t>BRCA1/2</w:t>
      </w:r>
      <w:r w:rsidRPr="000B725B">
        <w:rPr>
          <w:lang w:eastAsia="en-GB"/>
        </w:rPr>
        <w:t xml:space="preserve"> subgroup</w:t>
      </w:r>
      <w:r w:rsidR="00F13554">
        <w:rPr>
          <w:lang w:eastAsia="en-GB"/>
        </w:rPr>
        <w:t xml:space="preserve"> (</w:t>
      </w:r>
      <w:r w:rsidR="009E51BF" w:rsidRPr="000B725B">
        <w:rPr>
          <w:lang w:eastAsia="en-GB"/>
        </w:rPr>
        <w:t>RD</w:t>
      </w:r>
      <w:r w:rsidR="00F13554">
        <w:rPr>
          <w:lang w:eastAsia="en-GB"/>
        </w:rPr>
        <w:t xml:space="preserve"> </w:t>
      </w:r>
      <w:r w:rsidR="009E51BF" w:rsidRPr="000B725B">
        <w:rPr>
          <w:lang w:eastAsia="en-GB"/>
        </w:rPr>
        <w:t>=</w:t>
      </w:r>
      <w:r w:rsidR="00F13554">
        <w:rPr>
          <w:lang w:eastAsia="en-GB"/>
        </w:rPr>
        <w:t xml:space="preserve"> </w:t>
      </w:r>
      <w:r w:rsidRPr="000B725B">
        <w:rPr>
          <w:lang w:eastAsia="en-GB"/>
        </w:rPr>
        <w:t>48.1</w:t>
      </w:r>
      <w:r w:rsidR="00D13DD2" w:rsidRPr="000B725B">
        <w:rPr>
          <w:lang w:eastAsia="en-GB"/>
        </w:rPr>
        <w:t>%</w:t>
      </w:r>
      <w:r w:rsidR="00F13554">
        <w:rPr>
          <w:lang w:eastAsia="en-GB"/>
        </w:rPr>
        <w:t xml:space="preserve">; </w:t>
      </w:r>
      <w:r w:rsidR="009E51BF" w:rsidRPr="000B725B">
        <w:rPr>
          <w:lang w:eastAsia="en-GB"/>
        </w:rPr>
        <w:t xml:space="preserve">95% CI: </w:t>
      </w:r>
      <w:r w:rsidR="00D13DD2" w:rsidRPr="000B725B">
        <w:rPr>
          <w:lang w:eastAsia="en-GB"/>
        </w:rPr>
        <w:t>26.4%</w:t>
      </w:r>
      <w:r w:rsidR="00E61363" w:rsidRPr="000B725B">
        <w:rPr>
          <w:lang w:eastAsia="en-GB"/>
        </w:rPr>
        <w:t xml:space="preserve">, </w:t>
      </w:r>
      <w:r w:rsidR="00D13DD2" w:rsidRPr="000B725B">
        <w:rPr>
          <w:lang w:eastAsia="en-GB"/>
        </w:rPr>
        <w:t>69.9%)</w:t>
      </w:r>
      <w:r w:rsidR="00E61363" w:rsidRPr="000B725B">
        <w:rPr>
          <w:lang w:eastAsia="en-GB"/>
        </w:rPr>
        <w:t>. The</w:t>
      </w:r>
      <w:r w:rsidRPr="000B725B">
        <w:rPr>
          <w:lang w:eastAsia="en-GB"/>
        </w:rPr>
        <w:t xml:space="preserve"> results for time to second progression </w:t>
      </w:r>
      <w:r w:rsidR="00E61363" w:rsidRPr="000B725B">
        <w:rPr>
          <w:lang w:eastAsia="en-GB"/>
        </w:rPr>
        <w:t xml:space="preserve">also </w:t>
      </w:r>
      <w:r w:rsidRPr="000B725B">
        <w:rPr>
          <w:lang w:eastAsia="en-GB"/>
        </w:rPr>
        <w:t>favo</w:t>
      </w:r>
      <w:r w:rsidR="00386EB2" w:rsidRPr="000B725B">
        <w:rPr>
          <w:lang w:eastAsia="en-GB"/>
        </w:rPr>
        <w:t>u</w:t>
      </w:r>
      <w:r w:rsidRPr="000B725B">
        <w:rPr>
          <w:lang w:eastAsia="en-GB"/>
        </w:rPr>
        <w:t xml:space="preserve">red talazoparib + enzalutamide </w:t>
      </w:r>
      <w:r w:rsidR="00E61363" w:rsidRPr="000B725B">
        <w:rPr>
          <w:lang w:eastAsia="en-GB"/>
        </w:rPr>
        <w:t xml:space="preserve">versus placebo + </w:t>
      </w:r>
      <w:r w:rsidR="00785B0C" w:rsidRPr="000B725B">
        <w:rPr>
          <w:lang w:eastAsia="en-GB"/>
        </w:rPr>
        <w:t>enzalutamide</w:t>
      </w:r>
      <w:r w:rsidR="00E61363" w:rsidRPr="000B725B">
        <w:rPr>
          <w:lang w:eastAsia="en-GB"/>
        </w:rPr>
        <w:t xml:space="preserve"> in Cohort 2 </w:t>
      </w:r>
      <w:r w:rsidR="00F13554" w:rsidRPr="000B725B">
        <w:rPr>
          <w:lang w:eastAsia="en-GB"/>
        </w:rPr>
        <w:t>(HR</w:t>
      </w:r>
      <w:r w:rsidR="00F13554">
        <w:rPr>
          <w:lang w:eastAsia="en-GB"/>
        </w:rPr>
        <w:t xml:space="preserve"> </w:t>
      </w:r>
      <w:r w:rsidR="00F13554" w:rsidRPr="000B725B">
        <w:rPr>
          <w:lang w:eastAsia="en-GB"/>
        </w:rPr>
        <w:t>=</w:t>
      </w:r>
      <w:r w:rsidR="00F13554">
        <w:rPr>
          <w:lang w:eastAsia="en-GB"/>
        </w:rPr>
        <w:t xml:space="preserve"> </w:t>
      </w:r>
      <w:r w:rsidR="00F13554" w:rsidRPr="000B725B">
        <w:rPr>
          <w:lang w:eastAsia="en-GB"/>
        </w:rPr>
        <w:t>0.57</w:t>
      </w:r>
      <w:r w:rsidR="00F13554">
        <w:rPr>
          <w:lang w:eastAsia="en-GB"/>
        </w:rPr>
        <w:t>;</w:t>
      </w:r>
      <w:r w:rsidR="00F13554" w:rsidRPr="000B725B">
        <w:rPr>
          <w:lang w:eastAsia="en-GB"/>
        </w:rPr>
        <w:t xml:space="preserve"> 95% CI: 0.39, 0.85</w:t>
      </w:r>
      <w:r w:rsidR="00F13554">
        <w:rPr>
          <w:lang w:eastAsia="en-GB"/>
        </w:rPr>
        <w:t>)</w:t>
      </w:r>
      <w:r w:rsidR="00F13554" w:rsidRPr="000B725B">
        <w:rPr>
          <w:lang w:eastAsia="en-GB"/>
        </w:rPr>
        <w:t xml:space="preserve"> </w:t>
      </w:r>
      <w:r w:rsidR="00E61363" w:rsidRPr="000B725B">
        <w:rPr>
          <w:lang w:eastAsia="en-GB"/>
        </w:rPr>
        <w:t xml:space="preserve">and the </w:t>
      </w:r>
      <w:r w:rsidR="00785B0C" w:rsidRPr="000337F9">
        <w:rPr>
          <w:i/>
          <w:iCs/>
          <w:lang w:eastAsia="en-GB"/>
        </w:rPr>
        <w:t>BRCA1/2</w:t>
      </w:r>
      <w:r w:rsidR="00E61363" w:rsidRPr="000B725B">
        <w:rPr>
          <w:lang w:eastAsia="en-GB"/>
        </w:rPr>
        <w:t xml:space="preserve"> subgroup </w:t>
      </w:r>
      <w:r w:rsidR="00F13554">
        <w:rPr>
          <w:lang w:eastAsia="en-GB"/>
        </w:rPr>
        <w:t>(</w:t>
      </w:r>
      <w:r w:rsidR="009E51BF" w:rsidRPr="000B725B">
        <w:rPr>
          <w:lang w:eastAsia="en-GB"/>
        </w:rPr>
        <w:t>HR</w:t>
      </w:r>
      <w:r w:rsidR="00F13554">
        <w:rPr>
          <w:lang w:eastAsia="en-GB"/>
        </w:rPr>
        <w:t xml:space="preserve"> </w:t>
      </w:r>
      <w:r w:rsidR="009E51BF" w:rsidRPr="000B725B">
        <w:rPr>
          <w:lang w:eastAsia="en-GB"/>
        </w:rPr>
        <w:t>=</w:t>
      </w:r>
      <w:r w:rsidR="00F13554">
        <w:rPr>
          <w:lang w:eastAsia="en-GB"/>
        </w:rPr>
        <w:t xml:space="preserve"> </w:t>
      </w:r>
      <w:r w:rsidRPr="000B725B">
        <w:rPr>
          <w:lang w:eastAsia="en-GB"/>
        </w:rPr>
        <w:t>0.43</w:t>
      </w:r>
      <w:r w:rsidR="00F13554">
        <w:rPr>
          <w:lang w:eastAsia="en-GB"/>
        </w:rPr>
        <w:t>;</w:t>
      </w:r>
      <w:r w:rsidR="009E51BF" w:rsidRPr="000B725B">
        <w:rPr>
          <w:lang w:eastAsia="en-GB"/>
        </w:rPr>
        <w:t xml:space="preserve"> 95% CI: </w:t>
      </w:r>
      <w:r w:rsidR="00E61363" w:rsidRPr="000B725B">
        <w:rPr>
          <w:lang w:eastAsia="en-GB"/>
        </w:rPr>
        <w:t>0.2, 0.8)</w:t>
      </w:r>
      <w:r w:rsidRPr="000B725B">
        <w:rPr>
          <w:lang w:eastAsia="en-GB"/>
        </w:rPr>
        <w:t xml:space="preserve">. </w:t>
      </w:r>
      <w:r w:rsidR="00E61363" w:rsidRPr="000B725B">
        <w:rPr>
          <w:lang w:eastAsia="en-GB"/>
        </w:rPr>
        <w:t xml:space="preserve">No significant differences in objective response rate or time to second progression were observed for the non </w:t>
      </w:r>
      <w:r w:rsidR="00E61363" w:rsidRPr="000337F9">
        <w:rPr>
          <w:i/>
          <w:iCs/>
          <w:lang w:eastAsia="en-GB"/>
        </w:rPr>
        <w:t>BRCA1/2</w:t>
      </w:r>
      <w:r w:rsidR="00E61363" w:rsidRPr="000B725B">
        <w:rPr>
          <w:lang w:eastAsia="en-GB"/>
        </w:rPr>
        <w:t xml:space="preserve"> subgroup.</w:t>
      </w:r>
    </w:p>
    <w:p w14:paraId="2A01C5C6" w14:textId="21075200" w:rsidR="00585C81" w:rsidRPr="000B725B" w:rsidRDefault="00585C81" w:rsidP="00FE2E26">
      <w:pPr>
        <w:pStyle w:val="3-BodyText"/>
        <w:rPr>
          <w:color w:val="0066FF"/>
        </w:rPr>
      </w:pPr>
      <w:r w:rsidRPr="000B725B">
        <w:rPr>
          <w:lang w:eastAsia="en-GB"/>
        </w:rPr>
        <w:t>The submission presented a summary of key patient-reported outcome</w:t>
      </w:r>
      <w:r w:rsidR="00FC0701" w:rsidRPr="000B725B">
        <w:rPr>
          <w:lang w:eastAsia="en-GB"/>
        </w:rPr>
        <w:t>s</w:t>
      </w:r>
      <w:r w:rsidRPr="000B725B">
        <w:rPr>
          <w:lang w:eastAsia="en-GB"/>
        </w:rPr>
        <w:t xml:space="preserve"> in Cohort 2 of TALAPRO-2 (DC</w:t>
      </w:r>
      <w:r w:rsidR="006D3299" w:rsidRPr="000B725B">
        <w:rPr>
          <w:lang w:eastAsia="en-GB"/>
        </w:rPr>
        <w:t>O</w:t>
      </w:r>
      <w:r w:rsidRPr="000B725B">
        <w:rPr>
          <w:lang w:eastAsia="en-GB"/>
        </w:rPr>
        <w:t xml:space="preserve"> 3 October 2022). Results showed that treatment with talazoparib + enzalutamide was associated with significantly </w:t>
      </w:r>
      <w:r w:rsidR="00FC0701" w:rsidRPr="000B725B">
        <w:rPr>
          <w:lang w:eastAsia="en-GB"/>
        </w:rPr>
        <w:t xml:space="preserve">longer </w:t>
      </w:r>
      <w:r w:rsidRPr="000B725B">
        <w:rPr>
          <w:lang w:eastAsia="en-GB"/>
        </w:rPr>
        <w:t xml:space="preserve">time to definitive clinically meaningful deterioration for Global Health State (GHS)/QoL compared to placebo + enzalutamide (27.1 months versus 19.3 months, p=0.032), and time to definitive deterioration in urinary symptoms (not estimated versus 30.2 months, p=0.0216), reflecting improved disease control. These data were not presented for the </w:t>
      </w:r>
      <w:r w:rsidRPr="000337F9">
        <w:rPr>
          <w:i/>
          <w:iCs/>
          <w:lang w:eastAsia="en-GB"/>
        </w:rPr>
        <w:t>BRCA1/2</w:t>
      </w:r>
      <w:r w:rsidRPr="000B725B">
        <w:rPr>
          <w:lang w:eastAsia="en-GB"/>
        </w:rPr>
        <w:t xml:space="preserve"> subgroup.</w:t>
      </w:r>
    </w:p>
    <w:p w14:paraId="15190476" w14:textId="2AE150B3" w:rsidR="00132B0D" w:rsidRPr="000B725B" w:rsidRDefault="00132B0D" w:rsidP="00FE2E26">
      <w:pPr>
        <w:pStyle w:val="3-BodyText"/>
        <w:rPr>
          <w:color w:val="0066FF"/>
        </w:rPr>
      </w:pPr>
      <w:r w:rsidRPr="000B725B">
        <w:rPr>
          <w:lang w:eastAsia="en-GB"/>
        </w:rPr>
        <w:lastRenderedPageBreak/>
        <w:t>The submission</w:t>
      </w:r>
      <w:r w:rsidR="006D3299" w:rsidRPr="000B725B">
        <w:rPr>
          <w:lang w:eastAsia="en-GB"/>
        </w:rPr>
        <w:t xml:space="preserve"> </w:t>
      </w:r>
      <w:r w:rsidRPr="000B725B">
        <w:rPr>
          <w:lang w:eastAsia="en-GB"/>
        </w:rPr>
        <w:t xml:space="preserve">presented EQ-5D utility data for Cohort 2 and the </w:t>
      </w:r>
      <w:r w:rsidRPr="000337F9">
        <w:rPr>
          <w:i/>
          <w:iCs/>
          <w:lang w:eastAsia="en-GB"/>
        </w:rPr>
        <w:t>BRCA1/2</w:t>
      </w:r>
      <w:r w:rsidRPr="000B725B">
        <w:rPr>
          <w:lang w:eastAsia="en-GB"/>
        </w:rPr>
        <w:t xml:space="preserve"> subgroup </w:t>
      </w:r>
      <w:r w:rsidR="00812723" w:rsidRPr="000B725B">
        <w:rPr>
          <w:lang w:eastAsia="en-GB"/>
        </w:rPr>
        <w:t xml:space="preserve">estimated using the </w:t>
      </w:r>
      <w:r w:rsidRPr="000B725B">
        <w:rPr>
          <w:lang w:eastAsia="en-GB"/>
        </w:rPr>
        <w:t>UK value set</w:t>
      </w:r>
      <w:r w:rsidR="006D3AD0" w:rsidRPr="000B725B">
        <w:rPr>
          <w:rStyle w:val="FootnoteReference"/>
          <w:lang w:eastAsia="en-GB"/>
        </w:rPr>
        <w:footnoteReference w:id="4"/>
      </w:r>
      <w:r w:rsidR="00E64D9F" w:rsidRPr="000B725B">
        <w:rPr>
          <w:lang w:eastAsia="en-GB"/>
        </w:rPr>
        <w:t xml:space="preserve"> for DCO </w:t>
      </w:r>
      <w:r w:rsidRPr="000B725B">
        <w:rPr>
          <w:lang w:eastAsia="en-GB"/>
        </w:rPr>
        <w:t>3 October 2022 and 28 March 2023</w:t>
      </w:r>
      <w:r w:rsidR="00E64D9F" w:rsidRPr="000B725B">
        <w:rPr>
          <w:lang w:eastAsia="en-GB"/>
        </w:rPr>
        <w:t xml:space="preserve"> </w:t>
      </w:r>
      <w:r w:rsidR="00935AD9" w:rsidRPr="000B725B">
        <w:rPr>
          <w:lang w:eastAsia="en-GB"/>
        </w:rPr>
        <w:t>(s</w:t>
      </w:r>
      <w:r w:rsidR="00E64D9F" w:rsidRPr="000B725B">
        <w:rPr>
          <w:lang w:eastAsia="en-GB"/>
        </w:rPr>
        <w:t xml:space="preserve">ee </w:t>
      </w:r>
      <w:r w:rsidRPr="000B725B">
        <w:rPr>
          <w:lang w:eastAsia="en-GB"/>
        </w:rPr>
        <w:fldChar w:fldCharType="begin" w:fldLock="1"/>
      </w:r>
      <w:r w:rsidRPr="000B725B">
        <w:rPr>
          <w:lang w:eastAsia="en-GB"/>
        </w:rPr>
        <w:instrText xml:space="preserve"> REF _Ref153785779 \h </w:instrText>
      </w:r>
      <w:r w:rsidR="000B725B" w:rsidRPr="000B725B">
        <w:rPr>
          <w:lang w:eastAsia="en-GB"/>
        </w:rPr>
        <w:instrText xml:space="preserve"> \* MERGEFORMAT </w:instrText>
      </w:r>
      <w:r w:rsidRPr="000B725B">
        <w:rPr>
          <w:lang w:eastAsia="en-GB"/>
        </w:rPr>
      </w:r>
      <w:r w:rsidRPr="000B725B">
        <w:rPr>
          <w:lang w:eastAsia="en-GB"/>
        </w:rPr>
        <w:fldChar w:fldCharType="separate"/>
      </w:r>
      <w:r w:rsidR="00324A7E" w:rsidRPr="000B725B">
        <w:t xml:space="preserve">Table </w:t>
      </w:r>
      <w:r w:rsidR="00324A7E" w:rsidRPr="000B725B">
        <w:rPr>
          <w:noProof/>
        </w:rPr>
        <w:t>5</w:t>
      </w:r>
      <w:r w:rsidRPr="000B725B">
        <w:rPr>
          <w:lang w:eastAsia="en-GB"/>
        </w:rPr>
        <w:fldChar w:fldCharType="end"/>
      </w:r>
      <w:r w:rsidR="00935AD9" w:rsidRPr="000B725B">
        <w:rPr>
          <w:lang w:eastAsia="en-GB"/>
        </w:rPr>
        <w:t>)</w:t>
      </w:r>
      <w:r w:rsidRPr="000B725B">
        <w:rPr>
          <w:lang w:eastAsia="en-GB"/>
        </w:rPr>
        <w:t>.</w:t>
      </w:r>
    </w:p>
    <w:p w14:paraId="3C8CDD8F" w14:textId="3445A56C" w:rsidR="00B967DA" w:rsidRPr="005A293B" w:rsidRDefault="00B967DA" w:rsidP="00B967DA">
      <w:pPr>
        <w:pStyle w:val="Caption"/>
      </w:pPr>
      <w:bookmarkStart w:id="35" w:name="_Ref153785779"/>
      <w:r w:rsidRPr="005A293B">
        <w:t xml:space="preserve">Table </w:t>
      </w:r>
      <w:fldSimple w:instr=" SEQ Table \* ARABIC " w:fldLock="1">
        <w:r w:rsidR="00A01609">
          <w:rPr>
            <w:noProof/>
          </w:rPr>
          <w:t>5</w:t>
        </w:r>
      </w:fldSimple>
      <w:bookmarkEnd w:id="35"/>
      <w:r w:rsidR="00935AD9">
        <w:rPr>
          <w:noProof/>
        </w:rPr>
        <w:t>:</w:t>
      </w:r>
      <w:r w:rsidRPr="005A293B">
        <w:t xml:space="preserve"> Marginal Mean Health State Utility Values</w:t>
      </w:r>
      <w:r w:rsidR="00FC0701">
        <w:t>-</w:t>
      </w:r>
      <w:r w:rsidRPr="005A293B">
        <w:t>UK Value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Marginal Mean Health State Utility Values-UK Value Set"/>
      </w:tblPr>
      <w:tblGrid>
        <w:gridCol w:w="702"/>
        <w:gridCol w:w="1408"/>
        <w:gridCol w:w="1118"/>
        <w:gridCol w:w="1118"/>
        <w:gridCol w:w="1113"/>
        <w:gridCol w:w="1118"/>
        <w:gridCol w:w="1316"/>
        <w:gridCol w:w="1124"/>
      </w:tblGrid>
      <w:tr w:rsidR="00B967DA" w:rsidRPr="005A293B" w14:paraId="7B2BB7A1" w14:textId="77777777" w:rsidTr="0012355C">
        <w:tc>
          <w:tcPr>
            <w:tcW w:w="389" w:type="pct"/>
            <w:tcBorders>
              <w:bottom w:val="nil"/>
            </w:tcBorders>
            <w:vAlign w:val="center"/>
          </w:tcPr>
          <w:p w14:paraId="4E4A06CE" w14:textId="77777777" w:rsidR="00B967DA" w:rsidRPr="005A293B" w:rsidRDefault="00B967DA" w:rsidP="0077734E">
            <w:pPr>
              <w:pStyle w:val="PBACTabletext"/>
              <w:spacing w:after="0"/>
              <w:jc w:val="center"/>
              <w:rPr>
                <w:b/>
                <w:bCs/>
                <w:szCs w:val="20"/>
              </w:rPr>
            </w:pPr>
          </w:p>
        </w:tc>
        <w:tc>
          <w:tcPr>
            <w:tcW w:w="781" w:type="pct"/>
            <w:tcBorders>
              <w:bottom w:val="nil"/>
            </w:tcBorders>
            <w:vAlign w:val="center"/>
          </w:tcPr>
          <w:p w14:paraId="08F3ED92" w14:textId="77777777" w:rsidR="00B967DA" w:rsidRPr="005A293B" w:rsidRDefault="00B967DA" w:rsidP="0077734E">
            <w:pPr>
              <w:pStyle w:val="PBACTabletext"/>
              <w:spacing w:after="0"/>
              <w:jc w:val="center"/>
              <w:rPr>
                <w:b/>
                <w:bCs/>
                <w:szCs w:val="20"/>
              </w:rPr>
            </w:pPr>
          </w:p>
        </w:tc>
        <w:tc>
          <w:tcPr>
            <w:tcW w:w="1856" w:type="pct"/>
            <w:gridSpan w:val="3"/>
            <w:vAlign w:val="center"/>
          </w:tcPr>
          <w:p w14:paraId="10EDC0A0" w14:textId="77777777" w:rsidR="00B967DA" w:rsidRPr="005A293B" w:rsidRDefault="00B967DA" w:rsidP="0077734E">
            <w:pPr>
              <w:pStyle w:val="PBACTabletext"/>
              <w:spacing w:after="0"/>
              <w:jc w:val="center"/>
              <w:rPr>
                <w:b/>
                <w:bCs/>
                <w:szCs w:val="20"/>
              </w:rPr>
            </w:pPr>
            <w:r w:rsidRPr="005A293B">
              <w:rPr>
                <w:b/>
                <w:bCs/>
                <w:szCs w:val="20"/>
              </w:rPr>
              <w:t>Cohort 2, all HRR genes</w:t>
            </w:r>
          </w:p>
        </w:tc>
        <w:tc>
          <w:tcPr>
            <w:tcW w:w="1974" w:type="pct"/>
            <w:gridSpan w:val="3"/>
            <w:vAlign w:val="center"/>
          </w:tcPr>
          <w:p w14:paraId="0C0371A6" w14:textId="77777777" w:rsidR="00B967DA" w:rsidRPr="005A293B" w:rsidRDefault="00B967DA" w:rsidP="0077734E">
            <w:pPr>
              <w:pStyle w:val="PBACTabletext"/>
              <w:spacing w:after="0"/>
              <w:jc w:val="center"/>
              <w:rPr>
                <w:b/>
                <w:bCs/>
                <w:szCs w:val="20"/>
              </w:rPr>
            </w:pPr>
            <w:r w:rsidRPr="005A293B">
              <w:rPr>
                <w:b/>
                <w:bCs/>
                <w:szCs w:val="20"/>
              </w:rPr>
              <w:t xml:space="preserve">Cohort 2, </w:t>
            </w:r>
            <w:r w:rsidRPr="005A293B">
              <w:rPr>
                <w:b/>
                <w:bCs/>
                <w:i/>
                <w:iCs/>
                <w:szCs w:val="20"/>
              </w:rPr>
              <w:t>BRCA1/2</w:t>
            </w:r>
            <w:r w:rsidRPr="005A293B">
              <w:rPr>
                <w:b/>
                <w:bCs/>
                <w:szCs w:val="20"/>
              </w:rPr>
              <w:t xml:space="preserve"> subgroup</w:t>
            </w:r>
          </w:p>
        </w:tc>
      </w:tr>
      <w:tr w:rsidR="00B967DA" w:rsidRPr="005A293B" w14:paraId="7C9985D8" w14:textId="77777777" w:rsidTr="0012355C">
        <w:trPr>
          <w:trHeight w:val="469"/>
        </w:trPr>
        <w:tc>
          <w:tcPr>
            <w:tcW w:w="389" w:type="pct"/>
            <w:tcBorders>
              <w:top w:val="nil"/>
            </w:tcBorders>
            <w:vAlign w:val="center"/>
          </w:tcPr>
          <w:p w14:paraId="5730A2E2" w14:textId="77777777" w:rsidR="00B967DA" w:rsidRPr="005A293B" w:rsidRDefault="00B967DA" w:rsidP="0077734E">
            <w:pPr>
              <w:pStyle w:val="PBACTabletext"/>
              <w:spacing w:after="0"/>
              <w:jc w:val="center"/>
              <w:rPr>
                <w:b/>
                <w:bCs/>
                <w:szCs w:val="20"/>
              </w:rPr>
            </w:pPr>
            <w:r w:rsidRPr="005A293B">
              <w:rPr>
                <w:b/>
                <w:bCs/>
                <w:szCs w:val="20"/>
              </w:rPr>
              <w:t>DCO</w:t>
            </w:r>
          </w:p>
          <w:p w14:paraId="7FE59AA1" w14:textId="77777777" w:rsidR="00B967DA" w:rsidRPr="005A293B" w:rsidRDefault="00B967DA" w:rsidP="0077734E">
            <w:pPr>
              <w:pStyle w:val="PBACTabletext"/>
              <w:spacing w:after="0"/>
              <w:jc w:val="center"/>
              <w:rPr>
                <w:b/>
                <w:bCs/>
                <w:szCs w:val="20"/>
              </w:rPr>
            </w:pPr>
            <w:r w:rsidRPr="005A293B">
              <w:rPr>
                <w:b/>
                <w:bCs/>
                <w:szCs w:val="20"/>
              </w:rPr>
              <w:t>Date</w:t>
            </w:r>
          </w:p>
        </w:tc>
        <w:tc>
          <w:tcPr>
            <w:tcW w:w="781" w:type="pct"/>
            <w:tcBorders>
              <w:top w:val="nil"/>
            </w:tcBorders>
            <w:vAlign w:val="center"/>
            <w:hideMark/>
          </w:tcPr>
          <w:p w14:paraId="266A0D39" w14:textId="77777777" w:rsidR="00B967DA" w:rsidRPr="005A293B" w:rsidRDefault="00B967DA" w:rsidP="0077734E">
            <w:pPr>
              <w:pStyle w:val="PBACTabletext"/>
              <w:spacing w:after="0"/>
              <w:jc w:val="center"/>
              <w:rPr>
                <w:b/>
                <w:szCs w:val="20"/>
              </w:rPr>
            </w:pPr>
            <w:r w:rsidRPr="005A293B">
              <w:rPr>
                <w:b/>
                <w:bCs/>
                <w:szCs w:val="20"/>
              </w:rPr>
              <w:t>Health state</w:t>
            </w:r>
          </w:p>
        </w:tc>
        <w:tc>
          <w:tcPr>
            <w:tcW w:w="620" w:type="pct"/>
            <w:vAlign w:val="center"/>
            <w:hideMark/>
          </w:tcPr>
          <w:p w14:paraId="4D8A0B90" w14:textId="77777777" w:rsidR="00B967DA" w:rsidRPr="005A293B" w:rsidRDefault="00B967DA" w:rsidP="0077734E">
            <w:pPr>
              <w:pStyle w:val="PBACTabletext"/>
              <w:spacing w:after="0"/>
              <w:jc w:val="center"/>
              <w:rPr>
                <w:b/>
                <w:szCs w:val="20"/>
              </w:rPr>
            </w:pPr>
            <w:r w:rsidRPr="005A293B">
              <w:rPr>
                <w:b/>
                <w:szCs w:val="20"/>
              </w:rPr>
              <w:t>TAL+ENZ</w:t>
            </w:r>
          </w:p>
        </w:tc>
        <w:tc>
          <w:tcPr>
            <w:tcW w:w="620" w:type="pct"/>
            <w:vAlign w:val="center"/>
            <w:hideMark/>
          </w:tcPr>
          <w:p w14:paraId="43EA7492" w14:textId="77777777" w:rsidR="00B967DA" w:rsidRPr="005A293B" w:rsidRDefault="00B967DA" w:rsidP="0077734E">
            <w:pPr>
              <w:pStyle w:val="PBACTabletext"/>
              <w:spacing w:after="0"/>
              <w:jc w:val="center"/>
              <w:rPr>
                <w:b/>
                <w:szCs w:val="20"/>
              </w:rPr>
            </w:pPr>
            <w:r w:rsidRPr="005A293B">
              <w:rPr>
                <w:b/>
                <w:szCs w:val="20"/>
              </w:rPr>
              <w:t>PBO+ENZ</w:t>
            </w:r>
          </w:p>
        </w:tc>
        <w:tc>
          <w:tcPr>
            <w:tcW w:w="617" w:type="pct"/>
            <w:vAlign w:val="center"/>
          </w:tcPr>
          <w:p w14:paraId="1486D60A" w14:textId="77777777" w:rsidR="00B967DA" w:rsidRPr="005A293B" w:rsidRDefault="00B967DA" w:rsidP="0077734E">
            <w:pPr>
              <w:pStyle w:val="PBACTabletext"/>
              <w:spacing w:after="0"/>
              <w:jc w:val="center"/>
              <w:rPr>
                <w:b/>
                <w:szCs w:val="20"/>
              </w:rPr>
            </w:pPr>
            <w:r w:rsidRPr="005A293B">
              <w:rPr>
                <w:b/>
                <w:szCs w:val="20"/>
              </w:rPr>
              <w:t>Overall</w:t>
            </w:r>
          </w:p>
        </w:tc>
        <w:tc>
          <w:tcPr>
            <w:tcW w:w="620" w:type="pct"/>
            <w:vAlign w:val="center"/>
          </w:tcPr>
          <w:p w14:paraId="13CDFEAC" w14:textId="77777777" w:rsidR="00B967DA" w:rsidRPr="005A293B" w:rsidRDefault="00B967DA" w:rsidP="0077734E">
            <w:pPr>
              <w:pStyle w:val="PBACTabletext"/>
              <w:spacing w:after="0"/>
              <w:jc w:val="center"/>
              <w:rPr>
                <w:b/>
                <w:szCs w:val="20"/>
              </w:rPr>
            </w:pPr>
            <w:r w:rsidRPr="005A293B">
              <w:rPr>
                <w:b/>
                <w:szCs w:val="20"/>
              </w:rPr>
              <w:t>TAL+ENZ</w:t>
            </w:r>
          </w:p>
        </w:tc>
        <w:tc>
          <w:tcPr>
            <w:tcW w:w="730" w:type="pct"/>
            <w:vAlign w:val="center"/>
          </w:tcPr>
          <w:p w14:paraId="60AFD96F" w14:textId="77777777" w:rsidR="00B967DA" w:rsidRPr="005A293B" w:rsidRDefault="00B967DA" w:rsidP="0077734E">
            <w:pPr>
              <w:pStyle w:val="PBACTabletext"/>
              <w:spacing w:after="0"/>
              <w:jc w:val="center"/>
              <w:rPr>
                <w:b/>
                <w:szCs w:val="20"/>
              </w:rPr>
            </w:pPr>
            <w:r w:rsidRPr="005A293B">
              <w:rPr>
                <w:b/>
                <w:szCs w:val="20"/>
              </w:rPr>
              <w:t>PBO+ENZ</w:t>
            </w:r>
          </w:p>
        </w:tc>
        <w:tc>
          <w:tcPr>
            <w:tcW w:w="624" w:type="pct"/>
            <w:vAlign w:val="center"/>
          </w:tcPr>
          <w:p w14:paraId="55356611" w14:textId="77777777" w:rsidR="00B967DA" w:rsidRPr="005A293B" w:rsidRDefault="00B967DA" w:rsidP="0077734E">
            <w:pPr>
              <w:pStyle w:val="PBACTabletext"/>
              <w:spacing w:after="0"/>
              <w:jc w:val="center"/>
              <w:rPr>
                <w:b/>
                <w:szCs w:val="20"/>
              </w:rPr>
            </w:pPr>
            <w:r w:rsidRPr="005A293B">
              <w:rPr>
                <w:b/>
                <w:szCs w:val="20"/>
              </w:rPr>
              <w:t>Overall</w:t>
            </w:r>
          </w:p>
        </w:tc>
      </w:tr>
      <w:tr w:rsidR="00B967DA" w:rsidRPr="005A293B" w14:paraId="5B7273C6" w14:textId="77777777" w:rsidTr="0012355C">
        <w:tc>
          <w:tcPr>
            <w:tcW w:w="389" w:type="pct"/>
            <w:vMerge w:val="restart"/>
            <w:vAlign w:val="center"/>
          </w:tcPr>
          <w:p w14:paraId="28B0B059" w14:textId="49EBD50F" w:rsidR="00B967DA" w:rsidRPr="005A293B" w:rsidRDefault="00B967DA" w:rsidP="0077734E">
            <w:pPr>
              <w:pStyle w:val="PBACTabletext"/>
              <w:spacing w:after="0"/>
              <w:jc w:val="center"/>
              <w:rPr>
                <w:szCs w:val="20"/>
              </w:rPr>
            </w:pPr>
            <w:r w:rsidRPr="005A293B">
              <w:rPr>
                <w:b/>
                <w:bCs/>
                <w:szCs w:val="20"/>
              </w:rPr>
              <w:t>3 October 2022</w:t>
            </w:r>
          </w:p>
        </w:tc>
        <w:tc>
          <w:tcPr>
            <w:tcW w:w="781" w:type="pct"/>
            <w:vAlign w:val="center"/>
          </w:tcPr>
          <w:p w14:paraId="1D6A09FF" w14:textId="77777777" w:rsidR="00B967DA" w:rsidRPr="005A293B" w:rsidRDefault="00B967DA" w:rsidP="0077734E">
            <w:pPr>
              <w:pStyle w:val="PBACTabletext"/>
              <w:spacing w:after="0"/>
              <w:jc w:val="center"/>
              <w:rPr>
                <w:szCs w:val="20"/>
              </w:rPr>
            </w:pPr>
            <w:r w:rsidRPr="005A293B">
              <w:rPr>
                <w:szCs w:val="20"/>
              </w:rPr>
              <w:t>Pre-progression</w:t>
            </w:r>
          </w:p>
        </w:tc>
        <w:tc>
          <w:tcPr>
            <w:tcW w:w="620" w:type="pct"/>
            <w:vAlign w:val="center"/>
          </w:tcPr>
          <w:p w14:paraId="080E2FF1" w14:textId="77777777" w:rsidR="00B967DA" w:rsidRPr="005A293B" w:rsidRDefault="00B967DA" w:rsidP="0077734E">
            <w:pPr>
              <w:pStyle w:val="PBACTabletext"/>
              <w:spacing w:after="0"/>
              <w:jc w:val="center"/>
              <w:rPr>
                <w:szCs w:val="20"/>
              </w:rPr>
            </w:pPr>
            <w:r w:rsidRPr="005A293B">
              <w:rPr>
                <w:szCs w:val="20"/>
              </w:rPr>
              <w:t>0.82</w:t>
            </w:r>
            <w:r w:rsidRPr="005A293B">
              <w:rPr>
                <w:szCs w:val="20"/>
              </w:rPr>
              <w:br/>
              <w:t>(0.81-0.84)</w:t>
            </w:r>
          </w:p>
        </w:tc>
        <w:tc>
          <w:tcPr>
            <w:tcW w:w="620" w:type="pct"/>
            <w:vAlign w:val="center"/>
          </w:tcPr>
          <w:p w14:paraId="2351DBC9" w14:textId="77777777" w:rsidR="00B967DA" w:rsidRPr="005A293B" w:rsidRDefault="00B967DA" w:rsidP="0077734E">
            <w:pPr>
              <w:pStyle w:val="PBACTabletext"/>
              <w:spacing w:after="0"/>
              <w:jc w:val="center"/>
              <w:rPr>
                <w:szCs w:val="20"/>
              </w:rPr>
            </w:pPr>
            <w:r w:rsidRPr="005A293B">
              <w:rPr>
                <w:szCs w:val="20"/>
              </w:rPr>
              <w:t xml:space="preserve">0.80 </w:t>
            </w:r>
            <w:r w:rsidRPr="005A293B">
              <w:rPr>
                <w:szCs w:val="20"/>
              </w:rPr>
              <w:br/>
              <w:t>(0.79-0.82)</w:t>
            </w:r>
          </w:p>
        </w:tc>
        <w:tc>
          <w:tcPr>
            <w:tcW w:w="617" w:type="pct"/>
            <w:vAlign w:val="center"/>
          </w:tcPr>
          <w:p w14:paraId="16698072" w14:textId="77777777" w:rsidR="00B967DA" w:rsidRPr="005A293B" w:rsidRDefault="00B967DA" w:rsidP="0077734E">
            <w:pPr>
              <w:pStyle w:val="PBACTabletext"/>
              <w:spacing w:after="0"/>
              <w:jc w:val="center"/>
              <w:rPr>
                <w:szCs w:val="20"/>
              </w:rPr>
            </w:pPr>
            <w:r w:rsidRPr="005A293B">
              <w:rPr>
                <w:szCs w:val="20"/>
              </w:rPr>
              <w:t>0.81</w:t>
            </w:r>
            <w:r w:rsidRPr="005A293B">
              <w:rPr>
                <w:szCs w:val="20"/>
              </w:rPr>
              <w:br/>
              <w:t xml:space="preserve"> (0.80-0.83)</w:t>
            </w:r>
          </w:p>
        </w:tc>
        <w:tc>
          <w:tcPr>
            <w:tcW w:w="620" w:type="pct"/>
            <w:vAlign w:val="center"/>
          </w:tcPr>
          <w:p w14:paraId="68714165" w14:textId="77777777" w:rsidR="00B967DA" w:rsidRPr="005A293B" w:rsidRDefault="00B967DA" w:rsidP="0077734E">
            <w:pPr>
              <w:pStyle w:val="PBACTabletext"/>
              <w:spacing w:after="0"/>
              <w:jc w:val="center"/>
              <w:rPr>
                <w:szCs w:val="20"/>
              </w:rPr>
            </w:pPr>
            <w:r w:rsidRPr="005A293B">
              <w:rPr>
                <w:szCs w:val="20"/>
              </w:rPr>
              <w:t xml:space="preserve">0.82 </w:t>
            </w:r>
            <w:r w:rsidRPr="005A293B">
              <w:rPr>
                <w:szCs w:val="20"/>
              </w:rPr>
              <w:br/>
              <w:t>(0.81-0.84)</w:t>
            </w:r>
          </w:p>
        </w:tc>
        <w:tc>
          <w:tcPr>
            <w:tcW w:w="730" w:type="pct"/>
            <w:vAlign w:val="center"/>
          </w:tcPr>
          <w:p w14:paraId="5BE6B16E" w14:textId="77777777" w:rsidR="00B967DA" w:rsidRPr="005A293B" w:rsidRDefault="00B967DA" w:rsidP="0077734E">
            <w:pPr>
              <w:pStyle w:val="PBACTabletext"/>
              <w:spacing w:after="0"/>
              <w:jc w:val="center"/>
              <w:rPr>
                <w:szCs w:val="20"/>
              </w:rPr>
            </w:pPr>
            <w:r w:rsidRPr="005A293B">
              <w:rPr>
                <w:szCs w:val="20"/>
              </w:rPr>
              <w:t xml:space="preserve">0.80 </w:t>
            </w:r>
            <w:r w:rsidRPr="005A293B">
              <w:rPr>
                <w:szCs w:val="20"/>
              </w:rPr>
              <w:br/>
              <w:t>(0.78-0.81)</w:t>
            </w:r>
          </w:p>
        </w:tc>
        <w:tc>
          <w:tcPr>
            <w:tcW w:w="624" w:type="pct"/>
            <w:vAlign w:val="center"/>
          </w:tcPr>
          <w:p w14:paraId="3C31BED3" w14:textId="77777777" w:rsidR="00B967DA" w:rsidRPr="005A293B" w:rsidRDefault="00B967DA" w:rsidP="0077734E">
            <w:pPr>
              <w:pStyle w:val="PBACTabletext"/>
              <w:spacing w:after="0"/>
              <w:jc w:val="center"/>
              <w:rPr>
                <w:szCs w:val="20"/>
              </w:rPr>
            </w:pPr>
            <w:r w:rsidRPr="005A293B">
              <w:rPr>
                <w:szCs w:val="20"/>
              </w:rPr>
              <w:t xml:space="preserve">0.81 </w:t>
            </w:r>
            <w:r w:rsidRPr="005A293B">
              <w:rPr>
                <w:szCs w:val="20"/>
              </w:rPr>
              <w:br/>
              <w:t>(0.80-0.82)</w:t>
            </w:r>
          </w:p>
        </w:tc>
      </w:tr>
      <w:tr w:rsidR="00B967DA" w:rsidRPr="005A293B" w14:paraId="24469017" w14:textId="77777777" w:rsidTr="0012355C">
        <w:tc>
          <w:tcPr>
            <w:tcW w:w="389" w:type="pct"/>
            <w:vMerge/>
            <w:vAlign w:val="center"/>
          </w:tcPr>
          <w:p w14:paraId="50D06BF0" w14:textId="77777777" w:rsidR="00B967DA" w:rsidRPr="005A293B" w:rsidRDefault="00B967DA" w:rsidP="0077734E">
            <w:pPr>
              <w:pStyle w:val="PBACTabletext"/>
              <w:spacing w:after="0"/>
              <w:jc w:val="center"/>
              <w:rPr>
                <w:szCs w:val="20"/>
              </w:rPr>
            </w:pPr>
          </w:p>
        </w:tc>
        <w:tc>
          <w:tcPr>
            <w:tcW w:w="781" w:type="pct"/>
            <w:vAlign w:val="center"/>
          </w:tcPr>
          <w:p w14:paraId="66C9BD70" w14:textId="77777777" w:rsidR="00B967DA" w:rsidRPr="005A293B" w:rsidRDefault="00B967DA" w:rsidP="0077734E">
            <w:pPr>
              <w:pStyle w:val="PBACTabletext"/>
              <w:spacing w:after="0"/>
              <w:jc w:val="center"/>
              <w:rPr>
                <w:szCs w:val="20"/>
              </w:rPr>
            </w:pPr>
            <w:r w:rsidRPr="005A293B">
              <w:rPr>
                <w:szCs w:val="20"/>
              </w:rPr>
              <w:t>Post-progression</w:t>
            </w:r>
          </w:p>
        </w:tc>
        <w:tc>
          <w:tcPr>
            <w:tcW w:w="620" w:type="pct"/>
            <w:vAlign w:val="center"/>
          </w:tcPr>
          <w:p w14:paraId="64755710" w14:textId="77777777" w:rsidR="00B967DA" w:rsidRPr="005A293B" w:rsidRDefault="00B967DA" w:rsidP="0077734E">
            <w:pPr>
              <w:pStyle w:val="PBACTabletext"/>
              <w:spacing w:after="0"/>
              <w:jc w:val="center"/>
              <w:rPr>
                <w:szCs w:val="20"/>
              </w:rPr>
            </w:pPr>
            <w:r w:rsidRPr="005A293B">
              <w:rPr>
                <w:szCs w:val="20"/>
              </w:rPr>
              <w:t>0.80</w:t>
            </w:r>
            <w:r w:rsidRPr="005A293B">
              <w:rPr>
                <w:szCs w:val="20"/>
              </w:rPr>
              <w:br/>
              <w:t>(0.77-0.83)</w:t>
            </w:r>
          </w:p>
        </w:tc>
        <w:tc>
          <w:tcPr>
            <w:tcW w:w="620" w:type="pct"/>
            <w:vAlign w:val="center"/>
          </w:tcPr>
          <w:p w14:paraId="0499F7CD" w14:textId="77777777" w:rsidR="00B967DA" w:rsidRPr="005A293B" w:rsidRDefault="00B967DA" w:rsidP="0077734E">
            <w:pPr>
              <w:pStyle w:val="PBACTabletext"/>
              <w:spacing w:after="0"/>
              <w:jc w:val="center"/>
              <w:rPr>
                <w:szCs w:val="20"/>
              </w:rPr>
            </w:pPr>
            <w:r w:rsidRPr="005A293B">
              <w:rPr>
                <w:szCs w:val="20"/>
              </w:rPr>
              <w:t>0.75</w:t>
            </w:r>
            <w:r w:rsidRPr="005A293B">
              <w:rPr>
                <w:szCs w:val="20"/>
              </w:rPr>
              <w:br/>
              <w:t>(0.73-0.78)</w:t>
            </w:r>
          </w:p>
        </w:tc>
        <w:tc>
          <w:tcPr>
            <w:tcW w:w="617" w:type="pct"/>
            <w:vAlign w:val="center"/>
          </w:tcPr>
          <w:p w14:paraId="21C43809" w14:textId="77777777" w:rsidR="00B967DA" w:rsidRPr="005A293B" w:rsidRDefault="00B967DA" w:rsidP="0077734E">
            <w:pPr>
              <w:pStyle w:val="PBACTabletext"/>
              <w:spacing w:after="0"/>
              <w:jc w:val="center"/>
              <w:rPr>
                <w:szCs w:val="20"/>
              </w:rPr>
            </w:pPr>
            <w:r w:rsidRPr="005A293B">
              <w:rPr>
                <w:szCs w:val="20"/>
              </w:rPr>
              <w:t xml:space="preserve">0.77 </w:t>
            </w:r>
            <w:r w:rsidRPr="005A293B">
              <w:rPr>
                <w:szCs w:val="20"/>
              </w:rPr>
              <w:br/>
              <w:t>(0.76-0.79)</w:t>
            </w:r>
          </w:p>
        </w:tc>
        <w:tc>
          <w:tcPr>
            <w:tcW w:w="620" w:type="pct"/>
            <w:vAlign w:val="center"/>
          </w:tcPr>
          <w:p w14:paraId="7FA66C76" w14:textId="77777777" w:rsidR="00B967DA" w:rsidRPr="005A293B" w:rsidRDefault="00B967DA" w:rsidP="0077734E">
            <w:pPr>
              <w:pStyle w:val="PBACTabletext"/>
              <w:spacing w:after="0"/>
              <w:jc w:val="center"/>
              <w:rPr>
                <w:szCs w:val="20"/>
              </w:rPr>
            </w:pPr>
            <w:r w:rsidRPr="005A293B">
              <w:rPr>
                <w:szCs w:val="20"/>
              </w:rPr>
              <w:t>0.82</w:t>
            </w:r>
            <w:r w:rsidRPr="005A293B">
              <w:rPr>
                <w:szCs w:val="20"/>
              </w:rPr>
              <w:br/>
              <w:t>(0.78-0.85)</w:t>
            </w:r>
          </w:p>
        </w:tc>
        <w:tc>
          <w:tcPr>
            <w:tcW w:w="730" w:type="pct"/>
            <w:vAlign w:val="center"/>
          </w:tcPr>
          <w:p w14:paraId="2E9BD7BD" w14:textId="77777777" w:rsidR="00B967DA" w:rsidRPr="005A293B" w:rsidRDefault="00B967DA" w:rsidP="0077734E">
            <w:pPr>
              <w:pStyle w:val="PBACTabletext"/>
              <w:spacing w:after="0"/>
              <w:jc w:val="center"/>
              <w:rPr>
                <w:szCs w:val="20"/>
              </w:rPr>
            </w:pPr>
            <w:r w:rsidRPr="005A293B">
              <w:rPr>
                <w:szCs w:val="20"/>
              </w:rPr>
              <w:t xml:space="preserve">0.73 </w:t>
            </w:r>
            <w:r w:rsidRPr="005A293B">
              <w:rPr>
                <w:szCs w:val="20"/>
              </w:rPr>
              <w:br/>
              <w:t>(0.70-0.75)</w:t>
            </w:r>
          </w:p>
        </w:tc>
        <w:tc>
          <w:tcPr>
            <w:tcW w:w="624" w:type="pct"/>
            <w:vAlign w:val="center"/>
          </w:tcPr>
          <w:p w14:paraId="2BB044A7" w14:textId="77777777" w:rsidR="00B967DA" w:rsidRPr="005A293B" w:rsidRDefault="00B967DA" w:rsidP="0077734E">
            <w:pPr>
              <w:pStyle w:val="PBACTabletext"/>
              <w:spacing w:after="0"/>
              <w:jc w:val="center"/>
              <w:rPr>
                <w:szCs w:val="20"/>
              </w:rPr>
            </w:pPr>
            <w:r w:rsidRPr="005A293B">
              <w:rPr>
                <w:szCs w:val="20"/>
              </w:rPr>
              <w:t xml:space="preserve">0.76 </w:t>
            </w:r>
            <w:r w:rsidRPr="005A293B">
              <w:rPr>
                <w:szCs w:val="20"/>
              </w:rPr>
              <w:br/>
              <w:t>(0.74-0.78)</w:t>
            </w:r>
          </w:p>
        </w:tc>
      </w:tr>
      <w:tr w:rsidR="00B967DA" w:rsidRPr="005A293B" w14:paraId="3E32C7F9" w14:textId="77777777" w:rsidTr="0012355C">
        <w:tc>
          <w:tcPr>
            <w:tcW w:w="389" w:type="pct"/>
            <w:vMerge w:val="restart"/>
            <w:vAlign w:val="center"/>
          </w:tcPr>
          <w:p w14:paraId="42127887" w14:textId="77777777" w:rsidR="00B967DA" w:rsidRPr="005A293B" w:rsidRDefault="00B967DA" w:rsidP="0077734E">
            <w:pPr>
              <w:pStyle w:val="PBACTabletext"/>
              <w:spacing w:after="0"/>
              <w:jc w:val="center"/>
              <w:rPr>
                <w:szCs w:val="20"/>
              </w:rPr>
            </w:pPr>
            <w:r w:rsidRPr="005A293B">
              <w:rPr>
                <w:b/>
                <w:bCs/>
                <w:szCs w:val="20"/>
              </w:rPr>
              <w:t>28 March 2023</w:t>
            </w:r>
          </w:p>
        </w:tc>
        <w:tc>
          <w:tcPr>
            <w:tcW w:w="781" w:type="pct"/>
            <w:vAlign w:val="center"/>
          </w:tcPr>
          <w:p w14:paraId="59A6B965" w14:textId="77777777" w:rsidR="00B967DA" w:rsidRPr="005A293B" w:rsidRDefault="00B967DA" w:rsidP="0077734E">
            <w:pPr>
              <w:pStyle w:val="PBACTabletext"/>
              <w:spacing w:after="0"/>
              <w:jc w:val="center"/>
              <w:rPr>
                <w:szCs w:val="20"/>
              </w:rPr>
            </w:pPr>
            <w:r w:rsidRPr="005A293B">
              <w:rPr>
                <w:szCs w:val="20"/>
              </w:rPr>
              <w:t>Pre-progression</w:t>
            </w:r>
          </w:p>
        </w:tc>
        <w:tc>
          <w:tcPr>
            <w:tcW w:w="620" w:type="pct"/>
            <w:vAlign w:val="center"/>
          </w:tcPr>
          <w:p w14:paraId="6C23362C" w14:textId="77777777" w:rsidR="00B967DA" w:rsidRPr="005A293B" w:rsidRDefault="00B967DA" w:rsidP="0077734E">
            <w:pPr>
              <w:pStyle w:val="PBACTabletext"/>
              <w:spacing w:after="0"/>
              <w:jc w:val="center"/>
              <w:rPr>
                <w:szCs w:val="20"/>
              </w:rPr>
            </w:pPr>
            <w:r w:rsidRPr="005A293B">
              <w:rPr>
                <w:szCs w:val="20"/>
              </w:rPr>
              <w:t>0.82</w:t>
            </w:r>
            <w:r w:rsidRPr="005A293B">
              <w:rPr>
                <w:szCs w:val="20"/>
              </w:rPr>
              <w:br/>
            </w:r>
            <w:r w:rsidRPr="005A293B">
              <w:t>(0.80-0.84)</w:t>
            </w:r>
          </w:p>
        </w:tc>
        <w:tc>
          <w:tcPr>
            <w:tcW w:w="620" w:type="pct"/>
            <w:vAlign w:val="center"/>
          </w:tcPr>
          <w:p w14:paraId="1DE23810" w14:textId="77777777" w:rsidR="00B967DA" w:rsidRPr="005A293B" w:rsidRDefault="00B967DA" w:rsidP="0077734E">
            <w:pPr>
              <w:pStyle w:val="PBACTabletext"/>
              <w:spacing w:after="0"/>
              <w:jc w:val="center"/>
              <w:rPr>
                <w:szCs w:val="20"/>
              </w:rPr>
            </w:pPr>
            <w:r w:rsidRPr="005A293B">
              <w:rPr>
                <w:szCs w:val="20"/>
              </w:rPr>
              <w:t>0.78</w:t>
            </w:r>
            <w:r w:rsidRPr="005A293B">
              <w:rPr>
                <w:szCs w:val="20"/>
              </w:rPr>
              <w:br/>
            </w:r>
            <w:r w:rsidRPr="005A293B">
              <w:t>(0.77-0.81)</w:t>
            </w:r>
          </w:p>
        </w:tc>
        <w:tc>
          <w:tcPr>
            <w:tcW w:w="617" w:type="pct"/>
            <w:vAlign w:val="center"/>
          </w:tcPr>
          <w:p w14:paraId="0A8D7DE1" w14:textId="77777777" w:rsidR="00B967DA" w:rsidRPr="005A293B" w:rsidRDefault="00B967DA" w:rsidP="0077734E">
            <w:pPr>
              <w:pStyle w:val="PBACTabletext"/>
              <w:spacing w:after="0"/>
              <w:jc w:val="center"/>
              <w:rPr>
                <w:szCs w:val="20"/>
              </w:rPr>
            </w:pPr>
            <w:r w:rsidRPr="005A293B">
              <w:t xml:space="preserve">0.80 </w:t>
            </w:r>
            <w:r w:rsidRPr="005A293B">
              <w:br/>
              <w:t>(0.79-0.82)</w:t>
            </w:r>
          </w:p>
        </w:tc>
        <w:tc>
          <w:tcPr>
            <w:tcW w:w="620" w:type="pct"/>
          </w:tcPr>
          <w:p w14:paraId="7122DFD3" w14:textId="77777777" w:rsidR="00B967DA" w:rsidRPr="005A293B" w:rsidRDefault="00B967DA" w:rsidP="0077734E">
            <w:pPr>
              <w:pStyle w:val="PBACTabletext"/>
              <w:spacing w:after="0"/>
              <w:jc w:val="center"/>
              <w:rPr>
                <w:b/>
                <w:bCs/>
                <w:szCs w:val="20"/>
              </w:rPr>
            </w:pPr>
            <w:r w:rsidRPr="005A293B">
              <w:rPr>
                <w:b/>
                <w:bCs/>
                <w:szCs w:val="20"/>
              </w:rPr>
              <w:t xml:space="preserve">0.81 </w:t>
            </w:r>
            <w:r w:rsidRPr="005A293B">
              <w:rPr>
                <w:b/>
                <w:bCs/>
                <w:szCs w:val="20"/>
              </w:rPr>
              <w:br/>
              <w:t>(0.78-0.84)</w:t>
            </w:r>
          </w:p>
        </w:tc>
        <w:tc>
          <w:tcPr>
            <w:tcW w:w="730" w:type="pct"/>
          </w:tcPr>
          <w:p w14:paraId="61F19F9B" w14:textId="77777777" w:rsidR="00B967DA" w:rsidRPr="005A293B" w:rsidRDefault="00B967DA" w:rsidP="0077734E">
            <w:pPr>
              <w:pStyle w:val="PBACTabletext"/>
              <w:spacing w:after="0"/>
              <w:jc w:val="center"/>
              <w:rPr>
                <w:b/>
                <w:bCs/>
                <w:szCs w:val="20"/>
              </w:rPr>
            </w:pPr>
            <w:r w:rsidRPr="005A293B">
              <w:rPr>
                <w:b/>
                <w:bCs/>
                <w:szCs w:val="20"/>
              </w:rPr>
              <w:t xml:space="preserve">0.78 </w:t>
            </w:r>
            <w:r w:rsidRPr="005A293B">
              <w:rPr>
                <w:b/>
                <w:bCs/>
                <w:szCs w:val="20"/>
              </w:rPr>
              <w:br/>
              <w:t>(0.75-0.80)</w:t>
            </w:r>
          </w:p>
        </w:tc>
        <w:tc>
          <w:tcPr>
            <w:tcW w:w="624" w:type="pct"/>
            <w:vAlign w:val="center"/>
          </w:tcPr>
          <w:p w14:paraId="0D84E430" w14:textId="77777777" w:rsidR="00B967DA" w:rsidRPr="005A293B" w:rsidRDefault="00B967DA" w:rsidP="0077734E">
            <w:pPr>
              <w:pStyle w:val="PBACTabletext"/>
              <w:spacing w:after="0"/>
              <w:jc w:val="center"/>
              <w:rPr>
                <w:szCs w:val="20"/>
              </w:rPr>
            </w:pPr>
            <w:r w:rsidRPr="005A293B">
              <w:rPr>
                <w:szCs w:val="20"/>
              </w:rPr>
              <w:t xml:space="preserve">0.79 </w:t>
            </w:r>
            <w:r w:rsidRPr="005A293B">
              <w:rPr>
                <w:szCs w:val="20"/>
              </w:rPr>
              <w:br/>
              <w:t>(0.77-0.81)</w:t>
            </w:r>
          </w:p>
        </w:tc>
      </w:tr>
      <w:tr w:rsidR="00B967DA" w:rsidRPr="005A293B" w14:paraId="0DCF1A7F" w14:textId="77777777" w:rsidTr="0012355C">
        <w:tc>
          <w:tcPr>
            <w:tcW w:w="389" w:type="pct"/>
            <w:vMerge/>
            <w:vAlign w:val="center"/>
          </w:tcPr>
          <w:p w14:paraId="3D2E80B0" w14:textId="77777777" w:rsidR="00B967DA" w:rsidRPr="005A293B" w:rsidRDefault="00B967DA" w:rsidP="0077734E">
            <w:pPr>
              <w:pStyle w:val="PBACTabletext"/>
              <w:spacing w:after="0"/>
              <w:jc w:val="center"/>
              <w:rPr>
                <w:szCs w:val="20"/>
              </w:rPr>
            </w:pPr>
          </w:p>
        </w:tc>
        <w:tc>
          <w:tcPr>
            <w:tcW w:w="781" w:type="pct"/>
            <w:vAlign w:val="center"/>
          </w:tcPr>
          <w:p w14:paraId="3C0BA2A0" w14:textId="77777777" w:rsidR="00B967DA" w:rsidRPr="005A293B" w:rsidRDefault="00B967DA" w:rsidP="0077734E">
            <w:pPr>
              <w:pStyle w:val="PBACTabletext"/>
              <w:spacing w:after="0"/>
              <w:jc w:val="center"/>
              <w:rPr>
                <w:szCs w:val="20"/>
              </w:rPr>
            </w:pPr>
            <w:r w:rsidRPr="005A293B">
              <w:rPr>
                <w:szCs w:val="20"/>
              </w:rPr>
              <w:t>Post-progression</w:t>
            </w:r>
          </w:p>
        </w:tc>
        <w:tc>
          <w:tcPr>
            <w:tcW w:w="620" w:type="pct"/>
            <w:vAlign w:val="center"/>
          </w:tcPr>
          <w:p w14:paraId="256AA0EE" w14:textId="77777777" w:rsidR="00B967DA" w:rsidRPr="005A293B" w:rsidRDefault="00B967DA" w:rsidP="0077734E">
            <w:pPr>
              <w:pStyle w:val="PBACTabletext"/>
              <w:spacing w:after="0"/>
              <w:jc w:val="center"/>
              <w:rPr>
                <w:szCs w:val="20"/>
              </w:rPr>
            </w:pPr>
            <w:r w:rsidRPr="005A293B">
              <w:t>0.83</w:t>
            </w:r>
            <w:r w:rsidRPr="005A293B">
              <w:br/>
              <w:t>(0.79-0.87)</w:t>
            </w:r>
          </w:p>
        </w:tc>
        <w:tc>
          <w:tcPr>
            <w:tcW w:w="620" w:type="pct"/>
            <w:vAlign w:val="center"/>
          </w:tcPr>
          <w:p w14:paraId="06AC84E9" w14:textId="77777777" w:rsidR="00B967DA" w:rsidRPr="005A293B" w:rsidRDefault="00B967DA" w:rsidP="0077734E">
            <w:pPr>
              <w:pStyle w:val="PBACTabletext"/>
              <w:spacing w:after="0"/>
              <w:jc w:val="center"/>
              <w:rPr>
                <w:szCs w:val="20"/>
              </w:rPr>
            </w:pPr>
            <w:r w:rsidRPr="005A293B">
              <w:t>0.72</w:t>
            </w:r>
            <w:r w:rsidRPr="005A293B">
              <w:br/>
              <w:t>(0.69-0.75)</w:t>
            </w:r>
          </w:p>
        </w:tc>
        <w:tc>
          <w:tcPr>
            <w:tcW w:w="617" w:type="pct"/>
            <w:vAlign w:val="center"/>
          </w:tcPr>
          <w:p w14:paraId="237385D6" w14:textId="77777777" w:rsidR="00B967DA" w:rsidRPr="005A293B" w:rsidRDefault="00B967DA" w:rsidP="0077734E">
            <w:pPr>
              <w:pStyle w:val="PBACTabletext"/>
              <w:spacing w:after="0"/>
              <w:jc w:val="center"/>
              <w:rPr>
                <w:szCs w:val="20"/>
              </w:rPr>
            </w:pPr>
            <w:r w:rsidRPr="005A293B">
              <w:t>0.76</w:t>
            </w:r>
            <w:r w:rsidRPr="005A293B">
              <w:br/>
              <w:t>(0.73-0.78)</w:t>
            </w:r>
          </w:p>
        </w:tc>
        <w:tc>
          <w:tcPr>
            <w:tcW w:w="620" w:type="pct"/>
          </w:tcPr>
          <w:p w14:paraId="21E21625" w14:textId="77777777" w:rsidR="00B967DA" w:rsidRPr="005A293B" w:rsidRDefault="00B967DA" w:rsidP="0077734E">
            <w:pPr>
              <w:pStyle w:val="PBACTabletext"/>
              <w:spacing w:after="0"/>
              <w:jc w:val="center"/>
              <w:rPr>
                <w:szCs w:val="20"/>
              </w:rPr>
            </w:pPr>
            <w:r w:rsidRPr="005A293B">
              <w:rPr>
                <w:szCs w:val="20"/>
              </w:rPr>
              <w:t xml:space="preserve">0.83 </w:t>
            </w:r>
            <w:r w:rsidRPr="005A293B">
              <w:rPr>
                <w:szCs w:val="20"/>
              </w:rPr>
              <w:br/>
              <w:t>(0.76-0.89)</w:t>
            </w:r>
          </w:p>
        </w:tc>
        <w:tc>
          <w:tcPr>
            <w:tcW w:w="730" w:type="pct"/>
          </w:tcPr>
          <w:p w14:paraId="79785424" w14:textId="77777777" w:rsidR="00B967DA" w:rsidRPr="005A293B" w:rsidRDefault="00B967DA" w:rsidP="0077734E">
            <w:pPr>
              <w:pStyle w:val="PBACTabletext"/>
              <w:spacing w:after="0"/>
              <w:jc w:val="center"/>
              <w:rPr>
                <w:szCs w:val="20"/>
              </w:rPr>
            </w:pPr>
            <w:r w:rsidRPr="005A293B">
              <w:rPr>
                <w:szCs w:val="20"/>
              </w:rPr>
              <w:t xml:space="preserve">0.69 </w:t>
            </w:r>
            <w:r w:rsidRPr="005A293B">
              <w:rPr>
                <w:szCs w:val="20"/>
              </w:rPr>
              <w:br/>
              <w:t>(0.65-0.72)</w:t>
            </w:r>
          </w:p>
        </w:tc>
        <w:tc>
          <w:tcPr>
            <w:tcW w:w="624" w:type="pct"/>
            <w:vAlign w:val="center"/>
          </w:tcPr>
          <w:p w14:paraId="1840ECF4" w14:textId="77777777" w:rsidR="00B967DA" w:rsidRPr="005A293B" w:rsidRDefault="00B967DA" w:rsidP="0077734E">
            <w:pPr>
              <w:pStyle w:val="PBACTabletext"/>
              <w:spacing w:after="0"/>
              <w:jc w:val="center"/>
              <w:rPr>
                <w:szCs w:val="20"/>
              </w:rPr>
            </w:pPr>
            <w:r w:rsidRPr="005A293B">
              <w:rPr>
                <w:szCs w:val="20"/>
              </w:rPr>
              <w:t>0.72</w:t>
            </w:r>
            <w:r w:rsidRPr="005A293B">
              <w:rPr>
                <w:szCs w:val="20"/>
              </w:rPr>
              <w:br/>
              <w:t xml:space="preserve"> (0.69-0.75)</w:t>
            </w:r>
          </w:p>
        </w:tc>
      </w:tr>
    </w:tbl>
    <w:p w14:paraId="75DF19EB" w14:textId="4B52FE1F" w:rsidR="00B967DA" w:rsidRPr="005A293B" w:rsidRDefault="00B967DA" w:rsidP="00B967DA">
      <w:pPr>
        <w:pStyle w:val="FooterTableFigure"/>
        <w:jc w:val="both"/>
      </w:pPr>
      <w:r w:rsidRPr="005A293B">
        <w:rPr>
          <w:b/>
          <w:bCs/>
        </w:rPr>
        <w:t>Bold</w:t>
      </w:r>
      <w:r w:rsidRPr="005A293B">
        <w:t xml:space="preserve">: used in the economic </w:t>
      </w:r>
      <w:r w:rsidR="00162A7D">
        <w:t>evaluation</w:t>
      </w:r>
    </w:p>
    <w:p w14:paraId="0AF23C9E" w14:textId="1E6E92D1" w:rsidR="00B967DA" w:rsidRPr="005A293B" w:rsidRDefault="00B967DA" w:rsidP="00B967DA">
      <w:pPr>
        <w:pStyle w:val="FooterTableFigure"/>
        <w:jc w:val="both"/>
      </w:pPr>
      <w:r w:rsidRPr="005A293B">
        <w:t>Source: Table 3.6-1, p162 and compiled during the evaluation from Table 7, p30, Table F2, pF-2, Table F3, pF3 and Table F-4, pF3 of Appendix 3-8 (RTI-HS _TP-2_Utility Analysis Cohort 1 Cohort 2 (UK US Can Aus Neth)</w:t>
      </w:r>
      <w:r w:rsidR="00FC0701">
        <w:t xml:space="preserve"> </w:t>
      </w:r>
      <w:r w:rsidRPr="005A293B">
        <w:t>02October2023)</w:t>
      </w:r>
    </w:p>
    <w:p w14:paraId="0A0C30C6" w14:textId="6CD38C77" w:rsidR="00B967DA" w:rsidRPr="005A293B" w:rsidRDefault="00B967DA" w:rsidP="00B967DA">
      <w:pPr>
        <w:pStyle w:val="FooterTableFigure"/>
        <w:jc w:val="both"/>
      </w:pPr>
      <w:r w:rsidRPr="005A293B">
        <w:t>DCO=data cut</w:t>
      </w:r>
      <w:r w:rsidR="00A40390">
        <w:t>-</w:t>
      </w:r>
      <w:r w:rsidRPr="005A293B">
        <w:t>off, ENZ=enzalutamide; PBO=placebo; TAL=talazoparib</w:t>
      </w:r>
    </w:p>
    <w:p w14:paraId="2C2D7AF7" w14:textId="67FB1EA1" w:rsidR="00B967DA" w:rsidRPr="000B725B" w:rsidRDefault="00A40390" w:rsidP="00B33119">
      <w:pPr>
        <w:pStyle w:val="3-BodyText"/>
        <w:rPr>
          <w:color w:val="0066FF"/>
        </w:rPr>
      </w:pPr>
      <w:bookmarkStart w:id="36" w:name="_Hlk153784908"/>
      <w:r w:rsidRPr="000B725B">
        <w:rPr>
          <w:lang w:eastAsia="en-GB"/>
        </w:rPr>
        <w:t xml:space="preserve">In the TALAPRO-2 trial, </w:t>
      </w:r>
      <w:r w:rsidR="00812723" w:rsidRPr="000B725B">
        <w:rPr>
          <w:lang w:eastAsia="en-GB"/>
        </w:rPr>
        <w:t xml:space="preserve">estimated treatment specific health state </w:t>
      </w:r>
      <w:r w:rsidRPr="000B725B">
        <w:rPr>
          <w:lang w:eastAsia="en-GB"/>
        </w:rPr>
        <w:t xml:space="preserve">utilities </w:t>
      </w:r>
      <w:r w:rsidR="00812723" w:rsidRPr="000B725B">
        <w:rPr>
          <w:lang w:eastAsia="en-GB"/>
        </w:rPr>
        <w:t>were similar between the intervention and the comparator arm at both DCOs</w:t>
      </w:r>
      <w:r w:rsidRPr="000B725B">
        <w:rPr>
          <w:lang w:eastAsia="en-GB"/>
        </w:rPr>
        <w:t xml:space="preserve">. Notably, data from Cohort 2 and the </w:t>
      </w:r>
      <w:r w:rsidRPr="000337F9">
        <w:rPr>
          <w:i/>
          <w:iCs/>
          <w:lang w:eastAsia="en-GB"/>
        </w:rPr>
        <w:t>BRCA1/2</w:t>
      </w:r>
      <w:r w:rsidRPr="000B725B">
        <w:rPr>
          <w:lang w:eastAsia="en-GB"/>
        </w:rPr>
        <w:t xml:space="preserve"> subgroup </w:t>
      </w:r>
      <w:r w:rsidR="00812723" w:rsidRPr="000B725B">
        <w:rPr>
          <w:lang w:eastAsia="en-GB"/>
        </w:rPr>
        <w:t xml:space="preserve">from both DCOs </w:t>
      </w:r>
      <w:r w:rsidRPr="000B725B">
        <w:rPr>
          <w:lang w:eastAsia="en-GB"/>
        </w:rPr>
        <w:t xml:space="preserve">indicated that disease progression had either no effect or a positive impact in the treatment arm, while showing a negative association in the comparative arm. </w:t>
      </w:r>
      <w:r w:rsidR="00812723" w:rsidRPr="000B725B">
        <w:rPr>
          <w:lang w:eastAsia="en-GB"/>
        </w:rPr>
        <w:t>The</w:t>
      </w:r>
      <w:r w:rsidR="004001E7" w:rsidRPr="000B725B">
        <w:rPr>
          <w:lang w:eastAsia="en-GB"/>
        </w:rPr>
        <w:t xml:space="preserve">se were considered unreliable by the submission and alternate literature sourced post progression utilities were used in the economic evaluation. </w:t>
      </w:r>
      <w:r w:rsidRPr="000B725B">
        <w:rPr>
          <w:lang w:eastAsia="en-GB"/>
        </w:rPr>
        <w:t xml:space="preserve">No statistical comparison was made between the comparative arms. </w:t>
      </w:r>
      <w:bookmarkEnd w:id="36"/>
    </w:p>
    <w:p w14:paraId="3FFEB908" w14:textId="6FF23D98" w:rsidR="00773B43" w:rsidRPr="000B725B" w:rsidRDefault="00773B43" w:rsidP="00B33119">
      <w:pPr>
        <w:pStyle w:val="3-BodyText"/>
        <w:rPr>
          <w:color w:val="0066FF"/>
        </w:rPr>
      </w:pPr>
      <w:r w:rsidRPr="000B725B">
        <w:t>EQ-5D-5L to EQ-5D-3L mapping value set developed by the NICE Decision Support Unit (Hernandez-Alava 2017</w:t>
      </w:r>
      <w:r w:rsidRPr="000B725B">
        <w:rPr>
          <w:rStyle w:val="FootnoteReference"/>
        </w:rPr>
        <w:footnoteReference w:id="5"/>
      </w:r>
      <w:r w:rsidRPr="000B725B">
        <w:t>) was used rather than the specific EQ-5D-5L value set (Devlin et al. 2018</w:t>
      </w:r>
      <w:r w:rsidRPr="000B725B">
        <w:rPr>
          <w:rStyle w:val="FootnoteReference"/>
        </w:rPr>
        <w:footnoteReference w:id="6"/>
      </w:r>
      <w:r w:rsidRPr="000B725B">
        <w:t>). This may not be appropriate, given EuroQoL</w:t>
      </w:r>
      <w:r w:rsidRPr="000B725B">
        <w:rPr>
          <w:rStyle w:val="FootnoteReference"/>
        </w:rPr>
        <w:footnoteReference w:id="7"/>
      </w:r>
      <w:r w:rsidRPr="000B725B">
        <w:t xml:space="preserve"> noted that mapping EQ-5D-5L to EQ-5D-3L places an artificial floor effect on the values of EQ-5D-5L, and EQ-5D-5L when valued directly might be lower than when compared to the EQ-5D-3L level system. Moreover, the Australian value set for the EQ-5D-5L was already published by the time the submission was prepared</w:t>
      </w:r>
      <w:r w:rsidRPr="000B725B">
        <w:rPr>
          <w:rStyle w:val="FootnoteReference"/>
        </w:rPr>
        <w:footnoteReference w:id="8"/>
      </w:r>
      <w:r w:rsidRPr="000B725B">
        <w:t xml:space="preserve">, and could have been used. Therefore, there was the potential for utility values in the submission to be higher than values </w:t>
      </w:r>
      <w:r w:rsidR="008B6EF7" w:rsidRPr="000B725B">
        <w:t>reported if</w:t>
      </w:r>
      <w:r w:rsidRPr="000B725B">
        <w:t xml:space="preserve"> using the appropriate Australian value set for the EQ-5D-5L. </w:t>
      </w:r>
      <w:r w:rsidR="00812723" w:rsidRPr="000B725B">
        <w:t xml:space="preserve">Utilities estimated using </w:t>
      </w:r>
      <w:r w:rsidR="00812723" w:rsidRPr="000B725B">
        <w:lastRenderedPageBreak/>
        <w:t xml:space="preserve">the </w:t>
      </w:r>
      <w:r w:rsidRPr="000B725B">
        <w:t xml:space="preserve">Australian value-set results were reported </w:t>
      </w:r>
      <w:r w:rsidR="00812723" w:rsidRPr="000B725B">
        <w:t>for</w:t>
      </w:r>
      <w:r w:rsidRPr="000B725B">
        <w:t xml:space="preserve"> Cohort 2 </w:t>
      </w:r>
      <w:r w:rsidR="00812723" w:rsidRPr="000B725B">
        <w:t xml:space="preserve">but </w:t>
      </w:r>
      <w:r w:rsidRPr="000B725B">
        <w:t>not</w:t>
      </w:r>
      <w:r w:rsidR="00812723" w:rsidRPr="000B725B">
        <w:t xml:space="preserve"> for the </w:t>
      </w:r>
      <w:r w:rsidRPr="000337F9">
        <w:rPr>
          <w:i/>
          <w:iCs/>
        </w:rPr>
        <w:t>BRCA1/2</w:t>
      </w:r>
      <w:r w:rsidRPr="000B725B">
        <w:t xml:space="preserve"> subgroup.</w:t>
      </w:r>
    </w:p>
    <w:p w14:paraId="1452C351" w14:textId="0D19F1B0" w:rsidR="00B60939" w:rsidRPr="005A293B" w:rsidRDefault="00B60939" w:rsidP="00D86231">
      <w:pPr>
        <w:pStyle w:val="4-SubsectionHeading"/>
      </w:pPr>
      <w:bookmarkStart w:id="37" w:name="_Toc22897642"/>
      <w:bookmarkStart w:id="38" w:name="_Toc144911475"/>
      <w:bookmarkStart w:id="39" w:name="_Toc156833537"/>
      <w:r w:rsidRPr="005A293B">
        <w:t>Comparative harms</w:t>
      </w:r>
      <w:bookmarkEnd w:id="37"/>
      <w:bookmarkEnd w:id="38"/>
      <w:bookmarkEnd w:id="39"/>
    </w:p>
    <w:p w14:paraId="53350208" w14:textId="1E1A1073" w:rsidR="00D57224" w:rsidRPr="005A293B" w:rsidRDefault="00132B0D" w:rsidP="00FE2E26">
      <w:pPr>
        <w:pStyle w:val="3-BodyText"/>
        <w:rPr>
          <w:snapToGrid/>
          <w:lang w:eastAsia="en-GB"/>
        </w:rPr>
      </w:pPr>
      <w:r w:rsidRPr="005A293B">
        <w:rPr>
          <w:snapToGrid/>
          <w:lang w:eastAsia="en-GB"/>
        </w:rPr>
        <w:fldChar w:fldCharType="begin" w:fldLock="1"/>
      </w:r>
      <w:r w:rsidRPr="005A293B">
        <w:rPr>
          <w:snapToGrid/>
          <w:lang w:eastAsia="en-GB"/>
        </w:rPr>
        <w:instrText xml:space="preserve"> REF _Ref142658278 \h </w:instrText>
      </w:r>
      <w:r w:rsidRPr="005A293B">
        <w:rPr>
          <w:snapToGrid/>
          <w:lang w:eastAsia="en-GB"/>
        </w:rPr>
      </w:r>
      <w:r w:rsidRPr="005A293B">
        <w:rPr>
          <w:snapToGrid/>
          <w:lang w:eastAsia="en-GB"/>
        </w:rPr>
        <w:fldChar w:fldCharType="separate"/>
      </w:r>
      <w:r w:rsidR="00324A7E" w:rsidRPr="005A293B">
        <w:t xml:space="preserve">Table </w:t>
      </w:r>
      <w:r w:rsidR="00324A7E">
        <w:rPr>
          <w:noProof/>
        </w:rPr>
        <w:t>6</w:t>
      </w:r>
      <w:r w:rsidRPr="005A293B">
        <w:rPr>
          <w:snapToGrid/>
          <w:lang w:eastAsia="en-GB"/>
        </w:rPr>
        <w:fldChar w:fldCharType="end"/>
      </w:r>
      <w:r w:rsidRPr="005A293B">
        <w:rPr>
          <w:snapToGrid/>
          <w:lang w:eastAsia="en-GB"/>
        </w:rPr>
        <w:t xml:space="preserve"> </w:t>
      </w:r>
      <w:r w:rsidR="00D57224" w:rsidRPr="005A293B">
        <w:rPr>
          <w:snapToGrid/>
          <w:lang w:eastAsia="en-GB"/>
        </w:rPr>
        <w:t>presents a</w:t>
      </w:r>
      <w:r w:rsidR="00757164" w:rsidRPr="005A293B">
        <w:rPr>
          <w:snapToGrid/>
          <w:lang w:eastAsia="en-GB"/>
        </w:rPr>
        <w:t xml:space="preserve"> summary of key </w:t>
      </w:r>
      <w:r w:rsidR="004221E7" w:rsidRPr="005A293B">
        <w:rPr>
          <w:snapToGrid/>
          <w:lang w:eastAsia="en-GB"/>
        </w:rPr>
        <w:t>AEs</w:t>
      </w:r>
      <w:r w:rsidR="00757164" w:rsidRPr="005A293B">
        <w:rPr>
          <w:snapToGrid/>
          <w:lang w:eastAsia="en-GB"/>
        </w:rPr>
        <w:t xml:space="preserve"> in </w:t>
      </w:r>
      <w:r w:rsidRPr="005A293B">
        <w:rPr>
          <w:snapToGrid/>
          <w:lang w:eastAsia="en-GB"/>
        </w:rPr>
        <w:t>Cohort 2</w:t>
      </w:r>
      <w:r w:rsidR="00757164" w:rsidRPr="005A293B">
        <w:rPr>
          <w:snapToGrid/>
          <w:lang w:eastAsia="en-GB"/>
        </w:rPr>
        <w:t xml:space="preserve"> of </w:t>
      </w:r>
      <w:r w:rsidR="00812723">
        <w:rPr>
          <w:snapToGrid/>
          <w:lang w:eastAsia="en-GB"/>
        </w:rPr>
        <w:t xml:space="preserve">the </w:t>
      </w:r>
      <w:r w:rsidRPr="005A293B">
        <w:rPr>
          <w:snapToGrid/>
          <w:lang w:eastAsia="en-GB"/>
        </w:rPr>
        <w:t>TALAPRO-2</w:t>
      </w:r>
      <w:r w:rsidR="00BB59D7" w:rsidRPr="005A293B">
        <w:rPr>
          <w:snapToGrid/>
          <w:lang w:eastAsia="en-GB"/>
        </w:rPr>
        <w:t xml:space="preserve"> trial</w:t>
      </w:r>
      <w:r w:rsidR="00D57224" w:rsidRPr="005A293B">
        <w:rPr>
          <w:snapToGrid/>
          <w:lang w:eastAsia="en-GB"/>
        </w:rPr>
        <w:t xml:space="preserve">. </w:t>
      </w:r>
    </w:p>
    <w:p w14:paraId="0D528B9D" w14:textId="54D60743" w:rsidR="00757164" w:rsidRPr="005A293B" w:rsidRDefault="00D57224" w:rsidP="00D57224">
      <w:pPr>
        <w:pStyle w:val="Caption"/>
      </w:pPr>
      <w:bookmarkStart w:id="40" w:name="_Ref142658278"/>
      <w:r w:rsidRPr="005A293B">
        <w:t xml:space="preserve">Table </w:t>
      </w:r>
      <w:fldSimple w:instr=" SEQ Table \* ARABIC " w:fldLock="1">
        <w:r w:rsidR="00A01609">
          <w:rPr>
            <w:noProof/>
          </w:rPr>
          <w:t>6</w:t>
        </w:r>
      </w:fldSimple>
      <w:bookmarkEnd w:id="40"/>
      <w:r w:rsidR="00757164" w:rsidRPr="005A293B">
        <w:t xml:space="preserve">: </w:t>
      </w:r>
      <w:r w:rsidR="00132B0D" w:rsidRPr="005A293B">
        <w:t>Summary of key adverse events in TALAPRO-2, Cohort 2 (DCO 3 October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Summary of key adverse events in TALAPRO-2, Cohort 2 (DCO 3 October 2022)"/>
      </w:tblPr>
      <w:tblGrid>
        <w:gridCol w:w="5205"/>
        <w:gridCol w:w="1738"/>
        <w:gridCol w:w="2074"/>
      </w:tblGrid>
      <w:tr w:rsidR="00132B0D" w:rsidRPr="008B6EF7" w14:paraId="5CA2F362" w14:textId="77777777" w:rsidTr="0012355C">
        <w:trPr>
          <w:trHeight w:val="20"/>
          <w:tblHeader/>
        </w:trPr>
        <w:tc>
          <w:tcPr>
            <w:tcW w:w="2886" w:type="pct"/>
            <w:tcBorders>
              <w:top w:val="single" w:sz="4" w:space="0" w:color="auto"/>
              <w:left w:val="single" w:sz="4" w:space="0" w:color="auto"/>
              <w:bottom w:val="single" w:sz="4" w:space="0" w:color="auto"/>
              <w:right w:val="single" w:sz="4" w:space="0" w:color="auto"/>
            </w:tcBorders>
            <w:vAlign w:val="center"/>
            <w:hideMark/>
          </w:tcPr>
          <w:p w14:paraId="4C1DCA72" w14:textId="77777777" w:rsidR="00132B0D" w:rsidRPr="008B6EF7" w:rsidRDefault="00132B0D" w:rsidP="008B6EF7">
            <w:pPr>
              <w:pStyle w:val="TableText0"/>
              <w:rPr>
                <w:b/>
              </w:rPr>
            </w:pPr>
            <w:r w:rsidRPr="008B6EF7">
              <w:rPr>
                <w:b/>
              </w:rPr>
              <w:t>AE category</w:t>
            </w:r>
          </w:p>
        </w:tc>
        <w:tc>
          <w:tcPr>
            <w:tcW w:w="964" w:type="pct"/>
            <w:tcBorders>
              <w:top w:val="single" w:sz="4" w:space="0" w:color="auto"/>
              <w:left w:val="single" w:sz="4" w:space="0" w:color="auto"/>
              <w:bottom w:val="single" w:sz="4" w:space="0" w:color="auto"/>
              <w:right w:val="single" w:sz="4" w:space="0" w:color="auto"/>
            </w:tcBorders>
            <w:vAlign w:val="center"/>
            <w:hideMark/>
          </w:tcPr>
          <w:p w14:paraId="2DEC48C0" w14:textId="77777777" w:rsidR="00132B0D" w:rsidRPr="008B6EF7" w:rsidRDefault="00132B0D" w:rsidP="008B6EF7">
            <w:pPr>
              <w:pStyle w:val="TableText0"/>
              <w:jc w:val="center"/>
              <w:rPr>
                <w:b/>
              </w:rPr>
            </w:pPr>
            <w:r w:rsidRPr="008B6EF7">
              <w:rPr>
                <w:b/>
              </w:rPr>
              <w:t>TAL+ENZ n/N (%)</w:t>
            </w:r>
          </w:p>
        </w:tc>
        <w:tc>
          <w:tcPr>
            <w:tcW w:w="1150" w:type="pct"/>
            <w:tcBorders>
              <w:top w:val="single" w:sz="4" w:space="0" w:color="auto"/>
              <w:left w:val="single" w:sz="4" w:space="0" w:color="auto"/>
              <w:bottom w:val="single" w:sz="4" w:space="0" w:color="auto"/>
              <w:right w:val="single" w:sz="4" w:space="0" w:color="auto"/>
            </w:tcBorders>
            <w:vAlign w:val="center"/>
            <w:hideMark/>
          </w:tcPr>
          <w:p w14:paraId="5CAFBAED" w14:textId="77777777" w:rsidR="00132B0D" w:rsidRPr="008B6EF7" w:rsidRDefault="00132B0D" w:rsidP="008B6EF7">
            <w:pPr>
              <w:pStyle w:val="TableText0"/>
              <w:jc w:val="center"/>
              <w:rPr>
                <w:b/>
              </w:rPr>
            </w:pPr>
            <w:r w:rsidRPr="008B6EF7">
              <w:rPr>
                <w:b/>
              </w:rPr>
              <w:t>PBO+ENZ n/N (%)</w:t>
            </w:r>
          </w:p>
        </w:tc>
      </w:tr>
      <w:tr w:rsidR="00132B0D" w:rsidRPr="005A293B" w14:paraId="76CD547A"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725FD5E8" w14:textId="77777777" w:rsidR="00132B0D" w:rsidRPr="005A293B" w:rsidRDefault="00132B0D" w:rsidP="008B6EF7">
            <w:pPr>
              <w:pStyle w:val="TableText0"/>
            </w:pPr>
            <w:r w:rsidRPr="005A293B">
              <w:t>Any TEAE</w:t>
            </w:r>
          </w:p>
        </w:tc>
        <w:tc>
          <w:tcPr>
            <w:tcW w:w="964" w:type="pct"/>
            <w:tcBorders>
              <w:top w:val="single" w:sz="4" w:space="0" w:color="auto"/>
              <w:left w:val="single" w:sz="4" w:space="0" w:color="auto"/>
              <w:bottom w:val="single" w:sz="4" w:space="0" w:color="auto"/>
              <w:right w:val="single" w:sz="4" w:space="0" w:color="auto"/>
            </w:tcBorders>
            <w:vAlign w:val="center"/>
            <w:hideMark/>
          </w:tcPr>
          <w:p w14:paraId="619E2748" w14:textId="77777777" w:rsidR="00132B0D" w:rsidRPr="005A293B" w:rsidRDefault="00132B0D" w:rsidP="008B6EF7">
            <w:pPr>
              <w:pStyle w:val="TableText0"/>
              <w:jc w:val="center"/>
            </w:pPr>
            <w:r w:rsidRPr="005A293B">
              <w:t>196/198 (99.0)</w:t>
            </w:r>
          </w:p>
        </w:tc>
        <w:tc>
          <w:tcPr>
            <w:tcW w:w="1150" w:type="pct"/>
            <w:tcBorders>
              <w:top w:val="single" w:sz="4" w:space="0" w:color="auto"/>
              <w:left w:val="single" w:sz="4" w:space="0" w:color="auto"/>
              <w:bottom w:val="single" w:sz="4" w:space="0" w:color="auto"/>
              <w:right w:val="single" w:sz="4" w:space="0" w:color="auto"/>
            </w:tcBorders>
            <w:vAlign w:val="center"/>
            <w:hideMark/>
          </w:tcPr>
          <w:p w14:paraId="0B55D4B2" w14:textId="77777777" w:rsidR="00132B0D" w:rsidRPr="005A293B" w:rsidRDefault="00132B0D" w:rsidP="008B6EF7">
            <w:pPr>
              <w:pStyle w:val="TableText0"/>
              <w:jc w:val="center"/>
            </w:pPr>
            <w:r w:rsidRPr="005A293B">
              <w:t>191/199 (96.0)</w:t>
            </w:r>
          </w:p>
        </w:tc>
      </w:tr>
      <w:tr w:rsidR="00132B0D" w:rsidRPr="005A293B" w14:paraId="3CC421DC"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3E2EC5C8" w14:textId="77777777" w:rsidR="00132B0D" w:rsidRPr="005A293B" w:rsidRDefault="00132B0D" w:rsidP="008B6EF7">
            <w:pPr>
              <w:pStyle w:val="TableText0"/>
            </w:pPr>
            <w:r w:rsidRPr="005A293B">
              <w:t>Serious TEAE</w:t>
            </w:r>
          </w:p>
        </w:tc>
        <w:tc>
          <w:tcPr>
            <w:tcW w:w="964" w:type="pct"/>
            <w:tcBorders>
              <w:top w:val="single" w:sz="4" w:space="0" w:color="auto"/>
              <w:left w:val="single" w:sz="4" w:space="0" w:color="auto"/>
              <w:bottom w:val="single" w:sz="4" w:space="0" w:color="auto"/>
              <w:right w:val="single" w:sz="4" w:space="0" w:color="auto"/>
            </w:tcBorders>
            <w:vAlign w:val="center"/>
          </w:tcPr>
          <w:p w14:paraId="23664E11" w14:textId="77777777" w:rsidR="00132B0D" w:rsidRPr="005A293B" w:rsidRDefault="00132B0D" w:rsidP="008B6EF7">
            <w:pPr>
              <w:pStyle w:val="TableText0"/>
              <w:jc w:val="center"/>
            </w:pPr>
            <w:r w:rsidRPr="005A293B">
              <w:t>60/198 (30.3)</w:t>
            </w:r>
          </w:p>
        </w:tc>
        <w:tc>
          <w:tcPr>
            <w:tcW w:w="1150" w:type="pct"/>
            <w:tcBorders>
              <w:top w:val="single" w:sz="4" w:space="0" w:color="auto"/>
              <w:left w:val="single" w:sz="4" w:space="0" w:color="auto"/>
              <w:bottom w:val="single" w:sz="4" w:space="0" w:color="auto"/>
              <w:right w:val="single" w:sz="4" w:space="0" w:color="auto"/>
            </w:tcBorders>
            <w:vAlign w:val="center"/>
          </w:tcPr>
          <w:p w14:paraId="26CDB5CC" w14:textId="77777777" w:rsidR="00132B0D" w:rsidRPr="005A293B" w:rsidRDefault="00132B0D" w:rsidP="008B6EF7">
            <w:pPr>
              <w:pStyle w:val="TableText0"/>
              <w:jc w:val="center"/>
            </w:pPr>
            <w:r w:rsidRPr="005A293B">
              <w:t>40/199 (20.1)</w:t>
            </w:r>
          </w:p>
        </w:tc>
      </w:tr>
      <w:tr w:rsidR="00132B0D" w:rsidRPr="005A293B" w14:paraId="35764379"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4B53CB17" w14:textId="57D51107" w:rsidR="00132B0D" w:rsidRPr="005A293B" w:rsidRDefault="00132B0D" w:rsidP="008B6EF7">
            <w:pPr>
              <w:pStyle w:val="TableText0"/>
            </w:pPr>
            <w:r w:rsidRPr="005A293B">
              <w:t xml:space="preserve">TEAE </w:t>
            </w:r>
            <w:r w:rsidR="00F3036D">
              <w:t>G</w:t>
            </w:r>
            <w:r w:rsidR="00F3036D" w:rsidRPr="005A293B">
              <w:t xml:space="preserve">rade </w:t>
            </w:r>
            <w:r w:rsidRPr="005A293B">
              <w:t>3 or 4, n (%)</w:t>
            </w:r>
          </w:p>
        </w:tc>
        <w:tc>
          <w:tcPr>
            <w:tcW w:w="964" w:type="pct"/>
            <w:tcBorders>
              <w:top w:val="single" w:sz="4" w:space="0" w:color="auto"/>
              <w:left w:val="single" w:sz="4" w:space="0" w:color="auto"/>
              <w:bottom w:val="single" w:sz="4" w:space="0" w:color="auto"/>
              <w:right w:val="single" w:sz="4" w:space="0" w:color="auto"/>
            </w:tcBorders>
            <w:vAlign w:val="center"/>
          </w:tcPr>
          <w:p w14:paraId="68A306D9" w14:textId="77777777" w:rsidR="00132B0D" w:rsidRPr="005A293B" w:rsidRDefault="00132B0D" w:rsidP="008B6EF7">
            <w:pPr>
              <w:pStyle w:val="TableText0"/>
              <w:jc w:val="center"/>
            </w:pPr>
            <w:r w:rsidRPr="005A293B">
              <w:t>131/198 (66.2)</w:t>
            </w:r>
          </w:p>
        </w:tc>
        <w:tc>
          <w:tcPr>
            <w:tcW w:w="1150" w:type="pct"/>
            <w:tcBorders>
              <w:top w:val="single" w:sz="4" w:space="0" w:color="auto"/>
              <w:left w:val="single" w:sz="4" w:space="0" w:color="auto"/>
              <w:bottom w:val="single" w:sz="4" w:space="0" w:color="auto"/>
              <w:right w:val="single" w:sz="4" w:space="0" w:color="auto"/>
            </w:tcBorders>
            <w:vAlign w:val="center"/>
          </w:tcPr>
          <w:p w14:paraId="514A9656" w14:textId="77777777" w:rsidR="00132B0D" w:rsidRPr="005A293B" w:rsidRDefault="00132B0D" w:rsidP="008B6EF7">
            <w:pPr>
              <w:pStyle w:val="TableText0"/>
              <w:jc w:val="center"/>
            </w:pPr>
            <w:r w:rsidRPr="005A293B">
              <w:t>74/199 (37.2)</w:t>
            </w:r>
          </w:p>
        </w:tc>
      </w:tr>
      <w:tr w:rsidR="00132B0D" w:rsidRPr="005A293B" w14:paraId="231E372C"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150757D2" w14:textId="77777777" w:rsidR="00132B0D" w:rsidRPr="005A293B" w:rsidRDefault="00132B0D" w:rsidP="008B6EF7">
            <w:pPr>
              <w:pStyle w:val="TableText0"/>
            </w:pPr>
            <w:r w:rsidRPr="005A293B">
              <w:t>Grade 5 TEAE</w:t>
            </w:r>
          </w:p>
        </w:tc>
        <w:tc>
          <w:tcPr>
            <w:tcW w:w="964" w:type="pct"/>
            <w:tcBorders>
              <w:top w:val="single" w:sz="4" w:space="0" w:color="auto"/>
              <w:left w:val="single" w:sz="4" w:space="0" w:color="auto"/>
              <w:bottom w:val="single" w:sz="4" w:space="0" w:color="auto"/>
              <w:right w:val="single" w:sz="4" w:space="0" w:color="auto"/>
            </w:tcBorders>
            <w:vAlign w:val="center"/>
          </w:tcPr>
          <w:p w14:paraId="55C0C51E" w14:textId="77777777" w:rsidR="00132B0D" w:rsidRPr="005A293B" w:rsidRDefault="00132B0D" w:rsidP="008B6EF7">
            <w:pPr>
              <w:pStyle w:val="TableText0"/>
              <w:jc w:val="center"/>
            </w:pPr>
            <w:r w:rsidRPr="005A293B">
              <w:t>3/198 (1.5)</w:t>
            </w:r>
          </w:p>
        </w:tc>
        <w:tc>
          <w:tcPr>
            <w:tcW w:w="1150" w:type="pct"/>
            <w:tcBorders>
              <w:top w:val="single" w:sz="4" w:space="0" w:color="auto"/>
              <w:left w:val="single" w:sz="4" w:space="0" w:color="auto"/>
              <w:bottom w:val="single" w:sz="4" w:space="0" w:color="auto"/>
              <w:right w:val="single" w:sz="4" w:space="0" w:color="auto"/>
            </w:tcBorders>
            <w:vAlign w:val="center"/>
          </w:tcPr>
          <w:p w14:paraId="5F56E1B8" w14:textId="77777777" w:rsidR="00132B0D" w:rsidRPr="005A293B" w:rsidRDefault="00132B0D" w:rsidP="008B6EF7">
            <w:pPr>
              <w:pStyle w:val="TableText0"/>
              <w:jc w:val="center"/>
            </w:pPr>
            <w:r w:rsidRPr="005A293B">
              <w:t>5/199 (2.5)</w:t>
            </w:r>
          </w:p>
        </w:tc>
      </w:tr>
      <w:tr w:rsidR="00132B0D" w:rsidRPr="005A293B" w14:paraId="0D312DFE"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593758F7" w14:textId="77777777" w:rsidR="00132B0D" w:rsidRPr="005A293B" w:rsidRDefault="00132B0D" w:rsidP="008B6EF7">
            <w:pPr>
              <w:pStyle w:val="TableText0"/>
            </w:pPr>
            <w:r w:rsidRPr="005A293B">
              <w:t>TEAE leading to discontinuation*, n (%)</w:t>
            </w:r>
          </w:p>
        </w:tc>
        <w:tc>
          <w:tcPr>
            <w:tcW w:w="964" w:type="pct"/>
            <w:tcBorders>
              <w:top w:val="single" w:sz="4" w:space="0" w:color="auto"/>
              <w:left w:val="single" w:sz="4" w:space="0" w:color="auto"/>
              <w:bottom w:val="single" w:sz="4" w:space="0" w:color="auto"/>
              <w:right w:val="single" w:sz="4" w:space="0" w:color="auto"/>
            </w:tcBorders>
            <w:vAlign w:val="center"/>
          </w:tcPr>
          <w:p w14:paraId="3B5CEE99" w14:textId="77777777" w:rsidR="00132B0D" w:rsidRPr="005A293B" w:rsidRDefault="00132B0D" w:rsidP="008B6EF7">
            <w:pPr>
              <w:pStyle w:val="TableText0"/>
              <w:jc w:val="center"/>
            </w:pPr>
            <w:r w:rsidRPr="005A293B">
              <w:t>3/198 (1.5)</w:t>
            </w:r>
          </w:p>
        </w:tc>
        <w:tc>
          <w:tcPr>
            <w:tcW w:w="1150" w:type="pct"/>
            <w:tcBorders>
              <w:top w:val="single" w:sz="4" w:space="0" w:color="auto"/>
              <w:left w:val="single" w:sz="4" w:space="0" w:color="auto"/>
              <w:bottom w:val="single" w:sz="4" w:space="0" w:color="auto"/>
              <w:right w:val="single" w:sz="4" w:space="0" w:color="auto"/>
            </w:tcBorders>
            <w:vAlign w:val="center"/>
          </w:tcPr>
          <w:p w14:paraId="773A2883" w14:textId="77777777" w:rsidR="00132B0D" w:rsidRPr="005A293B" w:rsidRDefault="00132B0D" w:rsidP="008B6EF7">
            <w:pPr>
              <w:pStyle w:val="TableText0"/>
              <w:jc w:val="center"/>
            </w:pPr>
            <w:r w:rsidRPr="005A293B">
              <w:t>5/199 (2.5)</w:t>
            </w:r>
          </w:p>
        </w:tc>
      </w:tr>
      <w:tr w:rsidR="00132B0D" w:rsidRPr="005A293B" w14:paraId="4AA3874B"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32BE1B40" w14:textId="77777777" w:rsidR="00132B0D" w:rsidRPr="005A293B" w:rsidRDefault="00132B0D" w:rsidP="008B6EF7">
            <w:pPr>
              <w:pStyle w:val="TableText0"/>
            </w:pPr>
            <w:r w:rsidRPr="005A293B">
              <w:t>Participants discontinued from ONLY TAL/PBO due to TEAE</w:t>
            </w:r>
          </w:p>
        </w:tc>
        <w:tc>
          <w:tcPr>
            <w:tcW w:w="964" w:type="pct"/>
            <w:tcBorders>
              <w:top w:val="single" w:sz="4" w:space="0" w:color="auto"/>
              <w:left w:val="single" w:sz="4" w:space="0" w:color="auto"/>
              <w:bottom w:val="single" w:sz="4" w:space="0" w:color="auto"/>
              <w:right w:val="single" w:sz="4" w:space="0" w:color="auto"/>
            </w:tcBorders>
            <w:vAlign w:val="center"/>
          </w:tcPr>
          <w:p w14:paraId="42284602" w14:textId="77777777" w:rsidR="00132B0D" w:rsidRPr="005A293B" w:rsidRDefault="00132B0D" w:rsidP="008B6EF7">
            <w:pPr>
              <w:pStyle w:val="TableText0"/>
              <w:jc w:val="center"/>
            </w:pPr>
            <w:r w:rsidRPr="005A293B">
              <w:t>9/198 (4.5)</w:t>
            </w:r>
          </w:p>
        </w:tc>
        <w:tc>
          <w:tcPr>
            <w:tcW w:w="1150" w:type="pct"/>
            <w:tcBorders>
              <w:top w:val="single" w:sz="4" w:space="0" w:color="auto"/>
              <w:left w:val="single" w:sz="4" w:space="0" w:color="auto"/>
              <w:bottom w:val="single" w:sz="4" w:space="0" w:color="auto"/>
              <w:right w:val="single" w:sz="4" w:space="0" w:color="auto"/>
            </w:tcBorders>
            <w:vAlign w:val="center"/>
          </w:tcPr>
          <w:p w14:paraId="1E1299D0" w14:textId="77777777" w:rsidR="00132B0D" w:rsidRPr="005A293B" w:rsidRDefault="00132B0D" w:rsidP="008B6EF7">
            <w:pPr>
              <w:pStyle w:val="TableText0"/>
              <w:jc w:val="center"/>
            </w:pPr>
            <w:r w:rsidRPr="005A293B">
              <w:t>1/199 (0.5)</w:t>
            </w:r>
          </w:p>
        </w:tc>
      </w:tr>
      <w:tr w:rsidR="00132B0D" w:rsidRPr="005A293B" w14:paraId="7134066F"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7E8A3410" w14:textId="77777777" w:rsidR="00132B0D" w:rsidRPr="005A293B" w:rsidRDefault="00132B0D" w:rsidP="008B6EF7">
            <w:pPr>
              <w:pStyle w:val="TableText0"/>
            </w:pPr>
            <w:r w:rsidRPr="005A293B">
              <w:t>Participants with dose reduction on ONLY TAL/PBO due to TEAE</w:t>
            </w:r>
          </w:p>
        </w:tc>
        <w:tc>
          <w:tcPr>
            <w:tcW w:w="964" w:type="pct"/>
            <w:tcBorders>
              <w:top w:val="single" w:sz="4" w:space="0" w:color="auto"/>
              <w:left w:val="single" w:sz="4" w:space="0" w:color="auto"/>
              <w:bottom w:val="single" w:sz="4" w:space="0" w:color="auto"/>
              <w:right w:val="single" w:sz="4" w:space="0" w:color="auto"/>
            </w:tcBorders>
            <w:vAlign w:val="center"/>
          </w:tcPr>
          <w:p w14:paraId="16FC58A1" w14:textId="77777777" w:rsidR="00132B0D" w:rsidRPr="005A293B" w:rsidRDefault="00132B0D" w:rsidP="008B6EF7">
            <w:pPr>
              <w:pStyle w:val="TableText0"/>
              <w:jc w:val="center"/>
            </w:pPr>
            <w:r w:rsidRPr="005A293B">
              <w:t>100/198 (50.5)</w:t>
            </w:r>
          </w:p>
        </w:tc>
        <w:tc>
          <w:tcPr>
            <w:tcW w:w="1150" w:type="pct"/>
            <w:tcBorders>
              <w:top w:val="single" w:sz="4" w:space="0" w:color="auto"/>
              <w:left w:val="single" w:sz="4" w:space="0" w:color="auto"/>
              <w:bottom w:val="single" w:sz="4" w:space="0" w:color="auto"/>
              <w:right w:val="single" w:sz="4" w:space="0" w:color="auto"/>
            </w:tcBorders>
            <w:vAlign w:val="center"/>
          </w:tcPr>
          <w:p w14:paraId="69E0D40E" w14:textId="77777777" w:rsidR="00132B0D" w:rsidRPr="005A293B" w:rsidRDefault="00132B0D" w:rsidP="008B6EF7">
            <w:pPr>
              <w:pStyle w:val="TableText0"/>
              <w:jc w:val="center"/>
            </w:pPr>
            <w:r w:rsidRPr="005A293B">
              <w:t>8/199 (4.0)</w:t>
            </w:r>
          </w:p>
        </w:tc>
      </w:tr>
      <w:tr w:rsidR="00132B0D" w:rsidRPr="005A293B" w14:paraId="4A91B054"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hideMark/>
          </w:tcPr>
          <w:p w14:paraId="73E7B8FF" w14:textId="77777777" w:rsidR="00132B0D" w:rsidRPr="005A293B" w:rsidRDefault="00132B0D" w:rsidP="008B6EF7">
            <w:pPr>
              <w:pStyle w:val="TableText0"/>
            </w:pPr>
            <w:r w:rsidRPr="005A293B">
              <w:t>Participants with dose interruption on ONLY TAL/PBO due to TEAE</w:t>
            </w:r>
          </w:p>
        </w:tc>
        <w:tc>
          <w:tcPr>
            <w:tcW w:w="964" w:type="pct"/>
            <w:tcBorders>
              <w:top w:val="single" w:sz="4" w:space="0" w:color="auto"/>
              <w:left w:val="single" w:sz="4" w:space="0" w:color="auto"/>
              <w:bottom w:val="single" w:sz="4" w:space="0" w:color="auto"/>
              <w:right w:val="single" w:sz="4" w:space="0" w:color="auto"/>
            </w:tcBorders>
            <w:vAlign w:val="center"/>
          </w:tcPr>
          <w:p w14:paraId="1BB10567" w14:textId="77777777" w:rsidR="00132B0D" w:rsidRPr="005A293B" w:rsidRDefault="00132B0D" w:rsidP="008B6EF7">
            <w:pPr>
              <w:pStyle w:val="TableText0"/>
              <w:jc w:val="center"/>
            </w:pPr>
            <w:r w:rsidRPr="005A293B">
              <w:t>81/198 (40.9)</w:t>
            </w:r>
          </w:p>
        </w:tc>
        <w:tc>
          <w:tcPr>
            <w:tcW w:w="1150" w:type="pct"/>
            <w:tcBorders>
              <w:top w:val="single" w:sz="4" w:space="0" w:color="auto"/>
              <w:left w:val="single" w:sz="4" w:space="0" w:color="auto"/>
              <w:bottom w:val="single" w:sz="4" w:space="0" w:color="auto"/>
              <w:right w:val="single" w:sz="4" w:space="0" w:color="auto"/>
            </w:tcBorders>
            <w:vAlign w:val="center"/>
          </w:tcPr>
          <w:p w14:paraId="7128F025" w14:textId="77777777" w:rsidR="00132B0D" w:rsidRPr="005A293B" w:rsidRDefault="00132B0D" w:rsidP="008B6EF7">
            <w:pPr>
              <w:pStyle w:val="TableText0"/>
              <w:jc w:val="center"/>
            </w:pPr>
            <w:r w:rsidRPr="005A293B">
              <w:t>13/199 (6.5)</w:t>
            </w:r>
          </w:p>
        </w:tc>
      </w:tr>
      <w:tr w:rsidR="00A40390" w:rsidRPr="005A293B" w14:paraId="55A2507E" w14:textId="77777777" w:rsidTr="0012355C">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5E32228" w14:textId="77777777" w:rsidR="00A40390" w:rsidRPr="005A293B" w:rsidRDefault="00A40390" w:rsidP="008B6EF7">
            <w:pPr>
              <w:pStyle w:val="TableText0"/>
              <w:rPr>
                <w:b/>
              </w:rPr>
            </w:pPr>
            <w:r w:rsidRPr="005A293B">
              <w:rPr>
                <w:b/>
              </w:rPr>
              <w:t>Dose modifications due to AEs</w:t>
            </w:r>
          </w:p>
        </w:tc>
      </w:tr>
      <w:tr w:rsidR="00A40390" w:rsidRPr="005A293B" w14:paraId="17F5D9BF"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4EF6C432" w14:textId="77777777" w:rsidR="00A40390" w:rsidRPr="005A293B" w:rsidRDefault="00A40390" w:rsidP="008B6EF7">
            <w:pPr>
              <w:pStyle w:val="TableText0"/>
            </w:pPr>
            <w:r w:rsidRPr="005A293B">
              <w:t>Dose interruptions</w:t>
            </w:r>
          </w:p>
        </w:tc>
        <w:tc>
          <w:tcPr>
            <w:tcW w:w="964" w:type="pct"/>
            <w:tcBorders>
              <w:top w:val="single" w:sz="4" w:space="0" w:color="auto"/>
              <w:left w:val="single" w:sz="4" w:space="0" w:color="auto"/>
              <w:bottom w:val="single" w:sz="4" w:space="0" w:color="auto"/>
              <w:right w:val="single" w:sz="4" w:space="0" w:color="auto"/>
            </w:tcBorders>
            <w:vAlign w:val="center"/>
          </w:tcPr>
          <w:p w14:paraId="6BD18482" w14:textId="77777777" w:rsidR="00A40390" w:rsidRPr="005A293B" w:rsidRDefault="00A40390" w:rsidP="008B6EF7">
            <w:pPr>
              <w:pStyle w:val="TableText0"/>
              <w:jc w:val="center"/>
            </w:pPr>
            <w:r w:rsidRPr="005A293B">
              <w:t>114 (57.6%)</w:t>
            </w:r>
          </w:p>
        </w:tc>
        <w:tc>
          <w:tcPr>
            <w:tcW w:w="1150" w:type="pct"/>
            <w:tcBorders>
              <w:top w:val="single" w:sz="4" w:space="0" w:color="auto"/>
              <w:left w:val="single" w:sz="4" w:space="0" w:color="auto"/>
              <w:bottom w:val="single" w:sz="4" w:space="0" w:color="auto"/>
              <w:right w:val="single" w:sz="4" w:space="0" w:color="auto"/>
            </w:tcBorders>
            <w:vAlign w:val="center"/>
          </w:tcPr>
          <w:p w14:paraId="5FD560F7" w14:textId="77777777" w:rsidR="00A40390" w:rsidRPr="005A293B" w:rsidRDefault="00A40390" w:rsidP="008B6EF7">
            <w:pPr>
              <w:pStyle w:val="TableText0"/>
              <w:jc w:val="center"/>
            </w:pPr>
            <w:r w:rsidRPr="005A293B">
              <w:t>31 (15.6%)</w:t>
            </w:r>
          </w:p>
        </w:tc>
      </w:tr>
      <w:tr w:rsidR="00A40390" w:rsidRPr="005A293B" w14:paraId="76B623A2"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4DAF2B15" w14:textId="77777777" w:rsidR="00A40390" w:rsidRPr="005A293B" w:rsidRDefault="00A40390" w:rsidP="008B6EF7">
            <w:pPr>
              <w:pStyle w:val="TableText0"/>
            </w:pPr>
            <w:r w:rsidRPr="005A293B">
              <w:t xml:space="preserve">Dose reductions </w:t>
            </w:r>
          </w:p>
        </w:tc>
        <w:tc>
          <w:tcPr>
            <w:tcW w:w="964" w:type="pct"/>
            <w:tcBorders>
              <w:top w:val="single" w:sz="4" w:space="0" w:color="auto"/>
              <w:left w:val="single" w:sz="4" w:space="0" w:color="auto"/>
              <w:bottom w:val="single" w:sz="4" w:space="0" w:color="auto"/>
              <w:right w:val="single" w:sz="4" w:space="0" w:color="auto"/>
            </w:tcBorders>
            <w:vAlign w:val="center"/>
          </w:tcPr>
          <w:p w14:paraId="5414B565" w14:textId="77777777" w:rsidR="00A40390" w:rsidRPr="005A293B" w:rsidRDefault="00A40390" w:rsidP="008B6EF7">
            <w:pPr>
              <w:pStyle w:val="TableText0"/>
              <w:jc w:val="center"/>
            </w:pPr>
            <w:r w:rsidRPr="005A293B">
              <w:t>103 (52.0%)</w:t>
            </w:r>
          </w:p>
        </w:tc>
        <w:tc>
          <w:tcPr>
            <w:tcW w:w="1150" w:type="pct"/>
            <w:tcBorders>
              <w:top w:val="single" w:sz="4" w:space="0" w:color="auto"/>
              <w:left w:val="single" w:sz="4" w:space="0" w:color="auto"/>
              <w:bottom w:val="single" w:sz="4" w:space="0" w:color="auto"/>
              <w:right w:val="single" w:sz="4" w:space="0" w:color="auto"/>
            </w:tcBorders>
            <w:vAlign w:val="center"/>
          </w:tcPr>
          <w:p w14:paraId="397FCBB1" w14:textId="77777777" w:rsidR="00A40390" w:rsidRPr="005A293B" w:rsidRDefault="00A40390" w:rsidP="008B6EF7">
            <w:pPr>
              <w:pStyle w:val="TableText0"/>
              <w:jc w:val="center"/>
            </w:pPr>
            <w:r w:rsidRPr="005A293B">
              <w:t>12 (6.0%)</w:t>
            </w:r>
          </w:p>
        </w:tc>
      </w:tr>
      <w:tr w:rsidR="00A40390" w:rsidRPr="005A293B" w14:paraId="124A8503"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4481F1FE" w14:textId="77777777" w:rsidR="00A40390" w:rsidRPr="005A293B" w:rsidRDefault="00A40390" w:rsidP="008B6EF7">
            <w:pPr>
              <w:pStyle w:val="TableText0"/>
            </w:pPr>
            <w:r w:rsidRPr="005A293B">
              <w:t>Discontinuations</w:t>
            </w:r>
          </w:p>
        </w:tc>
        <w:tc>
          <w:tcPr>
            <w:tcW w:w="964" w:type="pct"/>
            <w:tcBorders>
              <w:top w:val="single" w:sz="4" w:space="0" w:color="auto"/>
              <w:left w:val="single" w:sz="4" w:space="0" w:color="auto"/>
              <w:bottom w:val="single" w:sz="4" w:space="0" w:color="auto"/>
              <w:right w:val="single" w:sz="4" w:space="0" w:color="auto"/>
            </w:tcBorders>
            <w:vAlign w:val="center"/>
          </w:tcPr>
          <w:p w14:paraId="482D65BB" w14:textId="77777777" w:rsidR="00A40390" w:rsidRPr="005A293B" w:rsidRDefault="00A40390" w:rsidP="008B6EF7">
            <w:pPr>
              <w:pStyle w:val="TableText0"/>
              <w:jc w:val="center"/>
            </w:pPr>
            <w:r w:rsidRPr="005A293B">
              <w:t>20 (10.1%)</w:t>
            </w:r>
          </w:p>
        </w:tc>
        <w:tc>
          <w:tcPr>
            <w:tcW w:w="1150" w:type="pct"/>
            <w:tcBorders>
              <w:top w:val="single" w:sz="4" w:space="0" w:color="auto"/>
              <w:left w:val="single" w:sz="4" w:space="0" w:color="auto"/>
              <w:bottom w:val="single" w:sz="4" w:space="0" w:color="auto"/>
              <w:right w:val="single" w:sz="4" w:space="0" w:color="auto"/>
            </w:tcBorders>
            <w:vAlign w:val="center"/>
          </w:tcPr>
          <w:p w14:paraId="10A48337" w14:textId="77777777" w:rsidR="00A40390" w:rsidRPr="005A293B" w:rsidRDefault="00A40390" w:rsidP="008B6EF7">
            <w:pPr>
              <w:pStyle w:val="TableText0"/>
              <w:jc w:val="center"/>
            </w:pPr>
            <w:r w:rsidRPr="005A293B">
              <w:t>14 (7.0%)</w:t>
            </w:r>
          </w:p>
        </w:tc>
      </w:tr>
      <w:tr w:rsidR="00132B0D" w:rsidRPr="005A293B" w14:paraId="275C3CF0" w14:textId="77777777" w:rsidTr="0012355C">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2266E24" w14:textId="77777777" w:rsidR="00132B0D" w:rsidRPr="005A293B" w:rsidRDefault="00132B0D" w:rsidP="008B6EF7">
            <w:pPr>
              <w:pStyle w:val="TableText0"/>
            </w:pPr>
            <w:r w:rsidRPr="005A293B">
              <w:rPr>
                <w:b/>
              </w:rPr>
              <w:t>Common (≥2%) treatment-emergent SAEs</w:t>
            </w:r>
          </w:p>
        </w:tc>
      </w:tr>
      <w:tr w:rsidR="00132B0D" w:rsidRPr="005A293B" w14:paraId="3C00141C"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189A7F35" w14:textId="77777777" w:rsidR="00132B0D" w:rsidRPr="005A293B" w:rsidRDefault="00132B0D" w:rsidP="008B6EF7">
            <w:pPr>
              <w:pStyle w:val="TableText0"/>
            </w:pPr>
            <w:r w:rsidRPr="005A293B">
              <w:t>With any adverse event</w:t>
            </w:r>
          </w:p>
        </w:tc>
        <w:tc>
          <w:tcPr>
            <w:tcW w:w="964" w:type="pct"/>
            <w:tcBorders>
              <w:top w:val="single" w:sz="4" w:space="0" w:color="auto"/>
              <w:left w:val="single" w:sz="4" w:space="0" w:color="auto"/>
              <w:bottom w:val="single" w:sz="4" w:space="0" w:color="auto"/>
              <w:right w:val="single" w:sz="4" w:space="0" w:color="auto"/>
            </w:tcBorders>
            <w:vAlign w:val="center"/>
          </w:tcPr>
          <w:p w14:paraId="7A0EDAAF" w14:textId="77777777" w:rsidR="00132B0D" w:rsidRPr="005A293B" w:rsidRDefault="00132B0D" w:rsidP="008B6EF7">
            <w:pPr>
              <w:pStyle w:val="TableText0"/>
              <w:jc w:val="center"/>
            </w:pPr>
            <w:r w:rsidRPr="005A293B">
              <w:t>23/198 (11.6)</w:t>
            </w:r>
          </w:p>
        </w:tc>
        <w:tc>
          <w:tcPr>
            <w:tcW w:w="1150" w:type="pct"/>
            <w:tcBorders>
              <w:top w:val="single" w:sz="4" w:space="0" w:color="auto"/>
              <w:left w:val="single" w:sz="4" w:space="0" w:color="auto"/>
              <w:bottom w:val="single" w:sz="4" w:space="0" w:color="auto"/>
              <w:right w:val="single" w:sz="4" w:space="0" w:color="auto"/>
            </w:tcBorders>
            <w:vAlign w:val="center"/>
          </w:tcPr>
          <w:p w14:paraId="26E861E3" w14:textId="77777777" w:rsidR="00132B0D" w:rsidRPr="005A293B" w:rsidRDefault="00132B0D" w:rsidP="008B6EF7">
            <w:pPr>
              <w:pStyle w:val="TableText0"/>
              <w:jc w:val="center"/>
            </w:pPr>
            <w:r w:rsidRPr="005A293B">
              <w:t>6/199 (3.0)</w:t>
            </w:r>
          </w:p>
        </w:tc>
      </w:tr>
      <w:tr w:rsidR="00132B0D" w:rsidRPr="005A293B" w14:paraId="0BD637F5"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6A105D6C" w14:textId="77777777" w:rsidR="00132B0D" w:rsidRPr="005A293B" w:rsidRDefault="00132B0D" w:rsidP="008B6EF7">
            <w:pPr>
              <w:pStyle w:val="TableText0"/>
            </w:pPr>
            <w:r w:rsidRPr="005A293B">
              <w:t>Anaemia</w:t>
            </w:r>
          </w:p>
        </w:tc>
        <w:tc>
          <w:tcPr>
            <w:tcW w:w="964" w:type="pct"/>
            <w:tcBorders>
              <w:top w:val="single" w:sz="4" w:space="0" w:color="auto"/>
              <w:left w:val="single" w:sz="4" w:space="0" w:color="auto"/>
              <w:bottom w:val="single" w:sz="4" w:space="0" w:color="auto"/>
              <w:right w:val="single" w:sz="4" w:space="0" w:color="auto"/>
            </w:tcBorders>
            <w:vAlign w:val="center"/>
          </w:tcPr>
          <w:p w14:paraId="10DCDD9E" w14:textId="77777777" w:rsidR="00132B0D" w:rsidRPr="005A293B" w:rsidRDefault="00132B0D" w:rsidP="008B6EF7">
            <w:pPr>
              <w:pStyle w:val="TableText0"/>
              <w:jc w:val="center"/>
            </w:pPr>
            <w:r w:rsidRPr="005A293B">
              <w:t>17/198 (8.6)</w:t>
            </w:r>
          </w:p>
        </w:tc>
        <w:tc>
          <w:tcPr>
            <w:tcW w:w="1150" w:type="pct"/>
            <w:tcBorders>
              <w:top w:val="single" w:sz="4" w:space="0" w:color="auto"/>
              <w:left w:val="single" w:sz="4" w:space="0" w:color="auto"/>
              <w:bottom w:val="single" w:sz="4" w:space="0" w:color="auto"/>
              <w:right w:val="single" w:sz="4" w:space="0" w:color="auto"/>
            </w:tcBorders>
            <w:vAlign w:val="center"/>
          </w:tcPr>
          <w:p w14:paraId="042EA0A9" w14:textId="77777777" w:rsidR="00132B0D" w:rsidRPr="005A293B" w:rsidRDefault="00132B0D" w:rsidP="008B6EF7">
            <w:pPr>
              <w:pStyle w:val="TableText0"/>
              <w:jc w:val="center"/>
            </w:pPr>
            <w:r w:rsidRPr="005A293B">
              <w:t>2/199 (1.0)</w:t>
            </w:r>
          </w:p>
        </w:tc>
      </w:tr>
      <w:tr w:rsidR="00132B0D" w:rsidRPr="005A293B" w14:paraId="0E6D93E4"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342D6D33" w14:textId="77777777" w:rsidR="00132B0D" w:rsidRPr="005A293B" w:rsidRDefault="00132B0D" w:rsidP="008B6EF7">
            <w:pPr>
              <w:pStyle w:val="TableText0"/>
            </w:pPr>
            <w:r w:rsidRPr="005A293B">
              <w:t>Urinary tract infection</w:t>
            </w:r>
          </w:p>
        </w:tc>
        <w:tc>
          <w:tcPr>
            <w:tcW w:w="964" w:type="pct"/>
            <w:tcBorders>
              <w:top w:val="single" w:sz="4" w:space="0" w:color="auto"/>
              <w:left w:val="single" w:sz="4" w:space="0" w:color="auto"/>
              <w:bottom w:val="single" w:sz="4" w:space="0" w:color="auto"/>
              <w:right w:val="single" w:sz="4" w:space="0" w:color="auto"/>
            </w:tcBorders>
            <w:vAlign w:val="center"/>
          </w:tcPr>
          <w:p w14:paraId="4DC30409" w14:textId="77777777" w:rsidR="00132B0D" w:rsidRPr="005A293B" w:rsidRDefault="00132B0D" w:rsidP="008B6EF7">
            <w:pPr>
              <w:pStyle w:val="TableText0"/>
              <w:jc w:val="center"/>
            </w:pPr>
            <w:r w:rsidRPr="005A293B">
              <w:t>4/198 (2.0)</w:t>
            </w:r>
          </w:p>
        </w:tc>
        <w:tc>
          <w:tcPr>
            <w:tcW w:w="1150" w:type="pct"/>
            <w:tcBorders>
              <w:top w:val="single" w:sz="4" w:space="0" w:color="auto"/>
              <w:left w:val="single" w:sz="4" w:space="0" w:color="auto"/>
              <w:bottom w:val="single" w:sz="4" w:space="0" w:color="auto"/>
              <w:right w:val="single" w:sz="4" w:space="0" w:color="auto"/>
            </w:tcBorders>
            <w:vAlign w:val="center"/>
          </w:tcPr>
          <w:p w14:paraId="4D7EA430" w14:textId="77777777" w:rsidR="00132B0D" w:rsidRPr="005A293B" w:rsidRDefault="00132B0D" w:rsidP="008B6EF7">
            <w:pPr>
              <w:pStyle w:val="TableText0"/>
              <w:jc w:val="center"/>
            </w:pPr>
            <w:r w:rsidRPr="005A293B">
              <w:t>3/199 (1.5)</w:t>
            </w:r>
          </w:p>
        </w:tc>
      </w:tr>
      <w:tr w:rsidR="00132B0D" w:rsidRPr="005A293B" w14:paraId="47C90893"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1CCF4C20" w14:textId="77777777" w:rsidR="00132B0D" w:rsidRPr="005A293B" w:rsidRDefault="00132B0D" w:rsidP="008B6EF7">
            <w:pPr>
              <w:pStyle w:val="TableText0"/>
            </w:pPr>
            <w:r w:rsidRPr="005A293B">
              <w:t>Syncope</w:t>
            </w:r>
          </w:p>
        </w:tc>
        <w:tc>
          <w:tcPr>
            <w:tcW w:w="964" w:type="pct"/>
            <w:tcBorders>
              <w:top w:val="single" w:sz="4" w:space="0" w:color="auto"/>
              <w:left w:val="single" w:sz="4" w:space="0" w:color="auto"/>
              <w:bottom w:val="single" w:sz="4" w:space="0" w:color="auto"/>
              <w:right w:val="single" w:sz="4" w:space="0" w:color="auto"/>
            </w:tcBorders>
            <w:vAlign w:val="center"/>
          </w:tcPr>
          <w:p w14:paraId="57A8273D" w14:textId="77777777" w:rsidR="00132B0D" w:rsidRPr="005A293B" w:rsidRDefault="00132B0D" w:rsidP="008B6EF7">
            <w:pPr>
              <w:pStyle w:val="TableText0"/>
              <w:jc w:val="center"/>
            </w:pPr>
            <w:r w:rsidRPr="005A293B">
              <w:t>4/198 (2.0)</w:t>
            </w:r>
          </w:p>
        </w:tc>
        <w:tc>
          <w:tcPr>
            <w:tcW w:w="1150" w:type="pct"/>
            <w:tcBorders>
              <w:top w:val="single" w:sz="4" w:space="0" w:color="auto"/>
              <w:left w:val="single" w:sz="4" w:space="0" w:color="auto"/>
              <w:bottom w:val="single" w:sz="4" w:space="0" w:color="auto"/>
              <w:right w:val="single" w:sz="4" w:space="0" w:color="auto"/>
            </w:tcBorders>
            <w:vAlign w:val="center"/>
          </w:tcPr>
          <w:p w14:paraId="68F6312A" w14:textId="77777777" w:rsidR="00132B0D" w:rsidRPr="005A293B" w:rsidRDefault="00132B0D" w:rsidP="008B6EF7">
            <w:pPr>
              <w:pStyle w:val="TableText0"/>
              <w:jc w:val="center"/>
            </w:pPr>
            <w:r w:rsidRPr="005A293B">
              <w:t>1/199 (0.5)</w:t>
            </w:r>
          </w:p>
        </w:tc>
      </w:tr>
      <w:tr w:rsidR="00A40390" w:rsidRPr="005A293B" w14:paraId="3CEDB0D0" w14:textId="77777777" w:rsidTr="0012355C">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8BFB0C8" w14:textId="23FB1196" w:rsidR="00A40390" w:rsidRPr="005A293B" w:rsidRDefault="00A40390" w:rsidP="008B6EF7">
            <w:pPr>
              <w:pStyle w:val="TableText0"/>
            </w:pPr>
            <w:r w:rsidRPr="00EF4A16">
              <w:rPr>
                <w:b/>
              </w:rPr>
              <w:t xml:space="preserve">AEs of </w:t>
            </w:r>
            <w:r w:rsidR="00F3036D">
              <w:rPr>
                <w:b/>
              </w:rPr>
              <w:t>G</w:t>
            </w:r>
            <w:r w:rsidR="00F3036D" w:rsidRPr="00EF4A16">
              <w:rPr>
                <w:b/>
              </w:rPr>
              <w:t xml:space="preserve">rade </w:t>
            </w:r>
            <w:r w:rsidR="008B6EF7">
              <w:rPr>
                <w:b/>
              </w:rPr>
              <w:t>≥</w:t>
            </w:r>
            <w:r w:rsidRPr="00EF4A16">
              <w:rPr>
                <w:b/>
              </w:rPr>
              <w:t>3</w:t>
            </w:r>
          </w:p>
        </w:tc>
      </w:tr>
      <w:tr w:rsidR="00A40390" w:rsidRPr="005A293B" w14:paraId="0AC952DE"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62CAA64C" w14:textId="60A6B773" w:rsidR="00A40390" w:rsidRPr="005A293B" w:rsidRDefault="00A40390" w:rsidP="008B6EF7">
            <w:pPr>
              <w:pStyle w:val="TableText0"/>
            </w:pPr>
            <w:r w:rsidRPr="002E1047">
              <w:rPr>
                <w:rFonts w:eastAsia="Calibri" w:cs="Times New Roman"/>
                <w:szCs w:val="20"/>
              </w:rPr>
              <w:t>Anaemia</w:t>
            </w:r>
          </w:p>
        </w:tc>
        <w:tc>
          <w:tcPr>
            <w:tcW w:w="964" w:type="pct"/>
            <w:tcBorders>
              <w:top w:val="single" w:sz="4" w:space="0" w:color="auto"/>
              <w:left w:val="single" w:sz="4" w:space="0" w:color="auto"/>
              <w:bottom w:val="single" w:sz="4" w:space="0" w:color="auto"/>
              <w:right w:val="single" w:sz="4" w:space="0" w:color="auto"/>
            </w:tcBorders>
            <w:vAlign w:val="center"/>
          </w:tcPr>
          <w:p w14:paraId="135A9ABD" w14:textId="76D8A84A" w:rsidR="00A40390" w:rsidRPr="005A293B" w:rsidRDefault="00A40390" w:rsidP="008B6EF7">
            <w:pPr>
              <w:pStyle w:val="TableText0"/>
              <w:jc w:val="center"/>
            </w:pPr>
            <w:r>
              <w:rPr>
                <w:rFonts w:eastAsia="Calibri" w:cs="Times New Roman"/>
                <w:szCs w:val="20"/>
              </w:rPr>
              <w:t>81/198 (</w:t>
            </w:r>
            <w:r w:rsidRPr="002E1047">
              <w:rPr>
                <w:rFonts w:eastAsia="Calibri" w:cs="Times New Roman"/>
                <w:szCs w:val="20"/>
              </w:rPr>
              <w:t>40.9%</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15EEF212" w14:textId="70BD2633" w:rsidR="00A40390" w:rsidRPr="005A293B" w:rsidRDefault="00A40390" w:rsidP="008B6EF7">
            <w:pPr>
              <w:pStyle w:val="TableText0"/>
              <w:jc w:val="center"/>
            </w:pPr>
            <w:r>
              <w:rPr>
                <w:rFonts w:eastAsia="Calibri" w:cs="Times New Roman"/>
                <w:szCs w:val="20"/>
              </w:rPr>
              <w:t>9/199 (</w:t>
            </w:r>
            <w:r w:rsidRPr="002E1047">
              <w:rPr>
                <w:rFonts w:eastAsia="Calibri" w:cs="Times New Roman"/>
                <w:szCs w:val="20"/>
              </w:rPr>
              <w:t>4.5%</w:t>
            </w:r>
            <w:r>
              <w:rPr>
                <w:rFonts w:eastAsia="Calibri" w:cs="Times New Roman"/>
                <w:szCs w:val="20"/>
              </w:rPr>
              <w:t>)</w:t>
            </w:r>
          </w:p>
        </w:tc>
      </w:tr>
      <w:tr w:rsidR="00EF6AC4" w:rsidRPr="005A293B" w14:paraId="35F20432"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44410C14" w14:textId="77777777" w:rsidR="00EF6AC4" w:rsidRPr="005A293B" w:rsidRDefault="00EF6AC4" w:rsidP="008B6EF7">
            <w:pPr>
              <w:pStyle w:val="TableText0"/>
            </w:pPr>
            <w:r w:rsidRPr="002E1047">
              <w:rPr>
                <w:rFonts w:eastAsia="Calibri" w:cs="Times New Roman"/>
                <w:szCs w:val="20"/>
              </w:rPr>
              <w:t>Neutropenia</w:t>
            </w:r>
          </w:p>
        </w:tc>
        <w:tc>
          <w:tcPr>
            <w:tcW w:w="964" w:type="pct"/>
            <w:tcBorders>
              <w:top w:val="single" w:sz="4" w:space="0" w:color="auto"/>
              <w:left w:val="single" w:sz="4" w:space="0" w:color="auto"/>
              <w:bottom w:val="single" w:sz="4" w:space="0" w:color="auto"/>
              <w:right w:val="single" w:sz="4" w:space="0" w:color="auto"/>
            </w:tcBorders>
            <w:vAlign w:val="center"/>
          </w:tcPr>
          <w:p w14:paraId="0E7930E9" w14:textId="77777777" w:rsidR="00EF6AC4" w:rsidRPr="005A293B" w:rsidRDefault="00EF6AC4" w:rsidP="008B6EF7">
            <w:pPr>
              <w:pStyle w:val="TableText0"/>
              <w:jc w:val="center"/>
            </w:pPr>
            <w:r>
              <w:rPr>
                <w:rFonts w:eastAsia="Calibri" w:cs="Times New Roman"/>
                <w:szCs w:val="20"/>
              </w:rPr>
              <w:t>37/198 (</w:t>
            </w:r>
            <w:r w:rsidRPr="002E1047">
              <w:rPr>
                <w:rFonts w:eastAsia="Calibri" w:cs="Times New Roman"/>
                <w:szCs w:val="20"/>
              </w:rPr>
              <w:t>18.7%</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5A5625B9" w14:textId="77777777" w:rsidR="00EF6AC4" w:rsidRPr="005A293B" w:rsidRDefault="00EF6AC4" w:rsidP="008B6EF7">
            <w:pPr>
              <w:pStyle w:val="TableText0"/>
              <w:jc w:val="center"/>
            </w:pPr>
            <w:r>
              <w:rPr>
                <w:rFonts w:eastAsia="Calibri" w:cs="Times New Roman"/>
                <w:szCs w:val="20"/>
              </w:rPr>
              <w:t>2/199 (</w:t>
            </w:r>
            <w:r w:rsidRPr="002E1047">
              <w:rPr>
                <w:rFonts w:eastAsia="Calibri" w:cs="Times New Roman"/>
                <w:szCs w:val="20"/>
              </w:rPr>
              <w:t>1.0%</w:t>
            </w:r>
            <w:r>
              <w:rPr>
                <w:rFonts w:eastAsia="Calibri" w:cs="Times New Roman"/>
                <w:szCs w:val="20"/>
              </w:rPr>
              <w:t>)</w:t>
            </w:r>
          </w:p>
        </w:tc>
      </w:tr>
      <w:tr w:rsidR="00EF6AC4" w:rsidRPr="005A293B" w14:paraId="52BD308A"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33C5B93B" w14:textId="77777777" w:rsidR="00EF6AC4" w:rsidRPr="005A293B" w:rsidRDefault="00EF6AC4" w:rsidP="008B6EF7">
            <w:pPr>
              <w:pStyle w:val="TableText0"/>
            </w:pPr>
            <w:r w:rsidRPr="002E1047">
              <w:rPr>
                <w:rFonts w:eastAsia="Calibri" w:cs="Times New Roman"/>
                <w:szCs w:val="20"/>
              </w:rPr>
              <w:t>Hypertension</w:t>
            </w:r>
          </w:p>
        </w:tc>
        <w:tc>
          <w:tcPr>
            <w:tcW w:w="964" w:type="pct"/>
            <w:tcBorders>
              <w:top w:val="single" w:sz="4" w:space="0" w:color="auto"/>
              <w:left w:val="single" w:sz="4" w:space="0" w:color="auto"/>
              <w:bottom w:val="single" w:sz="4" w:space="0" w:color="auto"/>
              <w:right w:val="single" w:sz="4" w:space="0" w:color="auto"/>
            </w:tcBorders>
            <w:vAlign w:val="center"/>
          </w:tcPr>
          <w:p w14:paraId="435FECA4" w14:textId="77777777" w:rsidR="00EF6AC4" w:rsidRPr="005A293B" w:rsidRDefault="00EF6AC4" w:rsidP="008B6EF7">
            <w:pPr>
              <w:pStyle w:val="TableText0"/>
              <w:jc w:val="center"/>
            </w:pPr>
            <w:r>
              <w:rPr>
                <w:rFonts w:eastAsia="Calibri" w:cs="Times New Roman"/>
                <w:szCs w:val="20"/>
              </w:rPr>
              <w:t>16/198 (</w:t>
            </w:r>
            <w:r w:rsidRPr="002E1047">
              <w:rPr>
                <w:rFonts w:eastAsia="Calibri" w:cs="Times New Roman"/>
                <w:szCs w:val="20"/>
              </w:rPr>
              <w:t>8.1%</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5206321C" w14:textId="77777777" w:rsidR="00EF6AC4" w:rsidRPr="005A293B" w:rsidRDefault="00EF6AC4" w:rsidP="008B6EF7">
            <w:pPr>
              <w:pStyle w:val="TableText0"/>
              <w:jc w:val="center"/>
            </w:pPr>
            <w:r>
              <w:rPr>
                <w:rFonts w:eastAsia="Calibri" w:cs="Times New Roman"/>
                <w:szCs w:val="20"/>
              </w:rPr>
              <w:t>16/199 (</w:t>
            </w:r>
            <w:r w:rsidRPr="002E1047">
              <w:rPr>
                <w:rFonts w:eastAsia="Calibri" w:cs="Times New Roman"/>
                <w:szCs w:val="20"/>
              </w:rPr>
              <w:t>8.0%</w:t>
            </w:r>
            <w:r>
              <w:rPr>
                <w:rFonts w:eastAsia="Calibri" w:cs="Times New Roman"/>
                <w:szCs w:val="20"/>
              </w:rPr>
              <w:t>)</w:t>
            </w:r>
          </w:p>
        </w:tc>
      </w:tr>
      <w:tr w:rsidR="00EF6AC4" w:rsidRPr="005A293B" w14:paraId="3A2CC7A0"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70D680C2" w14:textId="77777777" w:rsidR="00EF6AC4" w:rsidRPr="005A293B" w:rsidRDefault="00EF6AC4" w:rsidP="008B6EF7">
            <w:pPr>
              <w:pStyle w:val="TableText0"/>
            </w:pPr>
            <w:r w:rsidRPr="002E1047">
              <w:rPr>
                <w:rFonts w:eastAsia="Calibri" w:cs="Times New Roman"/>
                <w:szCs w:val="20"/>
              </w:rPr>
              <w:t>Thrombocytopenia</w:t>
            </w:r>
          </w:p>
        </w:tc>
        <w:tc>
          <w:tcPr>
            <w:tcW w:w="964" w:type="pct"/>
            <w:tcBorders>
              <w:top w:val="single" w:sz="4" w:space="0" w:color="auto"/>
              <w:left w:val="single" w:sz="4" w:space="0" w:color="auto"/>
              <w:bottom w:val="single" w:sz="4" w:space="0" w:color="auto"/>
              <w:right w:val="single" w:sz="4" w:space="0" w:color="auto"/>
            </w:tcBorders>
            <w:vAlign w:val="center"/>
          </w:tcPr>
          <w:p w14:paraId="7016912D" w14:textId="77777777" w:rsidR="00EF6AC4" w:rsidRPr="005A293B" w:rsidRDefault="00EF6AC4" w:rsidP="008B6EF7">
            <w:pPr>
              <w:pStyle w:val="TableText0"/>
              <w:jc w:val="center"/>
            </w:pPr>
            <w:r>
              <w:rPr>
                <w:rFonts w:eastAsia="Calibri" w:cs="Times New Roman"/>
                <w:szCs w:val="20"/>
              </w:rPr>
              <w:t>14/198 (</w:t>
            </w:r>
            <w:r w:rsidRPr="002E1047">
              <w:rPr>
                <w:rFonts w:eastAsia="Calibri" w:cs="Times New Roman"/>
                <w:szCs w:val="20"/>
              </w:rPr>
              <w:t>7.1%</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2CCC718C" w14:textId="77777777" w:rsidR="00EF6AC4" w:rsidRPr="005A293B" w:rsidRDefault="00EF6AC4" w:rsidP="008B6EF7">
            <w:pPr>
              <w:pStyle w:val="TableText0"/>
              <w:jc w:val="center"/>
            </w:pPr>
            <w:r>
              <w:rPr>
                <w:rFonts w:eastAsia="Calibri" w:cs="Times New Roman"/>
                <w:szCs w:val="20"/>
              </w:rPr>
              <w:t>1/199 (</w:t>
            </w:r>
            <w:r w:rsidRPr="002E1047">
              <w:rPr>
                <w:rFonts w:eastAsia="Calibri" w:cs="Times New Roman"/>
                <w:szCs w:val="20"/>
              </w:rPr>
              <w:t>0.5%</w:t>
            </w:r>
            <w:r>
              <w:rPr>
                <w:rFonts w:eastAsia="Calibri" w:cs="Times New Roman"/>
                <w:szCs w:val="20"/>
              </w:rPr>
              <w:t>)</w:t>
            </w:r>
          </w:p>
        </w:tc>
      </w:tr>
      <w:tr w:rsidR="00EF6AC4" w:rsidRPr="005A293B" w14:paraId="7E2C8B46"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5D208E0F" w14:textId="77777777" w:rsidR="00EF6AC4" w:rsidRPr="005A293B" w:rsidRDefault="00EF6AC4" w:rsidP="008B6EF7">
            <w:pPr>
              <w:pStyle w:val="TableText0"/>
            </w:pPr>
            <w:r w:rsidRPr="002E1047">
              <w:rPr>
                <w:rFonts w:eastAsia="Calibri" w:cs="Times New Roman"/>
                <w:szCs w:val="20"/>
              </w:rPr>
              <w:t>Leukopenia</w:t>
            </w:r>
          </w:p>
        </w:tc>
        <w:tc>
          <w:tcPr>
            <w:tcW w:w="964" w:type="pct"/>
            <w:tcBorders>
              <w:top w:val="single" w:sz="4" w:space="0" w:color="auto"/>
              <w:left w:val="single" w:sz="4" w:space="0" w:color="auto"/>
              <w:bottom w:val="single" w:sz="4" w:space="0" w:color="auto"/>
              <w:right w:val="single" w:sz="4" w:space="0" w:color="auto"/>
            </w:tcBorders>
            <w:vAlign w:val="center"/>
          </w:tcPr>
          <w:p w14:paraId="44F6BC1A" w14:textId="77777777" w:rsidR="00EF6AC4" w:rsidRPr="005A293B" w:rsidRDefault="00EF6AC4" w:rsidP="008B6EF7">
            <w:pPr>
              <w:pStyle w:val="TableText0"/>
              <w:jc w:val="center"/>
            </w:pPr>
            <w:r>
              <w:rPr>
                <w:rFonts w:eastAsia="Calibri" w:cs="Times New Roman"/>
                <w:szCs w:val="20"/>
              </w:rPr>
              <w:t>11/198 (</w:t>
            </w:r>
            <w:r w:rsidRPr="002E1047">
              <w:rPr>
                <w:rFonts w:eastAsia="Calibri" w:cs="Times New Roman"/>
                <w:szCs w:val="20"/>
              </w:rPr>
              <w:t>5.6%</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489B0571" w14:textId="77777777" w:rsidR="00EF6AC4" w:rsidRPr="005A293B" w:rsidRDefault="00EF6AC4" w:rsidP="008B6EF7">
            <w:pPr>
              <w:pStyle w:val="TableText0"/>
              <w:jc w:val="center"/>
            </w:pPr>
            <w:r>
              <w:rPr>
                <w:rFonts w:eastAsia="Calibri" w:cs="Times New Roman"/>
                <w:szCs w:val="20"/>
              </w:rPr>
              <w:t>0/199 (</w:t>
            </w:r>
            <w:r w:rsidRPr="002E1047">
              <w:rPr>
                <w:rFonts w:eastAsia="Calibri" w:cs="Times New Roman"/>
                <w:szCs w:val="20"/>
              </w:rPr>
              <w:t>0.0%</w:t>
            </w:r>
            <w:r>
              <w:rPr>
                <w:rFonts w:eastAsia="Calibri" w:cs="Times New Roman"/>
                <w:szCs w:val="20"/>
              </w:rPr>
              <w:t>)</w:t>
            </w:r>
          </w:p>
        </w:tc>
      </w:tr>
      <w:tr w:rsidR="00EF6AC4" w:rsidRPr="005A293B" w14:paraId="5C920CE2"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07D4FE9A" w14:textId="77777777" w:rsidR="00EF6AC4" w:rsidRPr="005A293B" w:rsidRDefault="00EF6AC4" w:rsidP="008B6EF7">
            <w:pPr>
              <w:pStyle w:val="TableText0"/>
            </w:pPr>
            <w:r w:rsidRPr="002E1047">
              <w:rPr>
                <w:rFonts w:eastAsia="Calibri" w:cs="Times New Roman"/>
                <w:szCs w:val="20"/>
              </w:rPr>
              <w:t>Lymphocytopenia</w:t>
            </w:r>
          </w:p>
        </w:tc>
        <w:tc>
          <w:tcPr>
            <w:tcW w:w="964" w:type="pct"/>
            <w:tcBorders>
              <w:top w:val="single" w:sz="4" w:space="0" w:color="auto"/>
              <w:left w:val="single" w:sz="4" w:space="0" w:color="auto"/>
              <w:bottom w:val="single" w:sz="4" w:space="0" w:color="auto"/>
              <w:right w:val="single" w:sz="4" w:space="0" w:color="auto"/>
            </w:tcBorders>
            <w:vAlign w:val="center"/>
          </w:tcPr>
          <w:p w14:paraId="113803AF" w14:textId="77777777" w:rsidR="00EF6AC4" w:rsidRPr="005A293B" w:rsidRDefault="00EF6AC4" w:rsidP="008B6EF7">
            <w:pPr>
              <w:pStyle w:val="TableText0"/>
              <w:jc w:val="center"/>
            </w:pPr>
            <w:r>
              <w:rPr>
                <w:rFonts w:eastAsia="Calibri" w:cs="Times New Roman"/>
                <w:szCs w:val="20"/>
              </w:rPr>
              <w:t>NR** (</w:t>
            </w:r>
            <w:r w:rsidRPr="002E1047">
              <w:rPr>
                <w:rFonts w:eastAsia="Calibri" w:cs="Times New Roman"/>
                <w:szCs w:val="20"/>
              </w:rPr>
              <w:t>4.5%</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2CF20AB8" w14:textId="77777777" w:rsidR="00EF6AC4" w:rsidRPr="005A293B" w:rsidRDefault="00EF6AC4" w:rsidP="008B6EF7">
            <w:pPr>
              <w:pStyle w:val="TableText0"/>
              <w:jc w:val="center"/>
            </w:pPr>
            <w:r>
              <w:rPr>
                <w:rFonts w:eastAsia="Calibri" w:cs="Times New Roman"/>
                <w:szCs w:val="20"/>
              </w:rPr>
              <w:t>NR** (</w:t>
            </w:r>
            <w:r w:rsidRPr="002E1047">
              <w:rPr>
                <w:rFonts w:eastAsia="Calibri" w:cs="Times New Roman"/>
                <w:szCs w:val="20"/>
              </w:rPr>
              <w:t>3.0%</w:t>
            </w:r>
            <w:r>
              <w:rPr>
                <w:rFonts w:eastAsia="Calibri" w:cs="Times New Roman"/>
                <w:szCs w:val="20"/>
              </w:rPr>
              <w:t>)</w:t>
            </w:r>
          </w:p>
        </w:tc>
      </w:tr>
      <w:tr w:rsidR="00A40390" w:rsidRPr="005A293B" w14:paraId="14BF0EB5"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4C4035FC" w14:textId="236F7488" w:rsidR="00A40390" w:rsidRPr="005A293B" w:rsidRDefault="00A40390" w:rsidP="008B6EF7">
            <w:pPr>
              <w:pStyle w:val="TableText0"/>
            </w:pPr>
            <w:r w:rsidRPr="002E1047">
              <w:rPr>
                <w:rFonts w:eastAsia="Calibri" w:cs="Times New Roman"/>
                <w:szCs w:val="20"/>
              </w:rPr>
              <w:t>Asthenia or fatigue</w:t>
            </w:r>
          </w:p>
        </w:tc>
        <w:tc>
          <w:tcPr>
            <w:tcW w:w="964" w:type="pct"/>
            <w:tcBorders>
              <w:top w:val="single" w:sz="4" w:space="0" w:color="auto"/>
              <w:left w:val="single" w:sz="4" w:space="0" w:color="auto"/>
              <w:bottom w:val="single" w:sz="4" w:space="0" w:color="auto"/>
              <w:right w:val="single" w:sz="4" w:space="0" w:color="auto"/>
            </w:tcBorders>
            <w:vAlign w:val="center"/>
          </w:tcPr>
          <w:p w14:paraId="5663E73A" w14:textId="05D63E95" w:rsidR="00A40390" w:rsidRPr="005A293B" w:rsidRDefault="00A40390" w:rsidP="008B6EF7">
            <w:pPr>
              <w:pStyle w:val="TableText0"/>
              <w:jc w:val="center"/>
            </w:pPr>
            <w:r>
              <w:rPr>
                <w:rFonts w:eastAsia="Calibri" w:cs="Times New Roman"/>
                <w:szCs w:val="20"/>
              </w:rPr>
              <w:t>4/198 (</w:t>
            </w:r>
            <w:r w:rsidRPr="002E1047">
              <w:rPr>
                <w:rFonts w:eastAsia="Calibri" w:cs="Times New Roman"/>
                <w:szCs w:val="20"/>
              </w:rPr>
              <w:t>2.0%</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51AA7E60" w14:textId="072B7DF3" w:rsidR="00A40390" w:rsidRPr="005A293B" w:rsidRDefault="00A40390" w:rsidP="008B6EF7">
            <w:pPr>
              <w:pStyle w:val="TableText0"/>
              <w:jc w:val="center"/>
            </w:pPr>
            <w:r>
              <w:rPr>
                <w:rFonts w:eastAsia="Calibri" w:cs="Times New Roman"/>
                <w:szCs w:val="20"/>
              </w:rPr>
              <w:t>0/199 (</w:t>
            </w:r>
            <w:r w:rsidRPr="002E1047">
              <w:rPr>
                <w:rFonts w:eastAsia="Calibri" w:cs="Times New Roman"/>
                <w:szCs w:val="20"/>
              </w:rPr>
              <w:t>1.0%</w:t>
            </w:r>
            <w:r>
              <w:rPr>
                <w:rFonts w:eastAsia="Calibri" w:cs="Times New Roman"/>
                <w:szCs w:val="20"/>
              </w:rPr>
              <w:t>)</w:t>
            </w:r>
          </w:p>
        </w:tc>
      </w:tr>
      <w:tr w:rsidR="00EF6AC4" w:rsidRPr="005A293B" w14:paraId="4198ECF6"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546114D0" w14:textId="77777777" w:rsidR="00EF6AC4" w:rsidRPr="005A293B" w:rsidRDefault="00EF6AC4" w:rsidP="008B6EF7">
            <w:pPr>
              <w:pStyle w:val="TableText0"/>
            </w:pPr>
            <w:r w:rsidRPr="002E1047">
              <w:rPr>
                <w:rFonts w:eastAsia="Calibri" w:cs="Times New Roman"/>
                <w:szCs w:val="20"/>
              </w:rPr>
              <w:t>Fall</w:t>
            </w:r>
          </w:p>
        </w:tc>
        <w:tc>
          <w:tcPr>
            <w:tcW w:w="964" w:type="pct"/>
            <w:tcBorders>
              <w:top w:val="single" w:sz="4" w:space="0" w:color="auto"/>
              <w:left w:val="single" w:sz="4" w:space="0" w:color="auto"/>
              <w:bottom w:val="single" w:sz="4" w:space="0" w:color="auto"/>
              <w:right w:val="single" w:sz="4" w:space="0" w:color="auto"/>
            </w:tcBorders>
            <w:vAlign w:val="center"/>
          </w:tcPr>
          <w:p w14:paraId="2B684475" w14:textId="77777777" w:rsidR="00EF6AC4" w:rsidRPr="005A293B" w:rsidRDefault="00EF6AC4" w:rsidP="008B6EF7">
            <w:pPr>
              <w:pStyle w:val="TableText0"/>
              <w:jc w:val="center"/>
            </w:pPr>
            <w:r>
              <w:rPr>
                <w:rFonts w:eastAsia="Calibri" w:cs="Times New Roman"/>
                <w:szCs w:val="20"/>
              </w:rPr>
              <w:t>4/198 (</w:t>
            </w:r>
            <w:r w:rsidRPr="002E1047">
              <w:rPr>
                <w:rFonts w:eastAsia="Calibri" w:cs="Times New Roman"/>
                <w:szCs w:val="20"/>
              </w:rPr>
              <w:t>2.0%</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5A170EA0" w14:textId="77777777" w:rsidR="00EF6AC4" w:rsidRPr="005A293B" w:rsidRDefault="00EF6AC4" w:rsidP="008B6EF7">
            <w:pPr>
              <w:pStyle w:val="TableText0"/>
              <w:jc w:val="center"/>
            </w:pPr>
            <w:r>
              <w:rPr>
                <w:rFonts w:eastAsia="Calibri" w:cs="Times New Roman"/>
                <w:szCs w:val="20"/>
              </w:rPr>
              <w:t>3/199 (</w:t>
            </w:r>
            <w:r w:rsidRPr="002E1047">
              <w:rPr>
                <w:rFonts w:eastAsia="Calibri" w:cs="Times New Roman"/>
                <w:szCs w:val="20"/>
              </w:rPr>
              <w:t>1.5%</w:t>
            </w:r>
            <w:r>
              <w:rPr>
                <w:rFonts w:eastAsia="Calibri" w:cs="Times New Roman"/>
                <w:szCs w:val="20"/>
              </w:rPr>
              <w:t>)</w:t>
            </w:r>
          </w:p>
        </w:tc>
      </w:tr>
      <w:tr w:rsidR="00EF6AC4" w:rsidRPr="005A293B" w14:paraId="28A28148"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2CDE1ADC" w14:textId="77777777" w:rsidR="00EF6AC4" w:rsidRPr="005A293B" w:rsidRDefault="00EF6AC4" w:rsidP="008B6EF7">
            <w:pPr>
              <w:pStyle w:val="TableText0"/>
            </w:pPr>
            <w:r w:rsidRPr="002E1047">
              <w:rPr>
                <w:rFonts w:eastAsia="Calibri" w:cs="Times New Roman"/>
                <w:szCs w:val="20"/>
              </w:rPr>
              <w:t>Infection</w:t>
            </w:r>
          </w:p>
        </w:tc>
        <w:tc>
          <w:tcPr>
            <w:tcW w:w="964" w:type="pct"/>
            <w:tcBorders>
              <w:top w:val="single" w:sz="4" w:space="0" w:color="auto"/>
              <w:left w:val="single" w:sz="4" w:space="0" w:color="auto"/>
              <w:bottom w:val="single" w:sz="4" w:space="0" w:color="auto"/>
              <w:right w:val="single" w:sz="4" w:space="0" w:color="auto"/>
            </w:tcBorders>
            <w:vAlign w:val="center"/>
          </w:tcPr>
          <w:p w14:paraId="5FB946FB" w14:textId="77777777" w:rsidR="00EF6AC4" w:rsidRPr="005A293B" w:rsidRDefault="00EF6AC4" w:rsidP="008B6EF7">
            <w:pPr>
              <w:pStyle w:val="TableText0"/>
              <w:jc w:val="center"/>
            </w:pPr>
            <w:r>
              <w:rPr>
                <w:rFonts w:eastAsia="Calibri" w:cs="Times New Roman"/>
                <w:szCs w:val="20"/>
              </w:rPr>
              <w:t>4/198 (</w:t>
            </w:r>
            <w:r w:rsidRPr="002E1047">
              <w:rPr>
                <w:rFonts w:eastAsia="Calibri" w:cs="Times New Roman"/>
                <w:szCs w:val="20"/>
              </w:rPr>
              <w:t>2.0%</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61E4FBF3" w14:textId="77777777" w:rsidR="00EF6AC4" w:rsidRPr="005A293B" w:rsidRDefault="00EF6AC4" w:rsidP="008B6EF7">
            <w:pPr>
              <w:pStyle w:val="TableText0"/>
              <w:jc w:val="center"/>
            </w:pPr>
            <w:r>
              <w:rPr>
                <w:rFonts w:eastAsia="Calibri" w:cs="Times New Roman"/>
                <w:szCs w:val="20"/>
              </w:rPr>
              <w:t>3/199 (</w:t>
            </w:r>
            <w:r w:rsidRPr="002E1047">
              <w:rPr>
                <w:rFonts w:eastAsia="Calibri" w:cs="Times New Roman"/>
                <w:szCs w:val="20"/>
              </w:rPr>
              <w:t>1.5%</w:t>
            </w:r>
            <w:r>
              <w:rPr>
                <w:rFonts w:eastAsia="Calibri" w:cs="Times New Roman"/>
                <w:szCs w:val="20"/>
              </w:rPr>
              <w:t>)</w:t>
            </w:r>
          </w:p>
        </w:tc>
      </w:tr>
      <w:tr w:rsidR="00EF6AC4" w:rsidRPr="005A293B" w14:paraId="5A4808AA"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02C537C2" w14:textId="77777777" w:rsidR="00EF6AC4" w:rsidRPr="005A293B" w:rsidRDefault="00EF6AC4" w:rsidP="008B6EF7">
            <w:pPr>
              <w:pStyle w:val="TableText0"/>
            </w:pPr>
            <w:r w:rsidRPr="002E1047">
              <w:rPr>
                <w:rFonts w:eastAsia="Calibri" w:cs="Times New Roman"/>
                <w:szCs w:val="20"/>
              </w:rPr>
              <w:t>Nausea</w:t>
            </w:r>
          </w:p>
        </w:tc>
        <w:tc>
          <w:tcPr>
            <w:tcW w:w="964" w:type="pct"/>
            <w:tcBorders>
              <w:top w:val="single" w:sz="4" w:space="0" w:color="auto"/>
              <w:left w:val="single" w:sz="4" w:space="0" w:color="auto"/>
              <w:bottom w:val="single" w:sz="4" w:space="0" w:color="auto"/>
              <w:right w:val="single" w:sz="4" w:space="0" w:color="auto"/>
            </w:tcBorders>
            <w:vAlign w:val="center"/>
          </w:tcPr>
          <w:p w14:paraId="62F8B26A" w14:textId="77777777" w:rsidR="00EF6AC4" w:rsidRPr="005A293B" w:rsidRDefault="00EF6AC4" w:rsidP="008B6EF7">
            <w:pPr>
              <w:pStyle w:val="TableText0"/>
              <w:jc w:val="center"/>
            </w:pPr>
            <w:r>
              <w:rPr>
                <w:rFonts w:eastAsia="Calibri" w:cs="Times New Roman"/>
                <w:szCs w:val="20"/>
              </w:rPr>
              <w:t>3/198 (</w:t>
            </w:r>
            <w:r w:rsidRPr="002E1047">
              <w:rPr>
                <w:rFonts w:eastAsia="Calibri" w:cs="Times New Roman"/>
                <w:szCs w:val="20"/>
              </w:rPr>
              <w:t>1.5%</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79E17B67" w14:textId="77777777" w:rsidR="00EF6AC4" w:rsidRPr="005A293B" w:rsidRDefault="00EF6AC4" w:rsidP="008B6EF7">
            <w:pPr>
              <w:pStyle w:val="TableText0"/>
              <w:jc w:val="center"/>
            </w:pPr>
            <w:r>
              <w:rPr>
                <w:rFonts w:eastAsia="Calibri" w:cs="Times New Roman"/>
                <w:szCs w:val="20"/>
              </w:rPr>
              <w:t>1/199 (</w:t>
            </w:r>
            <w:r w:rsidRPr="002E1047">
              <w:rPr>
                <w:rFonts w:eastAsia="Calibri" w:cs="Times New Roman"/>
                <w:szCs w:val="20"/>
              </w:rPr>
              <w:t>0.5%</w:t>
            </w:r>
            <w:r>
              <w:rPr>
                <w:rFonts w:eastAsia="Calibri" w:cs="Times New Roman"/>
                <w:szCs w:val="20"/>
              </w:rPr>
              <w:t>)</w:t>
            </w:r>
          </w:p>
        </w:tc>
      </w:tr>
      <w:tr w:rsidR="00A40390" w:rsidRPr="005A293B" w14:paraId="05233F30"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6943CDA4" w14:textId="2A8B8003" w:rsidR="00A40390" w:rsidRPr="005A293B" w:rsidRDefault="00A40390" w:rsidP="008B6EF7">
            <w:pPr>
              <w:pStyle w:val="TableText0"/>
            </w:pPr>
            <w:r w:rsidRPr="002E1047">
              <w:rPr>
                <w:rFonts w:eastAsia="Calibri" w:cs="Times New Roman"/>
                <w:szCs w:val="20"/>
              </w:rPr>
              <w:t>Back pain</w:t>
            </w:r>
          </w:p>
        </w:tc>
        <w:tc>
          <w:tcPr>
            <w:tcW w:w="964" w:type="pct"/>
            <w:tcBorders>
              <w:top w:val="single" w:sz="4" w:space="0" w:color="auto"/>
              <w:left w:val="single" w:sz="4" w:space="0" w:color="auto"/>
              <w:bottom w:val="single" w:sz="4" w:space="0" w:color="auto"/>
              <w:right w:val="single" w:sz="4" w:space="0" w:color="auto"/>
            </w:tcBorders>
            <w:vAlign w:val="center"/>
          </w:tcPr>
          <w:p w14:paraId="6934E9A3" w14:textId="44BAB76D" w:rsidR="00A40390" w:rsidRPr="005A293B" w:rsidRDefault="00A40390" w:rsidP="008B6EF7">
            <w:pPr>
              <w:pStyle w:val="TableText0"/>
              <w:jc w:val="center"/>
            </w:pPr>
            <w:r>
              <w:rPr>
                <w:rFonts w:eastAsia="Calibri" w:cs="Times New Roman"/>
                <w:szCs w:val="20"/>
              </w:rPr>
              <w:t>3/198 (</w:t>
            </w:r>
            <w:r w:rsidRPr="002E1047">
              <w:rPr>
                <w:rFonts w:eastAsia="Calibri" w:cs="Times New Roman"/>
                <w:szCs w:val="20"/>
              </w:rPr>
              <w:t>1.5%</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2DF402FC" w14:textId="4A1B9D40" w:rsidR="00A40390" w:rsidRPr="005A293B" w:rsidRDefault="00A40390" w:rsidP="008B6EF7">
            <w:pPr>
              <w:pStyle w:val="TableText0"/>
              <w:jc w:val="center"/>
            </w:pPr>
            <w:r>
              <w:rPr>
                <w:rFonts w:eastAsia="Calibri" w:cs="Times New Roman"/>
                <w:szCs w:val="20"/>
              </w:rPr>
              <w:t>2/199 (</w:t>
            </w:r>
            <w:r w:rsidRPr="002E1047">
              <w:rPr>
                <w:rFonts w:eastAsia="Calibri" w:cs="Times New Roman"/>
                <w:szCs w:val="20"/>
              </w:rPr>
              <w:t>1.0%</w:t>
            </w:r>
            <w:r>
              <w:rPr>
                <w:rFonts w:eastAsia="Calibri" w:cs="Times New Roman"/>
                <w:szCs w:val="20"/>
              </w:rPr>
              <w:t>)</w:t>
            </w:r>
          </w:p>
        </w:tc>
      </w:tr>
      <w:tr w:rsidR="00A40390" w:rsidRPr="005A293B" w14:paraId="14EE07EC" w14:textId="77777777" w:rsidTr="0012355C">
        <w:trPr>
          <w:trHeight w:val="20"/>
        </w:trPr>
        <w:tc>
          <w:tcPr>
            <w:tcW w:w="2886" w:type="pct"/>
            <w:tcBorders>
              <w:top w:val="single" w:sz="4" w:space="0" w:color="auto"/>
              <w:left w:val="single" w:sz="4" w:space="0" w:color="auto"/>
              <w:bottom w:val="single" w:sz="4" w:space="0" w:color="auto"/>
              <w:right w:val="single" w:sz="4" w:space="0" w:color="auto"/>
            </w:tcBorders>
            <w:vAlign w:val="center"/>
          </w:tcPr>
          <w:p w14:paraId="025E290E" w14:textId="0208BD30" w:rsidR="00A40390" w:rsidRPr="005A293B" w:rsidRDefault="00A40390" w:rsidP="008B6EF7">
            <w:pPr>
              <w:pStyle w:val="TableText0"/>
            </w:pPr>
            <w:r w:rsidRPr="002E1047">
              <w:rPr>
                <w:rFonts w:eastAsia="Calibri" w:cs="Times New Roman"/>
                <w:szCs w:val="20"/>
              </w:rPr>
              <w:t>Venous thromboembolic event</w:t>
            </w:r>
          </w:p>
        </w:tc>
        <w:tc>
          <w:tcPr>
            <w:tcW w:w="964" w:type="pct"/>
            <w:tcBorders>
              <w:top w:val="single" w:sz="4" w:space="0" w:color="auto"/>
              <w:left w:val="single" w:sz="4" w:space="0" w:color="auto"/>
              <w:bottom w:val="single" w:sz="4" w:space="0" w:color="auto"/>
              <w:right w:val="single" w:sz="4" w:space="0" w:color="auto"/>
            </w:tcBorders>
            <w:vAlign w:val="center"/>
          </w:tcPr>
          <w:p w14:paraId="7159AD83" w14:textId="244E8E4A" w:rsidR="00A40390" w:rsidRPr="005A293B" w:rsidRDefault="00A40390" w:rsidP="008B6EF7">
            <w:pPr>
              <w:pStyle w:val="TableText0"/>
              <w:jc w:val="center"/>
            </w:pPr>
            <w:r>
              <w:rPr>
                <w:rFonts w:eastAsia="Calibri" w:cs="Times New Roman"/>
                <w:szCs w:val="20"/>
              </w:rPr>
              <w:t>3/198 (</w:t>
            </w:r>
            <w:r w:rsidRPr="002E1047">
              <w:rPr>
                <w:rFonts w:eastAsia="Calibri" w:cs="Times New Roman"/>
                <w:szCs w:val="20"/>
              </w:rPr>
              <w:t>1.5%</w:t>
            </w:r>
            <w:r>
              <w:rPr>
                <w:rFonts w:eastAsia="Calibri" w:cs="Times New Roman"/>
                <w:szCs w:val="20"/>
              </w:rPr>
              <w:t>)</w:t>
            </w:r>
          </w:p>
        </w:tc>
        <w:tc>
          <w:tcPr>
            <w:tcW w:w="1150" w:type="pct"/>
            <w:tcBorders>
              <w:top w:val="single" w:sz="4" w:space="0" w:color="auto"/>
              <w:left w:val="single" w:sz="4" w:space="0" w:color="auto"/>
              <w:bottom w:val="single" w:sz="4" w:space="0" w:color="auto"/>
              <w:right w:val="single" w:sz="4" w:space="0" w:color="auto"/>
            </w:tcBorders>
            <w:vAlign w:val="center"/>
          </w:tcPr>
          <w:p w14:paraId="186279F9" w14:textId="74B57B08" w:rsidR="00A40390" w:rsidRPr="005A293B" w:rsidRDefault="00A40390" w:rsidP="008B6EF7">
            <w:pPr>
              <w:pStyle w:val="TableText0"/>
              <w:jc w:val="center"/>
            </w:pPr>
            <w:r>
              <w:rPr>
                <w:rFonts w:eastAsia="Calibri" w:cs="Times New Roman"/>
                <w:szCs w:val="20"/>
              </w:rPr>
              <w:t>2/199 (</w:t>
            </w:r>
            <w:r w:rsidRPr="002E1047">
              <w:rPr>
                <w:rFonts w:eastAsia="Calibri" w:cs="Times New Roman"/>
                <w:szCs w:val="20"/>
              </w:rPr>
              <w:t>1.0%</w:t>
            </w:r>
            <w:r>
              <w:rPr>
                <w:rFonts w:eastAsia="Calibri" w:cs="Times New Roman"/>
                <w:szCs w:val="20"/>
              </w:rPr>
              <w:t>)</w:t>
            </w:r>
          </w:p>
        </w:tc>
      </w:tr>
    </w:tbl>
    <w:p w14:paraId="1B98A473" w14:textId="7369A091" w:rsidR="00132B0D" w:rsidRPr="005A293B" w:rsidRDefault="00132B0D" w:rsidP="00132B0D">
      <w:pPr>
        <w:pStyle w:val="FooterTableFigure"/>
        <w:jc w:val="both"/>
        <w:rPr>
          <w:rFonts w:eastAsia="Calibri"/>
        </w:rPr>
      </w:pPr>
      <w:r w:rsidRPr="005A293B">
        <w:t>Source: Table 2.5-5, p90</w:t>
      </w:r>
      <w:r w:rsidR="00BB59D7" w:rsidRPr="005A293B">
        <w:t xml:space="preserve">, </w:t>
      </w:r>
      <w:r w:rsidRPr="005A293B">
        <w:t>Table 2.5-6, p91</w:t>
      </w:r>
      <w:r w:rsidR="00BB59D7" w:rsidRPr="005A293B">
        <w:t>, Table 2.5-7, p92</w:t>
      </w:r>
      <w:bookmarkStart w:id="41" w:name="_Hlk155263048"/>
      <w:r w:rsidR="00A40390" w:rsidRPr="00A40390">
        <w:t xml:space="preserve"> </w:t>
      </w:r>
      <w:r w:rsidR="00A40390">
        <w:t>and Table 3.6-1, p161</w:t>
      </w:r>
      <w:bookmarkEnd w:id="41"/>
      <w:r w:rsidRPr="005A293B">
        <w:t xml:space="preserve"> of the submission</w:t>
      </w:r>
      <w:r w:rsidR="00A40390" w:rsidRPr="00A40390">
        <w:t xml:space="preserve"> </w:t>
      </w:r>
      <w:r w:rsidR="00A40390">
        <w:t>and Table 28, p141, Table 31, p146 and Table 14.3.1.2.7, p553 of the CSR</w:t>
      </w:r>
      <w:r w:rsidRPr="005A293B">
        <w:t>.</w:t>
      </w:r>
      <w:r w:rsidR="008B6EF7">
        <w:t xml:space="preserve">  </w:t>
      </w:r>
      <w:r w:rsidRPr="005A293B">
        <w:t>AE=adverse event</w:t>
      </w:r>
      <w:r w:rsidRPr="005A293B">
        <w:rPr>
          <w:rFonts w:eastAsia="Calibri"/>
        </w:rPr>
        <w:t xml:space="preserve">; ENZ=enzalutamide; n=number of participants reporting events; N=total participants in group; </w:t>
      </w:r>
      <w:r w:rsidR="00A40390">
        <w:rPr>
          <w:rFonts w:eastAsia="Calibri"/>
        </w:rPr>
        <w:t xml:space="preserve">NR=not reported; </w:t>
      </w:r>
      <w:r w:rsidRPr="005A293B">
        <w:rPr>
          <w:rFonts w:eastAsia="Calibri"/>
        </w:rPr>
        <w:t xml:space="preserve">PBO=placebo; </w:t>
      </w:r>
      <w:r w:rsidR="009114A7" w:rsidRPr="005A293B">
        <w:rPr>
          <w:rFonts w:eastAsia="Calibri"/>
        </w:rPr>
        <w:t xml:space="preserve">SAE=serious adverse event; </w:t>
      </w:r>
      <w:r w:rsidRPr="005A293B">
        <w:rPr>
          <w:rFonts w:eastAsia="Calibri"/>
        </w:rPr>
        <w:t>TAL=talazoparib; TEAE=treatment-emergent adverse events.</w:t>
      </w:r>
    </w:p>
    <w:p w14:paraId="3C2845DB" w14:textId="77777777" w:rsidR="00477CD8" w:rsidRDefault="00132B0D" w:rsidP="00477CD8">
      <w:pPr>
        <w:pStyle w:val="FooterTableFigure"/>
        <w:spacing w:after="0"/>
        <w:ind w:left="165" w:hanging="165"/>
        <w:jc w:val="both"/>
        <w:rPr>
          <w:rFonts w:eastAsia="Calibri"/>
        </w:rPr>
      </w:pPr>
      <w:r w:rsidRPr="005A293B">
        <w:rPr>
          <w:rFonts w:eastAsia="Calibri"/>
        </w:rPr>
        <w:t>*</w:t>
      </w:r>
      <w:r w:rsidRPr="005A293B">
        <w:rPr>
          <w:rFonts w:eastAsia="Calibri"/>
        </w:rPr>
        <w:tab/>
        <w:t>Participants who have an AE record that indicates that the AE caused the participants to be discontinued from the study.</w:t>
      </w:r>
    </w:p>
    <w:p w14:paraId="33F07A90" w14:textId="591600C4" w:rsidR="00812723" w:rsidRDefault="00A40390" w:rsidP="00477CD8">
      <w:pPr>
        <w:pStyle w:val="FooterTableFigure"/>
        <w:ind w:left="165" w:hanging="165"/>
        <w:jc w:val="both"/>
        <w:rPr>
          <w:rFonts w:eastAsia="Calibri"/>
        </w:rPr>
      </w:pPr>
      <w:r>
        <w:rPr>
          <w:rFonts w:eastAsia="Calibri"/>
        </w:rPr>
        <w:t>** Number of patients with Lymphocytopenia was not found in the CSR.</w:t>
      </w:r>
    </w:p>
    <w:p w14:paraId="431BE64B" w14:textId="27A3AB3A" w:rsidR="00152F6D" w:rsidRPr="000B725B" w:rsidRDefault="00BB59D7" w:rsidP="00152F6D">
      <w:pPr>
        <w:pStyle w:val="3-BodyText"/>
        <w:rPr>
          <w:snapToGrid/>
          <w:lang w:eastAsia="en-GB"/>
        </w:rPr>
      </w:pPr>
      <w:bookmarkStart w:id="42" w:name="_Hlk153788100"/>
      <w:r w:rsidRPr="000B725B">
        <w:rPr>
          <w:snapToGrid/>
          <w:lang w:eastAsia="en-GB"/>
        </w:rPr>
        <w:t xml:space="preserve">The submission reported that </w:t>
      </w:r>
      <w:r w:rsidR="00AF2BF6" w:rsidRPr="000B725B">
        <w:rPr>
          <w:snapToGrid/>
          <w:lang w:eastAsia="en-GB"/>
        </w:rPr>
        <w:t>the frequency of</w:t>
      </w:r>
      <w:r w:rsidR="005662BF" w:rsidRPr="000B725B">
        <w:rPr>
          <w:snapToGrid/>
          <w:lang w:eastAsia="en-GB"/>
        </w:rPr>
        <w:t xml:space="preserve"> treatment-emergent adverse events (</w:t>
      </w:r>
      <w:r w:rsidR="00AF2BF6" w:rsidRPr="000B725B">
        <w:rPr>
          <w:snapToGrid/>
          <w:lang w:eastAsia="en-GB"/>
        </w:rPr>
        <w:t>TEAEs</w:t>
      </w:r>
      <w:r w:rsidR="005662BF" w:rsidRPr="000B725B">
        <w:rPr>
          <w:snapToGrid/>
          <w:lang w:eastAsia="en-GB"/>
        </w:rPr>
        <w:t>)</w:t>
      </w:r>
      <w:r w:rsidR="00AF2BF6" w:rsidRPr="000B725B">
        <w:rPr>
          <w:snapToGrid/>
          <w:lang w:eastAsia="en-GB"/>
        </w:rPr>
        <w:t xml:space="preserve"> of any </w:t>
      </w:r>
      <w:r w:rsidR="00F3036D" w:rsidRPr="000B725B">
        <w:rPr>
          <w:snapToGrid/>
          <w:lang w:eastAsia="en-GB"/>
        </w:rPr>
        <w:t xml:space="preserve">Grade </w:t>
      </w:r>
      <w:r w:rsidR="00AF2BF6" w:rsidRPr="000B725B">
        <w:rPr>
          <w:snapToGrid/>
          <w:lang w:eastAsia="en-GB"/>
        </w:rPr>
        <w:t xml:space="preserve">was 99.0% in the talazoparib + enzalutamide </w:t>
      </w:r>
      <w:r w:rsidR="004001E7" w:rsidRPr="000B725B">
        <w:rPr>
          <w:snapToGrid/>
          <w:lang w:eastAsia="en-GB"/>
        </w:rPr>
        <w:t xml:space="preserve">arm </w:t>
      </w:r>
      <w:r w:rsidR="00AF2BF6" w:rsidRPr="000B725B">
        <w:rPr>
          <w:snapToGrid/>
          <w:lang w:eastAsia="en-GB"/>
        </w:rPr>
        <w:t xml:space="preserve">and 96.0% in the placebo + enzalutamide </w:t>
      </w:r>
      <w:r w:rsidR="004001E7" w:rsidRPr="000B725B">
        <w:rPr>
          <w:snapToGrid/>
          <w:lang w:eastAsia="en-GB"/>
        </w:rPr>
        <w:t>arm</w:t>
      </w:r>
      <w:r w:rsidR="00AF2BF6" w:rsidRPr="000B725B">
        <w:rPr>
          <w:snapToGrid/>
          <w:lang w:eastAsia="en-GB"/>
        </w:rPr>
        <w:t>.</w:t>
      </w:r>
      <w:r w:rsidR="00AF2BF6" w:rsidRPr="000B725B">
        <w:t xml:space="preserve"> </w:t>
      </w:r>
      <w:r w:rsidR="00AF2BF6" w:rsidRPr="000B725B">
        <w:rPr>
          <w:snapToGrid/>
          <w:lang w:eastAsia="en-GB"/>
        </w:rPr>
        <w:t xml:space="preserve">The frequency of </w:t>
      </w:r>
      <w:r w:rsidR="00F3036D" w:rsidRPr="000B725B">
        <w:rPr>
          <w:snapToGrid/>
          <w:lang w:eastAsia="en-GB"/>
        </w:rPr>
        <w:t xml:space="preserve">Grade </w:t>
      </w:r>
      <w:r w:rsidR="00AF2BF6" w:rsidRPr="000B725B">
        <w:rPr>
          <w:snapToGrid/>
          <w:lang w:eastAsia="en-GB"/>
        </w:rPr>
        <w:t xml:space="preserve">3/4 TEAEs was 66.2% </w:t>
      </w:r>
      <w:r w:rsidR="004001E7" w:rsidRPr="000B725B">
        <w:rPr>
          <w:snapToGrid/>
          <w:lang w:eastAsia="en-GB"/>
        </w:rPr>
        <w:t xml:space="preserve">and 37.2% </w:t>
      </w:r>
      <w:r w:rsidR="00AF2BF6" w:rsidRPr="000B725B">
        <w:rPr>
          <w:snapToGrid/>
          <w:lang w:eastAsia="en-GB"/>
        </w:rPr>
        <w:t xml:space="preserve">in the talazoparib + enzalutamide </w:t>
      </w:r>
      <w:r w:rsidR="004001E7" w:rsidRPr="000B725B">
        <w:rPr>
          <w:snapToGrid/>
          <w:lang w:eastAsia="en-GB"/>
        </w:rPr>
        <w:t xml:space="preserve">and </w:t>
      </w:r>
      <w:r w:rsidR="00AF2BF6" w:rsidRPr="000B725B">
        <w:rPr>
          <w:snapToGrid/>
          <w:lang w:eastAsia="en-GB"/>
        </w:rPr>
        <w:t xml:space="preserve">the placebo + enzalutamide </w:t>
      </w:r>
      <w:r w:rsidR="004001E7" w:rsidRPr="000B725B">
        <w:rPr>
          <w:snapToGrid/>
          <w:lang w:eastAsia="en-GB"/>
        </w:rPr>
        <w:t>arms, respectively. Notably,</w:t>
      </w:r>
      <w:r w:rsidR="00AF2BF6" w:rsidRPr="000B725B">
        <w:rPr>
          <w:snapToGrid/>
          <w:lang w:eastAsia="en-GB"/>
        </w:rPr>
        <w:t xml:space="preserve"> anaemia </w:t>
      </w:r>
      <w:r w:rsidR="009E51BF" w:rsidRPr="000B725B">
        <w:rPr>
          <w:snapToGrid/>
          <w:lang w:eastAsia="en-GB"/>
        </w:rPr>
        <w:t xml:space="preserve">Grade </w:t>
      </w:r>
      <w:r w:rsidR="00AF2BF6" w:rsidRPr="000B725B">
        <w:rPr>
          <w:snapToGrid/>
          <w:lang w:eastAsia="en-GB"/>
        </w:rPr>
        <w:t>≥3</w:t>
      </w:r>
      <w:r w:rsidR="004001E7" w:rsidRPr="000B725B">
        <w:rPr>
          <w:snapToGrid/>
          <w:lang w:eastAsia="en-GB"/>
        </w:rPr>
        <w:t xml:space="preserve"> occurred in </w:t>
      </w:r>
      <w:r w:rsidR="00AF2BF6" w:rsidRPr="000B725B">
        <w:rPr>
          <w:snapToGrid/>
          <w:lang w:eastAsia="en-GB"/>
        </w:rPr>
        <w:t xml:space="preserve">40.9% and 4.5% of patients in the intervention and the comparator arms, respectively. </w:t>
      </w:r>
      <w:bookmarkEnd w:id="42"/>
      <w:r w:rsidR="00AF2BF6" w:rsidRPr="000B725B">
        <w:rPr>
          <w:snapToGrid/>
          <w:lang w:eastAsia="en-GB"/>
        </w:rPr>
        <w:t>An</w:t>
      </w:r>
      <w:r w:rsidR="00B33119" w:rsidRPr="000B725B">
        <w:rPr>
          <w:snapToGrid/>
          <w:lang w:eastAsia="en-GB"/>
        </w:rPr>
        <w:t>a</w:t>
      </w:r>
      <w:r w:rsidR="00AF2BF6" w:rsidRPr="000B725B">
        <w:rPr>
          <w:snapToGrid/>
          <w:lang w:eastAsia="en-GB"/>
        </w:rPr>
        <w:t xml:space="preserve">emia was the most commonly reported </w:t>
      </w:r>
      <w:r w:rsidR="005662BF" w:rsidRPr="000B725B">
        <w:rPr>
          <w:snapToGrid/>
          <w:lang w:eastAsia="en-GB"/>
        </w:rPr>
        <w:t>treatment-related serious adverse event (</w:t>
      </w:r>
      <w:r w:rsidR="00AF2BF6" w:rsidRPr="000B725B">
        <w:rPr>
          <w:snapToGrid/>
          <w:lang w:eastAsia="en-GB"/>
        </w:rPr>
        <w:t>SAE</w:t>
      </w:r>
      <w:r w:rsidR="005662BF" w:rsidRPr="000B725B">
        <w:rPr>
          <w:snapToGrid/>
          <w:lang w:eastAsia="en-GB"/>
        </w:rPr>
        <w:t>)</w:t>
      </w:r>
      <w:r w:rsidR="00AF2BF6" w:rsidRPr="000B725B">
        <w:rPr>
          <w:snapToGrid/>
          <w:lang w:eastAsia="en-GB"/>
        </w:rPr>
        <w:t xml:space="preserve"> in the talazoparib </w:t>
      </w:r>
      <w:r w:rsidR="00AF2BF6" w:rsidRPr="000B725B">
        <w:rPr>
          <w:snapToGrid/>
          <w:lang w:eastAsia="en-GB"/>
        </w:rPr>
        <w:lastRenderedPageBreak/>
        <w:t>+ enzalutamide arm, reported for 8.6% of patients</w:t>
      </w:r>
      <w:r w:rsidRPr="000B725B">
        <w:rPr>
          <w:snapToGrid/>
          <w:lang w:eastAsia="en-GB"/>
        </w:rPr>
        <w:t xml:space="preserve">. There were no reports of fatal anaemia. </w:t>
      </w:r>
    </w:p>
    <w:p w14:paraId="2C5169DE" w14:textId="4E242ADB" w:rsidR="00152F6D" w:rsidRPr="000B725B" w:rsidRDefault="00AA149C" w:rsidP="006474C3">
      <w:pPr>
        <w:pStyle w:val="3-BodyText"/>
        <w:rPr>
          <w:snapToGrid/>
          <w:lang w:eastAsia="en-GB"/>
        </w:rPr>
      </w:pPr>
      <w:r w:rsidRPr="000B725B">
        <w:rPr>
          <w:snapToGrid/>
          <w:lang w:eastAsia="en-GB"/>
        </w:rPr>
        <w:t xml:space="preserve">In Cohort 2, 10.1% and 7.0% of patients in </w:t>
      </w:r>
      <w:r w:rsidR="004001E7" w:rsidRPr="000B725B">
        <w:rPr>
          <w:snapToGrid/>
          <w:lang w:eastAsia="en-GB"/>
        </w:rPr>
        <w:t xml:space="preserve">treatment and comparator arms </w:t>
      </w:r>
      <w:r w:rsidRPr="000B725B">
        <w:rPr>
          <w:snapToGrid/>
          <w:lang w:eastAsia="en-GB"/>
        </w:rPr>
        <w:t>experienced AEs leading to discontinuation of talazoparib or placebo</w:t>
      </w:r>
      <w:r w:rsidR="004001E7" w:rsidRPr="000B725B">
        <w:rPr>
          <w:snapToGrid/>
          <w:lang w:eastAsia="en-GB"/>
        </w:rPr>
        <w:t>, respectively</w:t>
      </w:r>
      <w:r w:rsidRPr="000B725B">
        <w:rPr>
          <w:snapToGrid/>
          <w:lang w:eastAsia="en-GB"/>
        </w:rPr>
        <w:t>. Overall, the most frequently reported AEs for talazoparib leading to a dose modification were h</w:t>
      </w:r>
      <w:r w:rsidR="004001E7" w:rsidRPr="000B725B">
        <w:rPr>
          <w:snapToGrid/>
          <w:lang w:eastAsia="en-GB"/>
        </w:rPr>
        <w:t>a</w:t>
      </w:r>
      <w:r w:rsidRPr="000B725B">
        <w:rPr>
          <w:snapToGrid/>
          <w:lang w:eastAsia="en-GB"/>
        </w:rPr>
        <w:t>ematologic AEs, including anaemia, neutropenia,</w:t>
      </w:r>
      <w:r w:rsidR="00773B43" w:rsidRPr="000B725B">
        <w:rPr>
          <w:snapToGrid/>
          <w:lang w:eastAsia="en-GB"/>
        </w:rPr>
        <w:t xml:space="preserve"> leukopenia,</w:t>
      </w:r>
      <w:r w:rsidRPr="000B725B">
        <w:rPr>
          <w:snapToGrid/>
          <w:lang w:eastAsia="en-GB"/>
        </w:rPr>
        <w:t xml:space="preserve"> </w:t>
      </w:r>
      <w:r w:rsidR="00773B43" w:rsidRPr="000B725B">
        <w:rPr>
          <w:snapToGrid/>
          <w:lang w:eastAsia="en-GB"/>
        </w:rPr>
        <w:t xml:space="preserve">lymphocytopenia, </w:t>
      </w:r>
      <w:r w:rsidRPr="000B725B">
        <w:rPr>
          <w:snapToGrid/>
          <w:lang w:eastAsia="en-GB"/>
        </w:rPr>
        <w:t>and thrombocytopenia. For enzalutamide, the primary AEs leading to dose modifications were anaemia and decrease</w:t>
      </w:r>
      <w:r w:rsidR="004001E7" w:rsidRPr="000B725B">
        <w:rPr>
          <w:snapToGrid/>
          <w:lang w:eastAsia="en-GB"/>
        </w:rPr>
        <w:t xml:space="preserve">d </w:t>
      </w:r>
      <w:r w:rsidRPr="000B725B">
        <w:rPr>
          <w:snapToGrid/>
          <w:lang w:eastAsia="en-GB"/>
        </w:rPr>
        <w:t xml:space="preserve">neutrophil count. Anaemia was the most frequently reported adverse event leading to permanent discontinuation in both treatment arms. </w:t>
      </w:r>
      <w:r w:rsidR="005D2612">
        <w:rPr>
          <w:snapToGrid/>
          <w:lang w:eastAsia="en-GB"/>
        </w:rPr>
        <w:t>D</w:t>
      </w:r>
      <w:r w:rsidR="00BB59D7" w:rsidRPr="000B725B">
        <w:rPr>
          <w:snapToGrid/>
          <w:lang w:eastAsia="en-GB"/>
        </w:rPr>
        <w:t xml:space="preserve">ata from Cohort 2 (all HRR genes) was used in the economic model. </w:t>
      </w:r>
      <w:bookmarkStart w:id="43" w:name="_Hlk155264465"/>
      <w:r w:rsidR="00812723" w:rsidRPr="000B725B">
        <w:rPr>
          <w:snapToGrid/>
          <w:lang w:eastAsia="en-GB"/>
        </w:rPr>
        <w:t xml:space="preserve"> </w:t>
      </w:r>
      <w:r w:rsidR="00E97F64" w:rsidRPr="000B725B">
        <w:rPr>
          <w:snapToGrid/>
          <w:lang w:eastAsia="en-GB"/>
        </w:rPr>
        <w:t xml:space="preserve">The submission indicated that </w:t>
      </w:r>
      <w:r w:rsidR="009E51BF" w:rsidRPr="000B725B">
        <w:rPr>
          <w:snapToGrid/>
          <w:lang w:eastAsia="en-GB"/>
        </w:rPr>
        <w:t xml:space="preserve">Grade </w:t>
      </w:r>
      <w:r w:rsidR="008B6EF7" w:rsidRPr="000B725B">
        <w:rPr>
          <w:rFonts w:cstheme="minorHAnsi"/>
          <w:snapToGrid/>
          <w:lang w:eastAsia="en-GB"/>
        </w:rPr>
        <w:t>≥</w:t>
      </w:r>
      <w:r w:rsidR="008B6EF7" w:rsidRPr="000B725B">
        <w:rPr>
          <w:snapToGrid/>
          <w:lang w:eastAsia="en-GB"/>
        </w:rPr>
        <w:t xml:space="preserve"> </w:t>
      </w:r>
      <w:r w:rsidR="00152F6D" w:rsidRPr="000B725B">
        <w:rPr>
          <w:snapToGrid/>
          <w:lang w:eastAsia="en-GB"/>
        </w:rPr>
        <w:t xml:space="preserve">3 adverse events from Cohort 2 </w:t>
      </w:r>
      <w:r w:rsidR="00812723" w:rsidRPr="000B725B">
        <w:rPr>
          <w:snapToGrid/>
          <w:lang w:eastAsia="en-GB"/>
        </w:rPr>
        <w:t xml:space="preserve">with </w:t>
      </w:r>
      <w:r w:rsidR="00152F6D" w:rsidRPr="000B725B">
        <w:rPr>
          <w:snapToGrid/>
          <w:lang w:eastAsia="en-GB"/>
        </w:rPr>
        <w:t>prevalence of ≥2%</w:t>
      </w:r>
      <w:r w:rsidR="00C20728" w:rsidRPr="000B725B">
        <w:rPr>
          <w:snapToGrid/>
          <w:lang w:eastAsia="en-GB"/>
        </w:rPr>
        <w:t xml:space="preserve"> </w:t>
      </w:r>
      <w:r w:rsidR="00812723" w:rsidRPr="000B725B">
        <w:rPr>
          <w:snapToGrid/>
          <w:lang w:eastAsia="en-GB"/>
        </w:rPr>
        <w:t>as well as back pain and venous thrombolytic event (</w:t>
      </w:r>
      <w:r w:rsidR="00152F6D" w:rsidRPr="000B725B">
        <w:rPr>
          <w:snapToGrid/>
          <w:lang w:eastAsia="en-GB"/>
        </w:rPr>
        <w:t xml:space="preserve">as </w:t>
      </w:r>
      <w:r w:rsidR="00812723" w:rsidRPr="000B725B">
        <w:rPr>
          <w:snapToGrid/>
          <w:lang w:eastAsia="en-GB"/>
        </w:rPr>
        <w:t>summarised</w:t>
      </w:r>
      <w:r w:rsidR="00152F6D" w:rsidRPr="000B725B">
        <w:rPr>
          <w:snapToGrid/>
          <w:lang w:eastAsia="en-GB"/>
        </w:rPr>
        <w:t xml:space="preserve"> in </w:t>
      </w:r>
      <w:r w:rsidR="00152F6D" w:rsidRPr="000B725B">
        <w:rPr>
          <w:snapToGrid/>
          <w:lang w:eastAsia="en-GB"/>
        </w:rPr>
        <w:fldChar w:fldCharType="begin" w:fldLock="1"/>
      </w:r>
      <w:r w:rsidR="00152F6D" w:rsidRPr="000B725B">
        <w:rPr>
          <w:snapToGrid/>
          <w:lang w:eastAsia="en-GB"/>
        </w:rPr>
        <w:instrText xml:space="preserve"> REF _Ref142658278 \h </w:instrText>
      </w:r>
      <w:r w:rsidR="000B725B" w:rsidRPr="000B725B">
        <w:rPr>
          <w:snapToGrid/>
          <w:lang w:eastAsia="en-GB"/>
        </w:rPr>
        <w:instrText xml:space="preserve"> \* MERGEFORMAT </w:instrText>
      </w:r>
      <w:r w:rsidR="00152F6D" w:rsidRPr="000B725B">
        <w:rPr>
          <w:snapToGrid/>
          <w:lang w:eastAsia="en-GB"/>
        </w:rPr>
      </w:r>
      <w:r w:rsidR="00152F6D" w:rsidRPr="000B725B">
        <w:rPr>
          <w:snapToGrid/>
          <w:lang w:eastAsia="en-GB"/>
        </w:rPr>
        <w:fldChar w:fldCharType="separate"/>
      </w:r>
      <w:r w:rsidR="00324A7E" w:rsidRPr="000B725B">
        <w:t xml:space="preserve">Table </w:t>
      </w:r>
      <w:r w:rsidR="00324A7E" w:rsidRPr="000B725B">
        <w:rPr>
          <w:noProof/>
        </w:rPr>
        <w:t>6</w:t>
      </w:r>
      <w:r w:rsidR="00152F6D" w:rsidRPr="000B725B">
        <w:rPr>
          <w:snapToGrid/>
          <w:lang w:eastAsia="en-GB"/>
        </w:rPr>
        <w:fldChar w:fldCharType="end"/>
      </w:r>
      <w:r w:rsidR="00812723" w:rsidRPr="000B725B">
        <w:rPr>
          <w:snapToGrid/>
          <w:lang w:eastAsia="en-GB"/>
        </w:rPr>
        <w:t>)</w:t>
      </w:r>
      <w:r w:rsidR="00152F6D" w:rsidRPr="000B725B">
        <w:rPr>
          <w:snapToGrid/>
          <w:lang w:eastAsia="en-GB"/>
        </w:rPr>
        <w:t>, were included in the economic evaluation</w:t>
      </w:r>
      <w:r w:rsidR="008B6EF7" w:rsidRPr="000B725B">
        <w:rPr>
          <w:snapToGrid/>
          <w:lang w:eastAsia="en-GB"/>
        </w:rPr>
        <w:t>.</w:t>
      </w:r>
      <w:r w:rsidR="00812723" w:rsidRPr="000B725B">
        <w:rPr>
          <w:snapToGrid/>
          <w:lang w:eastAsia="en-GB"/>
        </w:rPr>
        <w:t xml:space="preserve"> </w:t>
      </w:r>
    </w:p>
    <w:p w14:paraId="04908C7F" w14:textId="415B9B7D" w:rsidR="007F1017" w:rsidRPr="005A293B" w:rsidRDefault="007F1017" w:rsidP="00D86231">
      <w:pPr>
        <w:pStyle w:val="4-SubsectionHeading"/>
      </w:pPr>
      <w:bookmarkStart w:id="44" w:name="_Toc22897643"/>
      <w:bookmarkStart w:id="45" w:name="_Toc144911476"/>
      <w:bookmarkStart w:id="46" w:name="_Toc156833538"/>
      <w:bookmarkEnd w:id="43"/>
      <w:r w:rsidRPr="005A293B">
        <w:t>Benefits/harms</w:t>
      </w:r>
      <w:bookmarkEnd w:id="44"/>
      <w:bookmarkEnd w:id="45"/>
      <w:bookmarkEnd w:id="46"/>
    </w:p>
    <w:p w14:paraId="1CB772FF" w14:textId="5FA247F8" w:rsidR="00E723BA" w:rsidRPr="005A293B" w:rsidRDefault="00EC00C9" w:rsidP="00FE2E26">
      <w:pPr>
        <w:pStyle w:val="3-BodyText"/>
      </w:pPr>
      <w:r w:rsidRPr="005A293B">
        <w:t xml:space="preserve">A summary of the comparative benefits and harms for </w:t>
      </w:r>
      <w:r w:rsidR="00EB51A3" w:rsidRPr="005A293B">
        <w:t>talazoparib + enzalutamide</w:t>
      </w:r>
      <w:r w:rsidR="00BC44DC" w:rsidRPr="005A293B">
        <w:t xml:space="preserve"> versus </w:t>
      </w:r>
      <w:r w:rsidR="00EB51A3" w:rsidRPr="005A293B">
        <w:t>enzalutamide</w:t>
      </w:r>
      <w:r w:rsidR="00BC44DC" w:rsidRPr="005A293B">
        <w:t xml:space="preserve"> monotherapy </w:t>
      </w:r>
      <w:r w:rsidRPr="005A293B">
        <w:t>is presented in</w:t>
      </w:r>
      <w:r w:rsidR="00E16AD8" w:rsidRPr="005A293B">
        <w:t xml:space="preserve"> </w:t>
      </w:r>
      <w:r w:rsidR="00EB51A3" w:rsidRPr="005A293B">
        <w:fldChar w:fldCharType="begin" w:fldLock="1"/>
      </w:r>
      <w:r w:rsidR="00EB51A3" w:rsidRPr="005A293B">
        <w:instrText xml:space="preserve"> REF _Ref104805037 \h </w:instrText>
      </w:r>
      <w:r w:rsidR="00EB51A3" w:rsidRPr="005A293B">
        <w:fldChar w:fldCharType="separate"/>
      </w:r>
      <w:r w:rsidR="00324A7E" w:rsidRPr="005A293B">
        <w:t xml:space="preserve">Table </w:t>
      </w:r>
      <w:r w:rsidR="00324A7E">
        <w:rPr>
          <w:noProof/>
        </w:rPr>
        <w:t>7</w:t>
      </w:r>
      <w:r w:rsidR="00EB51A3" w:rsidRPr="005A293B">
        <w:fldChar w:fldCharType="end"/>
      </w:r>
      <w:r w:rsidRPr="005A293B">
        <w:t>.</w:t>
      </w:r>
    </w:p>
    <w:p w14:paraId="04AC1B54" w14:textId="73778B54" w:rsidR="00B62715" w:rsidRPr="005A293B" w:rsidRDefault="00D6076E" w:rsidP="008F02DF">
      <w:pPr>
        <w:pStyle w:val="Caption"/>
        <w:rPr>
          <w:rStyle w:val="CommentReference"/>
          <w:b/>
          <w:szCs w:val="24"/>
        </w:rPr>
      </w:pPr>
      <w:bookmarkStart w:id="47" w:name="_Ref104805037"/>
      <w:r w:rsidRPr="005A293B">
        <w:lastRenderedPageBreak/>
        <w:t xml:space="preserve">Table </w:t>
      </w:r>
      <w:fldSimple w:instr=" SEQ Table \* ARABIC " w:fldLock="1">
        <w:r w:rsidR="00A01609">
          <w:rPr>
            <w:noProof/>
          </w:rPr>
          <w:t>7</w:t>
        </w:r>
      </w:fldSimple>
      <w:bookmarkEnd w:id="47"/>
      <w:r w:rsidRPr="005A293B">
        <w:t xml:space="preserve">: </w:t>
      </w:r>
      <w:r w:rsidR="00B62715" w:rsidRPr="005A293B">
        <w:rPr>
          <w:rStyle w:val="CommentReference"/>
          <w:b/>
          <w:szCs w:val="24"/>
        </w:rPr>
        <w:t xml:space="preserve">Summary of comparative benefits and harms for </w:t>
      </w:r>
      <w:r w:rsidR="00EB51A3" w:rsidRPr="005A293B">
        <w:rPr>
          <w:rStyle w:val="CommentReference"/>
          <w:b/>
          <w:szCs w:val="24"/>
        </w:rPr>
        <w:t xml:space="preserve">talazoparib + enzalutamide versus enzalutamide </w:t>
      </w:r>
    </w:p>
    <w:tbl>
      <w:tblPr>
        <w:tblStyle w:val="TableGrid"/>
        <w:tblW w:w="5000" w:type="pct"/>
        <w:tblCellMar>
          <w:left w:w="28" w:type="dxa"/>
          <w:right w:w="28" w:type="dxa"/>
        </w:tblCellMar>
        <w:tblLook w:val="04A0" w:firstRow="1" w:lastRow="0" w:firstColumn="1" w:lastColumn="0" w:noHBand="0" w:noVBand="1"/>
        <w:tblCaption w:val="Table 7: Summary of comparative benefits and harms for talazoparib + enzalutamide versus enzalutamide "/>
      </w:tblPr>
      <w:tblGrid>
        <w:gridCol w:w="2195"/>
        <w:gridCol w:w="1133"/>
        <w:gridCol w:w="1082"/>
        <w:gridCol w:w="1127"/>
        <w:gridCol w:w="435"/>
        <w:gridCol w:w="683"/>
        <w:gridCol w:w="278"/>
        <w:gridCol w:w="721"/>
        <w:gridCol w:w="1363"/>
      </w:tblGrid>
      <w:tr w:rsidR="00A37297" w:rsidRPr="005A293B" w14:paraId="58B344DE" w14:textId="77777777" w:rsidTr="0012355C">
        <w:tc>
          <w:tcPr>
            <w:tcW w:w="2445" w:type="pct"/>
            <w:gridSpan w:val="3"/>
            <w:shd w:val="clear" w:color="auto" w:fill="auto"/>
            <w:vAlign w:val="center"/>
          </w:tcPr>
          <w:p w14:paraId="4E32E077" w14:textId="1FCEB4A1" w:rsidR="00BC44DC" w:rsidRPr="005A293B" w:rsidRDefault="00EB51A3" w:rsidP="008F02DF">
            <w:pPr>
              <w:pStyle w:val="TableText0"/>
              <w:keepLines/>
              <w:rPr>
                <w:b/>
              </w:rPr>
            </w:pPr>
            <w:r w:rsidRPr="005A293B">
              <w:rPr>
                <w:b/>
                <w:bCs w:val="0"/>
              </w:rPr>
              <w:t xml:space="preserve">Benefits – TALAPRO-2 </w:t>
            </w:r>
            <w:r w:rsidRPr="005A293B">
              <w:rPr>
                <w:b/>
                <w:bCs w:val="0"/>
                <w:i/>
                <w:iCs/>
              </w:rPr>
              <w:t>BRCA1/2</w:t>
            </w:r>
            <w:r w:rsidRPr="005A293B">
              <w:rPr>
                <w:b/>
                <w:bCs w:val="0"/>
              </w:rPr>
              <w:t xml:space="preserve"> subgroup</w:t>
            </w:r>
          </w:p>
        </w:tc>
        <w:tc>
          <w:tcPr>
            <w:tcW w:w="625" w:type="pct"/>
            <w:shd w:val="clear" w:color="auto" w:fill="auto"/>
            <w:vAlign w:val="center"/>
          </w:tcPr>
          <w:p w14:paraId="10DA1BBC" w14:textId="0B87FB34" w:rsidR="00BC44DC" w:rsidRPr="005A293B" w:rsidRDefault="00EB51A3" w:rsidP="008F02DF">
            <w:pPr>
              <w:pStyle w:val="TableText0"/>
              <w:keepLines/>
              <w:jc w:val="center"/>
              <w:rPr>
                <w:b/>
              </w:rPr>
            </w:pPr>
            <w:r w:rsidRPr="005A293B">
              <w:rPr>
                <w:b/>
              </w:rPr>
              <w:t>TAL+ENZ</w:t>
            </w:r>
          </w:p>
          <w:p w14:paraId="1A66C15C" w14:textId="5E7F25CC" w:rsidR="00BC44DC" w:rsidRPr="005A293B" w:rsidRDefault="00BC44DC" w:rsidP="008F02DF">
            <w:pPr>
              <w:pStyle w:val="TableText0"/>
              <w:keepLines/>
              <w:jc w:val="center"/>
              <w:rPr>
                <w:b/>
              </w:rPr>
            </w:pPr>
            <w:r w:rsidRPr="005A293B">
              <w:rPr>
                <w:b/>
              </w:rPr>
              <w:t>N=</w:t>
            </w:r>
            <w:r w:rsidR="00EB51A3" w:rsidRPr="005A293B">
              <w:rPr>
                <w:b/>
              </w:rPr>
              <w:t>71</w:t>
            </w:r>
          </w:p>
        </w:tc>
        <w:tc>
          <w:tcPr>
            <w:tcW w:w="620" w:type="pct"/>
            <w:gridSpan w:val="2"/>
            <w:shd w:val="clear" w:color="auto" w:fill="auto"/>
            <w:vAlign w:val="center"/>
          </w:tcPr>
          <w:p w14:paraId="73149387" w14:textId="015DB67A" w:rsidR="00BC44DC" w:rsidRPr="005A293B" w:rsidRDefault="00EB51A3" w:rsidP="008F02DF">
            <w:pPr>
              <w:pStyle w:val="TableText0"/>
              <w:keepLines/>
              <w:jc w:val="center"/>
              <w:rPr>
                <w:b/>
              </w:rPr>
            </w:pPr>
            <w:r w:rsidRPr="005A293B">
              <w:rPr>
                <w:b/>
              </w:rPr>
              <w:t>ENZ</w:t>
            </w:r>
          </w:p>
          <w:p w14:paraId="776C8937" w14:textId="2106495E" w:rsidR="00BC44DC" w:rsidRPr="005A293B" w:rsidRDefault="00BC44DC" w:rsidP="008F02DF">
            <w:pPr>
              <w:pStyle w:val="TableText0"/>
              <w:keepLines/>
              <w:jc w:val="center"/>
              <w:rPr>
                <w:b/>
              </w:rPr>
            </w:pPr>
            <w:r w:rsidRPr="005A293B">
              <w:rPr>
                <w:b/>
              </w:rPr>
              <w:t>N=</w:t>
            </w:r>
            <w:r w:rsidR="00EB51A3" w:rsidRPr="005A293B">
              <w:rPr>
                <w:b/>
              </w:rPr>
              <w:t>84</w:t>
            </w:r>
          </w:p>
        </w:tc>
        <w:tc>
          <w:tcPr>
            <w:tcW w:w="554" w:type="pct"/>
            <w:gridSpan w:val="2"/>
            <w:shd w:val="clear" w:color="auto" w:fill="auto"/>
            <w:vAlign w:val="center"/>
          </w:tcPr>
          <w:p w14:paraId="19D907D5" w14:textId="77777777" w:rsidR="00BC44DC" w:rsidRPr="005A293B" w:rsidRDefault="00BC44DC" w:rsidP="008F02DF">
            <w:pPr>
              <w:pStyle w:val="TableText0"/>
              <w:keepLines/>
              <w:jc w:val="center"/>
              <w:rPr>
                <w:b/>
              </w:rPr>
            </w:pPr>
            <w:r w:rsidRPr="005A293B">
              <w:rPr>
                <w:b/>
              </w:rPr>
              <w:t>Absolute difference</w:t>
            </w:r>
          </w:p>
        </w:tc>
        <w:tc>
          <w:tcPr>
            <w:tcW w:w="756" w:type="pct"/>
            <w:shd w:val="clear" w:color="auto" w:fill="auto"/>
            <w:vAlign w:val="center"/>
          </w:tcPr>
          <w:p w14:paraId="360E2BCE" w14:textId="77777777" w:rsidR="00BC44DC" w:rsidRPr="005A293B" w:rsidRDefault="00BC44DC" w:rsidP="008F02DF">
            <w:pPr>
              <w:pStyle w:val="TableText0"/>
              <w:keepLines/>
              <w:jc w:val="center"/>
              <w:rPr>
                <w:b/>
              </w:rPr>
            </w:pPr>
            <w:r w:rsidRPr="005A293B">
              <w:rPr>
                <w:b/>
              </w:rPr>
              <w:t>HR (95% CI)</w:t>
            </w:r>
          </w:p>
        </w:tc>
      </w:tr>
      <w:tr w:rsidR="00A37297" w:rsidRPr="005A293B" w14:paraId="51AA1089" w14:textId="77777777" w:rsidTr="0012355C">
        <w:tc>
          <w:tcPr>
            <w:tcW w:w="5000" w:type="pct"/>
            <w:gridSpan w:val="9"/>
            <w:shd w:val="clear" w:color="auto" w:fill="auto"/>
            <w:vAlign w:val="center"/>
          </w:tcPr>
          <w:p w14:paraId="55EF1FF6" w14:textId="461B3290" w:rsidR="00255D29" w:rsidRPr="005A293B" w:rsidRDefault="00255D29" w:rsidP="008F02DF">
            <w:pPr>
              <w:pStyle w:val="TableText0"/>
              <w:keepLines/>
              <w:rPr>
                <w:b/>
              </w:rPr>
            </w:pPr>
            <w:r w:rsidRPr="005A293B">
              <w:rPr>
                <w:b/>
              </w:rPr>
              <w:t>rPFS DCO</w:t>
            </w:r>
            <w:r w:rsidR="00EB51A3" w:rsidRPr="005A293B">
              <w:rPr>
                <w:b/>
              </w:rPr>
              <w:t xml:space="preserve"> 3 October 2022</w:t>
            </w:r>
            <w:r w:rsidR="004001D6" w:rsidRPr="005A293B">
              <w:rPr>
                <w:b/>
                <w:vertAlign w:val="superscript"/>
              </w:rPr>
              <w:t>a</w:t>
            </w:r>
            <w:r w:rsidRPr="005A293B">
              <w:rPr>
                <w:b/>
              </w:rPr>
              <w:t xml:space="preserve"> (BICR-assessed)</w:t>
            </w:r>
          </w:p>
        </w:tc>
      </w:tr>
      <w:tr w:rsidR="00A26DA7" w:rsidRPr="005A293B" w14:paraId="266DF230" w14:textId="77777777" w:rsidTr="0012355C">
        <w:tc>
          <w:tcPr>
            <w:tcW w:w="2445" w:type="pct"/>
            <w:gridSpan w:val="3"/>
            <w:shd w:val="clear" w:color="auto" w:fill="auto"/>
            <w:vAlign w:val="center"/>
          </w:tcPr>
          <w:p w14:paraId="12CA2EA9" w14:textId="251D1579" w:rsidR="00A26DA7" w:rsidRPr="005A293B" w:rsidRDefault="00A26DA7" w:rsidP="008F02DF">
            <w:pPr>
              <w:pStyle w:val="TableText0"/>
              <w:keepLines/>
            </w:pPr>
            <w:r w:rsidRPr="005A293B">
              <w:rPr>
                <w:szCs w:val="20"/>
              </w:rPr>
              <w:t>Event n/N (%)</w:t>
            </w:r>
          </w:p>
        </w:tc>
        <w:tc>
          <w:tcPr>
            <w:tcW w:w="625" w:type="pct"/>
            <w:shd w:val="clear" w:color="auto" w:fill="auto"/>
            <w:vAlign w:val="center"/>
          </w:tcPr>
          <w:p w14:paraId="716CCF13" w14:textId="3607E903" w:rsidR="00A26DA7" w:rsidRPr="005D2612" w:rsidRDefault="00A26DA7" w:rsidP="008F02DF">
            <w:pPr>
              <w:pStyle w:val="TableText0"/>
              <w:keepLines/>
              <w:jc w:val="center"/>
              <w:rPr>
                <w:szCs w:val="20"/>
              </w:rPr>
            </w:pPr>
            <w:r w:rsidRPr="005D2612">
              <w:rPr>
                <w:sz w:val="19"/>
                <w:szCs w:val="19"/>
                <w:lang w:eastAsia="en-US"/>
              </w:rPr>
              <w:t>15/71 (21.1)</w:t>
            </w:r>
          </w:p>
        </w:tc>
        <w:tc>
          <w:tcPr>
            <w:tcW w:w="620" w:type="pct"/>
            <w:gridSpan w:val="2"/>
            <w:shd w:val="clear" w:color="auto" w:fill="auto"/>
            <w:vAlign w:val="center"/>
          </w:tcPr>
          <w:p w14:paraId="76510941" w14:textId="6882F3F3" w:rsidR="00A26DA7" w:rsidRPr="005D2612" w:rsidRDefault="00A26DA7" w:rsidP="008F02DF">
            <w:pPr>
              <w:pStyle w:val="TableText0"/>
              <w:keepLines/>
              <w:jc w:val="center"/>
              <w:rPr>
                <w:szCs w:val="20"/>
              </w:rPr>
            </w:pPr>
            <w:r w:rsidRPr="005D2612">
              <w:rPr>
                <w:sz w:val="19"/>
                <w:szCs w:val="19"/>
                <w:lang w:eastAsia="en-US"/>
              </w:rPr>
              <w:t>54/84 (64.3)</w:t>
            </w:r>
          </w:p>
        </w:tc>
        <w:tc>
          <w:tcPr>
            <w:tcW w:w="554" w:type="pct"/>
            <w:gridSpan w:val="2"/>
            <w:shd w:val="clear" w:color="auto" w:fill="auto"/>
            <w:vAlign w:val="center"/>
          </w:tcPr>
          <w:p w14:paraId="1DDCFE79" w14:textId="2279630D" w:rsidR="00A26DA7" w:rsidRPr="005D2612" w:rsidRDefault="00A26DA7" w:rsidP="008F02DF">
            <w:pPr>
              <w:pStyle w:val="TableText0"/>
              <w:keepLines/>
              <w:jc w:val="center"/>
            </w:pPr>
            <w:r w:rsidRPr="005D2612">
              <w:t>-</w:t>
            </w:r>
          </w:p>
        </w:tc>
        <w:tc>
          <w:tcPr>
            <w:tcW w:w="756" w:type="pct"/>
            <w:vMerge w:val="restart"/>
            <w:shd w:val="clear" w:color="auto" w:fill="auto"/>
            <w:vAlign w:val="center"/>
          </w:tcPr>
          <w:p w14:paraId="421B252C" w14:textId="2B14E962" w:rsidR="00A26DA7" w:rsidRPr="00B0591B" w:rsidRDefault="00A26DA7" w:rsidP="008F02DF">
            <w:pPr>
              <w:pStyle w:val="TableText0"/>
              <w:keepLines/>
              <w:jc w:val="center"/>
              <w:rPr>
                <w:bCs w:val="0"/>
              </w:rPr>
            </w:pPr>
            <w:r w:rsidRPr="00B0591B">
              <w:rPr>
                <w:bCs w:val="0"/>
              </w:rPr>
              <w:t xml:space="preserve">0.20 </w:t>
            </w:r>
            <w:r w:rsidRPr="00B0591B">
              <w:rPr>
                <w:bCs w:val="0"/>
              </w:rPr>
              <w:br/>
              <w:t>(0.11, 0.36)</w:t>
            </w:r>
          </w:p>
        </w:tc>
      </w:tr>
      <w:tr w:rsidR="00A26DA7" w:rsidRPr="005A293B" w14:paraId="175A2F32" w14:textId="77777777" w:rsidTr="0012355C">
        <w:tc>
          <w:tcPr>
            <w:tcW w:w="2445" w:type="pct"/>
            <w:gridSpan w:val="3"/>
            <w:shd w:val="clear" w:color="auto" w:fill="auto"/>
            <w:vAlign w:val="center"/>
          </w:tcPr>
          <w:p w14:paraId="56A102F0" w14:textId="5389CC5D" w:rsidR="00A26DA7" w:rsidRPr="005A293B" w:rsidRDefault="00A26DA7" w:rsidP="008F02DF">
            <w:pPr>
              <w:pStyle w:val="TableText0"/>
              <w:keepLines/>
            </w:pPr>
            <w:r w:rsidRPr="005A293B">
              <w:rPr>
                <w:szCs w:val="20"/>
              </w:rPr>
              <w:t xml:space="preserve">Median months to rPFS (95% CI) </w:t>
            </w:r>
          </w:p>
        </w:tc>
        <w:tc>
          <w:tcPr>
            <w:tcW w:w="625" w:type="pct"/>
            <w:shd w:val="clear" w:color="auto" w:fill="auto"/>
            <w:vAlign w:val="center"/>
          </w:tcPr>
          <w:p w14:paraId="79FA9118" w14:textId="068800E6" w:rsidR="00A26DA7" w:rsidRPr="005D2612" w:rsidRDefault="00A26DA7" w:rsidP="008F02DF">
            <w:pPr>
              <w:pStyle w:val="TableText0"/>
              <w:keepLines/>
              <w:jc w:val="center"/>
              <w:rPr>
                <w:szCs w:val="20"/>
              </w:rPr>
            </w:pPr>
            <w:r w:rsidRPr="005D2612">
              <w:rPr>
                <w:sz w:val="19"/>
                <w:szCs w:val="19"/>
                <w:lang w:eastAsia="en-US"/>
              </w:rPr>
              <w:t>NE (NE, NE)</w:t>
            </w:r>
          </w:p>
        </w:tc>
        <w:tc>
          <w:tcPr>
            <w:tcW w:w="620" w:type="pct"/>
            <w:gridSpan w:val="2"/>
            <w:shd w:val="clear" w:color="auto" w:fill="auto"/>
            <w:vAlign w:val="center"/>
          </w:tcPr>
          <w:p w14:paraId="1C9D32BE" w14:textId="30ED8BFA" w:rsidR="00A26DA7" w:rsidRPr="005D2612" w:rsidRDefault="00A26DA7" w:rsidP="008F02DF">
            <w:pPr>
              <w:pStyle w:val="TableText0"/>
              <w:keepLines/>
              <w:jc w:val="center"/>
              <w:rPr>
                <w:szCs w:val="20"/>
              </w:rPr>
            </w:pPr>
            <w:r w:rsidRPr="005D2612">
              <w:rPr>
                <w:sz w:val="19"/>
                <w:szCs w:val="19"/>
                <w:lang w:eastAsia="en-US"/>
              </w:rPr>
              <w:t>11.0 (8.3, 11.1)</w:t>
            </w:r>
          </w:p>
        </w:tc>
        <w:tc>
          <w:tcPr>
            <w:tcW w:w="554" w:type="pct"/>
            <w:gridSpan w:val="2"/>
            <w:shd w:val="clear" w:color="auto" w:fill="auto"/>
            <w:vAlign w:val="center"/>
          </w:tcPr>
          <w:p w14:paraId="55B06196" w14:textId="1ED14423" w:rsidR="00A26DA7" w:rsidRPr="005D2612" w:rsidRDefault="00A26DA7" w:rsidP="008F02DF">
            <w:pPr>
              <w:pStyle w:val="TableText0"/>
              <w:keepLines/>
              <w:jc w:val="center"/>
            </w:pPr>
            <w:r w:rsidRPr="005D2612">
              <w:t>NE</w:t>
            </w:r>
          </w:p>
        </w:tc>
        <w:tc>
          <w:tcPr>
            <w:tcW w:w="756" w:type="pct"/>
            <w:vMerge/>
            <w:shd w:val="clear" w:color="auto" w:fill="auto"/>
            <w:vAlign w:val="center"/>
          </w:tcPr>
          <w:p w14:paraId="6A9CAB08" w14:textId="77777777" w:rsidR="00A26DA7" w:rsidRPr="005A293B" w:rsidRDefault="00A26DA7" w:rsidP="008F02DF">
            <w:pPr>
              <w:pStyle w:val="TableText0"/>
              <w:keepLines/>
              <w:jc w:val="center"/>
              <w:rPr>
                <w:b/>
              </w:rPr>
            </w:pPr>
          </w:p>
        </w:tc>
      </w:tr>
      <w:tr w:rsidR="00A26DA7" w:rsidRPr="005A293B" w14:paraId="3F0E55CF" w14:textId="77777777" w:rsidTr="0012355C">
        <w:tc>
          <w:tcPr>
            <w:tcW w:w="2445" w:type="pct"/>
            <w:gridSpan w:val="3"/>
            <w:shd w:val="clear" w:color="auto" w:fill="auto"/>
            <w:vAlign w:val="center"/>
          </w:tcPr>
          <w:p w14:paraId="4F53FD60" w14:textId="2755D436" w:rsidR="00A26DA7" w:rsidRPr="005A293B" w:rsidRDefault="00A26DA7" w:rsidP="008F02DF">
            <w:pPr>
              <w:pStyle w:val="TableText0"/>
              <w:keepLines/>
              <w:rPr>
                <w:szCs w:val="20"/>
              </w:rPr>
            </w:pPr>
            <w:r>
              <w:rPr>
                <w:szCs w:val="20"/>
              </w:rPr>
              <w:t>% not progressed at 12 months ^</w:t>
            </w:r>
          </w:p>
        </w:tc>
        <w:tc>
          <w:tcPr>
            <w:tcW w:w="625" w:type="pct"/>
            <w:shd w:val="clear" w:color="auto" w:fill="auto"/>
            <w:vAlign w:val="center"/>
          </w:tcPr>
          <w:p w14:paraId="642C2E68" w14:textId="4BF4C2D1" w:rsidR="00A26DA7" w:rsidRPr="00F13554" w:rsidRDefault="00A26DA7" w:rsidP="008F02DF">
            <w:pPr>
              <w:pStyle w:val="TableText0"/>
              <w:keepLines/>
              <w:jc w:val="center"/>
              <w:rPr>
                <w:sz w:val="19"/>
                <w:szCs w:val="19"/>
                <w:lang w:eastAsia="en-US"/>
              </w:rPr>
            </w:pPr>
            <w:r w:rsidRPr="00F13554">
              <w:rPr>
                <w:sz w:val="19"/>
                <w:szCs w:val="19"/>
                <w:lang w:eastAsia="en-US"/>
              </w:rPr>
              <w:t>80</w:t>
            </w:r>
            <w:r w:rsidR="00EC2FC5">
              <w:rPr>
                <w:sz w:val="19"/>
                <w:szCs w:val="19"/>
                <w:lang w:eastAsia="en-US"/>
              </w:rPr>
              <w:t>%</w:t>
            </w:r>
          </w:p>
        </w:tc>
        <w:tc>
          <w:tcPr>
            <w:tcW w:w="620" w:type="pct"/>
            <w:gridSpan w:val="2"/>
            <w:shd w:val="clear" w:color="auto" w:fill="auto"/>
            <w:vAlign w:val="center"/>
          </w:tcPr>
          <w:p w14:paraId="0DFD2DCA" w14:textId="3F7E0DD6" w:rsidR="00A26DA7" w:rsidRPr="00F13554" w:rsidRDefault="00A26DA7" w:rsidP="008F02DF">
            <w:pPr>
              <w:pStyle w:val="TableText0"/>
              <w:keepLines/>
              <w:jc w:val="center"/>
              <w:rPr>
                <w:sz w:val="19"/>
                <w:szCs w:val="19"/>
                <w:lang w:eastAsia="en-US"/>
              </w:rPr>
            </w:pPr>
            <w:r w:rsidRPr="00F13554">
              <w:rPr>
                <w:sz w:val="19"/>
                <w:szCs w:val="19"/>
                <w:lang w:eastAsia="en-US"/>
              </w:rPr>
              <w:t>35</w:t>
            </w:r>
            <w:r w:rsidR="00EC2FC5">
              <w:rPr>
                <w:sz w:val="19"/>
                <w:szCs w:val="19"/>
                <w:lang w:eastAsia="en-US"/>
              </w:rPr>
              <w:t>%</w:t>
            </w:r>
          </w:p>
        </w:tc>
        <w:tc>
          <w:tcPr>
            <w:tcW w:w="554" w:type="pct"/>
            <w:gridSpan w:val="2"/>
            <w:shd w:val="clear" w:color="auto" w:fill="auto"/>
            <w:vAlign w:val="center"/>
          </w:tcPr>
          <w:p w14:paraId="44D26856" w14:textId="45AB6AB6" w:rsidR="00A26DA7" w:rsidRPr="00F13554" w:rsidRDefault="00A26DA7" w:rsidP="008F02DF">
            <w:pPr>
              <w:pStyle w:val="TableText0"/>
              <w:keepLines/>
              <w:jc w:val="center"/>
            </w:pPr>
            <w:r w:rsidRPr="00F13554">
              <w:t>45%</w:t>
            </w:r>
          </w:p>
        </w:tc>
        <w:tc>
          <w:tcPr>
            <w:tcW w:w="756" w:type="pct"/>
            <w:vMerge/>
            <w:shd w:val="clear" w:color="auto" w:fill="auto"/>
            <w:vAlign w:val="center"/>
          </w:tcPr>
          <w:p w14:paraId="56F98FCB" w14:textId="77777777" w:rsidR="00A26DA7" w:rsidRPr="005A293B" w:rsidRDefault="00A26DA7" w:rsidP="008F02DF">
            <w:pPr>
              <w:pStyle w:val="TableText0"/>
              <w:keepLines/>
              <w:jc w:val="center"/>
              <w:rPr>
                <w:b/>
              </w:rPr>
            </w:pPr>
          </w:p>
        </w:tc>
      </w:tr>
      <w:tr w:rsidR="00A26DA7" w:rsidRPr="005A293B" w14:paraId="59D3EB47" w14:textId="77777777" w:rsidTr="0012355C">
        <w:tc>
          <w:tcPr>
            <w:tcW w:w="2445" w:type="pct"/>
            <w:gridSpan w:val="3"/>
            <w:shd w:val="clear" w:color="auto" w:fill="auto"/>
            <w:vAlign w:val="center"/>
          </w:tcPr>
          <w:p w14:paraId="7D796430" w14:textId="3690D2B8" w:rsidR="00A26DA7" w:rsidRDefault="00A26DA7" w:rsidP="008F02DF">
            <w:pPr>
              <w:pStyle w:val="TableText0"/>
              <w:keepLines/>
              <w:rPr>
                <w:szCs w:val="20"/>
              </w:rPr>
            </w:pPr>
            <w:r>
              <w:rPr>
                <w:szCs w:val="20"/>
              </w:rPr>
              <w:t>% not progressed at 24 months ^</w:t>
            </w:r>
          </w:p>
        </w:tc>
        <w:tc>
          <w:tcPr>
            <w:tcW w:w="625" w:type="pct"/>
            <w:shd w:val="clear" w:color="auto" w:fill="auto"/>
            <w:vAlign w:val="center"/>
          </w:tcPr>
          <w:p w14:paraId="35057C6D" w14:textId="1E7328B2" w:rsidR="00A26DA7" w:rsidRPr="00F13554" w:rsidRDefault="00A26DA7" w:rsidP="008F02DF">
            <w:pPr>
              <w:pStyle w:val="TableText0"/>
              <w:keepLines/>
              <w:jc w:val="center"/>
              <w:rPr>
                <w:sz w:val="19"/>
                <w:szCs w:val="19"/>
                <w:lang w:eastAsia="en-US"/>
              </w:rPr>
            </w:pPr>
            <w:r w:rsidRPr="00F13554">
              <w:rPr>
                <w:sz w:val="19"/>
                <w:szCs w:val="19"/>
                <w:lang w:eastAsia="en-US"/>
              </w:rPr>
              <w:t>70</w:t>
            </w:r>
            <w:r w:rsidR="00EC2FC5">
              <w:rPr>
                <w:sz w:val="19"/>
                <w:szCs w:val="19"/>
                <w:lang w:eastAsia="en-US"/>
              </w:rPr>
              <w:t>%</w:t>
            </w:r>
          </w:p>
        </w:tc>
        <w:tc>
          <w:tcPr>
            <w:tcW w:w="620" w:type="pct"/>
            <w:gridSpan w:val="2"/>
            <w:shd w:val="clear" w:color="auto" w:fill="auto"/>
            <w:vAlign w:val="center"/>
          </w:tcPr>
          <w:p w14:paraId="2E832629" w14:textId="0D2EF065" w:rsidR="00A26DA7" w:rsidRPr="00F13554" w:rsidRDefault="00A26DA7" w:rsidP="008F02DF">
            <w:pPr>
              <w:pStyle w:val="TableText0"/>
              <w:keepLines/>
              <w:jc w:val="center"/>
              <w:rPr>
                <w:sz w:val="19"/>
                <w:szCs w:val="19"/>
                <w:lang w:eastAsia="en-US"/>
              </w:rPr>
            </w:pPr>
            <w:r w:rsidRPr="00F13554">
              <w:rPr>
                <w:sz w:val="19"/>
                <w:szCs w:val="19"/>
                <w:lang w:eastAsia="en-US"/>
              </w:rPr>
              <w:t>25</w:t>
            </w:r>
            <w:r w:rsidR="00EC2FC5">
              <w:rPr>
                <w:sz w:val="19"/>
                <w:szCs w:val="19"/>
                <w:lang w:eastAsia="en-US"/>
              </w:rPr>
              <w:t>%</w:t>
            </w:r>
          </w:p>
        </w:tc>
        <w:tc>
          <w:tcPr>
            <w:tcW w:w="554" w:type="pct"/>
            <w:gridSpan w:val="2"/>
            <w:shd w:val="clear" w:color="auto" w:fill="auto"/>
            <w:vAlign w:val="center"/>
          </w:tcPr>
          <w:p w14:paraId="785BAE16" w14:textId="2B297A08" w:rsidR="00A26DA7" w:rsidRPr="00F13554" w:rsidRDefault="00A26DA7" w:rsidP="008F02DF">
            <w:pPr>
              <w:pStyle w:val="TableText0"/>
              <w:keepLines/>
              <w:jc w:val="center"/>
            </w:pPr>
            <w:r w:rsidRPr="00F13554">
              <w:t>45%</w:t>
            </w:r>
          </w:p>
        </w:tc>
        <w:tc>
          <w:tcPr>
            <w:tcW w:w="756" w:type="pct"/>
            <w:vMerge/>
            <w:shd w:val="clear" w:color="auto" w:fill="auto"/>
            <w:vAlign w:val="center"/>
          </w:tcPr>
          <w:p w14:paraId="70326EDC" w14:textId="77777777" w:rsidR="00A26DA7" w:rsidRPr="005A293B" w:rsidRDefault="00A26DA7" w:rsidP="008F02DF">
            <w:pPr>
              <w:pStyle w:val="TableText0"/>
              <w:keepLines/>
              <w:jc w:val="center"/>
              <w:rPr>
                <w:b/>
              </w:rPr>
            </w:pPr>
          </w:p>
        </w:tc>
      </w:tr>
      <w:tr w:rsidR="00A37297" w:rsidRPr="005A293B" w14:paraId="54EC23B7" w14:textId="77777777" w:rsidTr="0012355C">
        <w:tc>
          <w:tcPr>
            <w:tcW w:w="5000" w:type="pct"/>
            <w:gridSpan w:val="9"/>
            <w:shd w:val="clear" w:color="auto" w:fill="auto"/>
            <w:vAlign w:val="center"/>
          </w:tcPr>
          <w:p w14:paraId="6B91D6D9" w14:textId="57DA4D0F" w:rsidR="00EB51A3" w:rsidRPr="005A293B" w:rsidRDefault="00EB51A3" w:rsidP="008F02DF">
            <w:pPr>
              <w:pStyle w:val="TableText0"/>
              <w:keepLines/>
              <w:rPr>
                <w:b/>
              </w:rPr>
            </w:pPr>
            <w:r w:rsidRPr="005A293B">
              <w:rPr>
                <w:b/>
              </w:rPr>
              <w:t>OS DCO 28 March 2023</w:t>
            </w:r>
            <w:r w:rsidR="00141699" w:rsidRPr="005A293B">
              <w:rPr>
                <w:b/>
                <w:vertAlign w:val="superscript"/>
              </w:rPr>
              <w:t>a</w:t>
            </w:r>
            <w:r w:rsidRPr="005A293B">
              <w:rPr>
                <w:b/>
              </w:rPr>
              <w:t xml:space="preserve"> </w:t>
            </w:r>
          </w:p>
        </w:tc>
      </w:tr>
      <w:tr w:rsidR="00A26DA7" w:rsidRPr="005A293B" w14:paraId="0F8208B2" w14:textId="77777777" w:rsidTr="0012355C">
        <w:tc>
          <w:tcPr>
            <w:tcW w:w="2445" w:type="pct"/>
            <w:gridSpan w:val="3"/>
            <w:shd w:val="clear" w:color="auto" w:fill="auto"/>
            <w:vAlign w:val="center"/>
          </w:tcPr>
          <w:p w14:paraId="0222F814" w14:textId="77777777" w:rsidR="00A26DA7" w:rsidRPr="005A293B" w:rsidRDefault="00A26DA7" w:rsidP="008F02DF">
            <w:pPr>
              <w:pStyle w:val="TableText0"/>
              <w:keepLines/>
            </w:pPr>
            <w:r w:rsidRPr="005A293B">
              <w:rPr>
                <w:szCs w:val="20"/>
              </w:rPr>
              <w:t>Died n (%)</w:t>
            </w:r>
          </w:p>
        </w:tc>
        <w:tc>
          <w:tcPr>
            <w:tcW w:w="625" w:type="pct"/>
            <w:shd w:val="clear" w:color="auto" w:fill="auto"/>
            <w:vAlign w:val="center"/>
          </w:tcPr>
          <w:p w14:paraId="0FBCB498" w14:textId="71CC84BC" w:rsidR="00A26DA7" w:rsidRPr="005D2612" w:rsidRDefault="00A26DA7" w:rsidP="008F02DF">
            <w:pPr>
              <w:pStyle w:val="TableText0"/>
              <w:keepLines/>
              <w:jc w:val="center"/>
            </w:pPr>
            <w:r w:rsidRPr="005D2612">
              <w:rPr>
                <w:sz w:val="19"/>
                <w:szCs w:val="19"/>
                <w:lang w:eastAsia="en-US"/>
              </w:rPr>
              <w:t>18/71 (25.4)</w:t>
            </w:r>
          </w:p>
        </w:tc>
        <w:tc>
          <w:tcPr>
            <w:tcW w:w="620" w:type="pct"/>
            <w:gridSpan w:val="2"/>
            <w:shd w:val="clear" w:color="auto" w:fill="auto"/>
            <w:vAlign w:val="center"/>
          </w:tcPr>
          <w:p w14:paraId="5568D51A" w14:textId="4E0D1735" w:rsidR="00A26DA7" w:rsidRPr="005D2612" w:rsidRDefault="00A26DA7" w:rsidP="008F02DF">
            <w:pPr>
              <w:pStyle w:val="TableText0"/>
              <w:keepLines/>
              <w:jc w:val="center"/>
            </w:pPr>
            <w:r w:rsidRPr="005D2612">
              <w:rPr>
                <w:sz w:val="19"/>
                <w:szCs w:val="19"/>
                <w:lang w:eastAsia="en-US"/>
              </w:rPr>
              <w:t>34/84 (40.5)</w:t>
            </w:r>
          </w:p>
        </w:tc>
        <w:tc>
          <w:tcPr>
            <w:tcW w:w="554" w:type="pct"/>
            <w:gridSpan w:val="2"/>
            <w:shd w:val="clear" w:color="auto" w:fill="auto"/>
            <w:vAlign w:val="center"/>
          </w:tcPr>
          <w:p w14:paraId="727C6702" w14:textId="503150C2" w:rsidR="00A26DA7" w:rsidRPr="005D2612" w:rsidRDefault="005D2612" w:rsidP="008F02DF">
            <w:pPr>
              <w:pStyle w:val="TableText0"/>
              <w:keepLines/>
              <w:jc w:val="center"/>
            </w:pPr>
            <w:r>
              <w:t>-</w:t>
            </w:r>
          </w:p>
        </w:tc>
        <w:tc>
          <w:tcPr>
            <w:tcW w:w="756" w:type="pct"/>
            <w:vMerge w:val="restart"/>
            <w:shd w:val="clear" w:color="auto" w:fill="auto"/>
            <w:vAlign w:val="center"/>
          </w:tcPr>
          <w:p w14:paraId="7BFF62E6" w14:textId="1F966701" w:rsidR="00A26DA7" w:rsidRPr="00B0591B" w:rsidRDefault="00A26DA7" w:rsidP="008F02DF">
            <w:pPr>
              <w:pStyle w:val="TableText0"/>
              <w:keepLines/>
              <w:jc w:val="center"/>
              <w:rPr>
                <w:bCs w:val="0"/>
                <w:szCs w:val="20"/>
              </w:rPr>
            </w:pPr>
            <w:r w:rsidRPr="00B0591B">
              <w:rPr>
                <w:bCs w:val="0"/>
                <w:sz w:val="19"/>
                <w:szCs w:val="19"/>
                <w:lang w:eastAsia="en-US"/>
              </w:rPr>
              <w:t xml:space="preserve">0.47 </w:t>
            </w:r>
            <w:r w:rsidRPr="00B0591B">
              <w:rPr>
                <w:bCs w:val="0"/>
                <w:sz w:val="19"/>
                <w:szCs w:val="19"/>
                <w:lang w:eastAsia="en-US"/>
              </w:rPr>
              <w:br/>
              <w:t>(0.26, 0.85)</w:t>
            </w:r>
          </w:p>
        </w:tc>
      </w:tr>
      <w:tr w:rsidR="00A26DA7" w:rsidRPr="005A293B" w14:paraId="7E944224" w14:textId="77777777" w:rsidTr="0012355C">
        <w:tc>
          <w:tcPr>
            <w:tcW w:w="2445" w:type="pct"/>
            <w:gridSpan w:val="3"/>
            <w:shd w:val="clear" w:color="auto" w:fill="auto"/>
            <w:vAlign w:val="center"/>
          </w:tcPr>
          <w:p w14:paraId="35239523" w14:textId="77777777" w:rsidR="00A26DA7" w:rsidRPr="005A293B" w:rsidDel="003450F0" w:rsidRDefault="00A26DA7" w:rsidP="008F02DF">
            <w:pPr>
              <w:pStyle w:val="TableText0"/>
              <w:keepLines/>
            </w:pPr>
            <w:r w:rsidRPr="005A293B">
              <w:rPr>
                <w:szCs w:val="20"/>
              </w:rPr>
              <w:t xml:space="preserve">Median months to death (95% CI) </w:t>
            </w:r>
          </w:p>
        </w:tc>
        <w:tc>
          <w:tcPr>
            <w:tcW w:w="625" w:type="pct"/>
            <w:shd w:val="clear" w:color="auto" w:fill="auto"/>
            <w:vAlign w:val="center"/>
          </w:tcPr>
          <w:p w14:paraId="2E4A7B07" w14:textId="4C4E4759" w:rsidR="00A26DA7" w:rsidRPr="005D2612" w:rsidDel="003450F0" w:rsidRDefault="00A26DA7" w:rsidP="008F02DF">
            <w:pPr>
              <w:pStyle w:val="TableText0"/>
              <w:keepLines/>
              <w:jc w:val="center"/>
            </w:pPr>
            <w:r w:rsidRPr="005D2612">
              <w:rPr>
                <w:sz w:val="19"/>
                <w:szCs w:val="19"/>
                <w:lang w:eastAsia="en-US"/>
              </w:rPr>
              <w:t>41.9 (33, NE)</w:t>
            </w:r>
          </w:p>
        </w:tc>
        <w:tc>
          <w:tcPr>
            <w:tcW w:w="620" w:type="pct"/>
            <w:gridSpan w:val="2"/>
            <w:shd w:val="clear" w:color="auto" w:fill="auto"/>
            <w:vAlign w:val="center"/>
          </w:tcPr>
          <w:p w14:paraId="7A5E94DB" w14:textId="7213F7F2" w:rsidR="00A26DA7" w:rsidRPr="005D2612" w:rsidDel="003450F0" w:rsidRDefault="00A26DA7" w:rsidP="008F02DF">
            <w:pPr>
              <w:pStyle w:val="TableText0"/>
              <w:keepLines/>
              <w:jc w:val="center"/>
            </w:pPr>
            <w:r w:rsidRPr="005D2612">
              <w:rPr>
                <w:sz w:val="19"/>
                <w:szCs w:val="19"/>
                <w:lang w:eastAsia="en-US"/>
              </w:rPr>
              <w:t>26.1 (22.6, NE)</w:t>
            </w:r>
          </w:p>
        </w:tc>
        <w:tc>
          <w:tcPr>
            <w:tcW w:w="554" w:type="pct"/>
            <w:gridSpan w:val="2"/>
            <w:shd w:val="clear" w:color="auto" w:fill="auto"/>
            <w:vAlign w:val="center"/>
          </w:tcPr>
          <w:p w14:paraId="28017911" w14:textId="031BFE39" w:rsidR="00A26DA7" w:rsidRPr="005D2612" w:rsidDel="003450F0" w:rsidRDefault="00A26DA7" w:rsidP="008F02DF">
            <w:pPr>
              <w:pStyle w:val="TableText0"/>
              <w:keepLines/>
              <w:jc w:val="center"/>
            </w:pPr>
            <w:r w:rsidRPr="005D2612">
              <w:rPr>
                <w:sz w:val="19"/>
                <w:szCs w:val="19"/>
                <w:lang w:eastAsia="en-US"/>
              </w:rPr>
              <w:t>15.8</w:t>
            </w:r>
          </w:p>
        </w:tc>
        <w:tc>
          <w:tcPr>
            <w:tcW w:w="756" w:type="pct"/>
            <w:vMerge/>
            <w:shd w:val="clear" w:color="auto" w:fill="auto"/>
            <w:vAlign w:val="center"/>
          </w:tcPr>
          <w:p w14:paraId="5B8E565E" w14:textId="77777777" w:rsidR="00A26DA7" w:rsidRPr="005A293B" w:rsidRDefault="00A26DA7" w:rsidP="008F02DF">
            <w:pPr>
              <w:pStyle w:val="TableText0"/>
              <w:keepLines/>
              <w:jc w:val="center"/>
            </w:pPr>
          </w:p>
        </w:tc>
      </w:tr>
      <w:tr w:rsidR="00A26DA7" w:rsidRPr="005A293B" w14:paraId="540DAD4E" w14:textId="77777777" w:rsidTr="0012355C">
        <w:tc>
          <w:tcPr>
            <w:tcW w:w="2445" w:type="pct"/>
            <w:gridSpan w:val="3"/>
            <w:shd w:val="clear" w:color="auto" w:fill="auto"/>
            <w:vAlign w:val="center"/>
          </w:tcPr>
          <w:p w14:paraId="6B13688D" w14:textId="29C636E7" w:rsidR="00A26DA7" w:rsidRPr="005A293B" w:rsidRDefault="00A26DA7" w:rsidP="008F02DF">
            <w:pPr>
              <w:pStyle w:val="TableText0"/>
              <w:keepLines/>
              <w:rPr>
                <w:szCs w:val="20"/>
              </w:rPr>
            </w:pPr>
            <w:r>
              <w:rPr>
                <w:szCs w:val="20"/>
              </w:rPr>
              <w:t>% Alive at 12 months ^</w:t>
            </w:r>
          </w:p>
        </w:tc>
        <w:tc>
          <w:tcPr>
            <w:tcW w:w="625" w:type="pct"/>
            <w:shd w:val="clear" w:color="auto" w:fill="auto"/>
            <w:vAlign w:val="center"/>
          </w:tcPr>
          <w:p w14:paraId="629ED9EA" w14:textId="5FB78C93" w:rsidR="00A26DA7" w:rsidRPr="00F13554" w:rsidRDefault="00A26DA7" w:rsidP="008F02DF">
            <w:pPr>
              <w:pStyle w:val="TableText0"/>
              <w:keepLines/>
              <w:jc w:val="center"/>
              <w:rPr>
                <w:sz w:val="19"/>
                <w:szCs w:val="19"/>
                <w:lang w:eastAsia="en-US"/>
              </w:rPr>
            </w:pPr>
            <w:r w:rsidRPr="00F13554">
              <w:rPr>
                <w:sz w:val="19"/>
                <w:szCs w:val="19"/>
                <w:lang w:eastAsia="en-US"/>
              </w:rPr>
              <w:t>95</w:t>
            </w:r>
            <w:r w:rsidR="00EC2FC5">
              <w:rPr>
                <w:sz w:val="19"/>
                <w:szCs w:val="19"/>
                <w:lang w:eastAsia="en-US"/>
              </w:rPr>
              <w:t>%</w:t>
            </w:r>
          </w:p>
        </w:tc>
        <w:tc>
          <w:tcPr>
            <w:tcW w:w="620" w:type="pct"/>
            <w:gridSpan w:val="2"/>
            <w:shd w:val="clear" w:color="auto" w:fill="auto"/>
            <w:vAlign w:val="center"/>
          </w:tcPr>
          <w:p w14:paraId="031AC70B" w14:textId="15CDC99F" w:rsidR="00A26DA7" w:rsidRPr="00F13554" w:rsidRDefault="00A26DA7" w:rsidP="008F02DF">
            <w:pPr>
              <w:pStyle w:val="TableText0"/>
              <w:keepLines/>
              <w:jc w:val="center"/>
              <w:rPr>
                <w:sz w:val="19"/>
                <w:szCs w:val="19"/>
                <w:lang w:eastAsia="en-US"/>
              </w:rPr>
            </w:pPr>
            <w:r w:rsidRPr="00F13554">
              <w:rPr>
                <w:sz w:val="19"/>
                <w:szCs w:val="19"/>
                <w:lang w:eastAsia="en-US"/>
              </w:rPr>
              <w:t>90</w:t>
            </w:r>
            <w:r w:rsidR="00EC2FC5">
              <w:rPr>
                <w:sz w:val="19"/>
                <w:szCs w:val="19"/>
                <w:lang w:eastAsia="en-US"/>
              </w:rPr>
              <w:t>%</w:t>
            </w:r>
          </w:p>
        </w:tc>
        <w:tc>
          <w:tcPr>
            <w:tcW w:w="554" w:type="pct"/>
            <w:gridSpan w:val="2"/>
            <w:shd w:val="clear" w:color="auto" w:fill="auto"/>
            <w:vAlign w:val="center"/>
          </w:tcPr>
          <w:p w14:paraId="3552AD17" w14:textId="39A75EF6" w:rsidR="00A26DA7" w:rsidRPr="00F13554" w:rsidRDefault="00A26DA7" w:rsidP="008F02DF">
            <w:pPr>
              <w:pStyle w:val="TableText0"/>
              <w:keepLines/>
              <w:jc w:val="center"/>
              <w:rPr>
                <w:sz w:val="19"/>
                <w:szCs w:val="19"/>
                <w:lang w:eastAsia="en-US"/>
              </w:rPr>
            </w:pPr>
            <w:r w:rsidRPr="00F13554">
              <w:rPr>
                <w:sz w:val="19"/>
                <w:szCs w:val="19"/>
                <w:lang w:eastAsia="en-US"/>
              </w:rPr>
              <w:t>5%</w:t>
            </w:r>
          </w:p>
        </w:tc>
        <w:tc>
          <w:tcPr>
            <w:tcW w:w="756" w:type="pct"/>
            <w:vMerge/>
            <w:shd w:val="clear" w:color="auto" w:fill="auto"/>
            <w:vAlign w:val="center"/>
          </w:tcPr>
          <w:p w14:paraId="3FC718C2" w14:textId="77777777" w:rsidR="00A26DA7" w:rsidRPr="005A293B" w:rsidRDefault="00A26DA7" w:rsidP="008F02DF">
            <w:pPr>
              <w:pStyle w:val="TableText0"/>
              <w:keepLines/>
              <w:jc w:val="center"/>
            </w:pPr>
          </w:p>
        </w:tc>
      </w:tr>
      <w:tr w:rsidR="00A26DA7" w:rsidRPr="005A293B" w14:paraId="5B5E2BDF" w14:textId="77777777" w:rsidTr="0012355C">
        <w:tc>
          <w:tcPr>
            <w:tcW w:w="2445" w:type="pct"/>
            <w:gridSpan w:val="3"/>
            <w:shd w:val="clear" w:color="auto" w:fill="auto"/>
            <w:vAlign w:val="center"/>
          </w:tcPr>
          <w:p w14:paraId="607DBE6B" w14:textId="13CCE662" w:rsidR="00A26DA7" w:rsidRDefault="00A26DA7" w:rsidP="008F02DF">
            <w:pPr>
              <w:pStyle w:val="TableText0"/>
              <w:keepLines/>
              <w:rPr>
                <w:szCs w:val="20"/>
              </w:rPr>
            </w:pPr>
            <w:r>
              <w:rPr>
                <w:szCs w:val="20"/>
              </w:rPr>
              <w:t>% Alive at 24 months ^</w:t>
            </w:r>
          </w:p>
        </w:tc>
        <w:tc>
          <w:tcPr>
            <w:tcW w:w="625" w:type="pct"/>
            <w:shd w:val="clear" w:color="auto" w:fill="auto"/>
            <w:vAlign w:val="center"/>
          </w:tcPr>
          <w:p w14:paraId="52FEE6FC" w14:textId="46CB9D53" w:rsidR="00A26DA7" w:rsidRPr="00F13554" w:rsidRDefault="00A26DA7" w:rsidP="008F02DF">
            <w:pPr>
              <w:pStyle w:val="TableText0"/>
              <w:keepLines/>
              <w:jc w:val="center"/>
              <w:rPr>
                <w:sz w:val="19"/>
                <w:szCs w:val="19"/>
                <w:lang w:eastAsia="en-US"/>
              </w:rPr>
            </w:pPr>
            <w:r w:rsidRPr="00F13554">
              <w:rPr>
                <w:sz w:val="19"/>
                <w:szCs w:val="19"/>
                <w:lang w:eastAsia="en-US"/>
              </w:rPr>
              <w:t>80</w:t>
            </w:r>
            <w:r w:rsidR="00EC2FC5">
              <w:rPr>
                <w:sz w:val="19"/>
                <w:szCs w:val="19"/>
                <w:lang w:eastAsia="en-US"/>
              </w:rPr>
              <w:t>%</w:t>
            </w:r>
          </w:p>
        </w:tc>
        <w:tc>
          <w:tcPr>
            <w:tcW w:w="620" w:type="pct"/>
            <w:gridSpan w:val="2"/>
            <w:shd w:val="clear" w:color="auto" w:fill="auto"/>
            <w:vAlign w:val="center"/>
          </w:tcPr>
          <w:p w14:paraId="17F042C4" w14:textId="10494936" w:rsidR="00A26DA7" w:rsidRPr="00F13554" w:rsidRDefault="00A26DA7" w:rsidP="008F02DF">
            <w:pPr>
              <w:pStyle w:val="TableText0"/>
              <w:keepLines/>
              <w:jc w:val="center"/>
              <w:rPr>
                <w:sz w:val="19"/>
                <w:szCs w:val="19"/>
                <w:lang w:eastAsia="en-US"/>
              </w:rPr>
            </w:pPr>
            <w:r w:rsidRPr="00F13554">
              <w:rPr>
                <w:sz w:val="19"/>
                <w:szCs w:val="19"/>
                <w:lang w:eastAsia="en-US"/>
              </w:rPr>
              <w:t>60</w:t>
            </w:r>
            <w:r w:rsidR="00EC2FC5">
              <w:rPr>
                <w:sz w:val="19"/>
                <w:szCs w:val="19"/>
                <w:lang w:eastAsia="en-US"/>
              </w:rPr>
              <w:t>%</w:t>
            </w:r>
          </w:p>
        </w:tc>
        <w:tc>
          <w:tcPr>
            <w:tcW w:w="554" w:type="pct"/>
            <w:gridSpan w:val="2"/>
            <w:shd w:val="clear" w:color="auto" w:fill="auto"/>
            <w:vAlign w:val="center"/>
          </w:tcPr>
          <w:p w14:paraId="773E1E49" w14:textId="7D2F551B" w:rsidR="00A26DA7" w:rsidRPr="00F13554" w:rsidRDefault="00A26DA7" w:rsidP="008F02DF">
            <w:pPr>
              <w:pStyle w:val="TableText0"/>
              <w:keepLines/>
              <w:jc w:val="center"/>
              <w:rPr>
                <w:sz w:val="19"/>
                <w:szCs w:val="19"/>
                <w:lang w:eastAsia="en-US"/>
              </w:rPr>
            </w:pPr>
            <w:r w:rsidRPr="00F13554">
              <w:rPr>
                <w:sz w:val="19"/>
                <w:szCs w:val="19"/>
                <w:lang w:eastAsia="en-US"/>
              </w:rPr>
              <w:t>20%</w:t>
            </w:r>
          </w:p>
        </w:tc>
        <w:tc>
          <w:tcPr>
            <w:tcW w:w="756" w:type="pct"/>
            <w:vMerge/>
            <w:shd w:val="clear" w:color="auto" w:fill="auto"/>
            <w:vAlign w:val="center"/>
          </w:tcPr>
          <w:p w14:paraId="251CC27E" w14:textId="77777777" w:rsidR="00A26DA7" w:rsidRPr="005A293B" w:rsidRDefault="00A26DA7" w:rsidP="008F02DF">
            <w:pPr>
              <w:pStyle w:val="TableText0"/>
              <w:keepLines/>
              <w:jc w:val="center"/>
            </w:pPr>
          </w:p>
        </w:tc>
      </w:tr>
      <w:tr w:rsidR="00A26DA7" w:rsidRPr="005A293B" w14:paraId="1C29EB41" w14:textId="77777777" w:rsidTr="0012355C">
        <w:tc>
          <w:tcPr>
            <w:tcW w:w="2445" w:type="pct"/>
            <w:gridSpan w:val="3"/>
            <w:shd w:val="clear" w:color="auto" w:fill="auto"/>
            <w:vAlign w:val="center"/>
          </w:tcPr>
          <w:p w14:paraId="5AC0C0DD" w14:textId="30535E82" w:rsidR="00A26DA7" w:rsidRDefault="00A26DA7" w:rsidP="008F02DF">
            <w:pPr>
              <w:pStyle w:val="TableText0"/>
              <w:keepLines/>
              <w:rPr>
                <w:szCs w:val="20"/>
              </w:rPr>
            </w:pPr>
            <w:r>
              <w:rPr>
                <w:szCs w:val="20"/>
              </w:rPr>
              <w:t>% Alive at 36 months ^</w:t>
            </w:r>
          </w:p>
        </w:tc>
        <w:tc>
          <w:tcPr>
            <w:tcW w:w="625" w:type="pct"/>
            <w:shd w:val="clear" w:color="auto" w:fill="auto"/>
            <w:vAlign w:val="center"/>
          </w:tcPr>
          <w:p w14:paraId="2FB3C709" w14:textId="2F3A0566" w:rsidR="00A26DA7" w:rsidRPr="00F13554" w:rsidRDefault="00A26DA7" w:rsidP="008F02DF">
            <w:pPr>
              <w:pStyle w:val="TableText0"/>
              <w:keepLines/>
              <w:jc w:val="center"/>
              <w:rPr>
                <w:sz w:val="19"/>
                <w:szCs w:val="19"/>
                <w:lang w:eastAsia="en-US"/>
              </w:rPr>
            </w:pPr>
            <w:r w:rsidRPr="00F13554">
              <w:rPr>
                <w:sz w:val="19"/>
                <w:szCs w:val="19"/>
                <w:lang w:eastAsia="en-US"/>
              </w:rPr>
              <w:t>60</w:t>
            </w:r>
            <w:r w:rsidR="00EC2FC5">
              <w:rPr>
                <w:sz w:val="19"/>
                <w:szCs w:val="19"/>
                <w:lang w:eastAsia="en-US"/>
              </w:rPr>
              <w:t>%</w:t>
            </w:r>
          </w:p>
        </w:tc>
        <w:tc>
          <w:tcPr>
            <w:tcW w:w="620" w:type="pct"/>
            <w:gridSpan w:val="2"/>
            <w:shd w:val="clear" w:color="auto" w:fill="auto"/>
            <w:vAlign w:val="center"/>
          </w:tcPr>
          <w:p w14:paraId="1EE77B90" w14:textId="2BDABE91" w:rsidR="00A26DA7" w:rsidRPr="00F13554" w:rsidRDefault="00A26DA7" w:rsidP="008F02DF">
            <w:pPr>
              <w:pStyle w:val="TableText0"/>
              <w:keepLines/>
              <w:jc w:val="center"/>
              <w:rPr>
                <w:sz w:val="19"/>
                <w:szCs w:val="19"/>
                <w:lang w:eastAsia="en-US"/>
              </w:rPr>
            </w:pPr>
            <w:r w:rsidRPr="00F13554">
              <w:rPr>
                <w:sz w:val="19"/>
                <w:szCs w:val="19"/>
                <w:lang w:eastAsia="en-US"/>
              </w:rPr>
              <w:t>30</w:t>
            </w:r>
            <w:r w:rsidR="00EC2FC5">
              <w:rPr>
                <w:sz w:val="19"/>
                <w:szCs w:val="19"/>
                <w:lang w:eastAsia="en-US"/>
              </w:rPr>
              <w:t>%</w:t>
            </w:r>
          </w:p>
        </w:tc>
        <w:tc>
          <w:tcPr>
            <w:tcW w:w="554" w:type="pct"/>
            <w:gridSpan w:val="2"/>
            <w:shd w:val="clear" w:color="auto" w:fill="auto"/>
            <w:vAlign w:val="center"/>
          </w:tcPr>
          <w:p w14:paraId="317C0E3E" w14:textId="07814333" w:rsidR="00A26DA7" w:rsidRPr="00F13554" w:rsidRDefault="00A26DA7" w:rsidP="008F02DF">
            <w:pPr>
              <w:pStyle w:val="TableText0"/>
              <w:keepLines/>
              <w:jc w:val="center"/>
              <w:rPr>
                <w:sz w:val="19"/>
                <w:szCs w:val="19"/>
                <w:lang w:eastAsia="en-US"/>
              </w:rPr>
            </w:pPr>
            <w:r w:rsidRPr="00F13554">
              <w:rPr>
                <w:sz w:val="19"/>
                <w:szCs w:val="19"/>
                <w:lang w:eastAsia="en-US"/>
              </w:rPr>
              <w:t>30%</w:t>
            </w:r>
          </w:p>
        </w:tc>
        <w:tc>
          <w:tcPr>
            <w:tcW w:w="756" w:type="pct"/>
            <w:vMerge/>
            <w:shd w:val="clear" w:color="auto" w:fill="auto"/>
            <w:vAlign w:val="center"/>
          </w:tcPr>
          <w:p w14:paraId="7F3B2C92" w14:textId="77777777" w:rsidR="00A26DA7" w:rsidRPr="005A293B" w:rsidRDefault="00A26DA7" w:rsidP="008F02DF">
            <w:pPr>
              <w:pStyle w:val="TableText0"/>
              <w:keepLines/>
              <w:jc w:val="center"/>
            </w:pPr>
          </w:p>
        </w:tc>
      </w:tr>
      <w:tr w:rsidR="00A37297" w:rsidRPr="005A293B" w14:paraId="3D57DF40" w14:textId="77777777" w:rsidTr="0012355C">
        <w:tc>
          <w:tcPr>
            <w:tcW w:w="5000" w:type="pct"/>
            <w:gridSpan w:val="9"/>
            <w:shd w:val="clear" w:color="auto" w:fill="auto"/>
          </w:tcPr>
          <w:p w14:paraId="11928729" w14:textId="3757171F" w:rsidR="00255D29" w:rsidRPr="005A293B" w:rsidRDefault="00255D29" w:rsidP="008F02DF">
            <w:pPr>
              <w:pStyle w:val="TableText0"/>
              <w:keepLines/>
              <w:rPr>
                <w:b/>
              </w:rPr>
            </w:pPr>
            <w:r w:rsidRPr="005A293B">
              <w:rPr>
                <w:b/>
              </w:rPr>
              <w:t xml:space="preserve">Harms – </w:t>
            </w:r>
            <w:r w:rsidR="00EB51A3" w:rsidRPr="005A293B">
              <w:rPr>
                <w:b/>
              </w:rPr>
              <w:t>TALAPRO-2 Cohort 2</w:t>
            </w:r>
            <w:r w:rsidRPr="005A293B">
              <w:rPr>
                <w:b/>
              </w:rPr>
              <w:t xml:space="preserve"> </w:t>
            </w:r>
          </w:p>
        </w:tc>
      </w:tr>
      <w:tr w:rsidR="00A37297" w:rsidRPr="005A293B" w14:paraId="2BCA4510" w14:textId="77777777" w:rsidTr="0012355C">
        <w:trPr>
          <w:trHeight w:val="70"/>
        </w:trPr>
        <w:tc>
          <w:tcPr>
            <w:tcW w:w="1217" w:type="pct"/>
            <w:vMerge w:val="restart"/>
            <w:shd w:val="clear" w:color="auto" w:fill="auto"/>
            <w:vAlign w:val="center"/>
          </w:tcPr>
          <w:p w14:paraId="2764BA11" w14:textId="17302D81" w:rsidR="00141699" w:rsidRPr="005A293B" w:rsidRDefault="00141699" w:rsidP="008F02DF">
            <w:pPr>
              <w:pStyle w:val="TableText0"/>
              <w:keepLines/>
            </w:pPr>
            <w:r w:rsidRPr="005A293B">
              <w:rPr>
                <w:b/>
              </w:rPr>
              <w:t>AE</w:t>
            </w:r>
            <w:r w:rsidR="00E01D22">
              <w:rPr>
                <w:b/>
              </w:rPr>
              <w:t>s</w:t>
            </w:r>
            <w:r w:rsidRPr="005A293B">
              <w:rPr>
                <w:b/>
              </w:rPr>
              <w:t xml:space="preserve"> </w:t>
            </w:r>
            <w:r w:rsidR="00E01D22">
              <w:rPr>
                <w:b/>
              </w:rPr>
              <w:t>(</w:t>
            </w:r>
            <w:r w:rsidRPr="005A293B">
              <w:rPr>
                <w:b/>
              </w:rPr>
              <w:t>Grade≥3</w:t>
            </w:r>
            <w:r w:rsidR="00E01D22">
              <w:rPr>
                <w:b/>
              </w:rPr>
              <w:t>, prevalence</w:t>
            </w:r>
            <w:r w:rsidR="00E01D22" w:rsidRPr="005A293B">
              <w:rPr>
                <w:b/>
              </w:rPr>
              <w:t>≥</w:t>
            </w:r>
            <w:r w:rsidR="00E01D22">
              <w:rPr>
                <w:b/>
              </w:rPr>
              <w:t>2%, RD</w:t>
            </w:r>
            <w:r w:rsidR="009E5949" w:rsidRPr="005A293B">
              <w:rPr>
                <w:b/>
              </w:rPr>
              <w:t>≥</w:t>
            </w:r>
            <w:r w:rsidR="00E01D22">
              <w:rPr>
                <w:b/>
              </w:rPr>
              <w:t>0.02)</w:t>
            </w:r>
          </w:p>
        </w:tc>
        <w:tc>
          <w:tcPr>
            <w:tcW w:w="628" w:type="pct"/>
            <w:vMerge w:val="restart"/>
            <w:shd w:val="clear" w:color="auto" w:fill="auto"/>
            <w:vAlign w:val="center"/>
          </w:tcPr>
          <w:p w14:paraId="13872880" w14:textId="77777777" w:rsidR="00141699" w:rsidRPr="005A293B" w:rsidRDefault="00141699" w:rsidP="008F02DF">
            <w:pPr>
              <w:pStyle w:val="TableText0"/>
              <w:keepLines/>
              <w:jc w:val="center"/>
              <w:rPr>
                <w:b/>
              </w:rPr>
            </w:pPr>
            <w:r w:rsidRPr="005A293B">
              <w:rPr>
                <w:b/>
              </w:rPr>
              <w:t>TAL+ENZ</w:t>
            </w:r>
          </w:p>
          <w:p w14:paraId="4A2EA341" w14:textId="4114CC4E" w:rsidR="00141699" w:rsidRPr="005A293B" w:rsidRDefault="00141699" w:rsidP="008F02DF">
            <w:pPr>
              <w:pStyle w:val="TableText0"/>
              <w:keepLines/>
              <w:jc w:val="center"/>
              <w:rPr>
                <w:b/>
              </w:rPr>
            </w:pPr>
            <w:r w:rsidRPr="005A293B">
              <w:rPr>
                <w:b/>
              </w:rPr>
              <w:t>N=198</w:t>
            </w:r>
          </w:p>
        </w:tc>
        <w:tc>
          <w:tcPr>
            <w:tcW w:w="600" w:type="pct"/>
            <w:vMerge w:val="restart"/>
            <w:shd w:val="clear" w:color="auto" w:fill="auto"/>
            <w:vAlign w:val="center"/>
          </w:tcPr>
          <w:p w14:paraId="3D382A3B" w14:textId="77777777" w:rsidR="00141699" w:rsidRPr="005A293B" w:rsidRDefault="00141699" w:rsidP="008F02DF">
            <w:pPr>
              <w:pStyle w:val="TableText0"/>
              <w:keepLines/>
              <w:jc w:val="center"/>
              <w:rPr>
                <w:b/>
              </w:rPr>
            </w:pPr>
            <w:r w:rsidRPr="005A293B">
              <w:rPr>
                <w:b/>
              </w:rPr>
              <w:t>ENZ</w:t>
            </w:r>
          </w:p>
          <w:p w14:paraId="173EE37A" w14:textId="628F73C9" w:rsidR="00141699" w:rsidRPr="005A293B" w:rsidRDefault="00141699" w:rsidP="008F02DF">
            <w:pPr>
              <w:pStyle w:val="TableText0"/>
              <w:keepLines/>
              <w:jc w:val="center"/>
              <w:rPr>
                <w:b/>
              </w:rPr>
            </w:pPr>
            <w:r w:rsidRPr="005A293B">
              <w:rPr>
                <w:b/>
              </w:rPr>
              <w:t>N=199</w:t>
            </w:r>
          </w:p>
        </w:tc>
        <w:tc>
          <w:tcPr>
            <w:tcW w:w="866" w:type="pct"/>
            <w:gridSpan w:val="2"/>
            <w:vMerge w:val="restart"/>
            <w:shd w:val="clear" w:color="auto" w:fill="auto"/>
            <w:vAlign w:val="center"/>
          </w:tcPr>
          <w:p w14:paraId="62A98EAB" w14:textId="77777777" w:rsidR="00141699" w:rsidRPr="005A293B" w:rsidRDefault="00141699" w:rsidP="008F02DF">
            <w:pPr>
              <w:pStyle w:val="TableText0"/>
              <w:keepLines/>
              <w:jc w:val="center"/>
              <w:rPr>
                <w:b/>
              </w:rPr>
            </w:pPr>
            <w:r w:rsidRPr="005A293B">
              <w:rPr>
                <w:b/>
              </w:rPr>
              <w:t>RR</w:t>
            </w:r>
          </w:p>
          <w:p w14:paraId="1DD31DAD" w14:textId="62D99027" w:rsidR="00141699" w:rsidRPr="005A293B" w:rsidRDefault="00141699" w:rsidP="008F02DF">
            <w:pPr>
              <w:pStyle w:val="TableText0"/>
              <w:keepLines/>
              <w:jc w:val="center"/>
              <w:rPr>
                <w:b/>
              </w:rPr>
            </w:pPr>
            <w:r w:rsidRPr="005A293B">
              <w:rPr>
                <w:b/>
              </w:rPr>
              <w:t>(95% CI)</w:t>
            </w:r>
            <w:r w:rsidR="006E54D3">
              <w:rPr>
                <w:b/>
              </w:rPr>
              <w:t xml:space="preserve"> </w:t>
            </w:r>
            <w:r w:rsidR="006C15F7">
              <w:rPr>
                <w:b/>
              </w:rPr>
              <w:t>*</w:t>
            </w:r>
          </w:p>
        </w:tc>
        <w:tc>
          <w:tcPr>
            <w:tcW w:w="933" w:type="pct"/>
            <w:gridSpan w:val="3"/>
            <w:shd w:val="clear" w:color="auto" w:fill="auto"/>
            <w:vAlign w:val="center"/>
          </w:tcPr>
          <w:p w14:paraId="47262A5F" w14:textId="77777777" w:rsidR="00141699" w:rsidRPr="005A293B" w:rsidRDefault="00141699" w:rsidP="008F02DF">
            <w:pPr>
              <w:pStyle w:val="TableText0"/>
              <w:keepLines/>
              <w:jc w:val="center"/>
              <w:rPr>
                <w:b/>
              </w:rPr>
            </w:pPr>
            <w:r w:rsidRPr="005A293B">
              <w:rPr>
                <w:b/>
              </w:rPr>
              <w:t>Events/100 patients</w:t>
            </w:r>
          </w:p>
        </w:tc>
        <w:tc>
          <w:tcPr>
            <w:tcW w:w="756" w:type="pct"/>
            <w:vMerge w:val="restart"/>
            <w:shd w:val="clear" w:color="auto" w:fill="auto"/>
            <w:vAlign w:val="center"/>
          </w:tcPr>
          <w:p w14:paraId="1E346504" w14:textId="58FEF15D" w:rsidR="00141699" w:rsidRPr="005A293B" w:rsidRDefault="00141699" w:rsidP="008F02DF">
            <w:pPr>
              <w:pStyle w:val="TableText0"/>
              <w:keepLines/>
              <w:jc w:val="center"/>
              <w:rPr>
                <w:b/>
              </w:rPr>
            </w:pPr>
            <w:r w:rsidRPr="005A293B">
              <w:rPr>
                <w:b/>
              </w:rPr>
              <w:t>RD</w:t>
            </w:r>
          </w:p>
          <w:p w14:paraId="5B141082" w14:textId="6D05D42C" w:rsidR="00141699" w:rsidRPr="005A293B" w:rsidRDefault="00141699" w:rsidP="008F02DF">
            <w:pPr>
              <w:pStyle w:val="TableText0"/>
              <w:keepLines/>
              <w:jc w:val="center"/>
              <w:rPr>
                <w:b/>
              </w:rPr>
            </w:pPr>
            <w:r w:rsidRPr="005A293B">
              <w:rPr>
                <w:b/>
              </w:rPr>
              <w:t>(95% CI)</w:t>
            </w:r>
            <w:r w:rsidR="006E54D3">
              <w:rPr>
                <w:b/>
              </w:rPr>
              <w:t xml:space="preserve"> </w:t>
            </w:r>
            <w:r w:rsidR="00D604C1">
              <w:rPr>
                <w:b/>
              </w:rPr>
              <w:t>*</w:t>
            </w:r>
          </w:p>
        </w:tc>
      </w:tr>
      <w:tr w:rsidR="00A37297" w:rsidRPr="005A293B" w14:paraId="22E75832" w14:textId="77777777" w:rsidTr="0012355C">
        <w:trPr>
          <w:trHeight w:val="70"/>
        </w:trPr>
        <w:tc>
          <w:tcPr>
            <w:tcW w:w="1217" w:type="pct"/>
            <w:vMerge/>
            <w:shd w:val="clear" w:color="auto" w:fill="auto"/>
            <w:vAlign w:val="center"/>
          </w:tcPr>
          <w:p w14:paraId="09C837A1" w14:textId="77777777" w:rsidR="00141699" w:rsidRPr="005A293B" w:rsidRDefault="00141699" w:rsidP="008F02DF">
            <w:pPr>
              <w:pStyle w:val="TableText0"/>
              <w:keepLines/>
            </w:pPr>
          </w:p>
        </w:tc>
        <w:tc>
          <w:tcPr>
            <w:tcW w:w="628" w:type="pct"/>
            <w:vMerge/>
            <w:shd w:val="clear" w:color="auto" w:fill="auto"/>
            <w:vAlign w:val="center"/>
          </w:tcPr>
          <w:p w14:paraId="610AD388" w14:textId="77777777" w:rsidR="00141699" w:rsidRPr="005A293B" w:rsidRDefault="00141699" w:rsidP="008F02DF">
            <w:pPr>
              <w:pStyle w:val="TableText0"/>
              <w:keepLines/>
            </w:pPr>
          </w:p>
        </w:tc>
        <w:tc>
          <w:tcPr>
            <w:tcW w:w="600" w:type="pct"/>
            <w:vMerge/>
            <w:shd w:val="clear" w:color="auto" w:fill="auto"/>
            <w:vAlign w:val="center"/>
          </w:tcPr>
          <w:p w14:paraId="77620383" w14:textId="77777777" w:rsidR="00141699" w:rsidRPr="005A293B" w:rsidRDefault="00141699" w:rsidP="008F02DF">
            <w:pPr>
              <w:pStyle w:val="TableText0"/>
              <w:keepLines/>
            </w:pPr>
          </w:p>
        </w:tc>
        <w:tc>
          <w:tcPr>
            <w:tcW w:w="866" w:type="pct"/>
            <w:gridSpan w:val="2"/>
            <w:vMerge/>
            <w:shd w:val="clear" w:color="auto" w:fill="auto"/>
            <w:vAlign w:val="center"/>
          </w:tcPr>
          <w:p w14:paraId="062DA324" w14:textId="77777777" w:rsidR="00141699" w:rsidRPr="005A293B" w:rsidRDefault="00141699" w:rsidP="008F02DF">
            <w:pPr>
              <w:pStyle w:val="TableText0"/>
              <w:keepLines/>
            </w:pPr>
          </w:p>
        </w:tc>
        <w:tc>
          <w:tcPr>
            <w:tcW w:w="533" w:type="pct"/>
            <w:gridSpan w:val="2"/>
            <w:shd w:val="clear" w:color="auto" w:fill="auto"/>
            <w:vAlign w:val="center"/>
          </w:tcPr>
          <w:p w14:paraId="1FD85AF2" w14:textId="2C638539" w:rsidR="00141699" w:rsidRPr="005A293B" w:rsidRDefault="009522F6" w:rsidP="008F02DF">
            <w:pPr>
              <w:pStyle w:val="TableText0"/>
              <w:keepLines/>
              <w:jc w:val="center"/>
              <w:rPr>
                <w:b/>
              </w:rPr>
            </w:pPr>
            <w:r w:rsidRPr="005A293B">
              <w:rPr>
                <w:b/>
              </w:rPr>
              <w:t>TAL+ENZ</w:t>
            </w:r>
          </w:p>
        </w:tc>
        <w:tc>
          <w:tcPr>
            <w:tcW w:w="400" w:type="pct"/>
            <w:shd w:val="clear" w:color="auto" w:fill="auto"/>
            <w:vAlign w:val="center"/>
          </w:tcPr>
          <w:p w14:paraId="4A25B89A" w14:textId="6A0BC305" w:rsidR="00141699" w:rsidRPr="005A293B" w:rsidRDefault="009522F6" w:rsidP="008F02DF">
            <w:pPr>
              <w:pStyle w:val="TableText0"/>
              <w:keepLines/>
              <w:jc w:val="center"/>
              <w:rPr>
                <w:b/>
              </w:rPr>
            </w:pPr>
            <w:r w:rsidRPr="005A293B">
              <w:rPr>
                <w:b/>
              </w:rPr>
              <w:t>ENZ</w:t>
            </w:r>
          </w:p>
        </w:tc>
        <w:tc>
          <w:tcPr>
            <w:tcW w:w="756" w:type="pct"/>
            <w:vMerge/>
            <w:shd w:val="clear" w:color="auto" w:fill="auto"/>
            <w:vAlign w:val="center"/>
          </w:tcPr>
          <w:p w14:paraId="2427B8C0" w14:textId="77777777" w:rsidR="00141699" w:rsidRPr="005A293B" w:rsidRDefault="00141699" w:rsidP="008F02DF">
            <w:pPr>
              <w:pStyle w:val="TableText0"/>
              <w:keepLines/>
            </w:pPr>
          </w:p>
        </w:tc>
      </w:tr>
      <w:tr w:rsidR="00A37297" w:rsidRPr="005A293B" w14:paraId="2AF7451A" w14:textId="77777777" w:rsidTr="0012355C">
        <w:trPr>
          <w:trHeight w:val="253"/>
        </w:trPr>
        <w:tc>
          <w:tcPr>
            <w:tcW w:w="1217" w:type="pct"/>
            <w:shd w:val="clear" w:color="auto" w:fill="auto"/>
            <w:vAlign w:val="center"/>
          </w:tcPr>
          <w:p w14:paraId="202F43B8" w14:textId="26CCCCD0" w:rsidR="009A7E1D" w:rsidRPr="005A293B" w:rsidRDefault="009A7E1D" w:rsidP="008F02DF">
            <w:pPr>
              <w:pStyle w:val="TableText0"/>
              <w:keepLines/>
              <w:rPr>
                <w:szCs w:val="20"/>
              </w:rPr>
            </w:pPr>
            <w:r w:rsidRPr="005A293B">
              <w:rPr>
                <w:szCs w:val="20"/>
              </w:rPr>
              <w:t xml:space="preserve">TEAE </w:t>
            </w:r>
            <w:r w:rsidR="00F3036D">
              <w:rPr>
                <w:szCs w:val="20"/>
              </w:rPr>
              <w:t>G</w:t>
            </w:r>
            <w:r w:rsidR="00F3036D" w:rsidRPr="005A293B">
              <w:rPr>
                <w:szCs w:val="20"/>
              </w:rPr>
              <w:t xml:space="preserve">rade </w:t>
            </w:r>
            <w:r w:rsidRPr="005A293B">
              <w:rPr>
                <w:szCs w:val="20"/>
              </w:rPr>
              <w:t>3 or 4, n/N (%)</w:t>
            </w:r>
          </w:p>
        </w:tc>
        <w:tc>
          <w:tcPr>
            <w:tcW w:w="628" w:type="pct"/>
            <w:shd w:val="clear" w:color="auto" w:fill="auto"/>
            <w:vAlign w:val="center"/>
          </w:tcPr>
          <w:p w14:paraId="50459D3E" w14:textId="1492C267" w:rsidR="009A7E1D" w:rsidRPr="005D2612" w:rsidRDefault="009A7E1D" w:rsidP="008F02DF">
            <w:pPr>
              <w:pStyle w:val="TableText0"/>
              <w:keepLines/>
              <w:jc w:val="center"/>
              <w:rPr>
                <w:szCs w:val="20"/>
              </w:rPr>
            </w:pPr>
            <w:r w:rsidRPr="005D2612">
              <w:t>131/198 (66.2)</w:t>
            </w:r>
          </w:p>
        </w:tc>
        <w:tc>
          <w:tcPr>
            <w:tcW w:w="600" w:type="pct"/>
            <w:shd w:val="clear" w:color="auto" w:fill="auto"/>
            <w:vAlign w:val="center"/>
          </w:tcPr>
          <w:p w14:paraId="19AE4498" w14:textId="628590BB" w:rsidR="009A7E1D" w:rsidRPr="005D2612" w:rsidRDefault="009A7E1D" w:rsidP="008F02DF">
            <w:pPr>
              <w:pStyle w:val="TableText0"/>
              <w:keepLines/>
              <w:jc w:val="center"/>
              <w:rPr>
                <w:szCs w:val="20"/>
              </w:rPr>
            </w:pPr>
            <w:r w:rsidRPr="005D2612">
              <w:t>74/199 (37.2)</w:t>
            </w:r>
          </w:p>
        </w:tc>
        <w:tc>
          <w:tcPr>
            <w:tcW w:w="866" w:type="pct"/>
            <w:gridSpan w:val="2"/>
            <w:shd w:val="clear" w:color="auto" w:fill="auto"/>
            <w:vAlign w:val="center"/>
          </w:tcPr>
          <w:p w14:paraId="4D8A325E" w14:textId="3EC51364" w:rsidR="009A7E1D" w:rsidRPr="00F13554" w:rsidRDefault="009A7E1D" w:rsidP="008F02DF">
            <w:pPr>
              <w:pStyle w:val="TableText0"/>
              <w:keepLines/>
              <w:jc w:val="center"/>
            </w:pPr>
            <w:r w:rsidRPr="00F13554">
              <w:t xml:space="preserve">1.78 </w:t>
            </w:r>
            <w:r w:rsidR="00D604C1" w:rsidRPr="00F13554">
              <w:t>(1.44, 2.19)</w:t>
            </w:r>
          </w:p>
        </w:tc>
        <w:tc>
          <w:tcPr>
            <w:tcW w:w="533" w:type="pct"/>
            <w:gridSpan w:val="2"/>
            <w:shd w:val="clear" w:color="auto" w:fill="auto"/>
            <w:vAlign w:val="center"/>
          </w:tcPr>
          <w:p w14:paraId="49BB0E00" w14:textId="14307B29" w:rsidR="009A7E1D" w:rsidRPr="00F13554" w:rsidRDefault="009A7E1D" w:rsidP="008F02DF">
            <w:pPr>
              <w:pStyle w:val="TableText0"/>
              <w:keepLines/>
              <w:jc w:val="center"/>
            </w:pPr>
            <w:r w:rsidRPr="00F13554">
              <w:t>66</w:t>
            </w:r>
          </w:p>
        </w:tc>
        <w:tc>
          <w:tcPr>
            <w:tcW w:w="400" w:type="pct"/>
            <w:shd w:val="clear" w:color="auto" w:fill="auto"/>
            <w:vAlign w:val="center"/>
          </w:tcPr>
          <w:p w14:paraId="2814E547" w14:textId="25C3A61E" w:rsidR="009A7E1D" w:rsidRPr="00F13554" w:rsidRDefault="009A7E1D" w:rsidP="008F02DF">
            <w:pPr>
              <w:pStyle w:val="TableText0"/>
              <w:keepLines/>
              <w:jc w:val="center"/>
            </w:pPr>
            <w:r w:rsidRPr="00F13554">
              <w:t>37</w:t>
            </w:r>
          </w:p>
        </w:tc>
        <w:tc>
          <w:tcPr>
            <w:tcW w:w="756" w:type="pct"/>
            <w:shd w:val="clear" w:color="auto" w:fill="auto"/>
            <w:vAlign w:val="center"/>
          </w:tcPr>
          <w:p w14:paraId="44AC8F03" w14:textId="2985A75D" w:rsidR="009A7E1D" w:rsidRPr="00F13554" w:rsidRDefault="009A7E1D" w:rsidP="008F02DF">
            <w:pPr>
              <w:keepNext/>
              <w:keepLines/>
              <w:jc w:val="center"/>
              <w:rPr>
                <w:rFonts w:ascii="Arial Narrow" w:hAnsi="Arial Narrow"/>
                <w:sz w:val="20"/>
                <w:szCs w:val="20"/>
              </w:rPr>
            </w:pPr>
            <w:r w:rsidRPr="00F13554">
              <w:rPr>
                <w:rFonts w:ascii="Arial Narrow" w:hAnsi="Arial Narrow"/>
                <w:sz w:val="20"/>
                <w:szCs w:val="20"/>
              </w:rPr>
              <w:t xml:space="preserve">0.29 </w:t>
            </w:r>
            <w:r w:rsidR="004B1F40" w:rsidRPr="00F13554">
              <w:rPr>
                <w:rFonts w:ascii="Arial Narrow" w:hAnsi="Arial Narrow"/>
                <w:sz w:val="20"/>
                <w:szCs w:val="20"/>
              </w:rPr>
              <w:t>(0.20, 0.38)</w:t>
            </w:r>
          </w:p>
        </w:tc>
      </w:tr>
      <w:tr w:rsidR="00A37297" w:rsidRPr="005A293B" w14:paraId="3F0F3EF8" w14:textId="77777777" w:rsidTr="0012355C">
        <w:tc>
          <w:tcPr>
            <w:tcW w:w="1217" w:type="pct"/>
            <w:shd w:val="clear" w:color="auto" w:fill="auto"/>
            <w:vAlign w:val="center"/>
          </w:tcPr>
          <w:p w14:paraId="6B22B635" w14:textId="61A1AF4F" w:rsidR="009A7E1D" w:rsidRPr="005A293B" w:rsidRDefault="009A7E1D" w:rsidP="008F02DF">
            <w:pPr>
              <w:pStyle w:val="TableText0"/>
              <w:keepLines/>
            </w:pPr>
            <w:r w:rsidRPr="005A293B">
              <w:t>Anaemia</w:t>
            </w:r>
          </w:p>
        </w:tc>
        <w:tc>
          <w:tcPr>
            <w:tcW w:w="628" w:type="pct"/>
            <w:shd w:val="clear" w:color="auto" w:fill="auto"/>
            <w:vAlign w:val="center"/>
          </w:tcPr>
          <w:p w14:paraId="2DB4FF33" w14:textId="700F3351" w:rsidR="009A7E1D" w:rsidRPr="005D2612" w:rsidRDefault="009A7E1D" w:rsidP="008F02DF">
            <w:pPr>
              <w:pStyle w:val="TableText0"/>
              <w:keepLines/>
              <w:jc w:val="center"/>
              <w:rPr>
                <w:szCs w:val="20"/>
              </w:rPr>
            </w:pPr>
            <w:r w:rsidRPr="005D2612">
              <w:t>81/198 (40.9)</w:t>
            </w:r>
          </w:p>
        </w:tc>
        <w:tc>
          <w:tcPr>
            <w:tcW w:w="600" w:type="pct"/>
            <w:shd w:val="clear" w:color="auto" w:fill="auto"/>
            <w:vAlign w:val="center"/>
          </w:tcPr>
          <w:p w14:paraId="13AF0964" w14:textId="6BB64635" w:rsidR="009A7E1D" w:rsidRPr="005D2612" w:rsidRDefault="009A7E1D" w:rsidP="008F02DF">
            <w:pPr>
              <w:pStyle w:val="TableText0"/>
              <w:keepLines/>
              <w:jc w:val="center"/>
              <w:rPr>
                <w:szCs w:val="20"/>
              </w:rPr>
            </w:pPr>
            <w:r w:rsidRPr="005D2612">
              <w:t>9/199 (4.5)</w:t>
            </w:r>
          </w:p>
        </w:tc>
        <w:tc>
          <w:tcPr>
            <w:tcW w:w="866" w:type="pct"/>
            <w:gridSpan w:val="2"/>
            <w:shd w:val="clear" w:color="auto" w:fill="auto"/>
            <w:vAlign w:val="center"/>
          </w:tcPr>
          <w:p w14:paraId="3D080E34" w14:textId="077271EE" w:rsidR="009A7E1D" w:rsidRPr="00F13554" w:rsidRDefault="009A7E1D" w:rsidP="008F02DF">
            <w:pPr>
              <w:pStyle w:val="TableText0"/>
              <w:keepLines/>
              <w:jc w:val="center"/>
            </w:pPr>
            <w:r w:rsidRPr="00F13554">
              <w:t xml:space="preserve">9.04 </w:t>
            </w:r>
            <w:r w:rsidR="00D604C1" w:rsidRPr="00F13554">
              <w:t>(4.65, 17.41)</w:t>
            </w:r>
          </w:p>
        </w:tc>
        <w:tc>
          <w:tcPr>
            <w:tcW w:w="533" w:type="pct"/>
            <w:gridSpan w:val="2"/>
            <w:shd w:val="clear" w:color="auto" w:fill="auto"/>
            <w:vAlign w:val="center"/>
          </w:tcPr>
          <w:p w14:paraId="7915C8AA" w14:textId="7424C42D" w:rsidR="009A7E1D" w:rsidRPr="00F13554" w:rsidRDefault="009A7E1D" w:rsidP="008F02DF">
            <w:pPr>
              <w:pStyle w:val="TableText0"/>
              <w:keepLines/>
              <w:jc w:val="center"/>
            </w:pPr>
            <w:r w:rsidRPr="00F13554">
              <w:t>41</w:t>
            </w:r>
          </w:p>
        </w:tc>
        <w:tc>
          <w:tcPr>
            <w:tcW w:w="400" w:type="pct"/>
            <w:shd w:val="clear" w:color="auto" w:fill="auto"/>
            <w:vAlign w:val="center"/>
          </w:tcPr>
          <w:p w14:paraId="53C0118D" w14:textId="47A940F3" w:rsidR="009A7E1D" w:rsidRPr="00F13554" w:rsidRDefault="009A7E1D" w:rsidP="008F02DF">
            <w:pPr>
              <w:pStyle w:val="TableText0"/>
              <w:keepLines/>
              <w:jc w:val="center"/>
            </w:pPr>
            <w:r w:rsidRPr="00F13554">
              <w:t>4.5</w:t>
            </w:r>
          </w:p>
        </w:tc>
        <w:tc>
          <w:tcPr>
            <w:tcW w:w="756" w:type="pct"/>
            <w:shd w:val="clear" w:color="auto" w:fill="auto"/>
            <w:vAlign w:val="center"/>
          </w:tcPr>
          <w:p w14:paraId="0A6E285D" w14:textId="4C897474" w:rsidR="009A7E1D" w:rsidRPr="00F13554" w:rsidRDefault="009A7E1D" w:rsidP="008F02DF">
            <w:pPr>
              <w:keepNext/>
              <w:keepLines/>
              <w:jc w:val="center"/>
              <w:rPr>
                <w:rFonts w:ascii="Arial Narrow" w:hAnsi="Arial Narrow"/>
                <w:sz w:val="20"/>
                <w:szCs w:val="20"/>
              </w:rPr>
            </w:pPr>
            <w:r w:rsidRPr="00F13554">
              <w:rPr>
                <w:rFonts w:ascii="Arial Narrow" w:hAnsi="Arial Narrow"/>
                <w:sz w:val="20"/>
                <w:szCs w:val="20"/>
              </w:rPr>
              <w:t xml:space="preserve">0.36 </w:t>
            </w:r>
            <w:r w:rsidR="004B1F40" w:rsidRPr="00F13554">
              <w:rPr>
                <w:rFonts w:ascii="Arial Narrow" w:hAnsi="Arial Narrow"/>
                <w:sz w:val="20"/>
                <w:szCs w:val="20"/>
              </w:rPr>
              <w:t>(</w:t>
            </w:r>
            <w:r w:rsidR="00D604C1" w:rsidRPr="00F13554">
              <w:rPr>
                <w:rFonts w:ascii="Arial Narrow" w:hAnsi="Arial Narrow"/>
                <w:sz w:val="20"/>
                <w:szCs w:val="20"/>
              </w:rPr>
              <w:t>0.29, 0.44)</w:t>
            </w:r>
          </w:p>
        </w:tc>
      </w:tr>
      <w:tr w:rsidR="00A37297" w:rsidRPr="005A293B" w14:paraId="18716DC3" w14:textId="77777777" w:rsidTr="0012355C">
        <w:tc>
          <w:tcPr>
            <w:tcW w:w="1217" w:type="pct"/>
            <w:tcBorders>
              <w:bottom w:val="single" w:sz="4" w:space="0" w:color="auto"/>
            </w:tcBorders>
            <w:shd w:val="clear" w:color="auto" w:fill="auto"/>
            <w:vAlign w:val="center"/>
          </w:tcPr>
          <w:p w14:paraId="46EF7900" w14:textId="3478B5A4" w:rsidR="009A7E1D" w:rsidRPr="005A293B" w:rsidRDefault="009A7E1D" w:rsidP="008F02DF">
            <w:pPr>
              <w:pStyle w:val="TableText0"/>
              <w:keepLines/>
              <w:rPr>
                <w:szCs w:val="20"/>
              </w:rPr>
            </w:pPr>
            <w:r w:rsidRPr="005A293B">
              <w:t>Neutrophil count decreased</w:t>
            </w:r>
          </w:p>
        </w:tc>
        <w:tc>
          <w:tcPr>
            <w:tcW w:w="628" w:type="pct"/>
            <w:tcBorders>
              <w:bottom w:val="single" w:sz="4" w:space="0" w:color="auto"/>
            </w:tcBorders>
            <w:shd w:val="clear" w:color="auto" w:fill="auto"/>
            <w:vAlign w:val="center"/>
          </w:tcPr>
          <w:p w14:paraId="6C01C4B9" w14:textId="68C41A6C" w:rsidR="009A7E1D" w:rsidRPr="005D2612" w:rsidRDefault="009A7E1D" w:rsidP="008F02DF">
            <w:pPr>
              <w:pStyle w:val="TableText0"/>
              <w:keepLines/>
              <w:jc w:val="center"/>
              <w:rPr>
                <w:szCs w:val="20"/>
              </w:rPr>
            </w:pPr>
            <w:r w:rsidRPr="005D2612">
              <w:t>37/198 (18.7)</w:t>
            </w:r>
          </w:p>
        </w:tc>
        <w:tc>
          <w:tcPr>
            <w:tcW w:w="600" w:type="pct"/>
            <w:tcBorders>
              <w:bottom w:val="single" w:sz="4" w:space="0" w:color="auto"/>
            </w:tcBorders>
            <w:shd w:val="clear" w:color="auto" w:fill="auto"/>
            <w:vAlign w:val="center"/>
          </w:tcPr>
          <w:p w14:paraId="1AE4D13D" w14:textId="361BD70C" w:rsidR="009A7E1D" w:rsidRPr="005D2612" w:rsidRDefault="009A7E1D" w:rsidP="008F02DF">
            <w:pPr>
              <w:pStyle w:val="TableText0"/>
              <w:keepLines/>
              <w:jc w:val="center"/>
              <w:rPr>
                <w:szCs w:val="20"/>
              </w:rPr>
            </w:pPr>
            <w:r w:rsidRPr="005D2612">
              <w:t>2/199 (1.0)</w:t>
            </w:r>
          </w:p>
        </w:tc>
        <w:tc>
          <w:tcPr>
            <w:tcW w:w="866" w:type="pct"/>
            <w:gridSpan w:val="2"/>
            <w:tcBorders>
              <w:bottom w:val="single" w:sz="4" w:space="0" w:color="auto"/>
            </w:tcBorders>
            <w:shd w:val="clear" w:color="auto" w:fill="auto"/>
            <w:vAlign w:val="center"/>
          </w:tcPr>
          <w:p w14:paraId="573BD784" w14:textId="50455A6F" w:rsidR="009A7E1D" w:rsidRPr="00F13554" w:rsidRDefault="009A7E1D" w:rsidP="008F02DF">
            <w:pPr>
              <w:pStyle w:val="TableText0"/>
              <w:keepLines/>
              <w:jc w:val="center"/>
            </w:pPr>
            <w:r w:rsidRPr="00F13554">
              <w:t xml:space="preserve">18.59 </w:t>
            </w:r>
            <w:r w:rsidR="00D604C1" w:rsidRPr="00F13554">
              <w:t>(</w:t>
            </w:r>
            <w:r w:rsidR="00A37297" w:rsidRPr="00F13554">
              <w:t>4.54, 76.10)</w:t>
            </w:r>
          </w:p>
        </w:tc>
        <w:tc>
          <w:tcPr>
            <w:tcW w:w="533" w:type="pct"/>
            <w:gridSpan w:val="2"/>
            <w:tcBorders>
              <w:bottom w:val="single" w:sz="4" w:space="0" w:color="auto"/>
            </w:tcBorders>
            <w:shd w:val="clear" w:color="auto" w:fill="auto"/>
            <w:vAlign w:val="center"/>
          </w:tcPr>
          <w:p w14:paraId="2DC7D24C" w14:textId="42385B55" w:rsidR="009A7E1D" w:rsidRPr="00F13554" w:rsidRDefault="009A7E1D" w:rsidP="008F02DF">
            <w:pPr>
              <w:pStyle w:val="TableText0"/>
              <w:keepLines/>
              <w:jc w:val="center"/>
            </w:pPr>
            <w:r w:rsidRPr="00F13554">
              <w:t>19</w:t>
            </w:r>
          </w:p>
        </w:tc>
        <w:tc>
          <w:tcPr>
            <w:tcW w:w="400" w:type="pct"/>
            <w:tcBorders>
              <w:bottom w:val="single" w:sz="4" w:space="0" w:color="auto"/>
            </w:tcBorders>
            <w:shd w:val="clear" w:color="auto" w:fill="auto"/>
            <w:vAlign w:val="center"/>
          </w:tcPr>
          <w:p w14:paraId="65DB844D" w14:textId="0714A1AD" w:rsidR="009A7E1D" w:rsidRPr="00F13554" w:rsidRDefault="009A7E1D" w:rsidP="008F02DF">
            <w:pPr>
              <w:pStyle w:val="TableText0"/>
              <w:keepLines/>
              <w:jc w:val="center"/>
            </w:pPr>
            <w:r w:rsidRPr="00F13554">
              <w:t>1</w:t>
            </w:r>
          </w:p>
        </w:tc>
        <w:tc>
          <w:tcPr>
            <w:tcW w:w="756" w:type="pct"/>
            <w:tcBorders>
              <w:bottom w:val="single" w:sz="4" w:space="0" w:color="auto"/>
            </w:tcBorders>
            <w:shd w:val="clear" w:color="auto" w:fill="auto"/>
            <w:vAlign w:val="center"/>
          </w:tcPr>
          <w:p w14:paraId="316F5DE2" w14:textId="0FAB3B6E" w:rsidR="009A7E1D" w:rsidRPr="00F13554" w:rsidRDefault="009A7E1D" w:rsidP="008F02DF">
            <w:pPr>
              <w:keepNext/>
              <w:keepLines/>
              <w:jc w:val="center"/>
              <w:rPr>
                <w:rFonts w:ascii="Arial Narrow" w:hAnsi="Arial Narrow"/>
                <w:sz w:val="20"/>
                <w:szCs w:val="20"/>
              </w:rPr>
            </w:pPr>
            <w:r w:rsidRPr="00F13554">
              <w:rPr>
                <w:rFonts w:ascii="Arial Narrow" w:hAnsi="Arial Narrow"/>
                <w:sz w:val="20"/>
                <w:szCs w:val="20"/>
              </w:rPr>
              <w:t xml:space="preserve">0.18 </w:t>
            </w:r>
            <w:r w:rsidR="00D604C1" w:rsidRPr="00F13554">
              <w:rPr>
                <w:rFonts w:ascii="Arial Narrow" w:hAnsi="Arial Narrow"/>
                <w:sz w:val="20"/>
                <w:szCs w:val="20"/>
              </w:rPr>
              <w:t>(0.12, 0.23)</w:t>
            </w:r>
          </w:p>
        </w:tc>
      </w:tr>
      <w:tr w:rsidR="00A37297" w:rsidRPr="005A293B" w14:paraId="74FD5253" w14:textId="77777777" w:rsidTr="0012355C">
        <w:tc>
          <w:tcPr>
            <w:tcW w:w="1217" w:type="pct"/>
            <w:tcBorders>
              <w:bottom w:val="single" w:sz="4" w:space="0" w:color="auto"/>
            </w:tcBorders>
            <w:shd w:val="clear" w:color="auto" w:fill="auto"/>
            <w:vAlign w:val="center"/>
          </w:tcPr>
          <w:p w14:paraId="3044ED47" w14:textId="15DD2F3F" w:rsidR="009A7E1D" w:rsidRPr="005A293B" w:rsidRDefault="009A7E1D" w:rsidP="008F02DF">
            <w:pPr>
              <w:pStyle w:val="TableText0"/>
              <w:keepLines/>
              <w:rPr>
                <w:szCs w:val="20"/>
              </w:rPr>
            </w:pPr>
            <w:r w:rsidRPr="005A293B">
              <w:t>Platelet count decreased</w:t>
            </w:r>
          </w:p>
        </w:tc>
        <w:tc>
          <w:tcPr>
            <w:tcW w:w="628" w:type="pct"/>
            <w:tcBorders>
              <w:bottom w:val="single" w:sz="4" w:space="0" w:color="auto"/>
            </w:tcBorders>
            <w:shd w:val="clear" w:color="auto" w:fill="auto"/>
            <w:vAlign w:val="center"/>
          </w:tcPr>
          <w:p w14:paraId="5F4F90F0" w14:textId="6515A699" w:rsidR="009A7E1D" w:rsidRPr="005D2612" w:rsidRDefault="009A7E1D" w:rsidP="008F02DF">
            <w:pPr>
              <w:pStyle w:val="TableText0"/>
              <w:keepLines/>
              <w:jc w:val="center"/>
              <w:rPr>
                <w:szCs w:val="20"/>
              </w:rPr>
            </w:pPr>
            <w:r w:rsidRPr="005D2612">
              <w:t>14/198 (7.1)</w:t>
            </w:r>
          </w:p>
        </w:tc>
        <w:tc>
          <w:tcPr>
            <w:tcW w:w="600" w:type="pct"/>
            <w:tcBorders>
              <w:bottom w:val="single" w:sz="4" w:space="0" w:color="auto"/>
            </w:tcBorders>
            <w:shd w:val="clear" w:color="auto" w:fill="auto"/>
            <w:vAlign w:val="center"/>
          </w:tcPr>
          <w:p w14:paraId="0A78205B" w14:textId="0AA5211D" w:rsidR="009A7E1D" w:rsidRPr="005D2612" w:rsidRDefault="009A7E1D" w:rsidP="008F02DF">
            <w:pPr>
              <w:pStyle w:val="TableText0"/>
              <w:keepLines/>
              <w:jc w:val="center"/>
              <w:rPr>
                <w:szCs w:val="20"/>
              </w:rPr>
            </w:pPr>
            <w:r w:rsidRPr="005D2612">
              <w:t>1/199 (0.5)</w:t>
            </w:r>
          </w:p>
        </w:tc>
        <w:tc>
          <w:tcPr>
            <w:tcW w:w="866" w:type="pct"/>
            <w:gridSpan w:val="2"/>
            <w:tcBorders>
              <w:bottom w:val="single" w:sz="4" w:space="0" w:color="auto"/>
            </w:tcBorders>
            <w:shd w:val="clear" w:color="auto" w:fill="auto"/>
            <w:vAlign w:val="center"/>
          </w:tcPr>
          <w:p w14:paraId="3D7DFC61" w14:textId="3FC3A88C" w:rsidR="009A7E1D" w:rsidRPr="00F13554" w:rsidRDefault="009A7E1D" w:rsidP="008F02DF">
            <w:pPr>
              <w:pStyle w:val="TableText0"/>
              <w:keepLines/>
              <w:jc w:val="center"/>
            </w:pPr>
            <w:r w:rsidRPr="00F13554">
              <w:t xml:space="preserve">14.07 </w:t>
            </w:r>
            <w:r w:rsidR="005D2612">
              <w:br/>
            </w:r>
            <w:r w:rsidR="00A37297" w:rsidRPr="00F13554">
              <w:t>(1.87, 105.98)</w:t>
            </w:r>
          </w:p>
        </w:tc>
        <w:tc>
          <w:tcPr>
            <w:tcW w:w="533" w:type="pct"/>
            <w:gridSpan w:val="2"/>
            <w:tcBorders>
              <w:bottom w:val="single" w:sz="4" w:space="0" w:color="auto"/>
            </w:tcBorders>
            <w:shd w:val="clear" w:color="auto" w:fill="auto"/>
            <w:vAlign w:val="center"/>
          </w:tcPr>
          <w:p w14:paraId="2547ED5B" w14:textId="2AAA6367" w:rsidR="009A7E1D" w:rsidRPr="00F13554" w:rsidRDefault="009A7E1D" w:rsidP="008F02DF">
            <w:pPr>
              <w:pStyle w:val="TableText0"/>
              <w:keepLines/>
              <w:jc w:val="center"/>
            </w:pPr>
            <w:r w:rsidRPr="00F13554">
              <w:t>7</w:t>
            </w:r>
          </w:p>
        </w:tc>
        <w:tc>
          <w:tcPr>
            <w:tcW w:w="400" w:type="pct"/>
            <w:tcBorders>
              <w:bottom w:val="single" w:sz="4" w:space="0" w:color="auto"/>
            </w:tcBorders>
            <w:shd w:val="clear" w:color="auto" w:fill="auto"/>
            <w:vAlign w:val="center"/>
          </w:tcPr>
          <w:p w14:paraId="536986E9" w14:textId="23EF33FE" w:rsidR="009A7E1D" w:rsidRPr="00F13554" w:rsidRDefault="009A7E1D" w:rsidP="008F02DF">
            <w:pPr>
              <w:pStyle w:val="TableText0"/>
              <w:keepLines/>
              <w:jc w:val="center"/>
            </w:pPr>
            <w:r w:rsidRPr="00F13554">
              <w:t>0.5</w:t>
            </w:r>
          </w:p>
        </w:tc>
        <w:tc>
          <w:tcPr>
            <w:tcW w:w="756" w:type="pct"/>
            <w:tcBorders>
              <w:bottom w:val="single" w:sz="4" w:space="0" w:color="auto"/>
            </w:tcBorders>
            <w:shd w:val="clear" w:color="auto" w:fill="auto"/>
            <w:vAlign w:val="center"/>
          </w:tcPr>
          <w:p w14:paraId="12698418" w14:textId="06560480" w:rsidR="009A7E1D" w:rsidRPr="00F13554" w:rsidRDefault="009A7E1D" w:rsidP="008F02DF">
            <w:pPr>
              <w:keepNext/>
              <w:keepLines/>
              <w:jc w:val="center"/>
              <w:rPr>
                <w:rFonts w:ascii="Arial Narrow" w:hAnsi="Arial Narrow"/>
                <w:sz w:val="20"/>
                <w:szCs w:val="20"/>
              </w:rPr>
            </w:pPr>
            <w:r w:rsidRPr="00F13554">
              <w:rPr>
                <w:rFonts w:ascii="Arial Narrow" w:hAnsi="Arial Narrow"/>
                <w:sz w:val="20"/>
                <w:szCs w:val="20"/>
              </w:rPr>
              <w:t xml:space="preserve">0.06 </w:t>
            </w:r>
            <w:r w:rsidR="00D604C1" w:rsidRPr="00F13554">
              <w:rPr>
                <w:rFonts w:ascii="Arial Narrow" w:hAnsi="Arial Narrow"/>
                <w:sz w:val="20"/>
                <w:szCs w:val="20"/>
              </w:rPr>
              <w:t>(0.29, 0.10)</w:t>
            </w:r>
          </w:p>
        </w:tc>
      </w:tr>
      <w:tr w:rsidR="00A37297" w:rsidRPr="005A293B" w14:paraId="7AEBF3F2" w14:textId="77777777" w:rsidTr="0012355C">
        <w:tc>
          <w:tcPr>
            <w:tcW w:w="1217" w:type="pct"/>
            <w:shd w:val="clear" w:color="auto" w:fill="auto"/>
            <w:vAlign w:val="center"/>
          </w:tcPr>
          <w:p w14:paraId="16B06ED1" w14:textId="2CF76650" w:rsidR="009A7E1D" w:rsidRPr="005A293B" w:rsidRDefault="00A37297" w:rsidP="008F02DF">
            <w:pPr>
              <w:pStyle w:val="TableText0"/>
              <w:keepLines/>
              <w:rPr>
                <w:szCs w:val="20"/>
              </w:rPr>
            </w:pPr>
            <w:r>
              <w:t xml:space="preserve">WBC </w:t>
            </w:r>
            <w:r w:rsidR="009A7E1D" w:rsidRPr="005A293B">
              <w:t>decreased</w:t>
            </w:r>
          </w:p>
        </w:tc>
        <w:tc>
          <w:tcPr>
            <w:tcW w:w="628" w:type="pct"/>
            <w:shd w:val="clear" w:color="auto" w:fill="auto"/>
            <w:vAlign w:val="center"/>
          </w:tcPr>
          <w:p w14:paraId="09981209" w14:textId="7BF40DBA" w:rsidR="009A7E1D" w:rsidRPr="005D2612" w:rsidRDefault="009A7E1D" w:rsidP="008F02DF">
            <w:pPr>
              <w:pStyle w:val="TableText0"/>
              <w:keepLines/>
              <w:jc w:val="center"/>
              <w:rPr>
                <w:szCs w:val="20"/>
              </w:rPr>
            </w:pPr>
            <w:r w:rsidRPr="005D2612">
              <w:t>11/198 (5.6)</w:t>
            </w:r>
          </w:p>
        </w:tc>
        <w:tc>
          <w:tcPr>
            <w:tcW w:w="600" w:type="pct"/>
            <w:shd w:val="clear" w:color="auto" w:fill="auto"/>
            <w:vAlign w:val="center"/>
          </w:tcPr>
          <w:p w14:paraId="29F88909" w14:textId="5CBFA19D" w:rsidR="009A7E1D" w:rsidRPr="005D2612" w:rsidRDefault="009A7E1D" w:rsidP="008F02DF">
            <w:pPr>
              <w:pStyle w:val="TableText0"/>
              <w:keepLines/>
              <w:jc w:val="center"/>
              <w:rPr>
                <w:szCs w:val="20"/>
              </w:rPr>
            </w:pPr>
            <w:r w:rsidRPr="005D2612">
              <w:t>0/199 (0)</w:t>
            </w:r>
          </w:p>
        </w:tc>
        <w:tc>
          <w:tcPr>
            <w:tcW w:w="866" w:type="pct"/>
            <w:gridSpan w:val="2"/>
            <w:shd w:val="clear" w:color="auto" w:fill="auto"/>
            <w:vAlign w:val="center"/>
          </w:tcPr>
          <w:p w14:paraId="3EADE6BA" w14:textId="34BCEEB4" w:rsidR="009A7E1D" w:rsidRPr="00F13554" w:rsidRDefault="006C15F7" w:rsidP="008F02DF">
            <w:pPr>
              <w:pStyle w:val="TableText0"/>
              <w:keepLines/>
              <w:jc w:val="center"/>
            </w:pPr>
            <w:r w:rsidRPr="00F13554">
              <w:t xml:space="preserve">23.12 </w:t>
            </w:r>
            <w:r w:rsidR="005D2612">
              <w:br/>
            </w:r>
            <w:r w:rsidRPr="00F13554">
              <w:t>(1.37, 389.60)</w:t>
            </w:r>
          </w:p>
        </w:tc>
        <w:tc>
          <w:tcPr>
            <w:tcW w:w="533" w:type="pct"/>
            <w:gridSpan w:val="2"/>
            <w:shd w:val="clear" w:color="auto" w:fill="auto"/>
            <w:vAlign w:val="center"/>
          </w:tcPr>
          <w:p w14:paraId="307939D9" w14:textId="0F39C410" w:rsidR="009A7E1D" w:rsidRPr="00F13554" w:rsidRDefault="009A7E1D" w:rsidP="008F02DF">
            <w:pPr>
              <w:pStyle w:val="TableText0"/>
              <w:keepLines/>
              <w:jc w:val="center"/>
            </w:pPr>
            <w:r w:rsidRPr="00F13554">
              <w:t>5.5</w:t>
            </w:r>
          </w:p>
        </w:tc>
        <w:tc>
          <w:tcPr>
            <w:tcW w:w="400" w:type="pct"/>
            <w:shd w:val="clear" w:color="auto" w:fill="auto"/>
            <w:vAlign w:val="center"/>
          </w:tcPr>
          <w:p w14:paraId="35AD103A" w14:textId="3D8B1C80" w:rsidR="009A7E1D" w:rsidRPr="00F13554" w:rsidRDefault="009A7E1D" w:rsidP="008F02DF">
            <w:pPr>
              <w:pStyle w:val="TableText0"/>
              <w:keepLines/>
              <w:jc w:val="center"/>
            </w:pPr>
            <w:r w:rsidRPr="00F13554">
              <w:t>0</w:t>
            </w:r>
          </w:p>
        </w:tc>
        <w:tc>
          <w:tcPr>
            <w:tcW w:w="756" w:type="pct"/>
            <w:shd w:val="clear" w:color="auto" w:fill="auto"/>
            <w:vAlign w:val="center"/>
          </w:tcPr>
          <w:p w14:paraId="4B54451B" w14:textId="148F492C" w:rsidR="009A7E1D" w:rsidRPr="00F13554" w:rsidRDefault="009A7E1D" w:rsidP="008F02DF">
            <w:pPr>
              <w:keepNext/>
              <w:keepLines/>
              <w:jc w:val="center"/>
              <w:rPr>
                <w:rFonts w:ascii="Arial Narrow" w:hAnsi="Arial Narrow"/>
                <w:sz w:val="20"/>
                <w:szCs w:val="20"/>
              </w:rPr>
            </w:pPr>
            <w:r w:rsidRPr="00F13554">
              <w:rPr>
                <w:rFonts w:ascii="Arial Narrow" w:hAnsi="Arial Narrow"/>
                <w:sz w:val="20"/>
                <w:szCs w:val="20"/>
              </w:rPr>
              <w:t>0.0</w:t>
            </w:r>
            <w:r w:rsidR="00D604C1" w:rsidRPr="00F13554">
              <w:rPr>
                <w:rFonts w:ascii="Arial Narrow" w:hAnsi="Arial Narrow"/>
                <w:sz w:val="20"/>
                <w:szCs w:val="20"/>
              </w:rPr>
              <w:t>6 (0.02, 0.09)</w:t>
            </w:r>
          </w:p>
        </w:tc>
      </w:tr>
      <w:tr w:rsidR="005D2612" w:rsidRPr="005A293B" w14:paraId="1424DF5A" w14:textId="77777777" w:rsidTr="0012355C">
        <w:tc>
          <w:tcPr>
            <w:tcW w:w="1217" w:type="pct"/>
            <w:shd w:val="clear" w:color="auto" w:fill="auto"/>
            <w:vAlign w:val="center"/>
          </w:tcPr>
          <w:p w14:paraId="772FFD67" w14:textId="35E91420" w:rsidR="00E01D22" w:rsidRDefault="00E01D22" w:rsidP="008F02DF">
            <w:pPr>
              <w:pStyle w:val="TableText0"/>
              <w:keepLines/>
            </w:pPr>
            <w:r w:rsidRPr="002E1047">
              <w:rPr>
                <w:rFonts w:eastAsia="Calibri" w:cs="Times New Roman"/>
                <w:szCs w:val="20"/>
              </w:rPr>
              <w:t>Asthenia or fatigue</w:t>
            </w:r>
          </w:p>
        </w:tc>
        <w:tc>
          <w:tcPr>
            <w:tcW w:w="628" w:type="pct"/>
            <w:shd w:val="clear" w:color="auto" w:fill="auto"/>
            <w:vAlign w:val="center"/>
          </w:tcPr>
          <w:p w14:paraId="071945F8" w14:textId="650B48E3" w:rsidR="00E01D22" w:rsidRPr="005D2612" w:rsidRDefault="00E01D22" w:rsidP="008F02DF">
            <w:pPr>
              <w:pStyle w:val="TableText0"/>
              <w:keepLines/>
              <w:jc w:val="center"/>
            </w:pPr>
            <w:r w:rsidRPr="005D2612">
              <w:rPr>
                <w:rFonts w:eastAsia="Calibri" w:cs="Times New Roman"/>
                <w:szCs w:val="20"/>
              </w:rPr>
              <w:t>4/198 (2.0)</w:t>
            </w:r>
          </w:p>
        </w:tc>
        <w:tc>
          <w:tcPr>
            <w:tcW w:w="600" w:type="pct"/>
            <w:shd w:val="clear" w:color="auto" w:fill="auto"/>
            <w:vAlign w:val="center"/>
          </w:tcPr>
          <w:p w14:paraId="6F9DDDC8" w14:textId="14FD8358" w:rsidR="00E01D22" w:rsidRPr="005D2612" w:rsidRDefault="00E01D22" w:rsidP="008F02DF">
            <w:pPr>
              <w:pStyle w:val="TableText0"/>
              <w:keepLines/>
              <w:jc w:val="center"/>
            </w:pPr>
            <w:r w:rsidRPr="005D2612">
              <w:rPr>
                <w:rFonts w:eastAsia="Calibri" w:cs="Times New Roman"/>
                <w:szCs w:val="20"/>
              </w:rPr>
              <w:t>0/199 (1.0)</w:t>
            </w:r>
          </w:p>
        </w:tc>
        <w:tc>
          <w:tcPr>
            <w:tcW w:w="866" w:type="pct"/>
            <w:gridSpan w:val="2"/>
            <w:shd w:val="clear" w:color="auto" w:fill="auto"/>
          </w:tcPr>
          <w:p w14:paraId="165245AF" w14:textId="547AC30D" w:rsidR="00E01D22" w:rsidRPr="00F13554" w:rsidRDefault="00E01D22" w:rsidP="008F02DF">
            <w:pPr>
              <w:pStyle w:val="TableText0"/>
              <w:keepLines/>
              <w:jc w:val="center"/>
            </w:pPr>
            <w:r w:rsidRPr="00F13554">
              <w:rPr>
                <w:rFonts w:eastAsia="Calibri" w:cs="Times New Roman"/>
                <w:szCs w:val="20"/>
              </w:rPr>
              <w:t xml:space="preserve">9.04 </w:t>
            </w:r>
            <w:r w:rsidR="005D2612">
              <w:rPr>
                <w:rFonts w:eastAsia="Calibri" w:cs="Times New Roman"/>
                <w:szCs w:val="20"/>
              </w:rPr>
              <w:br/>
            </w:r>
            <w:r w:rsidRPr="00F13554">
              <w:rPr>
                <w:rFonts w:eastAsia="Calibri" w:cs="Times New Roman"/>
                <w:szCs w:val="20"/>
              </w:rPr>
              <w:t>(0.49, 166.90)</w:t>
            </w:r>
          </w:p>
        </w:tc>
        <w:tc>
          <w:tcPr>
            <w:tcW w:w="533" w:type="pct"/>
            <w:gridSpan w:val="2"/>
            <w:shd w:val="clear" w:color="auto" w:fill="auto"/>
            <w:vAlign w:val="center"/>
          </w:tcPr>
          <w:p w14:paraId="6D480025" w14:textId="73AAD071" w:rsidR="00E01D22" w:rsidRPr="00F13554" w:rsidRDefault="00E01D22" w:rsidP="008F02DF">
            <w:pPr>
              <w:pStyle w:val="TableText0"/>
              <w:keepLines/>
              <w:jc w:val="center"/>
            </w:pPr>
            <w:r w:rsidRPr="00F13554">
              <w:t>2</w:t>
            </w:r>
          </w:p>
        </w:tc>
        <w:tc>
          <w:tcPr>
            <w:tcW w:w="400" w:type="pct"/>
            <w:shd w:val="clear" w:color="auto" w:fill="auto"/>
            <w:vAlign w:val="center"/>
          </w:tcPr>
          <w:p w14:paraId="7E3A86C5" w14:textId="1FEC9E46" w:rsidR="00E01D22" w:rsidRPr="00F13554" w:rsidRDefault="00E01D22" w:rsidP="008F02DF">
            <w:pPr>
              <w:pStyle w:val="TableText0"/>
              <w:keepLines/>
              <w:jc w:val="center"/>
            </w:pPr>
            <w:r w:rsidRPr="00F13554">
              <w:t>0</w:t>
            </w:r>
          </w:p>
        </w:tc>
        <w:tc>
          <w:tcPr>
            <w:tcW w:w="756" w:type="pct"/>
            <w:shd w:val="clear" w:color="auto" w:fill="auto"/>
            <w:vAlign w:val="center"/>
          </w:tcPr>
          <w:p w14:paraId="2651332C" w14:textId="66427B6A" w:rsidR="00E01D22" w:rsidRPr="00F13554" w:rsidRDefault="00E01D22" w:rsidP="008F02DF">
            <w:pPr>
              <w:keepNext/>
              <w:keepLines/>
              <w:jc w:val="center"/>
              <w:rPr>
                <w:rFonts w:ascii="Arial Narrow" w:hAnsi="Arial Narrow"/>
                <w:sz w:val="20"/>
                <w:szCs w:val="20"/>
              </w:rPr>
            </w:pPr>
            <w:r w:rsidRPr="00F13554">
              <w:rPr>
                <w:rFonts w:ascii="Arial Narrow" w:hAnsi="Arial Narrow"/>
                <w:sz w:val="20"/>
                <w:szCs w:val="20"/>
              </w:rPr>
              <w:t>0.02 (-0.01, 0.04)</w:t>
            </w:r>
          </w:p>
        </w:tc>
      </w:tr>
    </w:tbl>
    <w:p w14:paraId="2AE9AD2C" w14:textId="51178362" w:rsidR="00BC44DC" w:rsidRPr="000B725B" w:rsidRDefault="00EB5B42" w:rsidP="005C70FC">
      <w:pPr>
        <w:pStyle w:val="TableFooter"/>
        <w:keepNext/>
        <w:keepLines/>
        <w:jc w:val="both"/>
      </w:pPr>
      <w:r w:rsidRPr="000B725B">
        <w:t>Source: compiled during the evaluation</w:t>
      </w:r>
      <w:r w:rsidR="00D604C1" w:rsidRPr="000B725B">
        <w:t>,</w:t>
      </w:r>
      <w:r w:rsidR="006C15F7" w:rsidRPr="000B725B">
        <w:t xml:space="preserve"> RR, RD and</w:t>
      </w:r>
      <w:r w:rsidR="00D604C1" w:rsidRPr="000B725B">
        <w:t xml:space="preserve"> confidence intervals </w:t>
      </w:r>
      <w:r w:rsidR="006C15F7" w:rsidRPr="000B725B">
        <w:t>generated using RevMan.5.4.1.</w:t>
      </w:r>
    </w:p>
    <w:p w14:paraId="340B4A3B" w14:textId="327B1F0E" w:rsidR="00864ABF" w:rsidRPr="000B725B" w:rsidRDefault="00A41905" w:rsidP="005C70FC">
      <w:pPr>
        <w:pStyle w:val="TableFooter"/>
        <w:keepNext/>
        <w:keepLines/>
        <w:jc w:val="both"/>
      </w:pPr>
      <w:r w:rsidRPr="000B725B">
        <w:t>BRCA</w:t>
      </w:r>
      <w:r w:rsidR="001611B5" w:rsidRPr="000B725B">
        <w:t xml:space="preserve">=breast cancer gene, </w:t>
      </w:r>
      <w:r w:rsidR="00255D29" w:rsidRPr="000B725B">
        <w:t xml:space="preserve">BICR=blinded independent central review; </w:t>
      </w:r>
      <w:r w:rsidR="00545667" w:rsidRPr="000B725B">
        <w:t xml:space="preserve">CI=confidence interval; </w:t>
      </w:r>
      <w:r w:rsidR="004001D6" w:rsidRPr="000B725B">
        <w:t xml:space="preserve">DCO=data cut-off; </w:t>
      </w:r>
      <w:r w:rsidR="00141699" w:rsidRPr="000B725B">
        <w:t xml:space="preserve">ENZ=enzalutamide; </w:t>
      </w:r>
      <w:r w:rsidR="00545667" w:rsidRPr="000B725B">
        <w:t>HR=hazard ratio; RD=risk difference</w:t>
      </w:r>
      <w:r w:rsidR="00141699" w:rsidRPr="000B725B">
        <w:t>; TAL=talazoparib; TEAE=treatment-emergent adverse event</w:t>
      </w:r>
      <w:r w:rsidR="00A37297" w:rsidRPr="000B725B">
        <w:t>, WBC=white blood cell count</w:t>
      </w:r>
    </w:p>
    <w:p w14:paraId="4D502A7E" w14:textId="01BCD0EB" w:rsidR="00A26DA7" w:rsidRDefault="00A26DA7" w:rsidP="005C70FC">
      <w:pPr>
        <w:pStyle w:val="TableFooter"/>
        <w:keepNext/>
        <w:keepLines/>
        <w:jc w:val="both"/>
      </w:pPr>
      <w:r w:rsidRPr="000B725B">
        <w:t>^</w:t>
      </w:r>
      <w:r w:rsidRPr="000B725B">
        <w:tab/>
        <w:t>Estimated from KM curves presented in the submission.</w:t>
      </w:r>
    </w:p>
    <w:p w14:paraId="6FC815EE" w14:textId="15C79182" w:rsidR="00061706" w:rsidRPr="000B725B" w:rsidRDefault="00061706" w:rsidP="005C70FC">
      <w:pPr>
        <w:pStyle w:val="TableFooter"/>
        <w:keepNext/>
        <w:keepLines/>
        <w:jc w:val="both"/>
      </w:pPr>
      <w:r>
        <w:t>* Calculated during evaluation</w:t>
      </w:r>
    </w:p>
    <w:p w14:paraId="09922FC9" w14:textId="1D2FBC24" w:rsidR="00061706" w:rsidRPr="000B725B" w:rsidRDefault="00864ABF" w:rsidP="00061706">
      <w:pPr>
        <w:pStyle w:val="FooterTableFigure"/>
        <w:ind w:left="165" w:hanging="165"/>
        <w:jc w:val="both"/>
      </w:pPr>
      <w:r w:rsidRPr="000B725B">
        <w:rPr>
          <w:vertAlign w:val="superscript"/>
        </w:rPr>
        <w:t>a</w:t>
      </w:r>
      <w:r w:rsidR="004001D6" w:rsidRPr="000B725B">
        <w:rPr>
          <w:vertAlign w:val="superscript"/>
        </w:rPr>
        <w:tab/>
      </w:r>
      <w:r w:rsidR="00DF42CA" w:rsidRPr="000B725B">
        <w:t xml:space="preserve">Median follow-up period was reported to be 17 and 26 months in </w:t>
      </w:r>
      <w:r w:rsidR="00A302BA" w:rsidRPr="000B725B">
        <w:t xml:space="preserve">Cohort 2 as of </w:t>
      </w:r>
      <w:r w:rsidR="00DF42CA" w:rsidRPr="000B725B">
        <w:t>DCO 3 October 2022 and 28 March 2023, respectively (Table 3.9-1, p175 of the submission).</w:t>
      </w:r>
      <w:r w:rsidR="00A302BA" w:rsidRPr="000B725B">
        <w:t xml:space="preserve"> This was not reported for the </w:t>
      </w:r>
      <w:r w:rsidR="00A302BA" w:rsidRPr="000337F9">
        <w:rPr>
          <w:i/>
          <w:iCs/>
        </w:rPr>
        <w:t>BRCA1/2</w:t>
      </w:r>
      <w:r w:rsidR="00A302BA" w:rsidRPr="000B725B">
        <w:t xml:space="preserve"> subgroup.</w:t>
      </w:r>
    </w:p>
    <w:p w14:paraId="1F64AC50" w14:textId="041098A6" w:rsidR="004001D6" w:rsidRPr="000B725B" w:rsidRDefault="004001D6" w:rsidP="005C70FC">
      <w:pPr>
        <w:pStyle w:val="3-BodyText"/>
      </w:pPr>
      <w:r w:rsidRPr="000B725B">
        <w:t xml:space="preserve">On the basis of </w:t>
      </w:r>
      <w:r w:rsidR="006C15F7" w:rsidRPr="000B725B">
        <w:t xml:space="preserve">direct evidence </w:t>
      </w:r>
      <w:r w:rsidRPr="000B725B">
        <w:t xml:space="preserve">for the </w:t>
      </w:r>
      <w:r w:rsidR="006C3ED1" w:rsidRPr="000337F9">
        <w:rPr>
          <w:i/>
          <w:iCs/>
        </w:rPr>
        <w:t>BRCA1/2</w:t>
      </w:r>
      <w:r w:rsidRPr="000B725B">
        <w:t xml:space="preserve"> subgroup</w:t>
      </w:r>
      <w:r w:rsidR="006C15F7" w:rsidRPr="000B725B">
        <w:t xml:space="preserve"> from Cohort 2</w:t>
      </w:r>
      <w:r w:rsidR="00267E37" w:rsidRPr="000B725B">
        <w:t xml:space="preserve"> of the TALAPRO- 2 trial</w:t>
      </w:r>
      <w:r w:rsidR="006C15F7" w:rsidRPr="000B725B">
        <w:t>, for every 100 patients treated with talazoparib + enzalutamide in comparison with enzalutamide</w:t>
      </w:r>
      <w:r w:rsidR="003B47E9" w:rsidRPr="000B725B">
        <w:t xml:space="preserve">: </w:t>
      </w:r>
    </w:p>
    <w:p w14:paraId="42FF00CA" w14:textId="1329B3F0" w:rsidR="006C15F7" w:rsidRPr="000B725B" w:rsidRDefault="006C15F7" w:rsidP="005C70FC">
      <w:pPr>
        <w:pStyle w:val="ListParagraph"/>
        <w:ind w:left="1134" w:hanging="357"/>
      </w:pPr>
      <w:r w:rsidRPr="000B725B">
        <w:t xml:space="preserve">Approximately </w:t>
      </w:r>
      <w:r w:rsidR="009A03D9" w:rsidRPr="000B725B">
        <w:t>45 additional patients at 12 months and 24 months will remain progression free.</w:t>
      </w:r>
    </w:p>
    <w:p w14:paraId="40972C2E" w14:textId="4BC5523E" w:rsidR="009A03D9" w:rsidRPr="000B725B" w:rsidRDefault="009A03D9" w:rsidP="005C70FC">
      <w:pPr>
        <w:pStyle w:val="ListParagraph"/>
        <w:ind w:left="1134" w:hanging="357"/>
      </w:pPr>
      <w:r w:rsidRPr="000B725B">
        <w:t xml:space="preserve">Approximately 5, 20, and 30 </w:t>
      </w:r>
      <w:r w:rsidR="00C665B7" w:rsidRPr="000B725B">
        <w:t xml:space="preserve">additional </w:t>
      </w:r>
      <w:r w:rsidRPr="000B725B">
        <w:t>patients will remain alive after 12, 24 and 36 months, respectively.</w:t>
      </w:r>
    </w:p>
    <w:p w14:paraId="3DC754A2" w14:textId="7FF127E8" w:rsidR="00184B0E" w:rsidRPr="000B725B" w:rsidRDefault="002441D2" w:rsidP="005C70FC">
      <w:pPr>
        <w:pStyle w:val="ListParagraph"/>
        <w:ind w:left="1134" w:hanging="357"/>
      </w:pPr>
      <w:r w:rsidRPr="000B725B">
        <w:t xml:space="preserve">Approximately </w:t>
      </w:r>
      <w:r w:rsidR="00C75E4E" w:rsidRPr="000B725B">
        <w:t>29</w:t>
      </w:r>
      <w:r w:rsidR="004001D6" w:rsidRPr="000B725B">
        <w:t xml:space="preserve"> additional patients would experience </w:t>
      </w:r>
      <w:r w:rsidR="009E51BF" w:rsidRPr="000B725B">
        <w:t xml:space="preserve">Grade </w:t>
      </w:r>
      <w:r w:rsidR="004001D6" w:rsidRPr="000B725B">
        <w:t>3</w:t>
      </w:r>
      <w:r w:rsidR="00C75E4E" w:rsidRPr="000B725B">
        <w:t>/4</w:t>
      </w:r>
      <w:r w:rsidR="004001D6" w:rsidRPr="000B725B">
        <w:t xml:space="preserve"> </w:t>
      </w:r>
      <w:r w:rsidR="00C75E4E" w:rsidRPr="000B725B">
        <w:t>TEAEs</w:t>
      </w:r>
      <w:r w:rsidR="001A3C57" w:rsidRPr="000B725B">
        <w:t>,</w:t>
      </w:r>
      <w:r w:rsidR="00C75E4E" w:rsidRPr="000B725B">
        <w:t xml:space="preserve"> and</w:t>
      </w:r>
      <w:r w:rsidR="004001D6" w:rsidRPr="000B725B">
        <w:t xml:space="preserve"> </w:t>
      </w:r>
      <w:r w:rsidR="001A3C57" w:rsidRPr="000B725B">
        <w:t xml:space="preserve">36, </w:t>
      </w:r>
      <w:r w:rsidR="00C75E4E" w:rsidRPr="000B725B">
        <w:t xml:space="preserve">18, 6, </w:t>
      </w:r>
      <w:r w:rsidR="003C0D15" w:rsidRPr="000B725B">
        <w:t xml:space="preserve">6 </w:t>
      </w:r>
      <w:r w:rsidR="00C75E4E" w:rsidRPr="000B725B">
        <w:t xml:space="preserve">and </w:t>
      </w:r>
      <w:r w:rsidR="003C0D15" w:rsidRPr="000B725B">
        <w:t xml:space="preserve">2 </w:t>
      </w:r>
      <w:r w:rsidR="004001D6" w:rsidRPr="000B725B">
        <w:t xml:space="preserve">additional patients would experience </w:t>
      </w:r>
      <w:r w:rsidR="009E51BF" w:rsidRPr="000B725B">
        <w:t xml:space="preserve">Grade </w:t>
      </w:r>
      <w:r w:rsidR="004001D6" w:rsidRPr="000B725B">
        <w:rPr>
          <w:rFonts w:cstheme="minorHAnsi"/>
        </w:rPr>
        <w:t>≥</w:t>
      </w:r>
      <w:r w:rsidR="004001D6" w:rsidRPr="000B725B">
        <w:t>3</w:t>
      </w:r>
      <w:r w:rsidR="001A3C57" w:rsidRPr="000B725B">
        <w:t xml:space="preserve"> anaemia,</w:t>
      </w:r>
      <w:r w:rsidR="004001D6" w:rsidRPr="000B725B">
        <w:t xml:space="preserve"> </w:t>
      </w:r>
      <w:r w:rsidR="00C75E4E" w:rsidRPr="000B725B">
        <w:t>neutrophil, platelet and white blood cell decreases</w:t>
      </w:r>
      <w:r w:rsidR="003C0D15" w:rsidRPr="000B725B">
        <w:t xml:space="preserve"> and asthenia,</w:t>
      </w:r>
      <w:r w:rsidR="00267E37" w:rsidRPr="000B725B">
        <w:t xml:space="preserve"> respectively</w:t>
      </w:r>
      <w:r w:rsidR="00055C04" w:rsidRPr="000B725B">
        <w:t xml:space="preserve"> up to a maximum treatment duration of </w:t>
      </w:r>
      <w:r w:rsidR="00267E37" w:rsidRPr="000B725B">
        <w:t>39 months.</w:t>
      </w:r>
    </w:p>
    <w:p w14:paraId="53B25983" w14:textId="2C85DEE5" w:rsidR="00914EFD" w:rsidRPr="005A293B" w:rsidRDefault="00914EFD" w:rsidP="000B725B">
      <w:pPr>
        <w:pStyle w:val="4-SubsectionHeading"/>
        <w:spacing w:before="0"/>
      </w:pPr>
      <w:bookmarkStart w:id="48" w:name="_Toc156833539"/>
      <w:bookmarkStart w:id="49" w:name="_Toc144911477"/>
      <w:r w:rsidRPr="005A293B">
        <w:t xml:space="preserve">Summary of </w:t>
      </w:r>
      <w:r w:rsidR="00CC1D46" w:rsidRPr="005A293B">
        <w:t>matching-adjusted indirect comparisons</w:t>
      </w:r>
      <w:bookmarkEnd w:id="48"/>
      <w:r w:rsidR="00CC1D46" w:rsidRPr="005A293B">
        <w:t xml:space="preserve"> </w:t>
      </w:r>
      <w:bookmarkEnd w:id="49"/>
      <w:r w:rsidRPr="005A293B">
        <w:t xml:space="preserve"> </w:t>
      </w:r>
    </w:p>
    <w:p w14:paraId="0E4FC9F3" w14:textId="7A02C528" w:rsidR="00267E37" w:rsidRPr="000B725B" w:rsidRDefault="00CC1D46" w:rsidP="000B725B">
      <w:pPr>
        <w:pStyle w:val="3-BodyText"/>
      </w:pPr>
      <w:r w:rsidRPr="000B725B">
        <w:t>The submission also presented</w:t>
      </w:r>
      <w:r w:rsidR="00267E37" w:rsidRPr="000B725B">
        <w:t xml:space="preserve"> two</w:t>
      </w:r>
      <w:r w:rsidRPr="000B725B">
        <w:t xml:space="preserve"> </w:t>
      </w:r>
      <w:bookmarkStart w:id="50" w:name="_Hlk153461898"/>
      <w:r w:rsidR="00267E37" w:rsidRPr="000B725B">
        <w:t xml:space="preserve">unanchored </w:t>
      </w:r>
      <w:r w:rsidRPr="000B725B">
        <w:t xml:space="preserve">matching-adjusted indirect comparisons </w:t>
      </w:r>
      <w:bookmarkEnd w:id="50"/>
      <w:r w:rsidRPr="000B725B">
        <w:t xml:space="preserve">(MAICs) to evaluate the relative efficacy of talazoparib + enzalutamide </w:t>
      </w:r>
      <w:r w:rsidRPr="000B725B">
        <w:lastRenderedPageBreak/>
        <w:t xml:space="preserve">compared to olaparib + abiraterone and abiraterone alone. The MAICs </w:t>
      </w:r>
      <w:r w:rsidR="00267E37" w:rsidRPr="000B725B">
        <w:t xml:space="preserve">used </w:t>
      </w:r>
      <w:r w:rsidRPr="000B725B">
        <w:t xml:space="preserve">individual patient-level data from TALAPRO-2 and published summary-level data from </w:t>
      </w:r>
      <w:bookmarkStart w:id="51" w:name="_Hlk166585183"/>
      <w:r w:rsidRPr="000B725B">
        <w:t xml:space="preserve">PROpel </w:t>
      </w:r>
      <w:bookmarkEnd w:id="51"/>
      <w:r w:rsidRPr="000B725B">
        <w:t>and COU-AA-302</w:t>
      </w:r>
      <w:r w:rsidR="00267E37" w:rsidRPr="000B725B">
        <w:t>, respectively</w:t>
      </w:r>
      <w:r w:rsidRPr="000B725B">
        <w:t xml:space="preserve">. </w:t>
      </w:r>
      <w:r w:rsidR="00267E37" w:rsidRPr="000B725B">
        <w:rPr>
          <w:rFonts w:eastAsia="Calibri"/>
        </w:rPr>
        <w:t>In the MAIC approach, indirect treatment comparisons of efficacy outcomes (</w:t>
      </w:r>
      <w:r w:rsidR="006E54D3" w:rsidRPr="000B725B">
        <w:rPr>
          <w:rFonts w:eastAsia="Calibri"/>
        </w:rPr>
        <w:t>i.e.,</w:t>
      </w:r>
      <w:r w:rsidR="00267E37" w:rsidRPr="000B725B">
        <w:rPr>
          <w:rFonts w:eastAsia="Calibri"/>
        </w:rPr>
        <w:t xml:space="preserve"> rPFS, OS, </w:t>
      </w:r>
      <w:r w:rsidR="001A3C57" w:rsidRPr="000B725B">
        <w:rPr>
          <w:rFonts w:eastAsia="Calibri"/>
        </w:rPr>
        <w:t>progression-free survival on next line of therapy (</w:t>
      </w:r>
      <w:r w:rsidR="00267E37" w:rsidRPr="000B725B">
        <w:rPr>
          <w:rFonts w:eastAsia="Calibri"/>
        </w:rPr>
        <w:t>PFS2</w:t>
      </w:r>
      <w:r w:rsidR="001A3C57" w:rsidRPr="000B725B">
        <w:rPr>
          <w:rFonts w:eastAsia="Calibri"/>
        </w:rPr>
        <w:t>)</w:t>
      </w:r>
      <w:r w:rsidR="00267E37" w:rsidRPr="000B725B">
        <w:rPr>
          <w:rFonts w:eastAsia="Calibri"/>
        </w:rPr>
        <w:t xml:space="preserve">, ORR, PSA response, time to PSA progression, and time to cytotoxic chemotherapy) were performed by “matching” and “adjusting” patients from TALAPRO-2 to match the marginal distribution of covariates in patients who received the comparator intervention. </w:t>
      </w:r>
    </w:p>
    <w:p w14:paraId="79A9D607" w14:textId="77AC4245" w:rsidR="00267E37" w:rsidRPr="000B725B" w:rsidRDefault="00267E37" w:rsidP="000B725B">
      <w:pPr>
        <w:pStyle w:val="3-BodyText"/>
      </w:pPr>
      <w:r w:rsidRPr="000B725B">
        <w:t xml:space="preserve">A number of important prognostic factors including time to mCRPC from continuous </w:t>
      </w:r>
      <w:r w:rsidR="0080498A" w:rsidRPr="000B725B">
        <w:t>androgen deviation therapy (</w:t>
      </w:r>
      <w:r w:rsidRPr="000B725B">
        <w:t>ADT</w:t>
      </w:r>
      <w:r w:rsidR="0080498A" w:rsidRPr="000B725B">
        <w:t>)</w:t>
      </w:r>
      <w:r w:rsidR="008B6EF7" w:rsidRPr="000B725B">
        <w:t>,</w:t>
      </w:r>
      <w:r w:rsidRPr="000B725B">
        <w:t xml:space="preserve"> BRCA status and presence of liver metastases (for MAIC versus abiraterone) were not able to be adjusted in the analyses. The data from PROpel was also based on only 38 subjects with </w:t>
      </w:r>
      <w:r w:rsidRPr="000337F9">
        <w:rPr>
          <w:i/>
          <w:iCs/>
        </w:rPr>
        <w:t>BRCA1/2</w:t>
      </w:r>
      <w:r w:rsidRPr="000B725B">
        <w:t xml:space="preserve">, thus any indirect comparison relying on this data are likely to be highly unreliable. </w:t>
      </w:r>
    </w:p>
    <w:p w14:paraId="4311AF24" w14:textId="5E1A01E9" w:rsidR="003C0D15" w:rsidRPr="000B725B" w:rsidRDefault="003C0D15" w:rsidP="000B725B">
      <w:pPr>
        <w:pStyle w:val="3-BodyText"/>
      </w:pPr>
      <w:r w:rsidRPr="000337F9">
        <w:rPr>
          <w:i/>
          <w:iCs/>
        </w:rPr>
        <w:t>BRCA1/2</w:t>
      </w:r>
      <w:r w:rsidRPr="000B725B">
        <w:t xml:space="preserve"> status was not ranked as a key prognostic factor </w:t>
      </w:r>
      <w:r w:rsidR="001A3C57" w:rsidRPr="000B725B">
        <w:t xml:space="preserve">in </w:t>
      </w:r>
      <w:r w:rsidRPr="000B725B">
        <w:t xml:space="preserve">the adjusting step, and was only analysed on an exploratory basis. Given the varied distribution of this subgroup across trials, it could be identified as a potential confounder. Exploratory analyses adjusting for </w:t>
      </w:r>
      <w:r w:rsidRPr="000337F9">
        <w:rPr>
          <w:i/>
          <w:iCs/>
        </w:rPr>
        <w:t>BRCA1/2</w:t>
      </w:r>
      <w:r w:rsidRPr="000B725B">
        <w:t xml:space="preserve"> pathogenic variants were claimed to yield consistent results with the primary analysis (</w:t>
      </w:r>
      <w:r w:rsidR="001A3C57" w:rsidRPr="000B725B">
        <w:t xml:space="preserve">see </w:t>
      </w:r>
      <w:r w:rsidR="00E460D7" w:rsidRPr="000B725B">
        <w:fldChar w:fldCharType="begin" w:fldLock="1"/>
      </w:r>
      <w:r w:rsidR="00E460D7" w:rsidRPr="000B725B">
        <w:instrText xml:space="preserve"> REF _Ref156302604 \h  \* MERGEFORMAT </w:instrText>
      </w:r>
      <w:r w:rsidR="00E460D7" w:rsidRPr="000B725B">
        <w:fldChar w:fldCharType="separate"/>
      </w:r>
      <w:r w:rsidR="00E460D7" w:rsidRPr="000B725B">
        <w:t xml:space="preserve">Table </w:t>
      </w:r>
      <w:r w:rsidR="00E460D7" w:rsidRPr="000B725B">
        <w:rPr>
          <w:noProof/>
        </w:rPr>
        <w:t>8</w:t>
      </w:r>
      <w:r w:rsidR="00E460D7" w:rsidRPr="000B725B">
        <w:fldChar w:fldCharType="end"/>
      </w:r>
      <w:r w:rsidRPr="000B725B">
        <w:t>).</w:t>
      </w:r>
    </w:p>
    <w:p w14:paraId="13201FD2" w14:textId="4E5760AF" w:rsidR="00E460D7" w:rsidRPr="005A293B" w:rsidRDefault="00E460D7" w:rsidP="00737560">
      <w:pPr>
        <w:pStyle w:val="TableFigureHeading"/>
        <w:rPr>
          <w:rStyle w:val="CommentReference"/>
          <w:rFonts w:cs="Arial"/>
          <w:b/>
          <w:bCs w:val="0"/>
          <w:snapToGrid w:val="0"/>
          <w:szCs w:val="24"/>
        </w:rPr>
      </w:pPr>
      <w:bookmarkStart w:id="52" w:name="_Ref156302604"/>
      <w:r>
        <w:t xml:space="preserve">Table </w:t>
      </w:r>
      <w:fldSimple w:instr=" SEQ Table \* ARABIC " w:fldLock="1">
        <w:r w:rsidR="00A01609">
          <w:rPr>
            <w:noProof/>
          </w:rPr>
          <w:t>8</w:t>
        </w:r>
      </w:fldSimple>
      <w:bookmarkEnd w:id="52"/>
      <w:r>
        <w:t xml:space="preserve">. </w:t>
      </w:r>
      <w:r w:rsidRPr="00C37271">
        <w:t>Summary of efficacy results between TALAPRO-2 and comparator trials, from the MAIC</w:t>
      </w:r>
    </w:p>
    <w:tbl>
      <w:tblPr>
        <w:tblStyle w:val="TableGrid"/>
        <w:tblW w:w="5000" w:type="pct"/>
        <w:tblLook w:val="04A0" w:firstRow="1" w:lastRow="0" w:firstColumn="1" w:lastColumn="0" w:noHBand="0" w:noVBand="1"/>
        <w:tblCaption w:val="Table 8. Summary of efficacy results between TALAPRO-2 and comparator trials, from the MAIC"/>
      </w:tblPr>
      <w:tblGrid>
        <w:gridCol w:w="2764"/>
        <w:gridCol w:w="1486"/>
        <w:gridCol w:w="2289"/>
        <w:gridCol w:w="2478"/>
      </w:tblGrid>
      <w:tr w:rsidR="00E460D7" w:rsidRPr="005A293B" w14:paraId="399B7B49" w14:textId="77777777" w:rsidTr="0012355C">
        <w:trPr>
          <w:trHeight w:val="20"/>
        </w:trPr>
        <w:tc>
          <w:tcPr>
            <w:tcW w:w="2357" w:type="pct"/>
            <w:gridSpan w:val="2"/>
            <w:tcBorders>
              <w:bottom w:val="single" w:sz="4" w:space="0" w:color="auto"/>
            </w:tcBorders>
            <w:shd w:val="clear" w:color="auto" w:fill="auto"/>
            <w:vAlign w:val="center"/>
          </w:tcPr>
          <w:p w14:paraId="52718205" w14:textId="77777777" w:rsidR="00E460D7" w:rsidRPr="005A293B" w:rsidRDefault="00E460D7" w:rsidP="00556695">
            <w:pPr>
              <w:pStyle w:val="TableText0"/>
              <w:keepLines/>
              <w:rPr>
                <w:b/>
                <w:bCs w:val="0"/>
              </w:rPr>
            </w:pPr>
            <w:r w:rsidRPr="005A293B">
              <w:rPr>
                <w:b/>
                <w:bCs w:val="0"/>
              </w:rPr>
              <w:t>Outcome</w:t>
            </w:r>
          </w:p>
        </w:tc>
        <w:tc>
          <w:tcPr>
            <w:tcW w:w="1269" w:type="pct"/>
            <w:tcBorders>
              <w:bottom w:val="single" w:sz="4" w:space="0" w:color="auto"/>
            </w:tcBorders>
            <w:shd w:val="clear" w:color="auto" w:fill="auto"/>
            <w:vAlign w:val="center"/>
          </w:tcPr>
          <w:p w14:paraId="6795E5A3" w14:textId="77777777" w:rsidR="00E460D7" w:rsidRPr="005A293B" w:rsidRDefault="00E460D7" w:rsidP="00737560">
            <w:pPr>
              <w:pStyle w:val="TableText0"/>
              <w:keepLines/>
              <w:jc w:val="center"/>
              <w:rPr>
                <w:b/>
                <w:bCs w:val="0"/>
              </w:rPr>
            </w:pPr>
            <w:r w:rsidRPr="005A293B">
              <w:rPr>
                <w:b/>
                <w:bCs w:val="0"/>
              </w:rPr>
              <w:t>TAL+ ENZ vs OLA+ABI</w:t>
            </w:r>
          </w:p>
          <w:p w14:paraId="7C9786A9" w14:textId="77777777" w:rsidR="00E460D7" w:rsidRPr="005A293B" w:rsidRDefault="00E460D7" w:rsidP="00737560">
            <w:pPr>
              <w:pStyle w:val="TableText0"/>
              <w:keepLines/>
              <w:jc w:val="center"/>
              <w:rPr>
                <w:b/>
                <w:bCs w:val="0"/>
              </w:rPr>
            </w:pPr>
            <w:r w:rsidRPr="005A293B">
              <w:rPr>
                <w:b/>
                <w:bCs w:val="0"/>
              </w:rPr>
              <w:t>TALAPRO-2 vs PROpel</w:t>
            </w:r>
          </w:p>
        </w:tc>
        <w:tc>
          <w:tcPr>
            <w:tcW w:w="1374" w:type="pct"/>
            <w:tcBorders>
              <w:bottom w:val="single" w:sz="4" w:space="0" w:color="auto"/>
            </w:tcBorders>
            <w:shd w:val="clear" w:color="auto" w:fill="auto"/>
            <w:vAlign w:val="center"/>
          </w:tcPr>
          <w:p w14:paraId="5C16098A" w14:textId="77777777" w:rsidR="00E460D7" w:rsidRPr="005A293B" w:rsidRDefault="00E460D7" w:rsidP="00737560">
            <w:pPr>
              <w:pStyle w:val="TableText0"/>
              <w:keepLines/>
              <w:jc w:val="center"/>
              <w:rPr>
                <w:b/>
                <w:bCs w:val="0"/>
              </w:rPr>
            </w:pPr>
            <w:r w:rsidRPr="005A293B">
              <w:rPr>
                <w:b/>
                <w:bCs w:val="0"/>
              </w:rPr>
              <w:t>TAL+ENZ vs abiraterone</w:t>
            </w:r>
          </w:p>
          <w:p w14:paraId="5478CE9F" w14:textId="77777777" w:rsidR="00E460D7" w:rsidRPr="005A293B" w:rsidRDefault="00E460D7" w:rsidP="00737560">
            <w:pPr>
              <w:pStyle w:val="TableText0"/>
              <w:keepLines/>
              <w:jc w:val="center"/>
              <w:rPr>
                <w:b/>
                <w:bCs w:val="0"/>
              </w:rPr>
            </w:pPr>
            <w:r w:rsidRPr="005A293B">
              <w:rPr>
                <w:b/>
                <w:bCs w:val="0"/>
              </w:rPr>
              <w:t>TALAPRO-2 vs COU-AA-302</w:t>
            </w:r>
          </w:p>
        </w:tc>
      </w:tr>
      <w:tr w:rsidR="00E460D7" w:rsidRPr="00174C60" w14:paraId="0F4EDFF7" w14:textId="77777777" w:rsidTr="0012355C">
        <w:trPr>
          <w:trHeight w:val="20"/>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1CD56AFA" w14:textId="77777777" w:rsidR="00E460D7" w:rsidRPr="00174C60" w:rsidRDefault="00E460D7" w:rsidP="00556695">
            <w:pPr>
              <w:pStyle w:val="TableText0"/>
              <w:keepLines/>
              <w:rPr>
                <w:szCs w:val="20"/>
              </w:rPr>
            </w:pPr>
            <w:r w:rsidRPr="00B0591B">
              <w:rPr>
                <w:kern w:val="24"/>
                <w:szCs w:val="20"/>
              </w:rPr>
              <w:t>rPFS (BICR)</w:t>
            </w:r>
          </w:p>
        </w:tc>
        <w:tc>
          <w:tcPr>
            <w:tcW w:w="824" w:type="pct"/>
            <w:vMerge w:val="restart"/>
            <w:tcBorders>
              <w:top w:val="single" w:sz="4" w:space="0" w:color="auto"/>
              <w:left w:val="single" w:sz="4" w:space="0" w:color="auto"/>
              <w:right w:val="single" w:sz="4" w:space="0" w:color="auto"/>
            </w:tcBorders>
            <w:vAlign w:val="center"/>
          </w:tcPr>
          <w:p w14:paraId="4275A8ED" w14:textId="77777777" w:rsidR="00E460D7" w:rsidRPr="00174C60" w:rsidRDefault="00E460D7" w:rsidP="00556695">
            <w:pPr>
              <w:pStyle w:val="TableText0"/>
              <w:keepLines/>
              <w:rPr>
                <w:kern w:val="24"/>
                <w:szCs w:val="20"/>
              </w:rPr>
            </w:pPr>
            <w:r w:rsidRPr="00174C60">
              <w:rPr>
                <w:kern w:val="24"/>
                <w:szCs w:val="20"/>
              </w:rPr>
              <w:t>HR (95% CI)</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14:paraId="36DE571A" w14:textId="77777777" w:rsidR="00E460D7" w:rsidRPr="00174C60" w:rsidRDefault="00E460D7" w:rsidP="00737560">
            <w:pPr>
              <w:pStyle w:val="TableText0"/>
              <w:keepLines/>
              <w:jc w:val="center"/>
              <w:rPr>
                <w:b/>
                <w:bCs w:val="0"/>
                <w:szCs w:val="20"/>
              </w:rPr>
            </w:pPr>
            <w:r w:rsidRPr="00174C60">
              <w:rPr>
                <w:rFonts w:eastAsiaTheme="minorEastAsia"/>
                <w:b/>
                <w:bCs w:val="0"/>
                <w:color w:val="000000"/>
                <w:kern w:val="24"/>
                <w:szCs w:val="20"/>
              </w:rPr>
              <w:t>0.73 (0.56, 0.93)</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0AC05378" w14:textId="77777777" w:rsidR="00E460D7" w:rsidRPr="00174C60" w:rsidRDefault="00E460D7" w:rsidP="00737560">
            <w:pPr>
              <w:pStyle w:val="TableText0"/>
              <w:keepLines/>
              <w:jc w:val="center"/>
              <w:rPr>
                <w:rFonts w:cs="Arial"/>
                <w:b/>
                <w:bCs w:val="0"/>
                <w:szCs w:val="20"/>
                <w:vertAlign w:val="superscript"/>
              </w:rPr>
            </w:pPr>
            <w:r w:rsidRPr="00174C60">
              <w:rPr>
                <w:rFonts w:eastAsiaTheme="minorEastAsia" w:cs="Arial"/>
                <w:b/>
                <w:bCs w:val="0"/>
                <w:color w:val="000000"/>
                <w:kern w:val="24"/>
                <w:szCs w:val="20"/>
              </w:rPr>
              <w:t xml:space="preserve">0.26 (0.18, 0.36) </w:t>
            </w:r>
            <w:r w:rsidRPr="00174C60">
              <w:rPr>
                <w:rFonts w:eastAsiaTheme="minorEastAsia" w:cs="Arial"/>
                <w:b/>
                <w:bCs w:val="0"/>
                <w:color w:val="000000"/>
                <w:kern w:val="24"/>
                <w:szCs w:val="20"/>
                <w:vertAlign w:val="superscript"/>
              </w:rPr>
              <w:t>a</w:t>
            </w:r>
          </w:p>
        </w:tc>
      </w:tr>
      <w:tr w:rsidR="00E460D7" w:rsidRPr="00174C60" w14:paraId="5583DB51" w14:textId="77777777" w:rsidTr="0012355C">
        <w:trPr>
          <w:trHeight w:val="20"/>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5FF2B123" w14:textId="77777777" w:rsidR="00E460D7" w:rsidRPr="00174C60" w:rsidRDefault="00E460D7" w:rsidP="00556695">
            <w:pPr>
              <w:pStyle w:val="TableText0"/>
              <w:keepLines/>
              <w:rPr>
                <w:szCs w:val="20"/>
              </w:rPr>
            </w:pPr>
            <w:r w:rsidRPr="00B0591B">
              <w:rPr>
                <w:kern w:val="24"/>
                <w:szCs w:val="20"/>
              </w:rPr>
              <w:t>OS</w:t>
            </w:r>
          </w:p>
        </w:tc>
        <w:tc>
          <w:tcPr>
            <w:tcW w:w="824" w:type="pct"/>
            <w:vMerge/>
            <w:tcBorders>
              <w:left w:val="single" w:sz="4" w:space="0" w:color="auto"/>
              <w:right w:val="single" w:sz="4" w:space="0" w:color="auto"/>
            </w:tcBorders>
            <w:vAlign w:val="center"/>
          </w:tcPr>
          <w:p w14:paraId="7C828492" w14:textId="77777777" w:rsidR="00E460D7" w:rsidRPr="00174C60" w:rsidRDefault="00E460D7" w:rsidP="00556695">
            <w:pPr>
              <w:pStyle w:val="TableText0"/>
              <w:keepLines/>
              <w:rPr>
                <w:rFonts w:eastAsiaTheme="minorEastAsia"/>
                <w:kern w:val="24"/>
                <w:szCs w:val="20"/>
              </w:rPr>
            </w:pP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14:paraId="3624D4B8" w14:textId="77777777" w:rsidR="00E460D7" w:rsidRPr="00174C60" w:rsidRDefault="00E460D7" w:rsidP="00737560">
            <w:pPr>
              <w:pStyle w:val="TableText0"/>
              <w:keepLines/>
              <w:jc w:val="center"/>
              <w:rPr>
                <w:szCs w:val="20"/>
              </w:rPr>
            </w:pPr>
            <w:r w:rsidRPr="00174C60">
              <w:rPr>
                <w:rFonts w:eastAsiaTheme="minorEastAsia"/>
                <w:color w:val="000000"/>
                <w:kern w:val="24"/>
                <w:szCs w:val="20"/>
              </w:rPr>
              <w:t>0.85 (0.67, 1.08)</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3E015E1A" w14:textId="77777777" w:rsidR="00E460D7" w:rsidRPr="00174C60" w:rsidRDefault="00E460D7" w:rsidP="00737560">
            <w:pPr>
              <w:pStyle w:val="TableText0"/>
              <w:keepLines/>
              <w:jc w:val="center"/>
              <w:rPr>
                <w:rFonts w:cs="Arial"/>
                <w:b/>
                <w:bCs w:val="0"/>
                <w:szCs w:val="20"/>
              </w:rPr>
            </w:pPr>
            <w:r w:rsidRPr="00174C60">
              <w:rPr>
                <w:rFonts w:eastAsiaTheme="minorEastAsia" w:cs="Arial"/>
                <w:b/>
                <w:bCs w:val="0"/>
                <w:color w:val="000000"/>
                <w:kern w:val="24"/>
                <w:szCs w:val="20"/>
              </w:rPr>
              <w:t>0.56 (0.40, 0.77)</w:t>
            </w:r>
          </w:p>
        </w:tc>
      </w:tr>
      <w:tr w:rsidR="00E460D7" w:rsidRPr="00174C60" w14:paraId="28561308" w14:textId="77777777" w:rsidTr="0012355C">
        <w:trPr>
          <w:trHeight w:val="20"/>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3E81A464" w14:textId="77777777" w:rsidR="00E460D7" w:rsidRPr="00B0591B" w:rsidRDefault="00E460D7" w:rsidP="00556695">
            <w:pPr>
              <w:pStyle w:val="TableText0"/>
              <w:keepLines/>
              <w:rPr>
                <w:kern w:val="24"/>
                <w:szCs w:val="20"/>
              </w:rPr>
            </w:pPr>
            <w:r w:rsidRPr="00B0591B">
              <w:rPr>
                <w:kern w:val="24"/>
                <w:szCs w:val="20"/>
              </w:rPr>
              <w:t>PFS2</w:t>
            </w:r>
          </w:p>
        </w:tc>
        <w:tc>
          <w:tcPr>
            <w:tcW w:w="824" w:type="pct"/>
            <w:vMerge/>
            <w:tcBorders>
              <w:left w:val="single" w:sz="4" w:space="0" w:color="auto"/>
              <w:right w:val="single" w:sz="4" w:space="0" w:color="auto"/>
            </w:tcBorders>
            <w:vAlign w:val="center"/>
          </w:tcPr>
          <w:p w14:paraId="0E8C74BC" w14:textId="77777777" w:rsidR="00E460D7" w:rsidRPr="00174C60" w:rsidRDefault="00E460D7" w:rsidP="00556695">
            <w:pPr>
              <w:pStyle w:val="TableText0"/>
              <w:keepLines/>
              <w:rPr>
                <w:rFonts w:eastAsiaTheme="minorEastAsia"/>
                <w:kern w:val="24"/>
                <w:szCs w:val="20"/>
              </w:rPr>
            </w:pP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14:paraId="3D67130F" w14:textId="77777777" w:rsidR="00E460D7" w:rsidRPr="00174C60" w:rsidRDefault="00E460D7" w:rsidP="00737560">
            <w:pPr>
              <w:pStyle w:val="TableText0"/>
              <w:keepLines/>
              <w:jc w:val="center"/>
              <w:rPr>
                <w:rFonts w:eastAsiaTheme="minorEastAsia"/>
                <w:kern w:val="24"/>
                <w:szCs w:val="20"/>
              </w:rPr>
            </w:pPr>
            <w:r w:rsidRPr="00174C60">
              <w:rPr>
                <w:rFonts w:eastAsiaTheme="minorEastAsia"/>
                <w:color w:val="000000"/>
                <w:kern w:val="24"/>
                <w:szCs w:val="20"/>
              </w:rPr>
              <w:t>1.14 (0.85, 1.54)</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3652FA38" w14:textId="77777777" w:rsidR="00E460D7" w:rsidRPr="00174C60" w:rsidDel="00900F8B" w:rsidRDefault="00E460D7" w:rsidP="00737560">
            <w:pPr>
              <w:pStyle w:val="TableText0"/>
              <w:keepLines/>
              <w:jc w:val="center"/>
              <w:rPr>
                <w:rFonts w:eastAsiaTheme="minorEastAsia" w:cs="Arial"/>
                <w:kern w:val="24"/>
                <w:szCs w:val="20"/>
              </w:rPr>
            </w:pPr>
            <w:r w:rsidRPr="00174C60">
              <w:rPr>
                <w:rFonts w:eastAsiaTheme="minorEastAsia" w:cs="Arial"/>
                <w:color w:val="000000"/>
                <w:kern w:val="24"/>
                <w:szCs w:val="20"/>
              </w:rPr>
              <w:t>NE</w:t>
            </w:r>
          </w:p>
        </w:tc>
      </w:tr>
      <w:tr w:rsidR="00E460D7" w:rsidRPr="00174C60" w14:paraId="170B62F7" w14:textId="77777777" w:rsidTr="0012355C">
        <w:trPr>
          <w:trHeight w:val="20"/>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0924E7D6" w14:textId="77777777" w:rsidR="00E460D7" w:rsidRPr="00B0591B" w:rsidRDefault="00E460D7" w:rsidP="00556695">
            <w:pPr>
              <w:pStyle w:val="TableText0"/>
              <w:keepLines/>
              <w:rPr>
                <w:kern w:val="24"/>
                <w:szCs w:val="20"/>
              </w:rPr>
            </w:pPr>
            <w:r w:rsidRPr="00B0591B">
              <w:rPr>
                <w:kern w:val="24"/>
                <w:szCs w:val="20"/>
              </w:rPr>
              <w:t>Time to cytotoxic chemotherapy</w:t>
            </w:r>
          </w:p>
        </w:tc>
        <w:tc>
          <w:tcPr>
            <w:tcW w:w="824" w:type="pct"/>
            <w:vMerge/>
            <w:tcBorders>
              <w:left w:val="single" w:sz="4" w:space="0" w:color="auto"/>
              <w:right w:val="single" w:sz="4" w:space="0" w:color="auto"/>
            </w:tcBorders>
            <w:vAlign w:val="center"/>
          </w:tcPr>
          <w:p w14:paraId="67DEAC9F" w14:textId="77777777" w:rsidR="00E460D7" w:rsidRPr="00174C60" w:rsidRDefault="00E460D7" w:rsidP="00556695">
            <w:pPr>
              <w:pStyle w:val="TableText0"/>
              <w:keepLines/>
              <w:rPr>
                <w:rFonts w:eastAsiaTheme="minorEastAsia"/>
                <w:kern w:val="24"/>
                <w:szCs w:val="20"/>
              </w:rPr>
            </w:pP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14:paraId="64912C39" w14:textId="77777777" w:rsidR="00E460D7" w:rsidRPr="00174C60" w:rsidRDefault="00E460D7" w:rsidP="00737560">
            <w:pPr>
              <w:pStyle w:val="TableText0"/>
              <w:keepLines/>
              <w:jc w:val="center"/>
              <w:rPr>
                <w:rFonts w:eastAsiaTheme="minorEastAsia"/>
                <w:kern w:val="24"/>
                <w:szCs w:val="20"/>
              </w:rPr>
            </w:pPr>
            <w:r w:rsidRPr="00174C60">
              <w:rPr>
                <w:rFonts w:eastAsiaTheme="minorEastAsia"/>
                <w:kern w:val="24"/>
                <w:szCs w:val="20"/>
              </w:rPr>
              <w:t>NE</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305A6618" w14:textId="77777777" w:rsidR="00E460D7" w:rsidRPr="00174C60" w:rsidDel="00900F8B" w:rsidRDefault="00E460D7" w:rsidP="00737560">
            <w:pPr>
              <w:pStyle w:val="TableText0"/>
              <w:keepLines/>
              <w:jc w:val="center"/>
              <w:rPr>
                <w:rFonts w:eastAsiaTheme="minorEastAsia" w:cs="Arial"/>
                <w:b/>
                <w:bCs w:val="0"/>
                <w:kern w:val="24"/>
                <w:szCs w:val="20"/>
              </w:rPr>
            </w:pPr>
            <w:r w:rsidRPr="00174C60">
              <w:rPr>
                <w:rFonts w:eastAsiaTheme="minorEastAsia" w:cs="Arial"/>
                <w:b/>
                <w:bCs w:val="0"/>
                <w:color w:val="000000"/>
                <w:kern w:val="24"/>
                <w:szCs w:val="20"/>
              </w:rPr>
              <w:t>0.29 (0.19, 0.43)</w:t>
            </w:r>
          </w:p>
        </w:tc>
      </w:tr>
      <w:tr w:rsidR="00E460D7" w:rsidRPr="00174C60" w14:paraId="1FD6A138" w14:textId="77777777" w:rsidTr="0012355C">
        <w:trPr>
          <w:trHeight w:val="20"/>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2AE052B5" w14:textId="77777777" w:rsidR="00E460D7" w:rsidRPr="00B0591B" w:rsidRDefault="00E460D7" w:rsidP="00556695">
            <w:pPr>
              <w:pStyle w:val="TableText0"/>
              <w:keepLines/>
              <w:rPr>
                <w:kern w:val="24"/>
                <w:szCs w:val="20"/>
              </w:rPr>
            </w:pPr>
            <w:r w:rsidRPr="00B0591B">
              <w:rPr>
                <w:kern w:val="24"/>
                <w:szCs w:val="20"/>
              </w:rPr>
              <w:t>Time to PSA Progression</w:t>
            </w:r>
          </w:p>
        </w:tc>
        <w:tc>
          <w:tcPr>
            <w:tcW w:w="824" w:type="pct"/>
            <w:vMerge/>
            <w:tcBorders>
              <w:left w:val="single" w:sz="4" w:space="0" w:color="auto"/>
              <w:bottom w:val="single" w:sz="4" w:space="0" w:color="auto"/>
              <w:right w:val="single" w:sz="4" w:space="0" w:color="auto"/>
            </w:tcBorders>
            <w:vAlign w:val="center"/>
          </w:tcPr>
          <w:p w14:paraId="7AD1AD56" w14:textId="77777777" w:rsidR="00E460D7" w:rsidRPr="00174C60" w:rsidRDefault="00E460D7" w:rsidP="00556695">
            <w:pPr>
              <w:pStyle w:val="TableText0"/>
              <w:keepLines/>
              <w:rPr>
                <w:rFonts w:eastAsiaTheme="minorEastAsia"/>
                <w:kern w:val="24"/>
                <w:szCs w:val="20"/>
              </w:rPr>
            </w:pP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14:paraId="58F3B64D" w14:textId="77777777" w:rsidR="00E460D7" w:rsidRPr="00174C60" w:rsidRDefault="00E460D7" w:rsidP="00737560">
            <w:pPr>
              <w:pStyle w:val="TableText0"/>
              <w:keepLines/>
              <w:jc w:val="center"/>
              <w:rPr>
                <w:rFonts w:eastAsiaTheme="minorEastAsia"/>
                <w:kern w:val="24"/>
                <w:szCs w:val="20"/>
              </w:rPr>
            </w:pPr>
            <w:r w:rsidRPr="00174C60">
              <w:rPr>
                <w:rFonts w:eastAsiaTheme="minorEastAsia"/>
                <w:kern w:val="24"/>
                <w:szCs w:val="20"/>
              </w:rPr>
              <w:t xml:space="preserve">NE </w:t>
            </w:r>
            <w:r w:rsidRPr="00174C60">
              <w:rPr>
                <w:rFonts w:eastAsiaTheme="minorEastAsia"/>
                <w:kern w:val="24"/>
                <w:szCs w:val="20"/>
                <w:vertAlign w:val="superscript"/>
              </w:rPr>
              <w:t>b</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18A57DC5" w14:textId="77777777" w:rsidR="00E460D7" w:rsidRPr="00174C60" w:rsidDel="00900F8B" w:rsidRDefault="00E460D7" w:rsidP="00737560">
            <w:pPr>
              <w:pStyle w:val="TableText0"/>
              <w:keepLines/>
              <w:jc w:val="center"/>
              <w:rPr>
                <w:rFonts w:eastAsiaTheme="minorEastAsia" w:cs="Arial"/>
                <w:b/>
                <w:bCs w:val="0"/>
                <w:kern w:val="24"/>
                <w:szCs w:val="20"/>
              </w:rPr>
            </w:pPr>
            <w:r w:rsidRPr="00174C60">
              <w:rPr>
                <w:rFonts w:eastAsiaTheme="minorEastAsia" w:cs="Arial"/>
                <w:b/>
                <w:bCs w:val="0"/>
                <w:color w:val="000000"/>
                <w:kern w:val="24"/>
                <w:szCs w:val="20"/>
              </w:rPr>
              <w:t>0.41 (0.31, 0.56)</w:t>
            </w:r>
          </w:p>
        </w:tc>
      </w:tr>
      <w:tr w:rsidR="00E460D7" w:rsidRPr="00174C60" w14:paraId="48252D38" w14:textId="77777777" w:rsidTr="0012355C">
        <w:trPr>
          <w:trHeight w:val="20"/>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07F3B318" w14:textId="77777777" w:rsidR="00E460D7" w:rsidRPr="00B0591B" w:rsidRDefault="00E460D7" w:rsidP="00556695">
            <w:pPr>
              <w:pStyle w:val="TableText0"/>
              <w:keepLines/>
              <w:rPr>
                <w:kern w:val="24"/>
                <w:szCs w:val="20"/>
              </w:rPr>
            </w:pPr>
            <w:r w:rsidRPr="00B0591B">
              <w:rPr>
                <w:kern w:val="24"/>
                <w:szCs w:val="20"/>
              </w:rPr>
              <w:t>PSA Response</w:t>
            </w:r>
          </w:p>
        </w:tc>
        <w:tc>
          <w:tcPr>
            <w:tcW w:w="824" w:type="pct"/>
            <w:vMerge w:val="restart"/>
            <w:tcBorders>
              <w:top w:val="single" w:sz="4" w:space="0" w:color="auto"/>
              <w:left w:val="single" w:sz="4" w:space="0" w:color="auto"/>
              <w:right w:val="single" w:sz="4" w:space="0" w:color="auto"/>
            </w:tcBorders>
            <w:vAlign w:val="center"/>
          </w:tcPr>
          <w:p w14:paraId="2B2A59B7" w14:textId="77777777" w:rsidR="00E460D7" w:rsidRPr="00174C60" w:rsidRDefault="00E460D7" w:rsidP="00556695">
            <w:pPr>
              <w:pStyle w:val="TableText0"/>
              <w:keepLines/>
              <w:rPr>
                <w:kern w:val="24"/>
                <w:szCs w:val="20"/>
              </w:rPr>
            </w:pPr>
            <w:r w:rsidRPr="00174C60">
              <w:rPr>
                <w:kern w:val="24"/>
                <w:szCs w:val="20"/>
              </w:rPr>
              <w:t>OR (95% CI)</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14:paraId="12C08B96" w14:textId="77777777" w:rsidR="00E460D7" w:rsidRPr="00174C60" w:rsidRDefault="00E460D7" w:rsidP="00737560">
            <w:pPr>
              <w:pStyle w:val="TableText0"/>
              <w:keepLines/>
              <w:jc w:val="center"/>
              <w:rPr>
                <w:rFonts w:eastAsiaTheme="minorEastAsia"/>
                <w:b/>
                <w:bCs w:val="0"/>
                <w:kern w:val="24"/>
                <w:szCs w:val="20"/>
              </w:rPr>
            </w:pPr>
            <w:r w:rsidRPr="00174C60">
              <w:rPr>
                <w:rFonts w:eastAsiaTheme="minorEastAsia"/>
                <w:b/>
                <w:bCs w:val="0"/>
                <w:color w:val="000000"/>
                <w:kern w:val="24"/>
                <w:szCs w:val="20"/>
              </w:rPr>
              <w:t>1.66 (1.10, 2.51)</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7FB7C59E" w14:textId="77777777" w:rsidR="00E460D7" w:rsidRPr="00174C60" w:rsidDel="00900F8B" w:rsidRDefault="00E460D7" w:rsidP="00737560">
            <w:pPr>
              <w:pStyle w:val="TableText0"/>
              <w:keepLines/>
              <w:jc w:val="center"/>
              <w:rPr>
                <w:rFonts w:eastAsiaTheme="minorEastAsia" w:cs="Arial"/>
                <w:b/>
                <w:bCs w:val="0"/>
                <w:kern w:val="24"/>
                <w:szCs w:val="20"/>
              </w:rPr>
            </w:pPr>
            <w:r w:rsidRPr="00174C60">
              <w:rPr>
                <w:rFonts w:eastAsiaTheme="minorEastAsia" w:cs="Arial"/>
                <w:b/>
                <w:bCs w:val="0"/>
                <w:color w:val="000000"/>
                <w:kern w:val="24"/>
                <w:szCs w:val="20"/>
              </w:rPr>
              <w:t>3.27 (1.74, 6.14)</w:t>
            </w:r>
          </w:p>
        </w:tc>
      </w:tr>
      <w:tr w:rsidR="00E460D7" w:rsidRPr="00174C60" w14:paraId="127036A7" w14:textId="77777777" w:rsidTr="0012355C">
        <w:trPr>
          <w:trHeight w:val="20"/>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554489B2" w14:textId="77777777" w:rsidR="00E460D7" w:rsidRPr="00B0591B" w:rsidRDefault="00E460D7" w:rsidP="00556695">
            <w:pPr>
              <w:pStyle w:val="TableText0"/>
              <w:keepLines/>
              <w:rPr>
                <w:kern w:val="24"/>
                <w:szCs w:val="20"/>
              </w:rPr>
            </w:pPr>
            <w:r w:rsidRPr="00B0591B">
              <w:rPr>
                <w:kern w:val="24"/>
                <w:szCs w:val="20"/>
              </w:rPr>
              <w:t>ORR</w:t>
            </w:r>
          </w:p>
        </w:tc>
        <w:tc>
          <w:tcPr>
            <w:tcW w:w="824" w:type="pct"/>
            <w:vMerge/>
            <w:tcBorders>
              <w:left w:val="single" w:sz="4" w:space="0" w:color="auto"/>
              <w:bottom w:val="single" w:sz="4" w:space="0" w:color="auto"/>
              <w:right w:val="single" w:sz="4" w:space="0" w:color="auto"/>
            </w:tcBorders>
          </w:tcPr>
          <w:p w14:paraId="41634F06" w14:textId="77777777" w:rsidR="00E460D7" w:rsidRPr="00174C60" w:rsidRDefault="00E460D7" w:rsidP="00556695">
            <w:pPr>
              <w:pStyle w:val="TableText0"/>
              <w:keepLines/>
              <w:rPr>
                <w:rFonts w:eastAsiaTheme="minorEastAsia"/>
                <w:kern w:val="24"/>
                <w:szCs w:val="20"/>
              </w:rPr>
            </w:pP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14:paraId="19DB7F76" w14:textId="77777777" w:rsidR="00E460D7" w:rsidRPr="00174C60" w:rsidRDefault="00E460D7" w:rsidP="00737560">
            <w:pPr>
              <w:pStyle w:val="TableText0"/>
              <w:keepLines/>
              <w:jc w:val="center"/>
              <w:rPr>
                <w:rFonts w:eastAsiaTheme="minorEastAsia"/>
                <w:kern w:val="24"/>
                <w:szCs w:val="20"/>
              </w:rPr>
            </w:pPr>
            <w:r w:rsidRPr="00174C60">
              <w:rPr>
                <w:rFonts w:eastAsiaTheme="minorEastAsia"/>
                <w:color w:val="000000"/>
                <w:kern w:val="24"/>
                <w:szCs w:val="20"/>
              </w:rPr>
              <w:t>1.11 (0.65, 1.90)</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14B58306" w14:textId="77777777" w:rsidR="00E460D7" w:rsidRPr="00174C60" w:rsidDel="00900F8B" w:rsidRDefault="00E460D7" w:rsidP="00737560">
            <w:pPr>
              <w:pStyle w:val="TableText0"/>
              <w:keepLines/>
              <w:jc w:val="center"/>
              <w:rPr>
                <w:rFonts w:eastAsiaTheme="minorEastAsia" w:cs="Arial"/>
                <w:b/>
                <w:bCs w:val="0"/>
                <w:kern w:val="24"/>
                <w:szCs w:val="20"/>
              </w:rPr>
            </w:pPr>
            <w:r w:rsidRPr="00174C60">
              <w:rPr>
                <w:rFonts w:eastAsiaTheme="minorEastAsia" w:cs="Arial"/>
                <w:b/>
                <w:bCs w:val="0"/>
                <w:color w:val="000000"/>
                <w:kern w:val="24"/>
                <w:szCs w:val="20"/>
              </w:rPr>
              <w:t>3.92 (2.02, 7.63)</w:t>
            </w:r>
          </w:p>
        </w:tc>
      </w:tr>
    </w:tbl>
    <w:p w14:paraId="75ED645B" w14:textId="77777777" w:rsidR="00E460D7" w:rsidRPr="005A293B" w:rsidRDefault="00E460D7" w:rsidP="008F02DF">
      <w:pPr>
        <w:pStyle w:val="TableFigureFooter"/>
        <w:keepLines/>
        <w:jc w:val="both"/>
      </w:pPr>
      <w:r w:rsidRPr="00B0591B">
        <w:rPr>
          <w:b/>
          <w:bCs/>
          <w:sz w:val="20"/>
          <w:szCs w:val="20"/>
        </w:rPr>
        <w:t>Bold</w:t>
      </w:r>
      <w:r w:rsidRPr="00B0591B">
        <w:rPr>
          <w:sz w:val="20"/>
          <w:szCs w:val="20"/>
        </w:rPr>
        <w:t>: Shows statisti</w:t>
      </w:r>
      <w:r w:rsidRPr="005A293B">
        <w:t>cally significant results.</w:t>
      </w:r>
    </w:p>
    <w:p w14:paraId="2F2FE009" w14:textId="77777777" w:rsidR="00E460D7" w:rsidRPr="005A293B" w:rsidRDefault="00E460D7" w:rsidP="008F02DF">
      <w:pPr>
        <w:pStyle w:val="TableFigureFooter"/>
        <w:keepLines/>
        <w:jc w:val="both"/>
      </w:pPr>
      <w:r w:rsidRPr="005A293B">
        <w:t>Source: Table 2.5.1, p9 of Appendix 2.1 of the submission.</w:t>
      </w:r>
    </w:p>
    <w:p w14:paraId="5AB27F2D" w14:textId="77777777" w:rsidR="00E460D7" w:rsidRPr="005A293B" w:rsidRDefault="00E460D7" w:rsidP="005C70FC">
      <w:pPr>
        <w:pStyle w:val="TableFigureFooter"/>
        <w:keepLines/>
        <w:jc w:val="both"/>
      </w:pPr>
      <w:r w:rsidRPr="005A293B">
        <w:t>ABI=abiraterone; BICR=blinded independent central review; CI=confidence interval; ENZ=enzalutamide; HR=hazard ratio; OLA=olaparib; OR=odds ratio; ORR=objective response rate; OS=overall survival; PFS2=progression-free survival on next line of therapy; NE=not estimable; PSA=prostate-specific antigen; rPFS=radiographic progression-free survival; TAL=talazoparib.</w:t>
      </w:r>
    </w:p>
    <w:p w14:paraId="0CC5CD3F" w14:textId="77777777" w:rsidR="00E460D7" w:rsidRPr="005A293B" w:rsidRDefault="00E460D7" w:rsidP="008F02DF">
      <w:pPr>
        <w:pStyle w:val="TableFigureFooter"/>
        <w:keepLines/>
        <w:jc w:val="both"/>
      </w:pPr>
      <w:r w:rsidRPr="005A293B">
        <w:t xml:space="preserve">Note: An HR below 1.0 and an OR above 1.0 indicates an improved outcome for talazoparib + enzalutamide relative to comparator treatment. </w:t>
      </w:r>
    </w:p>
    <w:p w14:paraId="1B5FB2F2" w14:textId="77777777" w:rsidR="00E460D7" w:rsidRPr="005A293B" w:rsidRDefault="00E460D7" w:rsidP="008F02DF">
      <w:pPr>
        <w:pStyle w:val="TableFigureFooter"/>
        <w:keepLines/>
        <w:ind w:left="165" w:hanging="165"/>
        <w:jc w:val="both"/>
      </w:pPr>
      <w:r w:rsidRPr="005A293B">
        <w:rPr>
          <w:vertAlign w:val="superscript"/>
        </w:rPr>
        <w:t>a</w:t>
      </w:r>
      <w:r w:rsidRPr="005A293B">
        <w:t xml:space="preserve"> </w:t>
      </w:r>
      <w:r w:rsidRPr="005A293B">
        <w:tab/>
        <w:t>Only rPFS by investigator review was reported in COU-AA-302.The analysis compared rPFS by investigator review in TALAPRO-2 with rPFS by investigator review in COU-AA-302.</w:t>
      </w:r>
    </w:p>
    <w:p w14:paraId="6D23C7E8" w14:textId="577D30D0" w:rsidR="00E460D7" w:rsidRPr="006E54D3" w:rsidRDefault="00E460D7" w:rsidP="00477CD8">
      <w:pPr>
        <w:pStyle w:val="TableFigureFooter"/>
        <w:jc w:val="both"/>
      </w:pPr>
      <w:r w:rsidRPr="005A293B">
        <w:rPr>
          <w:vertAlign w:val="superscript"/>
        </w:rPr>
        <w:t>b</w:t>
      </w:r>
      <w:r w:rsidRPr="005A293B">
        <w:t xml:space="preserve"> </w:t>
      </w:r>
      <w:r w:rsidRPr="005A293B">
        <w:tab/>
        <w:t>Kaplan–Meier curve required to perform MAIC analysis was not reported for time to PSA progression in the PROpel trial.</w:t>
      </w:r>
    </w:p>
    <w:p w14:paraId="54963230" w14:textId="77015F18" w:rsidR="00267E37" w:rsidRPr="000B725B" w:rsidRDefault="00267E37" w:rsidP="00267E37">
      <w:pPr>
        <w:pStyle w:val="3-BodyText"/>
      </w:pPr>
      <w:r w:rsidRPr="000B725B">
        <w:t>Overall, the submission’s MAIC comparing TALAPRO-2 versus COU-AA-302 showed superiority of talazoparib + enzalutamide compared to abiraterone for efficacy outcomes. This was consistent with the results of TALAPRO-2 versus enzalutamide. The PBAC had previously accepted non-inferiority of abiraterone and enzalutamide for treatment of mCRPC.</w:t>
      </w:r>
    </w:p>
    <w:p w14:paraId="6B8DC83C" w14:textId="7342B4DB" w:rsidR="00267E37" w:rsidRPr="000B725B" w:rsidRDefault="00267E37" w:rsidP="00267E37">
      <w:pPr>
        <w:pStyle w:val="3-BodyText"/>
      </w:pPr>
      <w:r w:rsidRPr="000B725B">
        <w:t xml:space="preserve">The results of the submission’s MAIC comparing TALAPRO-2 versus PROpel suggested superiority of talazoparib + enzalutamide versus olaparib + abiraterone for rPFS and PSA response but not for OS. However as discussed given small numbers of patients </w:t>
      </w:r>
      <w:r w:rsidRPr="000B725B">
        <w:lastRenderedPageBreak/>
        <w:t xml:space="preserve">with </w:t>
      </w:r>
      <w:r w:rsidRPr="000337F9">
        <w:rPr>
          <w:i/>
          <w:iCs/>
        </w:rPr>
        <w:t>BRCA1/2</w:t>
      </w:r>
      <w:r w:rsidRPr="000B725B">
        <w:t xml:space="preserve"> in PROpel, this analysis was considered highly uncertain and not robust for decision making.</w:t>
      </w:r>
    </w:p>
    <w:p w14:paraId="64ADCF21" w14:textId="3CF81186" w:rsidR="00102A1E" w:rsidRPr="000B725B" w:rsidRDefault="00267E37" w:rsidP="00CC1D46">
      <w:pPr>
        <w:pStyle w:val="3-BodyText"/>
      </w:pPr>
      <w:r w:rsidRPr="000B725B">
        <w:t>S</w:t>
      </w:r>
      <w:r w:rsidR="004221E7" w:rsidRPr="000B725B">
        <w:t>afety outcomes</w:t>
      </w:r>
      <w:r w:rsidR="00914EFD" w:rsidRPr="000B725B">
        <w:t xml:space="preserve"> </w:t>
      </w:r>
      <w:r w:rsidR="00CC1D46" w:rsidRPr="000B725B">
        <w:t xml:space="preserve">were not compared in </w:t>
      </w:r>
      <w:r w:rsidRPr="000B725B">
        <w:t xml:space="preserve">the </w:t>
      </w:r>
      <w:r w:rsidR="00CC1D46" w:rsidRPr="000B725B">
        <w:t>MAIC</w:t>
      </w:r>
      <w:r w:rsidRPr="000B725B">
        <w:t>s</w:t>
      </w:r>
      <w:r w:rsidR="00914EFD" w:rsidRPr="000B725B">
        <w:t xml:space="preserve">. </w:t>
      </w:r>
      <w:r w:rsidR="00CD37B7" w:rsidRPr="000B725B">
        <w:t>A</w:t>
      </w:r>
      <w:r w:rsidR="00102A1E" w:rsidRPr="000B725B">
        <w:t xml:space="preserve"> systematic review and meta-analysis of PARP inhibitor trials (including </w:t>
      </w:r>
      <w:r w:rsidR="00CC1D46" w:rsidRPr="000B725B">
        <w:t xml:space="preserve">TALAPRO-2 and </w:t>
      </w:r>
      <w:r w:rsidR="00102A1E" w:rsidRPr="000B725B">
        <w:t xml:space="preserve">PROpel) by </w:t>
      </w:r>
      <w:r w:rsidR="0031403F" w:rsidRPr="000B725B">
        <w:t>Sayyid et al. 2023</w:t>
      </w:r>
      <w:r w:rsidR="0031403F" w:rsidRPr="000B725B">
        <w:rPr>
          <w:rStyle w:val="FootnoteReference"/>
        </w:rPr>
        <w:footnoteReference w:id="9"/>
      </w:r>
      <w:r w:rsidR="0031403F" w:rsidRPr="000B725B">
        <w:t xml:space="preserve"> </w:t>
      </w:r>
      <w:r w:rsidR="00102A1E" w:rsidRPr="000B725B">
        <w:t>noted that addition of PARP inhibitors</w:t>
      </w:r>
      <w:r w:rsidR="00CC1D46" w:rsidRPr="000B725B">
        <w:t xml:space="preserve"> to </w:t>
      </w:r>
      <w:r w:rsidRPr="000B725B">
        <w:t>first</w:t>
      </w:r>
      <w:r w:rsidR="00A01609">
        <w:t xml:space="preserve"> </w:t>
      </w:r>
      <w:r w:rsidRPr="000B725B">
        <w:t xml:space="preserve">line </w:t>
      </w:r>
      <w:r w:rsidR="00CC1D46" w:rsidRPr="000B725B">
        <w:t>NHA treatments</w:t>
      </w:r>
      <w:r w:rsidR="00102A1E" w:rsidRPr="000B725B">
        <w:t xml:space="preserve"> was associated with a 45% relative risk increase in </w:t>
      </w:r>
      <w:r w:rsidR="009E51BF" w:rsidRPr="000B725B">
        <w:t xml:space="preserve">Grade </w:t>
      </w:r>
      <w:r w:rsidR="00102A1E" w:rsidRPr="000B725B">
        <w:t xml:space="preserve">≥3 TEAEs, including a 6.22-fold increase for </w:t>
      </w:r>
      <w:r w:rsidR="009E51BF" w:rsidRPr="000B725B">
        <w:t>Grade </w:t>
      </w:r>
      <w:r w:rsidR="00102A1E" w:rsidRPr="000B725B">
        <w:t>≥3 anaemia (31.9% versus 4.9%)</w:t>
      </w:r>
      <w:r w:rsidR="001308D2" w:rsidRPr="000B725B">
        <w:t>. The authors</w:t>
      </w:r>
      <w:r w:rsidR="00102A1E" w:rsidRPr="000B725B">
        <w:t xml:space="preserve"> </w:t>
      </w:r>
      <w:r w:rsidR="00CD37B7" w:rsidRPr="000B725B">
        <w:t xml:space="preserve">concluded that the additional toxicity </w:t>
      </w:r>
      <w:r w:rsidR="00102A1E" w:rsidRPr="000B725B">
        <w:t>raise</w:t>
      </w:r>
      <w:r w:rsidR="00FE2E26" w:rsidRPr="000B725B">
        <w:t>d</w:t>
      </w:r>
      <w:r w:rsidR="00102A1E" w:rsidRPr="000B725B">
        <w:t xml:space="preserve"> concerns as to whether routine first-line addition of PARP</w:t>
      </w:r>
      <w:r w:rsidR="00B241A3" w:rsidRPr="000B725B">
        <w:t xml:space="preserve"> inhibitors</w:t>
      </w:r>
      <w:r w:rsidR="00102A1E" w:rsidRPr="000B725B">
        <w:t xml:space="preserve"> for mCRPC patients </w:t>
      </w:r>
      <w:r w:rsidR="00CD37B7" w:rsidRPr="000B725B">
        <w:t xml:space="preserve">should be </w:t>
      </w:r>
      <w:r w:rsidR="00102A1E" w:rsidRPr="000B725B">
        <w:t>considered standard of care therapy, even in patients with homologous recombination repair gene pathogenic variants, in the absence of a clear OS benefit.</w:t>
      </w:r>
    </w:p>
    <w:p w14:paraId="7A1772B6" w14:textId="23BB3145" w:rsidR="00B60939" w:rsidRPr="005A293B" w:rsidRDefault="00B60939" w:rsidP="00E9094A">
      <w:pPr>
        <w:pStyle w:val="4-SubsectionHeading"/>
      </w:pPr>
      <w:bookmarkStart w:id="53" w:name="_Toc22897644"/>
      <w:bookmarkStart w:id="54" w:name="_Toc144911478"/>
      <w:bookmarkStart w:id="55" w:name="_Toc156833540"/>
      <w:r w:rsidRPr="005A293B">
        <w:t>Clinical claim</w:t>
      </w:r>
      <w:bookmarkEnd w:id="53"/>
      <w:bookmarkEnd w:id="54"/>
      <w:bookmarkEnd w:id="55"/>
    </w:p>
    <w:p w14:paraId="01AD31D0" w14:textId="53793C43" w:rsidR="005D2612" w:rsidRDefault="00CD37B7" w:rsidP="00CD37B7">
      <w:pPr>
        <w:pStyle w:val="3-BodyText"/>
        <w:rPr>
          <w:rFonts w:eastAsia="Calibri"/>
        </w:rPr>
      </w:pPr>
      <w:r w:rsidRPr="000B725B">
        <w:rPr>
          <w:rFonts w:eastAsia="Calibri"/>
        </w:rPr>
        <w:t xml:space="preserve">The submission described talazoparib + enzalutamide as superior in terms of effectiveness and inferior in terms of safety when compared to enzalutamide alone in patients with a </w:t>
      </w:r>
      <w:r w:rsidRPr="00EC2FC5">
        <w:rPr>
          <w:rFonts w:eastAsia="Calibri"/>
          <w:i/>
          <w:iCs/>
        </w:rPr>
        <w:t>BRCA</w:t>
      </w:r>
      <w:r w:rsidR="00BF4313" w:rsidRPr="00EC2FC5">
        <w:rPr>
          <w:rFonts w:eastAsia="Calibri"/>
          <w:i/>
          <w:iCs/>
        </w:rPr>
        <w:t>1/2</w:t>
      </w:r>
      <w:r w:rsidRPr="000B725B">
        <w:rPr>
          <w:rFonts w:eastAsia="Calibri"/>
        </w:rPr>
        <w:t xml:space="preserve"> pathogenic variant. </w:t>
      </w:r>
    </w:p>
    <w:p w14:paraId="30CD0386" w14:textId="0993785E" w:rsidR="005D2612" w:rsidRDefault="00CD37B7" w:rsidP="00CD37B7">
      <w:pPr>
        <w:pStyle w:val="3-BodyText"/>
        <w:rPr>
          <w:rFonts w:eastAsia="Calibri"/>
        </w:rPr>
      </w:pPr>
      <w:r w:rsidRPr="006E4BFC">
        <w:rPr>
          <w:rFonts w:eastAsia="Calibri"/>
        </w:rPr>
        <w:t xml:space="preserve">The </w:t>
      </w:r>
      <w:r w:rsidR="005D2612" w:rsidRPr="006E4BFC">
        <w:rPr>
          <w:rFonts w:eastAsia="Calibri"/>
        </w:rPr>
        <w:t xml:space="preserve">ESC considered that the </w:t>
      </w:r>
      <w:r w:rsidRPr="006E4BFC">
        <w:rPr>
          <w:rFonts w:eastAsia="Calibri"/>
        </w:rPr>
        <w:t>claim</w:t>
      </w:r>
      <w:r w:rsidR="005D2612" w:rsidRPr="006E4BFC">
        <w:rPr>
          <w:rFonts w:eastAsia="Calibri"/>
        </w:rPr>
        <w:t xml:space="preserve"> of superior efficacy </w:t>
      </w:r>
      <w:r w:rsidR="007502EB" w:rsidRPr="006E4BFC">
        <w:rPr>
          <w:rFonts w:eastAsia="Calibri"/>
        </w:rPr>
        <w:t xml:space="preserve">was </w:t>
      </w:r>
      <w:r w:rsidRPr="006E4BFC">
        <w:rPr>
          <w:rFonts w:eastAsia="Calibri"/>
        </w:rPr>
        <w:t>supported by evidence presented</w:t>
      </w:r>
      <w:r w:rsidR="005D2612" w:rsidRPr="006E4BFC">
        <w:rPr>
          <w:rFonts w:eastAsia="Calibri"/>
        </w:rPr>
        <w:t>; however, the magnitude of effect was uncertain</w:t>
      </w:r>
      <w:r w:rsidRPr="006E4BFC">
        <w:rPr>
          <w:rFonts w:eastAsia="Calibri"/>
        </w:rPr>
        <w:t>. For</w:t>
      </w:r>
      <w:r w:rsidRPr="000B725B">
        <w:rPr>
          <w:rFonts w:eastAsia="Calibri"/>
        </w:rPr>
        <w:t xml:space="preserve"> rPFS and OS, the submission relied on data from the </w:t>
      </w:r>
      <w:r w:rsidRPr="000337F9">
        <w:rPr>
          <w:rFonts w:eastAsia="Calibri"/>
          <w:i/>
          <w:iCs/>
        </w:rPr>
        <w:t>BRCA1/2</w:t>
      </w:r>
      <w:r w:rsidRPr="000B725B">
        <w:rPr>
          <w:rFonts w:eastAsia="Calibri"/>
        </w:rPr>
        <w:t xml:space="preserve"> subgroup of Cohort 2</w:t>
      </w:r>
      <w:r w:rsidR="005D2612">
        <w:rPr>
          <w:rFonts w:eastAsia="Calibri"/>
        </w:rPr>
        <w:t xml:space="preserve"> and </w:t>
      </w:r>
      <w:r w:rsidRPr="000B725B">
        <w:rPr>
          <w:rFonts w:eastAsia="Calibri"/>
        </w:rPr>
        <w:t xml:space="preserve">while this was an appropriate population, the evidence was from a small subgroup and </w:t>
      </w:r>
      <w:r w:rsidR="00316B58" w:rsidRPr="000B725B">
        <w:rPr>
          <w:rFonts w:eastAsia="Calibri"/>
        </w:rPr>
        <w:t xml:space="preserve">so </w:t>
      </w:r>
      <w:r w:rsidRPr="000B725B">
        <w:rPr>
          <w:rFonts w:eastAsia="Calibri"/>
        </w:rPr>
        <w:t xml:space="preserve">was not subject to the same hypothesis testing </w:t>
      </w:r>
      <w:r w:rsidR="00316B58" w:rsidRPr="000B725B">
        <w:rPr>
          <w:rFonts w:eastAsia="Calibri"/>
        </w:rPr>
        <w:t>as the overall trial</w:t>
      </w:r>
      <w:r w:rsidR="005D2612">
        <w:rPr>
          <w:rFonts w:eastAsia="Calibri"/>
        </w:rPr>
        <w:t>. F</w:t>
      </w:r>
      <w:r w:rsidR="00316B58" w:rsidRPr="000B725B">
        <w:rPr>
          <w:rFonts w:eastAsia="Calibri"/>
        </w:rPr>
        <w:t>urthermore</w:t>
      </w:r>
      <w:r w:rsidR="00061706">
        <w:rPr>
          <w:rFonts w:eastAsia="Calibri"/>
        </w:rPr>
        <w:t>,</w:t>
      </w:r>
      <w:r w:rsidR="00316B58" w:rsidRPr="000B725B">
        <w:rPr>
          <w:rFonts w:eastAsia="Calibri"/>
        </w:rPr>
        <w:t xml:space="preserve"> the trial data </w:t>
      </w:r>
      <w:r w:rsidR="005D2612">
        <w:rPr>
          <w:rFonts w:eastAsia="Calibri"/>
        </w:rPr>
        <w:t>were</w:t>
      </w:r>
      <w:r w:rsidRPr="000B725B">
        <w:rPr>
          <w:rFonts w:eastAsia="Calibri"/>
        </w:rPr>
        <w:t xml:space="preserve"> immature</w:t>
      </w:r>
      <w:r w:rsidR="005D2612">
        <w:rPr>
          <w:rFonts w:eastAsia="Calibri"/>
        </w:rPr>
        <w:t>,</w:t>
      </w:r>
      <w:r w:rsidRPr="000B725B">
        <w:rPr>
          <w:rFonts w:eastAsia="Calibri"/>
        </w:rPr>
        <w:t xml:space="preserve"> thus the chance of spurious findings </w:t>
      </w:r>
      <w:r w:rsidR="005D2612">
        <w:rPr>
          <w:rFonts w:eastAsia="Calibri"/>
        </w:rPr>
        <w:t xml:space="preserve">could </w:t>
      </w:r>
      <w:r w:rsidR="005D2612" w:rsidRPr="000B725B">
        <w:rPr>
          <w:rFonts w:eastAsia="Calibri"/>
        </w:rPr>
        <w:t xml:space="preserve">not </w:t>
      </w:r>
      <w:r w:rsidRPr="000B725B">
        <w:rPr>
          <w:rFonts w:eastAsia="Calibri"/>
        </w:rPr>
        <w:t xml:space="preserve">be </w:t>
      </w:r>
      <w:r w:rsidR="00316B58" w:rsidRPr="000B725B">
        <w:rPr>
          <w:rFonts w:eastAsia="Calibri"/>
        </w:rPr>
        <w:t xml:space="preserve">wholly </w:t>
      </w:r>
      <w:r w:rsidRPr="000B725B">
        <w:rPr>
          <w:rFonts w:eastAsia="Calibri"/>
        </w:rPr>
        <w:t xml:space="preserve">excluded. </w:t>
      </w:r>
    </w:p>
    <w:p w14:paraId="209D3B0C" w14:textId="67BE90E4" w:rsidR="00061706" w:rsidRPr="00EC2FC5" w:rsidRDefault="005D2612">
      <w:pPr>
        <w:pStyle w:val="3-BodyText"/>
        <w:rPr>
          <w:rFonts w:eastAsia="Calibri"/>
        </w:rPr>
      </w:pPr>
      <w:r w:rsidRPr="006E4BFC">
        <w:rPr>
          <w:rFonts w:eastAsia="Calibri"/>
        </w:rPr>
        <w:t xml:space="preserve">In addition, </w:t>
      </w:r>
      <w:r w:rsidRPr="006E4BFC">
        <w:rPr>
          <w:rFonts w:eastAsia="Calibri"/>
          <w:lang w:val="en-US"/>
        </w:rPr>
        <w:t xml:space="preserve">the ESC noted that the benefit of first line talazoparib + enzalutamide compared to sequential NHA followed by PARP inhibition (olaparib currently approved in this setting) in the mCRPC setting was unknown as no evidence was presented for this comparison. The ESC noted that a small number of patients in the enzalutamide monotherapy arm of the </w:t>
      </w:r>
      <w:r w:rsidRPr="006E4BFC">
        <w:rPr>
          <w:rFonts w:eastAsia="Calibri"/>
          <w:i/>
          <w:iCs/>
          <w:lang w:val="en-US"/>
        </w:rPr>
        <w:t>BRCA1/2</w:t>
      </w:r>
      <w:r w:rsidRPr="006E4BFC">
        <w:rPr>
          <w:rFonts w:eastAsia="Calibri"/>
          <w:lang w:val="en-US"/>
        </w:rPr>
        <w:t xml:space="preserve"> subgroup </w:t>
      </w:r>
      <w:r w:rsidR="00061706" w:rsidRPr="006E4BFC">
        <w:rPr>
          <w:rFonts w:eastAsia="Calibri"/>
          <w:lang w:val="en-US"/>
        </w:rPr>
        <w:t xml:space="preserve">(n=17/84, 20.2% or 17/49, 34.7% of patients who progressed and received another therapy) received subsequent PARP inhibition, but that efficacy data were not presented for this group of patients. The ESC noted that the applicability of the trial results </w:t>
      </w:r>
      <w:r w:rsidR="00E9051A" w:rsidRPr="006E4BFC">
        <w:rPr>
          <w:rFonts w:eastAsia="Calibri"/>
          <w:lang w:val="en-US"/>
        </w:rPr>
        <w:t xml:space="preserve">in the enzalutamide monotherapy arm </w:t>
      </w:r>
      <w:r w:rsidR="00061706" w:rsidRPr="006E4BFC">
        <w:rPr>
          <w:rFonts w:eastAsia="Calibri"/>
          <w:lang w:val="en-US"/>
        </w:rPr>
        <w:t xml:space="preserve">to </w:t>
      </w:r>
      <w:r w:rsidR="00061706" w:rsidRPr="00EC2FC5">
        <w:rPr>
          <w:rFonts w:eastAsia="Calibri"/>
          <w:lang w:val="en-US"/>
        </w:rPr>
        <w:t>Australian clinical practice was potentially limited as it would be expected that more than 20% of patients would receive subsequent olaparib in clinical practice.</w:t>
      </w:r>
    </w:p>
    <w:p w14:paraId="5D9AE284" w14:textId="77777777" w:rsidR="00E9121C" w:rsidRPr="00EC2FC5" w:rsidRDefault="00E9121C">
      <w:pPr>
        <w:pStyle w:val="3-BodyText"/>
        <w:rPr>
          <w:rFonts w:eastAsia="Calibri"/>
        </w:rPr>
      </w:pPr>
      <w:r w:rsidRPr="002E7BAB">
        <w:rPr>
          <w:iCs/>
        </w:rPr>
        <w:t>The</w:t>
      </w:r>
      <w:r w:rsidRPr="002E7BAB">
        <w:t xml:space="preserve"> PBAC considered that the claim of superior comparative effectiveness was reasonable, but that the magnitude of the benefit was uncertain. </w:t>
      </w:r>
    </w:p>
    <w:p w14:paraId="3B8284E2" w14:textId="032E9790" w:rsidR="006E4BFC" w:rsidRPr="002E7BAB" w:rsidRDefault="00CD37B7" w:rsidP="00E9121C">
      <w:pPr>
        <w:pStyle w:val="3-BodyText"/>
      </w:pPr>
      <w:r w:rsidRPr="00EC2FC5">
        <w:rPr>
          <w:rFonts w:eastAsia="Calibri"/>
        </w:rPr>
        <w:t>The</w:t>
      </w:r>
      <w:r w:rsidR="00E9121C" w:rsidRPr="00EC2FC5">
        <w:rPr>
          <w:rFonts w:eastAsia="Calibri"/>
        </w:rPr>
        <w:t xml:space="preserve"> PBAC agreed with</w:t>
      </w:r>
      <w:r w:rsidRPr="00EC2FC5">
        <w:rPr>
          <w:rFonts w:eastAsia="Calibri"/>
        </w:rPr>
        <w:t xml:space="preserve"> </w:t>
      </w:r>
      <w:r w:rsidR="005D2612" w:rsidRPr="00EC2FC5">
        <w:rPr>
          <w:rFonts w:eastAsia="Calibri"/>
        </w:rPr>
        <w:t xml:space="preserve">ESC </w:t>
      </w:r>
      <w:r w:rsidR="00E9121C" w:rsidRPr="00EC2FC5">
        <w:rPr>
          <w:rFonts w:eastAsia="Calibri"/>
        </w:rPr>
        <w:t xml:space="preserve">in </w:t>
      </w:r>
      <w:r w:rsidR="005D2612" w:rsidRPr="00EC2FC5">
        <w:rPr>
          <w:rFonts w:eastAsia="Calibri"/>
        </w:rPr>
        <w:t>consider</w:t>
      </w:r>
      <w:r w:rsidR="00E9121C" w:rsidRPr="00EC2FC5">
        <w:rPr>
          <w:rFonts w:eastAsia="Calibri"/>
        </w:rPr>
        <w:t>ing</w:t>
      </w:r>
      <w:r w:rsidR="005D2612" w:rsidRPr="00EC2FC5">
        <w:rPr>
          <w:rFonts w:eastAsia="Calibri"/>
        </w:rPr>
        <w:t xml:space="preserve"> that the </w:t>
      </w:r>
      <w:r w:rsidRPr="00EC2FC5">
        <w:rPr>
          <w:rFonts w:eastAsia="Calibri"/>
        </w:rPr>
        <w:t>claim of inferior safety</w:t>
      </w:r>
      <w:r w:rsidR="005D2612" w:rsidRPr="00EC2FC5">
        <w:rPr>
          <w:rFonts w:eastAsia="Calibri"/>
        </w:rPr>
        <w:t>, which</w:t>
      </w:r>
      <w:r w:rsidRPr="00EC2FC5">
        <w:rPr>
          <w:rFonts w:eastAsia="Calibri"/>
        </w:rPr>
        <w:t xml:space="preserve"> was based on data from the entire Cohort 2 of TALAPRO-2 as a proxy for patients with </w:t>
      </w:r>
      <w:r w:rsidR="00316B58" w:rsidRPr="00EC2FC5">
        <w:rPr>
          <w:rFonts w:eastAsia="Calibri"/>
        </w:rPr>
        <w:t xml:space="preserve">a </w:t>
      </w:r>
      <w:r w:rsidRPr="00EC2FC5">
        <w:rPr>
          <w:rFonts w:eastAsia="Calibri"/>
          <w:i/>
          <w:iCs/>
        </w:rPr>
        <w:t>BRCA1/2</w:t>
      </w:r>
      <w:r w:rsidRPr="00EC2FC5">
        <w:rPr>
          <w:rFonts w:eastAsia="Calibri"/>
        </w:rPr>
        <w:t xml:space="preserve"> pathogenic variant</w:t>
      </w:r>
      <w:r w:rsidR="005D2612" w:rsidRPr="00EC2FC5">
        <w:rPr>
          <w:rFonts w:eastAsia="Calibri"/>
        </w:rPr>
        <w:t>, was reasonable</w:t>
      </w:r>
      <w:r w:rsidRPr="00EC2FC5">
        <w:rPr>
          <w:rFonts w:eastAsia="Calibri"/>
        </w:rPr>
        <w:t xml:space="preserve">. </w:t>
      </w:r>
    </w:p>
    <w:p w14:paraId="78BD513C" w14:textId="77777777" w:rsidR="009B1B01" w:rsidRPr="00EC2FC5" w:rsidRDefault="009B1B01" w:rsidP="009B1B01">
      <w:pPr>
        <w:pStyle w:val="4-SubsectionHeading"/>
      </w:pPr>
      <w:bookmarkStart w:id="56" w:name="_Toc144911479"/>
      <w:bookmarkStart w:id="57" w:name="_Toc156833541"/>
      <w:r w:rsidRPr="00EC2FC5">
        <w:lastRenderedPageBreak/>
        <w:t>Economic analysis</w:t>
      </w:r>
      <w:bookmarkEnd w:id="56"/>
      <w:bookmarkEnd w:id="57"/>
      <w:r w:rsidRPr="00EC2FC5">
        <w:t xml:space="preserve"> </w:t>
      </w:r>
    </w:p>
    <w:p w14:paraId="4FFD31ED" w14:textId="46014FC4" w:rsidR="00620CBC" w:rsidRPr="000B725B" w:rsidRDefault="009B1B01" w:rsidP="00AA098B">
      <w:pPr>
        <w:pStyle w:val="3-BodyText"/>
        <w:rPr>
          <w:rFonts w:eastAsia="Calibri"/>
        </w:rPr>
      </w:pPr>
      <w:r w:rsidRPr="00EC2FC5">
        <w:rPr>
          <w:rFonts w:eastAsia="Calibri"/>
        </w:rPr>
        <w:t xml:space="preserve">The submission presented a </w:t>
      </w:r>
      <w:r w:rsidR="007215AE" w:rsidRPr="00EC2FC5">
        <w:rPr>
          <w:rFonts w:eastAsia="Calibri"/>
        </w:rPr>
        <w:t>modelled</w:t>
      </w:r>
      <w:r w:rsidRPr="00EC2FC5">
        <w:rPr>
          <w:rFonts w:eastAsia="Calibri"/>
        </w:rPr>
        <w:t xml:space="preserve"> economic evaluation based on the </w:t>
      </w:r>
      <w:r w:rsidR="007215AE" w:rsidRPr="00EC2FC5">
        <w:rPr>
          <w:rFonts w:eastAsia="Calibri"/>
        </w:rPr>
        <w:t>TALAPRO-2</w:t>
      </w:r>
      <w:r w:rsidR="005E1B84" w:rsidRPr="00EC2FC5">
        <w:rPr>
          <w:rFonts w:eastAsia="Calibri"/>
        </w:rPr>
        <w:t xml:space="preserve"> trial</w:t>
      </w:r>
      <w:r w:rsidRPr="00EC2FC5">
        <w:rPr>
          <w:rFonts w:eastAsia="Calibri"/>
        </w:rPr>
        <w:t>. The modelled economic evaluation was a cost-utility analysis using a partitioned survival model</w:t>
      </w:r>
      <w:r w:rsidRPr="000B725B">
        <w:rPr>
          <w:rFonts w:eastAsia="Calibri"/>
        </w:rPr>
        <w:t xml:space="preserve"> with three health states: </w:t>
      </w:r>
      <w:r w:rsidRPr="000B725B">
        <w:t xml:space="preserve">progression free (PF), progressed disease (PD), and death. </w:t>
      </w:r>
      <w:r w:rsidR="00620CBC" w:rsidRPr="000B725B">
        <w:t>PD health state was split by time spent receiving second-line treatment (PD</w:t>
      </w:r>
      <w:r w:rsidR="004A20D8" w:rsidRPr="000B725B">
        <w:t>a</w:t>
      </w:r>
      <w:r w:rsidR="00620CBC" w:rsidRPr="000B725B">
        <w:t>) and time spent receiving palliative care (PD</w:t>
      </w:r>
      <w:r w:rsidR="004A20D8" w:rsidRPr="000B725B">
        <w:t>b</w:t>
      </w:r>
      <w:r w:rsidR="00620CBC" w:rsidRPr="000B725B">
        <w:t>)</w:t>
      </w:r>
      <w:r w:rsidR="00D813DE" w:rsidRPr="000B725B">
        <w:t>,</w:t>
      </w:r>
      <w:r w:rsidR="00620CBC" w:rsidRPr="000B725B">
        <w:t xml:space="preserve"> </w:t>
      </w:r>
      <w:r w:rsidR="00D813DE" w:rsidRPr="000B725B">
        <w:t>by approximating a survival curve for second-line time-to-treatment discontinuation that f</w:t>
      </w:r>
      <w:r w:rsidR="00935AD9" w:rsidRPr="000B725B">
        <w:t>e</w:t>
      </w:r>
      <w:r w:rsidR="00D813DE" w:rsidRPr="000B725B">
        <w:t xml:space="preserve">ll between the rPFS and OS survival curves. The </w:t>
      </w:r>
      <w:r w:rsidR="00CC1DB4" w:rsidRPr="000B725B">
        <w:t xml:space="preserve">proportion of </w:t>
      </w:r>
      <w:r w:rsidR="00D813DE" w:rsidRPr="000B725B">
        <w:t>time in PD</w:t>
      </w:r>
      <w:r w:rsidR="004A20D8" w:rsidRPr="000B725B">
        <w:t xml:space="preserve">a </w:t>
      </w:r>
      <w:r w:rsidR="00E1546E" w:rsidRPr="000B725B">
        <w:t>was</w:t>
      </w:r>
      <w:r w:rsidR="00CC1DB4" w:rsidRPr="000B725B">
        <w:t xml:space="preserve"> </w:t>
      </w:r>
      <w:r w:rsidR="00EC7095" w:rsidRPr="000B725B">
        <w:t xml:space="preserve">calculated as the </w:t>
      </w:r>
      <w:r w:rsidR="00D813DE" w:rsidRPr="000B725B">
        <w:t>weighted average duration of second-line treatment</w:t>
      </w:r>
      <w:r w:rsidR="00E1546E" w:rsidRPr="000B725B">
        <w:t>s</w:t>
      </w:r>
      <w:r w:rsidR="00D813DE" w:rsidRPr="000B725B">
        <w:t xml:space="preserve"> (estimated based on the literature</w:t>
      </w:r>
      <w:r w:rsidR="00233A7F" w:rsidRPr="000B725B">
        <w:t xml:space="preserve"> and assumptions</w:t>
      </w:r>
      <w:r w:rsidR="00D813DE" w:rsidRPr="000B725B">
        <w:t xml:space="preserve">) </w:t>
      </w:r>
      <w:r w:rsidR="00EC7095" w:rsidRPr="000B725B">
        <w:t xml:space="preserve">divided </w:t>
      </w:r>
      <w:r w:rsidR="00D813DE" w:rsidRPr="000B725B">
        <w:t xml:space="preserve">by </w:t>
      </w:r>
      <w:r w:rsidR="00EC7095" w:rsidRPr="000B725B">
        <w:t xml:space="preserve">the </w:t>
      </w:r>
      <w:r w:rsidR="00CC1DB4" w:rsidRPr="000B725B">
        <w:t>estimated</w:t>
      </w:r>
      <w:r w:rsidR="00233A7F" w:rsidRPr="000B725B">
        <w:t xml:space="preserve"> median</w:t>
      </w:r>
      <w:r w:rsidR="00CC1DB4" w:rsidRPr="000B725B">
        <w:t xml:space="preserve"> time in PD</w:t>
      </w:r>
      <w:r w:rsidR="00EC7095" w:rsidRPr="000B725B">
        <w:t xml:space="preserve"> in the model</w:t>
      </w:r>
      <w:r w:rsidR="00CC1DB4" w:rsidRPr="000B725B">
        <w:t xml:space="preserve">, the remainder </w:t>
      </w:r>
      <w:r w:rsidR="00233A7F" w:rsidRPr="000B725B">
        <w:t xml:space="preserve">time in </w:t>
      </w:r>
      <w:r w:rsidR="00CC1DB4" w:rsidRPr="000B725B">
        <w:t>PD was then assumed to be spent in PD</w:t>
      </w:r>
      <w:r w:rsidR="004A20D8" w:rsidRPr="000B725B">
        <w:t>b</w:t>
      </w:r>
      <w:r w:rsidR="00D813DE" w:rsidRPr="000B725B">
        <w:t>.</w:t>
      </w:r>
      <w:r w:rsidR="006415B1" w:rsidRPr="000B725B">
        <w:t xml:space="preserve"> </w:t>
      </w:r>
      <w:r w:rsidR="00CC1DB4" w:rsidRPr="000B725B">
        <w:t xml:space="preserve">The </w:t>
      </w:r>
      <w:r w:rsidR="00233A7F" w:rsidRPr="000B725B">
        <w:t xml:space="preserve">estimated </w:t>
      </w:r>
      <w:r w:rsidR="00CC1DB4" w:rsidRPr="000B725B">
        <w:t>proportional split</w:t>
      </w:r>
      <w:r w:rsidR="00935AD9" w:rsidRPr="000B725B">
        <w:t>s</w:t>
      </w:r>
      <w:r w:rsidR="00CC1DB4" w:rsidRPr="000B725B">
        <w:t xml:space="preserve"> </w:t>
      </w:r>
      <w:r w:rsidR="00233A7F" w:rsidRPr="000B725B">
        <w:t xml:space="preserve">in time </w:t>
      </w:r>
      <w:r w:rsidR="00CC1DB4" w:rsidRPr="000B725B">
        <w:t>between PD</w:t>
      </w:r>
      <w:r w:rsidR="004A20D8" w:rsidRPr="000B725B">
        <w:t xml:space="preserve">a </w:t>
      </w:r>
      <w:r w:rsidR="00CC1DB4" w:rsidRPr="000B725B">
        <w:t>and PD</w:t>
      </w:r>
      <w:r w:rsidR="004A20D8" w:rsidRPr="000B725B">
        <w:t>b</w:t>
      </w:r>
      <w:r w:rsidR="00CC1DB4" w:rsidRPr="000B725B">
        <w:rPr>
          <w:vertAlign w:val="superscript"/>
        </w:rPr>
        <w:t xml:space="preserve"> </w:t>
      </w:r>
      <w:r w:rsidR="00CC1DB4" w:rsidRPr="000B725B">
        <w:t xml:space="preserve">were 70:30 for </w:t>
      </w:r>
      <w:r w:rsidR="00233A7F" w:rsidRPr="000B725B">
        <w:t xml:space="preserve">the </w:t>
      </w:r>
      <w:r w:rsidR="00CC1DB4" w:rsidRPr="000B725B">
        <w:t xml:space="preserve">talazoparib + enzalutamide </w:t>
      </w:r>
      <w:r w:rsidR="00233A7F" w:rsidRPr="000B725B">
        <w:t xml:space="preserve">arm </w:t>
      </w:r>
      <w:r w:rsidR="00CC1DB4" w:rsidRPr="000B725B">
        <w:t xml:space="preserve">and 41:59 for </w:t>
      </w:r>
      <w:r w:rsidR="00233A7F" w:rsidRPr="000B725B">
        <w:t xml:space="preserve">the </w:t>
      </w:r>
      <w:r w:rsidR="004A20D8" w:rsidRPr="000B725B">
        <w:t>enzalutamide monotherapy</w:t>
      </w:r>
      <w:r w:rsidR="00233A7F" w:rsidRPr="000B725B">
        <w:t xml:space="preserve"> arms</w:t>
      </w:r>
      <w:r w:rsidR="004A20D8" w:rsidRPr="000B725B">
        <w:t xml:space="preserve">. </w:t>
      </w:r>
      <w:r w:rsidR="00F13554" w:rsidRPr="006E4BFC">
        <w:t xml:space="preserve">The ESC noted that </w:t>
      </w:r>
      <w:r w:rsidR="00F13554">
        <w:t>p</w:t>
      </w:r>
      <w:r w:rsidR="0080700D" w:rsidRPr="000B725B">
        <w:t xml:space="preserve">revious models </w:t>
      </w:r>
      <w:r w:rsidR="008415F3" w:rsidRPr="000B725B">
        <w:t>presented to</w:t>
      </w:r>
      <w:r w:rsidR="00E27A62" w:rsidRPr="000B725B">
        <w:t xml:space="preserve"> the PBAC in</w:t>
      </w:r>
      <w:r w:rsidR="008415F3" w:rsidRPr="000B725B">
        <w:t xml:space="preserve"> </w:t>
      </w:r>
      <w:r w:rsidR="00F13554">
        <w:t xml:space="preserve">the </w:t>
      </w:r>
      <w:r w:rsidR="008415F3" w:rsidRPr="000B725B">
        <w:t xml:space="preserve">prostate cancer </w:t>
      </w:r>
      <w:r w:rsidR="00F13554">
        <w:t xml:space="preserve">setting </w:t>
      </w:r>
      <w:r w:rsidR="00935AD9" w:rsidRPr="000B725B">
        <w:t>did</w:t>
      </w:r>
      <w:r w:rsidR="008415F3" w:rsidRPr="000B725B">
        <w:t xml:space="preserve"> not differentiate </w:t>
      </w:r>
      <w:r w:rsidR="00E27A62" w:rsidRPr="000B725B">
        <w:t xml:space="preserve">PD </w:t>
      </w:r>
      <w:r w:rsidR="004A20D8" w:rsidRPr="000B725B">
        <w:t>into</w:t>
      </w:r>
      <w:r w:rsidR="00CC1DB4" w:rsidRPr="000B725B">
        <w:t xml:space="preserve"> </w:t>
      </w:r>
      <w:r w:rsidR="008415F3" w:rsidRPr="000B725B">
        <w:t xml:space="preserve">sub-states </w:t>
      </w:r>
      <w:r w:rsidR="00E27A62" w:rsidRPr="000B725B">
        <w:t xml:space="preserve">with </w:t>
      </w:r>
      <w:r w:rsidR="00D813DE" w:rsidRPr="000B725B">
        <w:t>different utilities and costs</w:t>
      </w:r>
      <w:r w:rsidR="00E27A62" w:rsidRPr="000B725B">
        <w:t xml:space="preserve">, </w:t>
      </w:r>
      <w:r w:rsidR="00F13554">
        <w:t>but agreed that</w:t>
      </w:r>
      <w:r w:rsidR="00E27A62" w:rsidRPr="000B725B">
        <w:t xml:space="preserve"> ‘progressed disease’ in practice is a heterogeneous state consisting of multiple lines of treatment and disease progressions</w:t>
      </w:r>
      <w:r w:rsidR="00D813DE" w:rsidRPr="000B725B">
        <w:t xml:space="preserve">. </w:t>
      </w:r>
      <w:r w:rsidR="00620CBC" w:rsidRPr="000B725B">
        <w:t xml:space="preserve">The model structure is shown in </w:t>
      </w:r>
      <w:r w:rsidR="00620CBC" w:rsidRPr="000B725B">
        <w:fldChar w:fldCharType="begin" w:fldLock="1"/>
      </w:r>
      <w:r w:rsidR="00620CBC" w:rsidRPr="000B725B">
        <w:instrText xml:space="preserve"> REF _Ref153797012 \h </w:instrText>
      </w:r>
      <w:r w:rsidR="000B725B" w:rsidRPr="000B725B">
        <w:instrText xml:space="preserve"> \* MERGEFORMAT </w:instrText>
      </w:r>
      <w:r w:rsidR="00620CBC" w:rsidRPr="000B725B">
        <w:fldChar w:fldCharType="separate"/>
      </w:r>
      <w:r w:rsidR="00324A7E" w:rsidRPr="000B725B">
        <w:t xml:space="preserve">Figure </w:t>
      </w:r>
      <w:r w:rsidR="00324A7E" w:rsidRPr="000B725B">
        <w:rPr>
          <w:noProof/>
        </w:rPr>
        <w:t>3</w:t>
      </w:r>
      <w:r w:rsidR="00620CBC" w:rsidRPr="000B725B">
        <w:fldChar w:fldCharType="end"/>
      </w:r>
      <w:r w:rsidR="00620CBC" w:rsidRPr="000B725B">
        <w:t>.</w:t>
      </w:r>
    </w:p>
    <w:p w14:paraId="7D469765" w14:textId="1617B17F" w:rsidR="00620CBC" w:rsidRPr="005A293B" w:rsidRDefault="00620CBC" w:rsidP="00620CBC">
      <w:pPr>
        <w:pStyle w:val="Caption"/>
      </w:pPr>
      <w:bookmarkStart w:id="58" w:name="_Ref153797012"/>
      <w:r w:rsidRPr="005A293B">
        <w:t xml:space="preserve">Figure </w:t>
      </w:r>
      <w:fldSimple w:instr=" SEQ Figure \* ARABIC " w:fldLock="1">
        <w:r w:rsidR="00324A7E">
          <w:rPr>
            <w:noProof/>
          </w:rPr>
          <w:t>3</w:t>
        </w:r>
      </w:fldSimple>
      <w:bookmarkEnd w:id="58"/>
      <w:r w:rsidR="00935AD9">
        <w:rPr>
          <w:noProof/>
        </w:rPr>
        <w:t>:</w:t>
      </w:r>
      <w:r w:rsidRPr="005A293B">
        <w:t xml:space="preserve"> Structure of the economic model</w:t>
      </w:r>
      <w:r w:rsidRPr="005A293B">
        <w:rPr>
          <w:rFonts w:eastAsia="Calibri" w:cs="Times New Roman"/>
          <w:noProof/>
          <w:kern w:val="2"/>
        </w:rPr>
        <w:drawing>
          <wp:inline distT="0" distB="0" distL="0" distR="0" wp14:anchorId="45C53BA5" wp14:editId="16F49D2D">
            <wp:extent cx="3963107" cy="2371725"/>
            <wp:effectExtent l="0" t="0" r="0" b="0"/>
            <wp:docPr id="19" name="Picture 19" descr="Figure 3: Structure of the economic model">
              <a:extLst xmlns:a="http://schemas.openxmlformats.org/drawingml/2006/main">
                <a:ext uri="{FF2B5EF4-FFF2-40B4-BE49-F238E27FC236}">
                  <a16:creationId xmlns:a16="http://schemas.microsoft.com/office/drawing/2014/main" id="{00000000-0008-0000-02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3: Structure of the economic model">
                      <a:extLst>
                        <a:ext uri="{FF2B5EF4-FFF2-40B4-BE49-F238E27FC236}">
                          <a16:creationId xmlns:a16="http://schemas.microsoft.com/office/drawing/2014/main" id="{00000000-0008-0000-0200-000014000000}"/>
                        </a:ext>
                      </a:extLst>
                    </pic:cNvPr>
                    <pic:cNvPicPr>
                      <a:picLocks noChangeAspect="1"/>
                    </pic:cNvPicPr>
                  </pic:nvPicPr>
                  <pic:blipFill>
                    <a:blip r:embed="rId20"/>
                    <a:stretch>
                      <a:fillRect/>
                    </a:stretch>
                  </pic:blipFill>
                  <pic:spPr>
                    <a:xfrm>
                      <a:off x="0" y="0"/>
                      <a:ext cx="3969091" cy="2375306"/>
                    </a:xfrm>
                    <a:prstGeom prst="rect">
                      <a:avLst/>
                    </a:prstGeom>
                  </pic:spPr>
                </pic:pic>
              </a:graphicData>
            </a:graphic>
          </wp:inline>
        </w:drawing>
      </w:r>
    </w:p>
    <w:p w14:paraId="182B0756" w14:textId="77777777" w:rsidR="00620CBC" w:rsidRPr="005A293B" w:rsidRDefault="00620CBC" w:rsidP="005C70FC">
      <w:pPr>
        <w:pStyle w:val="TableFooter"/>
        <w:spacing w:after="120"/>
        <w:jc w:val="both"/>
      </w:pPr>
      <w:r w:rsidRPr="005A293B">
        <w:t>Source: Figure 3.2-1, p 134 of the submission</w:t>
      </w:r>
    </w:p>
    <w:p w14:paraId="2A5FE42D" w14:textId="3C70BC8F" w:rsidR="00620CBC" w:rsidRPr="005A293B" w:rsidRDefault="00620CBC" w:rsidP="00620CBC">
      <w:pPr>
        <w:pStyle w:val="3-BodyText"/>
        <w:rPr>
          <w:rFonts w:eastAsia="Calibri"/>
        </w:rPr>
      </w:pPr>
      <w:r w:rsidRPr="005A293B">
        <w:rPr>
          <w:rFonts w:eastAsia="Calibri"/>
        </w:rPr>
        <w:fldChar w:fldCharType="begin" w:fldLock="1"/>
      </w:r>
      <w:r w:rsidRPr="005A293B">
        <w:rPr>
          <w:rFonts w:eastAsia="Calibri"/>
        </w:rPr>
        <w:instrText xml:space="preserve"> REF _Ref143070630 \h </w:instrText>
      </w:r>
      <w:r w:rsidRPr="005A293B">
        <w:rPr>
          <w:rFonts w:eastAsia="Calibri"/>
        </w:rPr>
      </w:r>
      <w:r w:rsidRPr="005A293B">
        <w:rPr>
          <w:rFonts w:eastAsia="Calibri"/>
        </w:rPr>
        <w:fldChar w:fldCharType="separate"/>
      </w:r>
      <w:r w:rsidR="00935AD9" w:rsidRPr="005A293B">
        <w:t xml:space="preserve">Table </w:t>
      </w:r>
      <w:r w:rsidR="00935AD9">
        <w:rPr>
          <w:noProof/>
        </w:rPr>
        <w:t>9</w:t>
      </w:r>
      <w:r w:rsidRPr="005A293B">
        <w:rPr>
          <w:rFonts w:eastAsia="Calibri"/>
        </w:rPr>
        <w:fldChar w:fldCharType="end"/>
      </w:r>
      <w:r w:rsidRPr="005A293B">
        <w:rPr>
          <w:rFonts w:eastAsia="Calibri"/>
        </w:rPr>
        <w:t xml:space="preserve"> provides a summary of </w:t>
      </w:r>
      <w:r w:rsidR="00316B58">
        <w:rPr>
          <w:rFonts w:eastAsia="Calibri"/>
        </w:rPr>
        <w:t xml:space="preserve">the </w:t>
      </w:r>
      <w:r w:rsidRPr="005A293B">
        <w:rPr>
          <w:rFonts w:eastAsia="Calibri"/>
        </w:rPr>
        <w:t xml:space="preserve">model components. </w:t>
      </w:r>
    </w:p>
    <w:p w14:paraId="327DFB5F" w14:textId="3280201E" w:rsidR="009B1B01" w:rsidRPr="005A293B" w:rsidRDefault="009B1B01" w:rsidP="009B1B01">
      <w:pPr>
        <w:pStyle w:val="Caption"/>
        <w:rPr>
          <w:rStyle w:val="CommentReference"/>
          <w:b/>
          <w:szCs w:val="24"/>
        </w:rPr>
      </w:pPr>
      <w:bookmarkStart w:id="59" w:name="_Ref143070630"/>
      <w:r w:rsidRPr="005A293B">
        <w:lastRenderedPageBreak/>
        <w:t xml:space="preserve">Table </w:t>
      </w:r>
      <w:fldSimple w:instr=" SEQ Table \* ARABIC " w:fldLock="1">
        <w:r w:rsidR="00A01609">
          <w:rPr>
            <w:noProof/>
          </w:rPr>
          <w:t>9</w:t>
        </w:r>
      </w:fldSimple>
      <w:bookmarkEnd w:id="59"/>
      <w:r w:rsidRPr="005A293B">
        <w:t>:</w:t>
      </w:r>
      <w:r w:rsidRPr="005A293B">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model structure, key inputs and rationale"/>
      </w:tblPr>
      <w:tblGrid>
        <w:gridCol w:w="2052"/>
        <w:gridCol w:w="6965"/>
      </w:tblGrid>
      <w:tr w:rsidR="009B1B01" w:rsidRPr="005A293B" w14:paraId="351E81B4" w14:textId="77777777" w:rsidTr="0012355C">
        <w:trPr>
          <w:tblHeader/>
        </w:trPr>
        <w:tc>
          <w:tcPr>
            <w:tcW w:w="1138" w:type="pct"/>
            <w:shd w:val="clear" w:color="auto" w:fill="auto"/>
            <w:vAlign w:val="center"/>
          </w:tcPr>
          <w:p w14:paraId="26213997" w14:textId="77777777" w:rsidR="009B1B01" w:rsidRPr="005A293B" w:rsidRDefault="009B1B01" w:rsidP="00C407DD">
            <w:pPr>
              <w:pStyle w:val="In-tableHeading"/>
              <w:rPr>
                <w:lang w:val="en-AU"/>
              </w:rPr>
            </w:pPr>
            <w:r w:rsidRPr="005A293B">
              <w:rPr>
                <w:lang w:val="en-AU"/>
              </w:rPr>
              <w:t>Component</w:t>
            </w:r>
          </w:p>
        </w:tc>
        <w:tc>
          <w:tcPr>
            <w:tcW w:w="3862" w:type="pct"/>
            <w:shd w:val="clear" w:color="auto" w:fill="auto"/>
            <w:vAlign w:val="center"/>
          </w:tcPr>
          <w:p w14:paraId="63AB13AB" w14:textId="77777777" w:rsidR="009B1B01" w:rsidRPr="005A293B" w:rsidRDefault="009B1B01" w:rsidP="00C407DD">
            <w:pPr>
              <w:pStyle w:val="In-tableHeading"/>
              <w:rPr>
                <w:lang w:val="en-AU"/>
              </w:rPr>
            </w:pPr>
            <w:r w:rsidRPr="005A293B">
              <w:rPr>
                <w:lang w:val="en-AU"/>
              </w:rPr>
              <w:t>Summary</w:t>
            </w:r>
          </w:p>
        </w:tc>
      </w:tr>
      <w:tr w:rsidR="009B1B01" w:rsidRPr="005A293B" w14:paraId="2F8C392A" w14:textId="77777777" w:rsidTr="0012355C">
        <w:tc>
          <w:tcPr>
            <w:tcW w:w="1138" w:type="pct"/>
            <w:shd w:val="clear" w:color="auto" w:fill="auto"/>
            <w:vAlign w:val="center"/>
          </w:tcPr>
          <w:p w14:paraId="6E62B685" w14:textId="77777777" w:rsidR="009B1B01" w:rsidRPr="005A293B" w:rsidRDefault="009B1B01" w:rsidP="00C407DD">
            <w:pPr>
              <w:pStyle w:val="TableText0"/>
            </w:pPr>
            <w:r w:rsidRPr="005A293B">
              <w:t>Treatments</w:t>
            </w:r>
          </w:p>
        </w:tc>
        <w:tc>
          <w:tcPr>
            <w:tcW w:w="3862" w:type="pct"/>
            <w:shd w:val="clear" w:color="auto" w:fill="auto"/>
            <w:vAlign w:val="center"/>
          </w:tcPr>
          <w:p w14:paraId="5C010E3E" w14:textId="67E0103C" w:rsidR="009B1B01" w:rsidRPr="005A293B" w:rsidRDefault="00C73A54" w:rsidP="00C407DD">
            <w:pPr>
              <w:pStyle w:val="TableText0"/>
            </w:pPr>
            <w:r w:rsidRPr="005A293B">
              <w:t>T</w:t>
            </w:r>
            <w:r w:rsidR="00621518">
              <w:t>AL</w:t>
            </w:r>
            <w:r w:rsidRPr="005A293B">
              <w:t xml:space="preserve">+ </w:t>
            </w:r>
            <w:r w:rsidR="00621518">
              <w:t xml:space="preserve">ENZ  </w:t>
            </w:r>
            <w:r w:rsidR="009B1B01" w:rsidRPr="005A293B">
              <w:t xml:space="preserve">vs </w:t>
            </w:r>
            <w:r w:rsidR="00621518">
              <w:t xml:space="preserve">ENZ </w:t>
            </w:r>
            <w:r w:rsidR="009B1B01" w:rsidRPr="005A293B">
              <w:t>monotherapy</w:t>
            </w:r>
          </w:p>
        </w:tc>
      </w:tr>
      <w:tr w:rsidR="009B1B01" w:rsidRPr="005A293B" w14:paraId="1365042D" w14:textId="77777777" w:rsidTr="0012355C">
        <w:tc>
          <w:tcPr>
            <w:tcW w:w="1138" w:type="pct"/>
            <w:shd w:val="clear" w:color="auto" w:fill="auto"/>
            <w:vAlign w:val="center"/>
          </w:tcPr>
          <w:p w14:paraId="3179D587" w14:textId="77777777" w:rsidR="009B1B01" w:rsidRPr="005A293B" w:rsidRDefault="009B1B01" w:rsidP="00C407DD">
            <w:pPr>
              <w:pStyle w:val="TableText0"/>
            </w:pPr>
            <w:r w:rsidRPr="005A293B">
              <w:t>Time horizon</w:t>
            </w:r>
          </w:p>
        </w:tc>
        <w:tc>
          <w:tcPr>
            <w:tcW w:w="3862" w:type="pct"/>
            <w:shd w:val="clear" w:color="auto" w:fill="auto"/>
            <w:vAlign w:val="center"/>
          </w:tcPr>
          <w:p w14:paraId="2A016AA5" w14:textId="6F204E96" w:rsidR="009B1B01" w:rsidRPr="005A293B" w:rsidRDefault="009B1B01" w:rsidP="00C407DD">
            <w:pPr>
              <w:pStyle w:val="TableText0"/>
            </w:pPr>
            <w:r w:rsidRPr="005A293B">
              <w:t>1</w:t>
            </w:r>
            <w:r w:rsidR="00C73A54" w:rsidRPr="005A293B">
              <w:t>0</w:t>
            </w:r>
            <w:r w:rsidRPr="005A293B">
              <w:t xml:space="preserve"> years in the model base case vs.</w:t>
            </w:r>
            <w:r w:rsidR="00C73A54" w:rsidRPr="005A293B">
              <w:t xml:space="preserve"> trial-reported</w:t>
            </w:r>
            <w:r w:rsidRPr="005A293B">
              <w:t xml:space="preserve"> </w:t>
            </w:r>
            <w:r w:rsidR="00C73A54" w:rsidRPr="005A293B">
              <w:t>41 and 28.1</w:t>
            </w:r>
            <w:r w:rsidRPr="005A293B">
              <w:t xml:space="preserve"> months (median </w:t>
            </w:r>
            <w:r w:rsidR="00C73A54" w:rsidRPr="005A293B">
              <w:t xml:space="preserve">OS </w:t>
            </w:r>
            <w:r w:rsidRPr="005A293B">
              <w:t>follow-up</w:t>
            </w:r>
            <w:r w:rsidR="0044774B" w:rsidRPr="005A293B">
              <w:t xml:space="preserve"> in </w:t>
            </w:r>
            <w:r w:rsidR="0044774B" w:rsidRPr="005A293B">
              <w:rPr>
                <w:i/>
                <w:iCs/>
              </w:rPr>
              <w:t>BRCA1/2</w:t>
            </w:r>
            <w:r w:rsidR="0044774B" w:rsidRPr="005A293B">
              <w:t xml:space="preserve"> subgroup</w:t>
            </w:r>
            <w:r w:rsidRPr="005A293B">
              <w:t xml:space="preserve">) in </w:t>
            </w:r>
            <w:r w:rsidR="00C73A54" w:rsidRPr="005A293B">
              <w:t>the intervention and comparison arms, respectively</w:t>
            </w:r>
            <w:r w:rsidR="002534A3">
              <w:t>.</w:t>
            </w:r>
            <w:r w:rsidR="00EC2FC5">
              <w:t xml:space="preserve"> The time horizon was reduced to 7.5 years in the pre-PBAC response.</w:t>
            </w:r>
          </w:p>
        </w:tc>
      </w:tr>
      <w:tr w:rsidR="009B1B01" w:rsidRPr="005A293B" w14:paraId="7CF548DA" w14:textId="77777777" w:rsidTr="0012355C">
        <w:tc>
          <w:tcPr>
            <w:tcW w:w="1138" w:type="pct"/>
            <w:shd w:val="clear" w:color="auto" w:fill="auto"/>
            <w:vAlign w:val="center"/>
          </w:tcPr>
          <w:p w14:paraId="255DE9B9" w14:textId="77777777" w:rsidR="009B1B01" w:rsidRPr="005A293B" w:rsidRDefault="009B1B01" w:rsidP="00C407DD">
            <w:pPr>
              <w:pStyle w:val="TableText0"/>
            </w:pPr>
            <w:r w:rsidRPr="005A293B">
              <w:t>Outcomes</w:t>
            </w:r>
          </w:p>
        </w:tc>
        <w:tc>
          <w:tcPr>
            <w:tcW w:w="3862" w:type="pct"/>
            <w:shd w:val="clear" w:color="auto" w:fill="auto"/>
            <w:vAlign w:val="center"/>
          </w:tcPr>
          <w:p w14:paraId="1EDC1A9A" w14:textId="4B05AEB3" w:rsidR="009B1B01" w:rsidRPr="005A293B" w:rsidRDefault="0044774B" w:rsidP="00C407DD">
            <w:pPr>
              <w:pStyle w:val="TableText0"/>
            </w:pPr>
            <w:r w:rsidRPr="005A293B">
              <w:t>L</w:t>
            </w:r>
            <w:r w:rsidR="009B1B01" w:rsidRPr="005A293B">
              <w:t xml:space="preserve">ife-years </w:t>
            </w:r>
            <w:r w:rsidRPr="005A293B">
              <w:t>gained;</w:t>
            </w:r>
            <w:r w:rsidR="009B1B01" w:rsidRPr="005A293B">
              <w:t xml:space="preserve"> quality-adjusted life years gained</w:t>
            </w:r>
            <w:r w:rsidR="002534A3">
              <w:t>.</w:t>
            </w:r>
          </w:p>
        </w:tc>
      </w:tr>
      <w:tr w:rsidR="009B1B01" w:rsidRPr="005A293B" w14:paraId="6740447A" w14:textId="77777777" w:rsidTr="0012355C">
        <w:tc>
          <w:tcPr>
            <w:tcW w:w="1138" w:type="pct"/>
            <w:shd w:val="clear" w:color="auto" w:fill="auto"/>
            <w:vAlign w:val="center"/>
          </w:tcPr>
          <w:p w14:paraId="68F8DB43" w14:textId="77777777" w:rsidR="009B1B01" w:rsidRPr="005A293B" w:rsidRDefault="009B1B01" w:rsidP="00C407DD">
            <w:pPr>
              <w:pStyle w:val="TableText0"/>
            </w:pPr>
            <w:r w:rsidRPr="005A293B">
              <w:t>Methods used to generate results</w:t>
            </w:r>
          </w:p>
        </w:tc>
        <w:tc>
          <w:tcPr>
            <w:tcW w:w="3862" w:type="pct"/>
            <w:shd w:val="clear" w:color="auto" w:fill="auto"/>
            <w:vAlign w:val="center"/>
          </w:tcPr>
          <w:p w14:paraId="2E009426" w14:textId="340BF753" w:rsidR="009B1B01" w:rsidRPr="005A293B" w:rsidRDefault="009B1B01" w:rsidP="00C407DD">
            <w:pPr>
              <w:pStyle w:val="TableText0"/>
            </w:pPr>
            <w:r w:rsidRPr="005A293B">
              <w:t>Partitioned survival model</w:t>
            </w:r>
            <w:r w:rsidR="002534A3">
              <w:t>.</w:t>
            </w:r>
          </w:p>
        </w:tc>
      </w:tr>
      <w:tr w:rsidR="009B1B01" w:rsidRPr="005A293B" w14:paraId="0E3C039D" w14:textId="77777777" w:rsidTr="0012355C">
        <w:tc>
          <w:tcPr>
            <w:tcW w:w="1138" w:type="pct"/>
            <w:shd w:val="clear" w:color="auto" w:fill="auto"/>
            <w:vAlign w:val="center"/>
          </w:tcPr>
          <w:p w14:paraId="278FF1E2" w14:textId="77777777" w:rsidR="009B1B01" w:rsidRPr="005A293B" w:rsidRDefault="009B1B01" w:rsidP="00C407DD">
            <w:pPr>
              <w:pStyle w:val="TableText0"/>
            </w:pPr>
            <w:r w:rsidRPr="005A293B">
              <w:t>Health states</w:t>
            </w:r>
          </w:p>
        </w:tc>
        <w:tc>
          <w:tcPr>
            <w:tcW w:w="3862" w:type="pct"/>
            <w:shd w:val="clear" w:color="auto" w:fill="auto"/>
            <w:vAlign w:val="center"/>
          </w:tcPr>
          <w:p w14:paraId="01E1E070" w14:textId="436351CA" w:rsidR="001E404E" w:rsidRDefault="00EC2FC5" w:rsidP="00935AD9">
            <w:pPr>
              <w:pStyle w:val="TableText0"/>
              <w:numPr>
                <w:ilvl w:val="0"/>
                <w:numId w:val="30"/>
              </w:numPr>
              <w:ind w:left="241" w:hanging="241"/>
            </w:pPr>
            <w:r>
              <w:t>PF</w:t>
            </w:r>
          </w:p>
          <w:p w14:paraId="6E8EA12F" w14:textId="405B7D45" w:rsidR="001E404E" w:rsidRDefault="009F2407" w:rsidP="00935AD9">
            <w:pPr>
              <w:pStyle w:val="TableText0"/>
              <w:numPr>
                <w:ilvl w:val="0"/>
                <w:numId w:val="30"/>
              </w:numPr>
              <w:ind w:left="241" w:hanging="241"/>
            </w:pPr>
            <w:r>
              <w:t>PD</w:t>
            </w:r>
            <w:r w:rsidR="001E404E">
              <w:t xml:space="preserve"> (</w:t>
            </w:r>
            <w:r w:rsidR="00233A7F">
              <w:t xml:space="preserve">proportional time in </w:t>
            </w:r>
            <w:r w:rsidR="004A20D8">
              <w:t xml:space="preserve">PDa </w:t>
            </w:r>
            <w:r w:rsidR="00EC2FC5">
              <w:t>and</w:t>
            </w:r>
            <w:r w:rsidR="001E404E">
              <w:t xml:space="preserve"> PDb</w:t>
            </w:r>
            <w:r w:rsidR="004A20D8">
              <w:t xml:space="preserve">: </w:t>
            </w:r>
            <w:r w:rsidR="00233A7F">
              <w:t>70:30 for</w:t>
            </w:r>
            <w:r w:rsidR="00621518">
              <w:t xml:space="preserve"> TAL+ENZ arm</w:t>
            </w:r>
            <w:r w:rsidR="00233A7F">
              <w:t xml:space="preserve"> and </w:t>
            </w:r>
            <w:r w:rsidR="004A20D8">
              <w:t xml:space="preserve">41:59 </w:t>
            </w:r>
            <w:r w:rsidR="00621518">
              <w:t>PBO+ENZ arm)</w:t>
            </w:r>
            <w:r w:rsidR="00980DF4" w:rsidRPr="005A293B">
              <w:t xml:space="preserve">, </w:t>
            </w:r>
          </w:p>
          <w:p w14:paraId="583F44B7" w14:textId="1C2DB935" w:rsidR="009F2407" w:rsidRPr="005A293B" w:rsidRDefault="001E404E" w:rsidP="00935AD9">
            <w:pPr>
              <w:pStyle w:val="TableText0"/>
              <w:numPr>
                <w:ilvl w:val="0"/>
                <w:numId w:val="30"/>
              </w:numPr>
              <w:ind w:left="241" w:hanging="241"/>
            </w:pPr>
            <w:r>
              <w:t>D</w:t>
            </w:r>
            <w:r w:rsidR="00980DF4" w:rsidRPr="005A293B">
              <w:t>eath</w:t>
            </w:r>
            <w:r w:rsidR="009F2407">
              <w:t>.</w:t>
            </w:r>
          </w:p>
        </w:tc>
      </w:tr>
      <w:tr w:rsidR="009B1B01" w:rsidRPr="005A293B" w14:paraId="3B760858" w14:textId="77777777" w:rsidTr="0012355C">
        <w:tc>
          <w:tcPr>
            <w:tcW w:w="1138" w:type="pct"/>
            <w:shd w:val="clear" w:color="auto" w:fill="auto"/>
            <w:vAlign w:val="center"/>
          </w:tcPr>
          <w:p w14:paraId="2F635D6D" w14:textId="77777777" w:rsidR="009B1B01" w:rsidRPr="005A293B" w:rsidRDefault="009B1B01" w:rsidP="00C407DD">
            <w:pPr>
              <w:pStyle w:val="TableText0"/>
            </w:pPr>
            <w:r w:rsidRPr="005A293B">
              <w:t>Cycle length</w:t>
            </w:r>
          </w:p>
        </w:tc>
        <w:tc>
          <w:tcPr>
            <w:tcW w:w="3862" w:type="pct"/>
            <w:shd w:val="clear" w:color="auto" w:fill="auto"/>
            <w:vAlign w:val="center"/>
          </w:tcPr>
          <w:p w14:paraId="1203EBB4" w14:textId="4A1BED04" w:rsidR="009B1B01" w:rsidRPr="005A293B" w:rsidRDefault="009B1B01" w:rsidP="00C407DD">
            <w:pPr>
              <w:pStyle w:val="TableText0"/>
            </w:pPr>
            <w:r w:rsidRPr="005A293B">
              <w:t>Monthly</w:t>
            </w:r>
            <w:r w:rsidR="002534A3">
              <w:t>.</w:t>
            </w:r>
          </w:p>
        </w:tc>
      </w:tr>
      <w:tr w:rsidR="009B1B01" w:rsidRPr="005A293B" w14:paraId="2DB2C699" w14:textId="77777777" w:rsidTr="0012355C">
        <w:tc>
          <w:tcPr>
            <w:tcW w:w="1138" w:type="pct"/>
            <w:shd w:val="clear" w:color="auto" w:fill="auto"/>
            <w:vAlign w:val="center"/>
          </w:tcPr>
          <w:p w14:paraId="3A2AFB66" w14:textId="77777777" w:rsidR="009B1B01" w:rsidRPr="005A293B" w:rsidRDefault="009B1B01" w:rsidP="00C407DD">
            <w:pPr>
              <w:pStyle w:val="TableText0"/>
            </w:pPr>
            <w:r w:rsidRPr="005A293B">
              <w:t>Transition probabilities or</w:t>
            </w:r>
          </w:p>
          <w:p w14:paraId="1DFB5352" w14:textId="77777777" w:rsidR="009B1B01" w:rsidRPr="005A293B" w:rsidRDefault="009B1B01" w:rsidP="00C407DD">
            <w:pPr>
              <w:pStyle w:val="TableText0"/>
            </w:pPr>
            <w:r w:rsidRPr="005A293B">
              <w:t>Allocation to health states</w:t>
            </w:r>
          </w:p>
        </w:tc>
        <w:tc>
          <w:tcPr>
            <w:tcW w:w="3862" w:type="pct"/>
            <w:shd w:val="clear" w:color="auto" w:fill="auto"/>
            <w:vAlign w:val="center"/>
          </w:tcPr>
          <w:p w14:paraId="4DB82D68" w14:textId="2C607F55" w:rsidR="009B1B01" w:rsidRPr="005A293B" w:rsidRDefault="009B1B01" w:rsidP="00C407DD">
            <w:pPr>
              <w:pStyle w:val="TableText0"/>
            </w:pPr>
            <w:r w:rsidRPr="005A293B">
              <w:t xml:space="preserve">Health state allocation was determined by rPFS and OS curves from the </w:t>
            </w:r>
            <w:r w:rsidR="006C3ED1" w:rsidRPr="005A293B">
              <w:rPr>
                <w:i/>
                <w:iCs/>
              </w:rPr>
              <w:t>BRCA1/2</w:t>
            </w:r>
            <w:r w:rsidRPr="005A293B">
              <w:t xml:space="preserve"> subgroup</w:t>
            </w:r>
            <w:r w:rsidR="00980DF4" w:rsidRPr="005A293B">
              <w:t xml:space="preserve"> of Cohort 2</w:t>
            </w:r>
            <w:r w:rsidRPr="005A293B">
              <w:t xml:space="preserve"> in </w:t>
            </w:r>
            <w:r w:rsidR="00617E91">
              <w:t xml:space="preserve">the </w:t>
            </w:r>
            <w:r w:rsidR="00980DF4" w:rsidRPr="005A293B">
              <w:rPr>
                <w:rFonts w:eastAsia="Calibri"/>
              </w:rPr>
              <w:t>TALAPRO-2 trial</w:t>
            </w:r>
            <w:r w:rsidR="002534A3">
              <w:rPr>
                <w:rFonts w:eastAsia="Calibri"/>
              </w:rPr>
              <w:t>.</w:t>
            </w:r>
          </w:p>
        </w:tc>
      </w:tr>
      <w:tr w:rsidR="009B1B01" w:rsidRPr="005A293B" w14:paraId="5D67E93B" w14:textId="77777777" w:rsidTr="0012355C">
        <w:tc>
          <w:tcPr>
            <w:tcW w:w="1138" w:type="pct"/>
            <w:shd w:val="clear" w:color="auto" w:fill="auto"/>
            <w:vAlign w:val="center"/>
          </w:tcPr>
          <w:p w14:paraId="3E79B0ED" w14:textId="77777777" w:rsidR="009B1B01" w:rsidRPr="005A293B" w:rsidRDefault="009B1B01" w:rsidP="00C407DD">
            <w:pPr>
              <w:pStyle w:val="TableText0"/>
            </w:pPr>
            <w:r w:rsidRPr="005A293B">
              <w:t>Extrapolation method</w:t>
            </w:r>
          </w:p>
        </w:tc>
        <w:tc>
          <w:tcPr>
            <w:tcW w:w="3862" w:type="pct"/>
            <w:shd w:val="clear" w:color="auto" w:fill="auto"/>
            <w:vAlign w:val="center"/>
          </w:tcPr>
          <w:p w14:paraId="2B280AB3" w14:textId="04459402" w:rsidR="0044774B" w:rsidRPr="005A293B" w:rsidRDefault="009B1B01" w:rsidP="00C407DD">
            <w:pPr>
              <w:pStyle w:val="TableText0"/>
            </w:pPr>
            <w:r w:rsidRPr="005A293B">
              <w:t>Parametric model</w:t>
            </w:r>
            <w:r w:rsidR="00066119" w:rsidRPr="005A293B">
              <w:t>s</w:t>
            </w:r>
            <w:r w:rsidRPr="005A293B">
              <w:t xml:space="preserve"> independently fitted to each treatment arm based on statistical (AIC and BIC)</w:t>
            </w:r>
            <w:r w:rsidR="00617E91">
              <w:t>,</w:t>
            </w:r>
            <w:r w:rsidRPr="005A293B">
              <w:t xml:space="preserve"> visual fit</w:t>
            </w:r>
            <w:r w:rsidR="00617E91">
              <w:t xml:space="preserve"> and</w:t>
            </w:r>
            <w:r w:rsidRPr="005A293B">
              <w:t xml:space="preserve"> clinical plausibility</w:t>
            </w:r>
            <w:r w:rsidR="00617E91">
              <w:t xml:space="preserve">. Censoring rules applied to prohibit </w:t>
            </w:r>
            <w:r w:rsidR="0044774B" w:rsidRPr="005A293B">
              <w:t>rPFS and OS curves</w:t>
            </w:r>
            <w:r w:rsidR="00617E91">
              <w:t xml:space="preserve"> crossing.</w:t>
            </w:r>
            <w:r w:rsidR="002D4AC1" w:rsidRPr="002E1047">
              <w:rPr>
                <w:rFonts w:eastAsia="Calibri" w:cs="Times New Roman"/>
                <w:szCs w:val="20"/>
                <w14:ligatures w14:val="standardContextual"/>
              </w:rPr>
              <w:t xml:space="preserve"> KM data </w:t>
            </w:r>
            <w:r w:rsidR="002D4AC1">
              <w:rPr>
                <w:rFonts w:eastAsia="Calibri" w:cs="Times New Roman"/>
                <w:szCs w:val="20"/>
                <w14:ligatures w14:val="standardContextual"/>
              </w:rPr>
              <w:t>was</w:t>
            </w:r>
            <w:r w:rsidR="002D4AC1" w:rsidRPr="002E1047">
              <w:rPr>
                <w:rFonts w:eastAsia="Calibri" w:cs="Times New Roman"/>
                <w:szCs w:val="20"/>
                <w14:ligatures w14:val="standardContextual"/>
              </w:rPr>
              <w:t xml:space="preserve"> applied from time zero to median follow-up, with extrapolation based on the full K-M data applied from that time point.</w:t>
            </w:r>
            <w:r w:rsidR="00980722">
              <w:rPr>
                <w:rFonts w:eastAsia="Calibri" w:cs="Times New Roman"/>
                <w:szCs w:val="20"/>
                <w14:ligatures w14:val="standardContextual"/>
              </w:rPr>
              <w:t xml:space="preserve"> rPFS and OS effects were assumed to be lost gradually over 36 months.</w:t>
            </w:r>
          </w:p>
          <w:p w14:paraId="26067FCD" w14:textId="129583AE" w:rsidR="0044774B" w:rsidRPr="005A293B" w:rsidRDefault="009B1B01" w:rsidP="00935AD9">
            <w:pPr>
              <w:pStyle w:val="TableText0"/>
              <w:numPr>
                <w:ilvl w:val="0"/>
                <w:numId w:val="14"/>
              </w:numPr>
            </w:pPr>
            <w:r w:rsidRPr="005A293B">
              <w:t xml:space="preserve">OS: </w:t>
            </w:r>
            <w:r w:rsidR="00980DF4" w:rsidRPr="005A293B">
              <w:t>modelled by treatment arm (stratified) with Gamma distribution</w:t>
            </w:r>
            <w:r w:rsidRPr="005A293B">
              <w:t>,</w:t>
            </w:r>
            <w:r w:rsidR="00EB6B8A">
              <w:t xml:space="preserve"> </w:t>
            </w:r>
            <w:r w:rsidR="00316B58">
              <w:t xml:space="preserve">KM data </w:t>
            </w:r>
            <w:r w:rsidR="00EB6B8A">
              <w:t xml:space="preserve">extrapolated </w:t>
            </w:r>
            <w:r w:rsidR="00316B58">
              <w:t>from 26 months</w:t>
            </w:r>
            <w:r w:rsidR="002534A3">
              <w:t>,</w:t>
            </w:r>
            <w:r w:rsidR="002D4AC1">
              <w:t xml:space="preserve"> </w:t>
            </w:r>
          </w:p>
          <w:p w14:paraId="16F2B6E9" w14:textId="0CE95DFD" w:rsidR="0044774B" w:rsidRPr="005A293B" w:rsidRDefault="00980DF4" w:rsidP="00935AD9">
            <w:pPr>
              <w:pStyle w:val="TableText0"/>
              <w:numPr>
                <w:ilvl w:val="0"/>
                <w:numId w:val="14"/>
              </w:numPr>
            </w:pPr>
            <w:r w:rsidRPr="005A293B">
              <w:t>r</w:t>
            </w:r>
            <w:r w:rsidR="009B1B01" w:rsidRPr="005A293B">
              <w:t xml:space="preserve">PFS: </w:t>
            </w:r>
            <w:r w:rsidRPr="005A293B">
              <w:t>modelled by treatment arm (stratified) with Weibull distribution</w:t>
            </w:r>
            <w:r w:rsidR="009B1B01" w:rsidRPr="005A293B">
              <w:t>,</w:t>
            </w:r>
            <w:r w:rsidR="0044774B" w:rsidRPr="005A293B">
              <w:t xml:space="preserve"> </w:t>
            </w:r>
            <w:r w:rsidR="00316B58">
              <w:t>extrapolated from 17 months</w:t>
            </w:r>
            <w:r w:rsidR="002534A3">
              <w:t>,</w:t>
            </w:r>
            <w:r w:rsidR="00316B58">
              <w:t xml:space="preserve"> </w:t>
            </w:r>
            <w:r w:rsidR="0044774B" w:rsidRPr="005A293B">
              <w:t>and</w:t>
            </w:r>
          </w:p>
          <w:p w14:paraId="5D8549AA" w14:textId="1AFB1AC4" w:rsidR="009B1B01" w:rsidRPr="005A293B" w:rsidRDefault="009B1B01" w:rsidP="00935AD9">
            <w:pPr>
              <w:pStyle w:val="TableText0"/>
              <w:numPr>
                <w:ilvl w:val="0"/>
                <w:numId w:val="14"/>
              </w:numPr>
            </w:pPr>
            <w:r w:rsidRPr="005A293B">
              <w:t>TT</w:t>
            </w:r>
            <w:r w:rsidR="00980DF4" w:rsidRPr="005A293B">
              <w:t>D</w:t>
            </w:r>
            <w:r w:rsidRPr="005A293B">
              <w:t xml:space="preserve">: </w:t>
            </w:r>
            <w:r w:rsidR="00980DF4" w:rsidRPr="005A293B">
              <w:t xml:space="preserve">Log-normal distribution </w:t>
            </w:r>
            <w:r w:rsidR="002D4AC1">
              <w:t>for</w:t>
            </w:r>
            <w:r w:rsidR="002D4AC1" w:rsidRPr="005A293B">
              <w:t xml:space="preserve"> </w:t>
            </w:r>
            <w:r w:rsidR="00980DF4" w:rsidRPr="005A293B">
              <w:t xml:space="preserve">TAL, and modelled with treatment as a covariate, with log-logistic distribution </w:t>
            </w:r>
            <w:r w:rsidR="002D4AC1">
              <w:t>for</w:t>
            </w:r>
            <w:r w:rsidR="002D4AC1" w:rsidRPr="005A293B">
              <w:t xml:space="preserve"> </w:t>
            </w:r>
            <w:r w:rsidR="00980DF4" w:rsidRPr="005A293B">
              <w:t xml:space="preserve">ENZ </w:t>
            </w:r>
            <w:r w:rsidR="002D4AC1">
              <w:t xml:space="preserve">(both </w:t>
            </w:r>
            <w:r w:rsidR="003A2056">
              <w:t xml:space="preserve">when used </w:t>
            </w:r>
            <w:r w:rsidR="002D4AC1">
              <w:t xml:space="preserve">as monotherapy </w:t>
            </w:r>
            <w:r w:rsidR="003A2056">
              <w:t xml:space="preserve">and when used </w:t>
            </w:r>
            <w:r w:rsidR="002D4AC1">
              <w:t>in combination with TAL)</w:t>
            </w:r>
            <w:r w:rsidR="00316B58">
              <w:t>, extrapolated from 17</w:t>
            </w:r>
            <w:r w:rsidR="008415F3">
              <w:t xml:space="preserve"> </w:t>
            </w:r>
            <w:r w:rsidR="00316B58">
              <w:t>months.</w:t>
            </w:r>
            <w:r w:rsidR="00EC2FC5">
              <w:t xml:space="preserve"> In the pre-PBAC response, the TTD for the enzalutamide component of the combination therapy was assumed to equal rPFS.</w:t>
            </w:r>
          </w:p>
        </w:tc>
      </w:tr>
      <w:tr w:rsidR="009B1B01" w:rsidRPr="005A293B" w14:paraId="58B48BAD" w14:textId="77777777" w:rsidTr="0012355C">
        <w:tc>
          <w:tcPr>
            <w:tcW w:w="1138" w:type="pct"/>
            <w:shd w:val="clear" w:color="auto" w:fill="auto"/>
            <w:vAlign w:val="center"/>
          </w:tcPr>
          <w:p w14:paraId="766B5A8A" w14:textId="77777777" w:rsidR="009B1B01" w:rsidRPr="005A293B" w:rsidRDefault="009B1B01" w:rsidP="00C407DD">
            <w:pPr>
              <w:pStyle w:val="TableText0"/>
            </w:pPr>
            <w:r w:rsidRPr="005A293B">
              <w:t>Health related quality of life</w:t>
            </w:r>
          </w:p>
        </w:tc>
        <w:tc>
          <w:tcPr>
            <w:tcW w:w="3862" w:type="pct"/>
            <w:shd w:val="clear" w:color="auto" w:fill="auto"/>
            <w:vAlign w:val="center"/>
          </w:tcPr>
          <w:p w14:paraId="1AD771A9" w14:textId="1563F61D" w:rsidR="00F0045B" w:rsidRDefault="00F0045B" w:rsidP="00C407DD">
            <w:pPr>
              <w:pStyle w:val="TableText0"/>
            </w:pPr>
            <w:r>
              <w:t>PF,</w:t>
            </w:r>
            <w:r w:rsidRPr="00240491">
              <w:t xml:space="preserve"> TAL+ENZ arm = 0.811 (</w:t>
            </w:r>
            <w:r w:rsidR="00980DF4" w:rsidRPr="005A293B">
              <w:rPr>
                <w:i/>
                <w:iCs/>
              </w:rPr>
              <w:t>BRCA1/2</w:t>
            </w:r>
            <w:r w:rsidR="00980DF4" w:rsidRPr="005A293B">
              <w:t xml:space="preserve"> subgroup</w:t>
            </w:r>
            <w:r w:rsidR="009B1B01" w:rsidRPr="005A293B">
              <w:t xml:space="preserve"> of </w:t>
            </w:r>
            <w:r w:rsidR="00980DF4" w:rsidRPr="005A293B">
              <w:t>Cohort 2 in TALAPRO-2</w:t>
            </w:r>
            <w:r>
              <w:t>)</w:t>
            </w:r>
          </w:p>
          <w:p w14:paraId="3E35DF07" w14:textId="36E56EBB" w:rsidR="00EC2FC5" w:rsidRDefault="00F0045B" w:rsidP="00C407DD">
            <w:pPr>
              <w:pStyle w:val="TableText0"/>
            </w:pPr>
            <w:r>
              <w:t>PF,</w:t>
            </w:r>
            <w:r w:rsidRPr="005A293B">
              <w:t xml:space="preserve"> </w:t>
            </w:r>
            <w:r>
              <w:t xml:space="preserve">ENZ arm = </w:t>
            </w:r>
            <w:r w:rsidR="00980DF4" w:rsidRPr="005A293B">
              <w:t>0.777</w:t>
            </w:r>
            <w:r>
              <w:t xml:space="preserve"> </w:t>
            </w:r>
            <w:r w:rsidRPr="00DA2AE1">
              <w:t>(</w:t>
            </w:r>
            <w:r w:rsidRPr="005A293B">
              <w:rPr>
                <w:i/>
                <w:iCs/>
              </w:rPr>
              <w:t>BRCA1/2</w:t>
            </w:r>
            <w:r w:rsidRPr="005A293B">
              <w:t xml:space="preserve"> subgroup of Cohort 2 in TALAPRO-2</w:t>
            </w:r>
            <w:r>
              <w:t>)</w:t>
            </w:r>
            <w:r w:rsidR="00980DF4" w:rsidRPr="005A293B">
              <w:t xml:space="preserve"> </w:t>
            </w:r>
          </w:p>
          <w:p w14:paraId="1C835CC8" w14:textId="5E1D7776" w:rsidR="00F0045B" w:rsidRDefault="00EC2FC5" w:rsidP="00C407DD">
            <w:pPr>
              <w:pStyle w:val="TableText0"/>
            </w:pPr>
            <w:r>
              <w:t>In the pre-PBAC response, the overall utility value of 0.793 was applied to the pre-progression health state, rather than treatment specific values.</w:t>
            </w:r>
            <w:r w:rsidR="00F0045B">
              <w:br/>
            </w:r>
            <w:r w:rsidR="00F0045B" w:rsidRPr="005A293B">
              <w:t>PDa (on 2L treatment</w:t>
            </w:r>
            <w:r w:rsidR="00F0045B">
              <w:t>) = 0.635 (</w:t>
            </w:r>
            <w:r w:rsidR="00F0045B" w:rsidRPr="005A293B">
              <w:t>Sullivan et al. 2007</w:t>
            </w:r>
            <w:r w:rsidR="00F0045B" w:rsidRPr="005A293B">
              <w:rPr>
                <w:rStyle w:val="FootnoteReference"/>
              </w:rPr>
              <w:footnoteReference w:id="10"/>
            </w:r>
            <w:r w:rsidR="00F0045B" w:rsidRPr="005A293B">
              <w:t xml:space="preserve"> cohort study</w:t>
            </w:r>
            <w:r w:rsidR="00F0045B">
              <w:t>)</w:t>
            </w:r>
          </w:p>
          <w:p w14:paraId="0F7D65BC" w14:textId="02074660" w:rsidR="009B1B01" w:rsidRPr="005A293B" w:rsidRDefault="00F0045B" w:rsidP="00240491">
            <w:pPr>
              <w:pStyle w:val="TableText0"/>
            </w:pPr>
            <w:r w:rsidRPr="005A293B">
              <w:t>PDb (on palliative care</w:t>
            </w:r>
            <w:r>
              <w:t xml:space="preserve">) = </w:t>
            </w:r>
            <w:r w:rsidRPr="005A293B">
              <w:t>0.560</w:t>
            </w:r>
            <w:r>
              <w:t xml:space="preserve"> (</w:t>
            </w:r>
            <w:r w:rsidRPr="005A293B">
              <w:t>Sullivan et al. 2007</w:t>
            </w:r>
            <w:r w:rsidRPr="005A293B">
              <w:rPr>
                <w:rStyle w:val="FootnoteReference"/>
              </w:rPr>
              <w:footnoteReference w:id="11"/>
            </w:r>
            <w:r w:rsidRPr="005A293B">
              <w:t xml:space="preserve"> cohort study)</w:t>
            </w:r>
          </w:p>
        </w:tc>
      </w:tr>
    </w:tbl>
    <w:p w14:paraId="215F5666" w14:textId="77777777" w:rsidR="009B1B01" w:rsidRPr="005A293B" w:rsidRDefault="009B1B01" w:rsidP="009B1B01">
      <w:pPr>
        <w:pStyle w:val="FooterTableFigure"/>
      </w:pPr>
      <w:r w:rsidRPr="005A293B">
        <w:t>Source: Compiled during the evaluation.</w:t>
      </w:r>
    </w:p>
    <w:p w14:paraId="4476AA7A" w14:textId="5D1BB0DC" w:rsidR="009B1B01" w:rsidRPr="005A293B" w:rsidRDefault="00060193" w:rsidP="00060193">
      <w:pPr>
        <w:pStyle w:val="FooterTableFigure"/>
        <w:jc w:val="both"/>
      </w:pPr>
      <w:r w:rsidRPr="005A293B">
        <w:t xml:space="preserve">2L=second line; </w:t>
      </w:r>
      <w:r w:rsidR="009B1B01" w:rsidRPr="005A293B">
        <w:t xml:space="preserve">AIC=Akaike information criterion, BIC=Bayesian information criterion, </w:t>
      </w:r>
      <w:r w:rsidRPr="005A293B">
        <w:t xml:space="preserve">ENZ=enzalutamide; </w:t>
      </w:r>
      <w:r w:rsidR="002D4AC1">
        <w:t xml:space="preserve">KM=Kaplan-Meier; </w:t>
      </w:r>
      <w:r w:rsidR="009B1B01" w:rsidRPr="005A293B">
        <w:t>OS=overall survival, PD=progressive disease, PF=progression</w:t>
      </w:r>
      <w:r w:rsidR="00EC2FC5">
        <w:t xml:space="preserve"> </w:t>
      </w:r>
      <w:r w:rsidR="009B1B01" w:rsidRPr="005A293B">
        <w:t xml:space="preserve">free, </w:t>
      </w:r>
      <w:r w:rsidR="00EC2FC5">
        <w:t xml:space="preserve">rPFS=radiographic progression-free survival, </w:t>
      </w:r>
      <w:r w:rsidRPr="005A293B">
        <w:t xml:space="preserve">TAL=talazoparib; </w:t>
      </w:r>
      <w:r w:rsidR="009B1B01" w:rsidRPr="005A293B">
        <w:t>TT</w:t>
      </w:r>
      <w:r w:rsidRPr="005A293B">
        <w:t>D</w:t>
      </w:r>
      <w:r w:rsidR="009B1B01" w:rsidRPr="005A293B">
        <w:t xml:space="preserve">=time </w:t>
      </w:r>
      <w:r w:rsidRPr="005A293B">
        <w:t>to</w:t>
      </w:r>
      <w:r w:rsidR="009B1B01" w:rsidRPr="005A293B">
        <w:t xml:space="preserve"> treatment </w:t>
      </w:r>
      <w:r w:rsidRPr="005A293B">
        <w:t>discontinuation.</w:t>
      </w:r>
    </w:p>
    <w:p w14:paraId="1776E570" w14:textId="6C51566D" w:rsidR="009B1B01" w:rsidRPr="000B725B" w:rsidRDefault="009B1B01" w:rsidP="005C70FC">
      <w:pPr>
        <w:pStyle w:val="3-BodyText"/>
        <w:rPr>
          <w:color w:val="0066FF"/>
        </w:rPr>
      </w:pPr>
      <w:r w:rsidRPr="000B725B">
        <w:t>The submission nominated a time horizon of 1</w:t>
      </w:r>
      <w:r w:rsidR="00620CBC" w:rsidRPr="000B725B">
        <w:t>0</w:t>
      </w:r>
      <w:r w:rsidRPr="000B725B">
        <w:t xml:space="preserve"> years in the base case (</w:t>
      </w:r>
      <w:r w:rsidR="00231F37" w:rsidRPr="000B725B">
        <w:t>7.5 and 15</w:t>
      </w:r>
      <w:r w:rsidR="008C0BA8">
        <w:t> </w:t>
      </w:r>
      <w:r w:rsidRPr="000B725B">
        <w:t xml:space="preserve">years in sensitivity analyses). The submission argued that </w:t>
      </w:r>
      <w:r w:rsidR="00231F37" w:rsidRPr="000B725B">
        <w:t>this was selected to capture the costs and consequences of treating the proposed population in the context of the first line treatment of metastatic disease in a cohort entering the model at a median age of 69.8 years</w:t>
      </w:r>
      <w:r w:rsidRPr="000B725B">
        <w:t xml:space="preserve">. </w:t>
      </w:r>
      <w:r w:rsidR="00231F37" w:rsidRPr="000B725B">
        <w:t>The chosen 10-year time horizon was not entirely consistent with</w:t>
      </w:r>
      <w:r w:rsidR="00CD37B7" w:rsidRPr="000B725B">
        <w:t xml:space="preserve"> </w:t>
      </w:r>
      <w:r w:rsidR="00231F37" w:rsidRPr="000B725B">
        <w:t>previous PBAC recommendations for advanced prostate cancer. The PBAC had previously recommended a 5-year time horizon for olaparib in the second</w:t>
      </w:r>
      <w:r w:rsidR="00A01609">
        <w:t xml:space="preserve"> </w:t>
      </w:r>
      <w:r w:rsidR="00231F37" w:rsidRPr="000B725B">
        <w:t xml:space="preserve">line </w:t>
      </w:r>
      <w:r w:rsidR="00785B0C" w:rsidRPr="000337F9">
        <w:rPr>
          <w:i/>
          <w:iCs/>
        </w:rPr>
        <w:t>BRCA1/2</w:t>
      </w:r>
      <w:r w:rsidR="00231F37" w:rsidRPr="000B725B">
        <w:t xml:space="preserve">-positive mCRPC (para 6.83, olaparib, PSD, November 2021), and a </w:t>
      </w:r>
      <w:r w:rsidR="00231F37" w:rsidRPr="000B725B">
        <w:lastRenderedPageBreak/>
        <w:t>10</w:t>
      </w:r>
      <w:r w:rsidR="008C0BA8">
        <w:noBreakHyphen/>
      </w:r>
      <w:r w:rsidR="00231F37" w:rsidRPr="000B725B">
        <w:t xml:space="preserve">year time horizon for darolutamide in </w:t>
      </w:r>
      <w:r w:rsidR="003A2056" w:rsidRPr="000B725B">
        <w:t>n</w:t>
      </w:r>
      <w:r w:rsidR="00231F37" w:rsidRPr="000B725B">
        <w:t>mCRPC (para 5.9, darolutamide, PSD, July</w:t>
      </w:r>
      <w:r w:rsidR="008C0BA8">
        <w:t> </w:t>
      </w:r>
      <w:r w:rsidR="00231F37" w:rsidRPr="000B725B">
        <w:t>2021). As the requested therapy for talazoparib + enzalutamide is for the first</w:t>
      </w:r>
      <w:r w:rsidR="00A01609">
        <w:t xml:space="preserve"> </w:t>
      </w:r>
      <w:r w:rsidR="00231F37" w:rsidRPr="000B725B">
        <w:t xml:space="preserve">line mCRPC, </w:t>
      </w:r>
      <w:r w:rsidR="00F13554" w:rsidRPr="006E4BFC">
        <w:t xml:space="preserve">the ESC considered that a </w:t>
      </w:r>
      <w:r w:rsidR="00231F37" w:rsidRPr="006E4BFC">
        <w:t xml:space="preserve">time horizon of 7.5 years </w:t>
      </w:r>
      <w:r w:rsidR="00F13554" w:rsidRPr="006E4BFC">
        <w:t>would be reasonable</w:t>
      </w:r>
      <w:r w:rsidR="00231F37" w:rsidRPr="006E4BFC">
        <w:t>, consid</w:t>
      </w:r>
      <w:r w:rsidR="00231F37" w:rsidRPr="000B725B">
        <w:t xml:space="preserve">ering the poorer prognosis of patients with </w:t>
      </w:r>
      <w:r w:rsidR="00231F37" w:rsidRPr="000337F9">
        <w:rPr>
          <w:i/>
          <w:iCs/>
        </w:rPr>
        <w:t>BRCA1/2</w:t>
      </w:r>
      <w:r w:rsidR="00231F37" w:rsidRPr="000B725B">
        <w:t xml:space="preserve"> pathogenic variants</w:t>
      </w:r>
      <w:r w:rsidRPr="000B725B">
        <w:t>.</w:t>
      </w:r>
    </w:p>
    <w:p w14:paraId="66567680" w14:textId="130C2CFE" w:rsidR="009B1B01" w:rsidRPr="000B725B" w:rsidRDefault="00231F37" w:rsidP="009B1B01">
      <w:pPr>
        <w:pStyle w:val="3-BodyText"/>
      </w:pPr>
      <w:r w:rsidRPr="000B725B">
        <w:fldChar w:fldCharType="begin" w:fldLock="1"/>
      </w:r>
      <w:r w:rsidRPr="000B725B">
        <w:instrText xml:space="preserve"> REF _Ref143181203 \h  \* MERGEFORMAT </w:instrText>
      </w:r>
      <w:r w:rsidRPr="000B725B">
        <w:fldChar w:fldCharType="separate"/>
      </w:r>
      <w:r w:rsidR="00324A7E" w:rsidRPr="000B725B">
        <w:t xml:space="preserve">Figure </w:t>
      </w:r>
      <w:r w:rsidR="00324A7E" w:rsidRPr="000B725B">
        <w:rPr>
          <w:noProof/>
        </w:rPr>
        <w:t>4</w:t>
      </w:r>
      <w:r w:rsidRPr="000B725B">
        <w:fldChar w:fldCharType="end"/>
      </w:r>
      <w:r w:rsidR="009B1B01" w:rsidRPr="000B725B">
        <w:t xml:space="preserve"> presents how the </w:t>
      </w:r>
      <w:r w:rsidR="00037215">
        <w:t>i</w:t>
      </w:r>
      <w:r w:rsidR="00037215" w:rsidRPr="00037215">
        <w:t xml:space="preserve">ncremental </w:t>
      </w:r>
      <w:r w:rsidR="00037215">
        <w:t>c</w:t>
      </w:r>
      <w:r w:rsidR="00037215" w:rsidRPr="00037215">
        <w:t xml:space="preserve">ost </w:t>
      </w:r>
      <w:r w:rsidR="00037215">
        <w:t>e</w:t>
      </w:r>
      <w:r w:rsidR="00037215" w:rsidRPr="00037215">
        <w:t xml:space="preserve">ffectiveness </w:t>
      </w:r>
      <w:r w:rsidR="00037215">
        <w:t>r</w:t>
      </w:r>
      <w:r w:rsidR="00037215" w:rsidRPr="00037215">
        <w:t xml:space="preserve">atio </w:t>
      </w:r>
      <w:r w:rsidR="00037215">
        <w:t>(</w:t>
      </w:r>
      <w:r w:rsidR="009B1B01" w:rsidRPr="000B725B">
        <w:t>ICER</w:t>
      </w:r>
      <w:r w:rsidR="00037215">
        <w:t>)</w:t>
      </w:r>
      <w:r w:rsidR="009B1B01" w:rsidRPr="000B725B">
        <w:t xml:space="preserve"> increases as the time horizon </w:t>
      </w:r>
      <w:r w:rsidR="00CD37B7" w:rsidRPr="000B725B">
        <w:t>was</w:t>
      </w:r>
      <w:r w:rsidR="009B1B01" w:rsidRPr="000B725B">
        <w:t xml:space="preserve"> reduced from </w:t>
      </w:r>
      <w:r w:rsidRPr="000B725B">
        <w:t>10</w:t>
      </w:r>
      <w:r w:rsidR="009B1B01" w:rsidRPr="000B725B">
        <w:t xml:space="preserve"> years in the base case</w:t>
      </w:r>
      <w:r w:rsidRPr="000B725B">
        <w:t>,</w:t>
      </w:r>
      <w:r w:rsidR="009B1B01" w:rsidRPr="000B725B">
        <w:t xml:space="preserve"> to</w:t>
      </w:r>
      <w:r w:rsidRPr="000B725B">
        <w:t xml:space="preserve"> 7.5 and</w:t>
      </w:r>
      <w:r w:rsidR="009B1B01" w:rsidRPr="000B725B">
        <w:t xml:space="preserve"> 5 years.</w:t>
      </w:r>
    </w:p>
    <w:p w14:paraId="75038EB1" w14:textId="72331814" w:rsidR="009B1B01" w:rsidRDefault="009B1B01" w:rsidP="00BA3F2B">
      <w:pPr>
        <w:pStyle w:val="Caption"/>
        <w:keepLines w:val="0"/>
        <w:jc w:val="both"/>
      </w:pPr>
      <w:bookmarkStart w:id="60" w:name="_Ref143181203"/>
      <w:r w:rsidRPr="005A293B">
        <w:t xml:space="preserve">Figure </w:t>
      </w:r>
      <w:fldSimple w:instr=" SEQ Figure \* ARABIC " w:fldLock="1">
        <w:r w:rsidR="00324A7E">
          <w:rPr>
            <w:noProof/>
          </w:rPr>
          <w:t>4</w:t>
        </w:r>
      </w:fldSimple>
      <w:bookmarkEnd w:id="60"/>
      <w:r w:rsidRPr="005A293B">
        <w:t>: ICER changes over modelled time horizon (years)</w:t>
      </w:r>
    </w:p>
    <w:p w14:paraId="5845331B" w14:textId="1AD361BA" w:rsidR="00154E96" w:rsidRDefault="00154E96" w:rsidP="00154E96">
      <w:r>
        <w:rPr>
          <w:noProof/>
        </w:rPr>
        <w:drawing>
          <wp:inline distT="0" distB="0" distL="0" distR="0" wp14:anchorId="3A58D7EA" wp14:editId="6FC8E7AF">
            <wp:extent cx="5732145" cy="2477135"/>
            <wp:effectExtent l="0" t="0" r="1905" b="0"/>
            <wp:docPr id="29" name="Picture 29" descr="Figure 4: ICER changes over modelled time horizon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4: ICER changes over modelled time horizon (years)"/>
                    <pic:cNvPicPr/>
                  </pic:nvPicPr>
                  <pic:blipFill>
                    <a:blip r:embed="rId21"/>
                    <a:stretch>
                      <a:fillRect/>
                    </a:stretch>
                  </pic:blipFill>
                  <pic:spPr>
                    <a:xfrm>
                      <a:off x="0" y="0"/>
                      <a:ext cx="5732145" cy="2477135"/>
                    </a:xfrm>
                    <a:prstGeom prst="rect">
                      <a:avLst/>
                    </a:prstGeom>
                  </pic:spPr>
                </pic:pic>
              </a:graphicData>
            </a:graphic>
          </wp:inline>
        </w:drawing>
      </w:r>
    </w:p>
    <w:p w14:paraId="248602A8" w14:textId="137BC512" w:rsidR="009B1B01" w:rsidRPr="005A293B" w:rsidRDefault="009B1B01" w:rsidP="00BA3F2B">
      <w:pPr>
        <w:pStyle w:val="TableFigureFooter"/>
        <w:keepNext/>
        <w:spacing w:after="0"/>
      </w:pPr>
      <w:r w:rsidRPr="005A293B">
        <w:t>Source: Compiled during the evaluation</w:t>
      </w:r>
    </w:p>
    <w:p w14:paraId="33A58066" w14:textId="734F1751" w:rsidR="00167F62" w:rsidRDefault="009B1B01" w:rsidP="00477CD8">
      <w:pPr>
        <w:pStyle w:val="TableFigureFooter"/>
      </w:pPr>
      <w:r w:rsidRPr="005A293B">
        <w:t>ICER=incremental cost-effectiveness ratio</w:t>
      </w:r>
    </w:p>
    <w:p w14:paraId="48184FF2" w14:textId="580EBFE3" w:rsidR="009B1B01" w:rsidRPr="000B725B" w:rsidRDefault="009B1B01" w:rsidP="00D3141D">
      <w:pPr>
        <w:pStyle w:val="3-BodyText"/>
      </w:pPr>
      <w:r w:rsidRPr="000B725B">
        <w:t xml:space="preserve">Outcomes in the model were based on </w:t>
      </w:r>
      <w:r w:rsidR="00941F4C" w:rsidRPr="000337F9">
        <w:rPr>
          <w:i/>
          <w:iCs/>
        </w:rPr>
        <w:t>BRCA1/2</w:t>
      </w:r>
      <w:r w:rsidR="00941F4C" w:rsidRPr="000B725B">
        <w:t xml:space="preserve"> subgroup of Cohort 2 in TALAPRO-2</w:t>
      </w:r>
      <w:r w:rsidR="00BF4313">
        <w:t>;</w:t>
      </w:r>
      <w:r w:rsidR="00941F4C" w:rsidRPr="000B725B">
        <w:t xml:space="preserve"> </w:t>
      </w:r>
      <w:r w:rsidR="001313EB" w:rsidRPr="000B725B">
        <w:t xml:space="preserve">however, </w:t>
      </w:r>
      <w:r w:rsidR="00941F4C" w:rsidRPr="000B725B">
        <w:t>safety outcomes were sourced from Cohort 2.</w:t>
      </w:r>
      <w:r w:rsidRPr="000B725B">
        <w:t xml:space="preserve"> </w:t>
      </w:r>
      <w:r w:rsidR="00617E91" w:rsidRPr="000B725B">
        <w:t xml:space="preserve">The model was also informed by data </w:t>
      </w:r>
      <w:r w:rsidR="001313EB" w:rsidRPr="000B725B">
        <w:t>from two DCOs</w:t>
      </w:r>
      <w:r w:rsidR="00617E91" w:rsidRPr="000B725B">
        <w:t>,</w:t>
      </w:r>
      <w:r w:rsidR="00941F4C" w:rsidRPr="000B725B">
        <w:t xml:space="preserve"> 3 October 2022 and 28 March 2023</w:t>
      </w:r>
      <w:r w:rsidR="001313EB" w:rsidRPr="000B725B">
        <w:t xml:space="preserve">, but </w:t>
      </w:r>
      <w:r w:rsidR="00617E91" w:rsidRPr="000B725B">
        <w:t xml:space="preserve">these were used </w:t>
      </w:r>
      <w:r w:rsidR="001313EB" w:rsidRPr="000B725B">
        <w:t xml:space="preserve">inconsistently </w:t>
      </w:r>
      <w:r w:rsidR="00617E91" w:rsidRPr="000B725B">
        <w:t xml:space="preserve">in the </w:t>
      </w:r>
      <w:r w:rsidRPr="000B725B">
        <w:t>model</w:t>
      </w:r>
      <w:r w:rsidR="00617E91" w:rsidRPr="000B725B">
        <w:t xml:space="preserve">, i.e., </w:t>
      </w:r>
      <w:bookmarkStart w:id="61" w:name="_Hlk153799262"/>
      <w:r w:rsidR="00941F4C" w:rsidRPr="000B725B">
        <w:t>rPFS</w:t>
      </w:r>
      <w:r w:rsidR="00FF001A" w:rsidRPr="000B725B">
        <w:t>, TTD</w:t>
      </w:r>
      <w:r w:rsidRPr="000B725B">
        <w:t xml:space="preserve"> </w:t>
      </w:r>
      <w:r w:rsidR="005C2B7D" w:rsidRPr="000B725B">
        <w:t>and safety data were</w:t>
      </w:r>
      <w:r w:rsidRPr="000B725B">
        <w:t xml:space="preserve"> </w:t>
      </w:r>
      <w:r w:rsidR="001313EB" w:rsidRPr="000B725B">
        <w:t xml:space="preserve">informed by data from </w:t>
      </w:r>
      <w:r w:rsidR="005C2B7D" w:rsidRPr="000B725B">
        <w:t>DC</w:t>
      </w:r>
      <w:r w:rsidR="001313EB" w:rsidRPr="000B725B">
        <w:t>O</w:t>
      </w:r>
      <w:r w:rsidR="005C2B7D" w:rsidRPr="000B725B">
        <w:t xml:space="preserve"> 3 October 2022</w:t>
      </w:r>
      <w:r w:rsidRPr="000B725B">
        <w:t xml:space="preserve">, while </w:t>
      </w:r>
      <w:r w:rsidR="005C2B7D" w:rsidRPr="000B725B">
        <w:t>OS and</w:t>
      </w:r>
      <w:r w:rsidRPr="000B725B">
        <w:t xml:space="preserve"> utility values were obtained from </w:t>
      </w:r>
      <w:r w:rsidR="005C2B7D" w:rsidRPr="000B725B">
        <w:t>DC</w:t>
      </w:r>
      <w:r w:rsidR="001313EB" w:rsidRPr="000B725B">
        <w:t>O</w:t>
      </w:r>
      <w:r w:rsidR="005C2B7D" w:rsidRPr="000B725B">
        <w:t xml:space="preserve"> 28</w:t>
      </w:r>
      <w:r w:rsidR="00477CD8">
        <w:t> </w:t>
      </w:r>
      <w:r w:rsidR="005C2B7D" w:rsidRPr="000B725B">
        <w:t>March</w:t>
      </w:r>
      <w:r w:rsidR="00477CD8">
        <w:t> </w:t>
      </w:r>
      <w:r w:rsidR="005C2B7D" w:rsidRPr="000B725B">
        <w:t>2023</w:t>
      </w:r>
      <w:r w:rsidRPr="000B725B">
        <w:t>.</w:t>
      </w:r>
      <w:r w:rsidR="005C2B7D" w:rsidRPr="000B725B">
        <w:t xml:space="preserve"> </w:t>
      </w:r>
    </w:p>
    <w:p w14:paraId="58D136DF" w14:textId="70A7D214" w:rsidR="00A4061E" w:rsidRPr="000B725B" w:rsidRDefault="00D3141D" w:rsidP="009B1B01">
      <w:pPr>
        <w:pStyle w:val="3-BodyText"/>
      </w:pPr>
      <w:r w:rsidRPr="000B725B">
        <w:t>Kaplan-Meier</w:t>
      </w:r>
      <w:r w:rsidR="00A4061E" w:rsidRPr="000B725B">
        <w:t xml:space="preserve"> data from TALAPRO-2 are presented in </w:t>
      </w:r>
      <w:r w:rsidRPr="000B725B">
        <w:fldChar w:fldCharType="begin" w:fldLock="1"/>
      </w:r>
      <w:r w:rsidRPr="000B725B">
        <w:instrText xml:space="preserve"> REF _Ref155277674 \h </w:instrText>
      </w:r>
      <w:r w:rsidR="003A2A2D" w:rsidRPr="000B725B">
        <w:instrText xml:space="preserve"> \* MERGEFORMAT </w:instrText>
      </w:r>
      <w:r w:rsidRPr="000B725B">
        <w:fldChar w:fldCharType="separate"/>
      </w:r>
      <w:r w:rsidR="00324A7E" w:rsidRPr="000B725B">
        <w:t xml:space="preserve">Figure </w:t>
      </w:r>
      <w:r w:rsidR="00324A7E" w:rsidRPr="000B725B">
        <w:rPr>
          <w:noProof/>
        </w:rPr>
        <w:t>5</w:t>
      </w:r>
      <w:r w:rsidRPr="000B725B">
        <w:fldChar w:fldCharType="end"/>
      </w:r>
      <w:r w:rsidR="00A4061E" w:rsidRPr="000B725B">
        <w:t>.</w:t>
      </w:r>
    </w:p>
    <w:p w14:paraId="218DCF90" w14:textId="112CFB47" w:rsidR="00D3141D" w:rsidRDefault="00D3141D" w:rsidP="003A2A2D">
      <w:pPr>
        <w:pStyle w:val="TableFigureHeading"/>
      </w:pPr>
      <w:bookmarkStart w:id="62" w:name="_Ref155277674"/>
      <w:r>
        <w:lastRenderedPageBreak/>
        <w:t xml:space="preserve">Figure </w:t>
      </w:r>
      <w:fldSimple w:instr=" SEQ Figure \* ARABIC " w:fldLock="1">
        <w:r w:rsidR="00324A7E">
          <w:rPr>
            <w:noProof/>
          </w:rPr>
          <w:t>5</w:t>
        </w:r>
      </w:fldSimple>
      <w:bookmarkEnd w:id="62"/>
      <w:r w:rsidR="00935AD9">
        <w:rPr>
          <w:noProof/>
        </w:rPr>
        <w:t>:</w:t>
      </w:r>
      <w:r>
        <w:t xml:space="preserve"> </w:t>
      </w:r>
      <w:r w:rsidRPr="005F08C0">
        <w:t>Kaplan-Meier data used in the economic evaluation (</w:t>
      </w:r>
      <w:r w:rsidRPr="000337F9">
        <w:rPr>
          <w:i/>
          <w:iCs/>
        </w:rPr>
        <w:t>BRCA1/2</w:t>
      </w:r>
      <w:r w:rsidRPr="005F08C0">
        <w:t xml:space="preserve"> subgroup of TALAPRO-2 trial)</w:t>
      </w:r>
    </w:p>
    <w:p w14:paraId="695C9952" w14:textId="77777777" w:rsidR="00D3141D" w:rsidRDefault="00D3141D" w:rsidP="00696A8C">
      <w:pPr>
        <w:pStyle w:val="3-BodyText"/>
        <w:numPr>
          <w:ilvl w:val="0"/>
          <w:numId w:val="0"/>
        </w:numPr>
        <w:spacing w:after="0"/>
        <w:rPr>
          <w:rFonts w:ascii="Arial Narrow" w:hAnsi="Arial Narrow"/>
          <w:b/>
          <w:bCs/>
        </w:rPr>
      </w:pPr>
      <w:r>
        <w:rPr>
          <w:noProof/>
        </w:rPr>
        <w:drawing>
          <wp:inline distT="0" distB="0" distL="0" distR="0" wp14:anchorId="3AC7BC60" wp14:editId="3640256C">
            <wp:extent cx="5724525" cy="2912948"/>
            <wp:effectExtent l="0" t="0" r="0" b="1905"/>
            <wp:docPr id="1" name="Picture 1" descr="Figure 5: Kaplan-Meier data used in the economic evaluation (BRCA1/2 subgroup of TALAPRO-2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5: Kaplan-Meier data used in the economic evaluation (BRCA1/2 subgroup of TALAPRO-2 tri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3336" cy="2993760"/>
                    </a:xfrm>
                    <a:prstGeom prst="rect">
                      <a:avLst/>
                    </a:prstGeom>
                    <a:noFill/>
                  </pic:spPr>
                </pic:pic>
              </a:graphicData>
            </a:graphic>
          </wp:inline>
        </w:drawing>
      </w:r>
    </w:p>
    <w:p w14:paraId="1C195A0B" w14:textId="77777777" w:rsidR="00D3141D" w:rsidRPr="00432F01" w:rsidRDefault="00D3141D" w:rsidP="00D3141D">
      <w:pPr>
        <w:pStyle w:val="TableFooter"/>
      </w:pPr>
      <w:r w:rsidRPr="00432F01">
        <w:t xml:space="preserve">Source: </w:t>
      </w:r>
      <w:r w:rsidRPr="00C20728">
        <w:rPr>
          <w:i/>
        </w:rPr>
        <w:t>Compiled during the evaluation</w:t>
      </w:r>
    </w:p>
    <w:p w14:paraId="7EE69AB9" w14:textId="5884C0BC" w:rsidR="003A2A2D" w:rsidRDefault="00D3141D" w:rsidP="00477CD8">
      <w:pPr>
        <w:pStyle w:val="TableFooter"/>
        <w:spacing w:after="120"/>
      </w:pPr>
      <w:r w:rsidRPr="00432F01">
        <w:t>ENZ=enzalutamide; DCO=data cut-off; KM=Kaplan-Meier; OS=overall survival; PBO=placebo; rPFS=radiographic progression free survival; TAL=talazoparib</w:t>
      </w:r>
    </w:p>
    <w:p w14:paraId="752DFB75" w14:textId="5B6DF5F2" w:rsidR="002D535E" w:rsidRPr="000B725B" w:rsidRDefault="002D535E" w:rsidP="002D535E">
      <w:pPr>
        <w:pStyle w:val="3-BodyText"/>
      </w:pPr>
      <w:bookmarkStart w:id="63" w:name="_Ref143507435"/>
      <w:bookmarkEnd w:id="61"/>
      <w:r w:rsidRPr="000B725B">
        <w:t xml:space="preserve">The submission indicated that TTD was derived from patient-level data from the </w:t>
      </w:r>
      <w:r w:rsidRPr="000337F9">
        <w:rPr>
          <w:i/>
          <w:iCs/>
        </w:rPr>
        <w:t>BRCA1/2</w:t>
      </w:r>
      <w:r w:rsidRPr="000B725B">
        <w:t xml:space="preserve"> subgroup of TALAPRO-2. Treatment exposure in the </w:t>
      </w:r>
      <w:r w:rsidRPr="000337F9">
        <w:rPr>
          <w:i/>
          <w:iCs/>
        </w:rPr>
        <w:t>BRCA1/2</w:t>
      </w:r>
      <w:r w:rsidRPr="000B725B">
        <w:t xml:space="preserve"> subgroup was not presented in the submission</w:t>
      </w:r>
      <w:r w:rsidR="00F0045B" w:rsidRPr="000B725B">
        <w:t xml:space="preserve"> and</w:t>
      </w:r>
      <w:r w:rsidR="007E6350" w:rsidRPr="000B725B">
        <w:t xml:space="preserve"> was not able to be independently verified</w:t>
      </w:r>
      <w:r w:rsidRPr="000B725B">
        <w:t xml:space="preserve">. </w:t>
      </w:r>
      <w:bookmarkStart w:id="64" w:name="_Ref143100653"/>
      <w:bookmarkEnd w:id="63"/>
    </w:p>
    <w:p w14:paraId="5C44896A" w14:textId="62D9372E" w:rsidR="005F31BA" w:rsidRDefault="00E07064" w:rsidP="00C20728">
      <w:pPr>
        <w:pStyle w:val="Caption"/>
      </w:pPr>
      <w:bookmarkStart w:id="65" w:name="_Ref155280095"/>
      <w:r>
        <w:t xml:space="preserve">Figure </w:t>
      </w:r>
      <w:fldSimple w:instr=" SEQ Figure \* ARABIC " w:fldLock="1">
        <w:r w:rsidR="00324A7E">
          <w:rPr>
            <w:noProof/>
          </w:rPr>
          <w:t>6</w:t>
        </w:r>
      </w:fldSimple>
      <w:bookmarkEnd w:id="65"/>
      <w:r w:rsidR="00935AD9">
        <w:rPr>
          <w:noProof/>
        </w:rPr>
        <w:t>:</w:t>
      </w:r>
      <w:r>
        <w:t xml:space="preserve"> </w:t>
      </w:r>
      <w:r w:rsidRPr="005B3474">
        <w:t>A comparison between TTD and rPFS curves</w:t>
      </w:r>
      <w:r w:rsidR="005F31BA">
        <w:rPr>
          <w:noProof/>
        </w:rPr>
        <w:drawing>
          <wp:inline distT="0" distB="0" distL="0" distR="0" wp14:anchorId="7DDC5D2B" wp14:editId="3317F907">
            <wp:extent cx="5767655" cy="2828925"/>
            <wp:effectExtent l="0" t="0" r="5080" b="0"/>
            <wp:docPr id="2" name="Picture 2" descr="Figure 6: A comparison between TTD and rPFS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6: A comparison between TTD and rPFS curv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5767" cy="2872142"/>
                    </a:xfrm>
                    <a:prstGeom prst="rect">
                      <a:avLst/>
                    </a:prstGeom>
                    <a:noFill/>
                  </pic:spPr>
                </pic:pic>
              </a:graphicData>
            </a:graphic>
          </wp:inline>
        </w:drawing>
      </w:r>
    </w:p>
    <w:p w14:paraId="5289661E" w14:textId="77777777" w:rsidR="005F31BA" w:rsidRPr="005A293B" w:rsidRDefault="005F31BA" w:rsidP="005F31BA">
      <w:pPr>
        <w:pStyle w:val="TableFooter"/>
        <w:jc w:val="both"/>
      </w:pPr>
      <w:r w:rsidRPr="005A293B">
        <w:t xml:space="preserve">Source: </w:t>
      </w:r>
      <w:r>
        <w:t>Compiled during the evaluation</w:t>
      </w:r>
    </w:p>
    <w:p w14:paraId="24E11051" w14:textId="54C895FA" w:rsidR="005F31BA" w:rsidRPr="00C20728" w:rsidRDefault="005F31BA" w:rsidP="005C70FC">
      <w:pPr>
        <w:pStyle w:val="TableFooter"/>
        <w:spacing w:after="120"/>
        <w:jc w:val="both"/>
      </w:pPr>
      <w:r w:rsidRPr="00062A33">
        <w:t>ENZ=enzalutamide; DCO=data cut-off; KM=Kaplan-Meier; OS=overall survival; PBO=placebo; rPFS=radiographic progression free survival; TAL=talazoparib</w:t>
      </w:r>
      <w:r>
        <w:t>; TTD=time to treatment discontinuation</w:t>
      </w:r>
    </w:p>
    <w:p w14:paraId="246B91C9" w14:textId="076D82B9" w:rsidR="001B1719" w:rsidRPr="006E4BFC" w:rsidRDefault="001B1719" w:rsidP="002D535E">
      <w:pPr>
        <w:pStyle w:val="3-BodyText"/>
      </w:pPr>
      <w:bookmarkStart w:id="66" w:name="_Ref159829485"/>
      <w:r w:rsidRPr="000B725B">
        <w:t xml:space="preserve">Based on the submission’s extrapolated TTD curve </w:t>
      </w:r>
      <w:r w:rsidR="006F23E1" w:rsidRPr="000B725B">
        <w:t>for</w:t>
      </w:r>
      <w:r w:rsidRPr="000B725B">
        <w:t xml:space="preserve"> the talazoparib + enzalutamide arm, a significant gap </w:t>
      </w:r>
      <w:r w:rsidR="00024698" w:rsidRPr="000B725B">
        <w:t xml:space="preserve">was evident </w:t>
      </w:r>
      <w:r w:rsidRPr="000B725B">
        <w:t xml:space="preserve">between the TTD and rPFS curves </w:t>
      </w:r>
      <w:r w:rsidR="00F0045B" w:rsidRPr="000B725B">
        <w:t xml:space="preserve">until </w:t>
      </w:r>
      <w:r w:rsidR="008C0BA8" w:rsidRPr="000B725B">
        <w:t>50</w:t>
      </w:r>
      <w:r w:rsidR="008C0BA8">
        <w:t> </w:t>
      </w:r>
      <w:r w:rsidR="00F0045B" w:rsidRPr="000B725B">
        <w:t xml:space="preserve">months </w:t>
      </w:r>
      <w:r w:rsidR="00F0045B" w:rsidRPr="000B725B">
        <w:lastRenderedPageBreak/>
        <w:t xml:space="preserve">when the curves converged </w:t>
      </w:r>
      <w:r w:rsidR="00024698" w:rsidRPr="000B725B">
        <w:t xml:space="preserve">(modelled median rPFS=33 months and modelled median TTD=22 months). This </w:t>
      </w:r>
      <w:r w:rsidR="00182BBC" w:rsidRPr="000B725B">
        <w:t xml:space="preserve">meant treatment discontinuation was approximately </w:t>
      </w:r>
      <w:r w:rsidR="00024698" w:rsidRPr="000B725B">
        <w:t xml:space="preserve">1 year prior to progression. </w:t>
      </w:r>
      <w:r w:rsidR="00182BBC" w:rsidRPr="000B725B">
        <w:t>Therefore, t</w:t>
      </w:r>
      <w:r w:rsidR="00024698" w:rsidRPr="000B725B">
        <w:t xml:space="preserve">he </w:t>
      </w:r>
      <w:r w:rsidR="00182BBC" w:rsidRPr="000B725B">
        <w:t xml:space="preserve">model likely </w:t>
      </w:r>
      <w:r w:rsidRPr="000B725B">
        <w:t>underestimat</w:t>
      </w:r>
      <w:r w:rsidR="00024698" w:rsidRPr="000B725B">
        <w:t xml:space="preserve">ed </w:t>
      </w:r>
      <w:r w:rsidRPr="000B725B">
        <w:t xml:space="preserve">treatment </w:t>
      </w:r>
      <w:r w:rsidR="00182BBC" w:rsidRPr="000B725B">
        <w:t>duration and costs</w:t>
      </w:r>
      <w:r w:rsidR="002534A3" w:rsidRPr="000B725B">
        <w:t xml:space="preserve"> for</w:t>
      </w:r>
      <w:r w:rsidR="00182BBC" w:rsidRPr="000B725B">
        <w:t xml:space="preserve"> talazoparib </w:t>
      </w:r>
      <w:r w:rsidR="002534A3" w:rsidRPr="000B725B">
        <w:t xml:space="preserve">+ enzalutamide </w:t>
      </w:r>
      <w:r w:rsidR="00617E91" w:rsidRPr="000B725B">
        <w:t xml:space="preserve">in </w:t>
      </w:r>
      <w:r w:rsidRPr="000B725B">
        <w:t xml:space="preserve">the </w:t>
      </w:r>
      <w:r w:rsidR="000A49DA" w:rsidRPr="000B725B">
        <w:t xml:space="preserve">rPFS health </w:t>
      </w:r>
      <w:r w:rsidRPr="000B725B">
        <w:t>state</w:t>
      </w:r>
      <w:r w:rsidR="00024698" w:rsidRPr="000B725B">
        <w:t>.</w:t>
      </w:r>
      <w:r w:rsidR="006F23E1" w:rsidRPr="000B725B">
        <w:t xml:space="preserve"> </w:t>
      </w:r>
      <w:r w:rsidR="00617E91" w:rsidRPr="000B725B">
        <w:t xml:space="preserve">A similar gap was not observed for the enzalutamide arm. </w:t>
      </w:r>
      <w:r w:rsidR="00F13554" w:rsidRPr="006E4BFC">
        <w:t>The PSCR stated that the TTD curve for the talazoparib + enzalutamide arm lagged behind the rPFS curve because, although many patients dose reduced or discontinued talazoparib (but not enzalutamide), they continued to receive a benefit from treatment.</w:t>
      </w:r>
      <w:bookmarkEnd w:id="66"/>
    </w:p>
    <w:p w14:paraId="4165DFF8" w14:textId="23510F8E" w:rsidR="00B53095" w:rsidRPr="000B725B" w:rsidRDefault="00B53095" w:rsidP="00B53095">
      <w:pPr>
        <w:pStyle w:val="3-BodyText"/>
      </w:pPr>
      <w:r w:rsidRPr="000B725B">
        <w:t>The model was sensitive to assumptions around TTD</w:t>
      </w:r>
      <w:r w:rsidR="00F0045B" w:rsidRPr="000B725B">
        <w:t xml:space="preserve"> with</w:t>
      </w:r>
      <w:r w:rsidRPr="000B725B">
        <w:t xml:space="preserve"> a sensitivity analysis conducted during the evaluation using rPFS data as proxy for TTD </w:t>
      </w:r>
      <w:r w:rsidR="00F0045B" w:rsidRPr="000B725B">
        <w:t xml:space="preserve">increasing </w:t>
      </w:r>
      <w:r w:rsidRPr="000B725B">
        <w:t xml:space="preserve">the ICER by </w:t>
      </w:r>
      <w:r w:rsidR="00D62519" w:rsidRPr="00CD40AA">
        <w:rPr>
          <w:color w:val="000000"/>
          <w:w w:val="15"/>
          <w:shd w:val="solid" w:color="000000" w:fill="000000"/>
          <w:fitText w:val="-20" w:id="-961822462"/>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2462"/>
          <w14:textFill>
            <w14:solidFill>
              <w14:srgbClr w14:val="000000">
                <w14:alpha w14:val="100000"/>
              </w14:srgbClr>
            </w14:solidFill>
          </w14:textFill>
        </w:rPr>
        <w:t>|</w:t>
      </w:r>
      <w:r w:rsidRPr="000B725B">
        <w:t xml:space="preserve">% to </w:t>
      </w:r>
      <w:r w:rsidR="00BD14F9" w:rsidRPr="00BD14F9">
        <w:t>$75,000 to &lt; $95,000</w:t>
      </w:r>
      <w:r w:rsidR="00F0045B" w:rsidRPr="000B725B">
        <w:t>,</w:t>
      </w:r>
      <w:r w:rsidRPr="000B725B">
        <w:t xml:space="preserve"> from a base case of </w:t>
      </w:r>
      <w:r w:rsidR="00AF4895" w:rsidRPr="00AF4895">
        <w:t>$55,000 to &lt; $75,000</w:t>
      </w:r>
      <w:r w:rsidRPr="000B725B">
        <w:t xml:space="preserve"> per QALY gained.</w:t>
      </w:r>
    </w:p>
    <w:p w14:paraId="2C30F34E" w14:textId="4E7305E7" w:rsidR="00B53095" w:rsidRPr="000B725B" w:rsidRDefault="00182BBC" w:rsidP="006474C3">
      <w:pPr>
        <w:pStyle w:val="3-BodyText"/>
      </w:pPr>
      <w:r w:rsidRPr="000B725B">
        <w:t xml:space="preserve">For the enzalutamide monotherapy arm, </w:t>
      </w:r>
      <w:r w:rsidR="00F0045B" w:rsidRPr="000B725B">
        <w:t xml:space="preserve">the </w:t>
      </w:r>
      <w:r w:rsidR="001B1719" w:rsidRPr="000B725B">
        <w:t xml:space="preserve">TTD </w:t>
      </w:r>
      <w:r w:rsidR="0029281D" w:rsidRPr="000B725B">
        <w:t>Kaplan-Meier</w:t>
      </w:r>
      <w:r w:rsidRPr="000B725B">
        <w:t xml:space="preserve"> </w:t>
      </w:r>
      <w:r w:rsidR="00F0045B" w:rsidRPr="000B725B">
        <w:t xml:space="preserve">curve </w:t>
      </w:r>
      <w:r w:rsidR="006F23E1" w:rsidRPr="000B725B">
        <w:t>exceeded</w:t>
      </w:r>
      <w:r w:rsidR="00F0045B" w:rsidRPr="000B725B">
        <w:t xml:space="preserve"> the</w:t>
      </w:r>
      <w:r w:rsidR="006F23E1" w:rsidRPr="000B725B">
        <w:t xml:space="preserve"> rPFS </w:t>
      </w:r>
      <w:r w:rsidR="0029281D" w:rsidRPr="000B725B">
        <w:t>Kaplan-Meier</w:t>
      </w:r>
      <w:r w:rsidRPr="000B725B">
        <w:t xml:space="preserve"> </w:t>
      </w:r>
      <w:r w:rsidR="00F0045B" w:rsidRPr="000B725B">
        <w:t xml:space="preserve">curve </w:t>
      </w:r>
      <w:r w:rsidRPr="000B725B">
        <w:t>in t</w:t>
      </w:r>
      <w:r w:rsidR="006F23E1" w:rsidRPr="000B725B">
        <w:t xml:space="preserve">he first 5 months and then </w:t>
      </w:r>
      <w:r w:rsidRPr="000B725B">
        <w:t xml:space="preserve">again </w:t>
      </w:r>
      <w:r w:rsidR="006F23E1" w:rsidRPr="000B725B">
        <w:t xml:space="preserve">between 10 </w:t>
      </w:r>
      <w:r w:rsidRPr="000B725B">
        <w:t>and</w:t>
      </w:r>
      <w:r w:rsidR="006F23E1" w:rsidRPr="000B725B">
        <w:t xml:space="preserve"> 15</w:t>
      </w:r>
      <w:r w:rsidR="00477CD8">
        <w:t> </w:t>
      </w:r>
      <w:r w:rsidR="006F23E1" w:rsidRPr="000B725B">
        <w:t xml:space="preserve">months. This suggested that some patients in the enzalutamide arm </w:t>
      </w:r>
      <w:r w:rsidRPr="000B725B">
        <w:t xml:space="preserve">of TALAPRO-2 </w:t>
      </w:r>
      <w:r w:rsidR="006F23E1" w:rsidRPr="000B725B">
        <w:t xml:space="preserve">continued treatment after experiencing disease progression, which </w:t>
      </w:r>
      <w:r w:rsidRPr="000B725B">
        <w:t xml:space="preserve">did not </w:t>
      </w:r>
      <w:r w:rsidR="006F23E1" w:rsidRPr="000B725B">
        <w:t xml:space="preserve">reflect </w:t>
      </w:r>
      <w:r w:rsidRPr="000B725B">
        <w:t xml:space="preserve">the trial protocol nor </w:t>
      </w:r>
      <w:r w:rsidR="009E51BF" w:rsidRPr="000B725B">
        <w:t>the proposed restriction</w:t>
      </w:r>
      <w:r w:rsidR="006F23E1" w:rsidRPr="000B725B">
        <w:t xml:space="preserve">, </w:t>
      </w:r>
      <w:r w:rsidR="00F0045B" w:rsidRPr="000B725B">
        <w:t xml:space="preserve">in which </w:t>
      </w:r>
      <w:r w:rsidR="006F23E1" w:rsidRPr="000B725B">
        <w:t xml:space="preserve">patients </w:t>
      </w:r>
      <w:r w:rsidRPr="000B725B">
        <w:t xml:space="preserve">are to </w:t>
      </w:r>
      <w:r w:rsidR="006F23E1" w:rsidRPr="000B725B">
        <w:t xml:space="preserve">cease treatment upon disease progression. </w:t>
      </w:r>
    </w:p>
    <w:p w14:paraId="7C4EF5F2" w14:textId="72877DEA" w:rsidR="00B53095" w:rsidRPr="000B725B" w:rsidRDefault="006F23E1" w:rsidP="00984EA5">
      <w:pPr>
        <w:pStyle w:val="3-BodyText"/>
      </w:pPr>
      <w:r w:rsidRPr="000B725B">
        <w:t>T</w:t>
      </w:r>
      <w:r w:rsidR="001B1719" w:rsidRPr="000B725B">
        <w:t xml:space="preserve">he </w:t>
      </w:r>
      <w:r w:rsidRPr="000B725B">
        <w:t xml:space="preserve">modelled </w:t>
      </w:r>
      <w:r w:rsidR="001B1719" w:rsidRPr="000B725B">
        <w:t xml:space="preserve">median duration of treatment </w:t>
      </w:r>
      <w:r w:rsidRPr="000B725B">
        <w:t xml:space="preserve">in </w:t>
      </w:r>
      <w:r w:rsidR="00A4061E" w:rsidRPr="000B725B">
        <w:t xml:space="preserve">the </w:t>
      </w:r>
      <w:r w:rsidRPr="000B725B">
        <w:t xml:space="preserve">enzalutamide arm </w:t>
      </w:r>
      <w:r w:rsidR="001B1719" w:rsidRPr="000B725B">
        <w:t xml:space="preserve">was 12 months. </w:t>
      </w:r>
      <w:r w:rsidR="00B53095" w:rsidRPr="000B725B">
        <w:t xml:space="preserve">While this </w:t>
      </w:r>
      <w:r w:rsidR="001B1719" w:rsidRPr="000B725B">
        <w:t>was aligned with the mean NHA treatment duration on a recent DUSC analysis in April 2022 indicating the average PBS treatment durations for abiraterone and enzalutamide were 9 and 12 months, respectively, or 11.8 months combined (assuming zero treatment breaks)</w:t>
      </w:r>
      <w:r w:rsidR="00B53095" w:rsidRPr="000B725B">
        <w:t xml:space="preserve">, the </w:t>
      </w:r>
      <w:r w:rsidR="001B1719" w:rsidRPr="000B725B">
        <w:t xml:space="preserve">DUSC estimates were not specific to a </w:t>
      </w:r>
      <w:r w:rsidR="001B1719" w:rsidRPr="000337F9">
        <w:rPr>
          <w:i/>
          <w:iCs/>
        </w:rPr>
        <w:t>BRCA1/2</w:t>
      </w:r>
      <w:r w:rsidR="001B1719" w:rsidRPr="000B725B">
        <w:t xml:space="preserve"> population (para</w:t>
      </w:r>
      <w:r w:rsidR="00BF4313">
        <w:t>graph</w:t>
      </w:r>
      <w:r w:rsidR="001B1719" w:rsidRPr="000B725B">
        <w:t xml:space="preserve"> 6.26, apalutamide PSD, July 2022)</w:t>
      </w:r>
      <w:r w:rsidR="000A49DA" w:rsidRPr="000B725B">
        <w:t xml:space="preserve">. </w:t>
      </w:r>
    </w:p>
    <w:p w14:paraId="1EA3E679" w14:textId="52F671AB" w:rsidR="00FC216F" w:rsidRPr="000B725B" w:rsidRDefault="00FC216F" w:rsidP="000B725B">
      <w:pPr>
        <w:pStyle w:val="3-BodyText"/>
      </w:pPr>
      <w:r w:rsidRPr="000B725B">
        <w:t xml:space="preserve">The model extrapolated </w:t>
      </w:r>
      <w:r w:rsidR="00F0045B" w:rsidRPr="000B725B">
        <w:t xml:space="preserve">the </w:t>
      </w:r>
      <w:r w:rsidRPr="000B725B">
        <w:t xml:space="preserve">rPFS and OS </w:t>
      </w:r>
      <w:r w:rsidR="00F0045B" w:rsidRPr="000B725B">
        <w:t xml:space="preserve">Kaplan-Meier curves </w:t>
      </w:r>
      <w:r w:rsidRPr="000B725B">
        <w:t xml:space="preserve">in the </w:t>
      </w:r>
      <w:r w:rsidRPr="000337F9">
        <w:rPr>
          <w:i/>
          <w:iCs/>
        </w:rPr>
        <w:t>BRCA1/2</w:t>
      </w:r>
      <w:r w:rsidRPr="000B725B">
        <w:t xml:space="preserve"> subgroup from </w:t>
      </w:r>
      <w:r w:rsidR="00984EA5" w:rsidRPr="000B725B">
        <w:t xml:space="preserve">the </w:t>
      </w:r>
      <w:r w:rsidRPr="000B725B">
        <w:t xml:space="preserve">median follow-ups of 17 and </w:t>
      </w:r>
      <w:r w:rsidR="004119DA" w:rsidRPr="000B725B">
        <w:t xml:space="preserve">26 </w:t>
      </w:r>
      <w:r w:rsidRPr="000B725B">
        <w:t>months, respectively, using independently</w:t>
      </w:r>
      <w:r w:rsidR="00BF4313">
        <w:t xml:space="preserve"> </w:t>
      </w:r>
      <w:r w:rsidRPr="000B725B">
        <w:t>fitted parametric extrapolations</w:t>
      </w:r>
      <w:r w:rsidR="00984EA5" w:rsidRPr="000B725B">
        <w:t xml:space="preserve"> which were based on the full Kaplan-Meier data</w:t>
      </w:r>
      <w:r w:rsidRPr="000B725B">
        <w:t xml:space="preserve">. The submission claimed that testing of the proportional hazards (PH) assumption for both rPFS and OS showed that the PH assumption cannot be rejected (p-value=0.912 in rPFS and p-value=0.736 in OS). Both stratified and unstratified models were considered. </w:t>
      </w:r>
    </w:p>
    <w:p w14:paraId="224F19E1" w14:textId="3D17606D" w:rsidR="00B53095" w:rsidRPr="000B725B" w:rsidRDefault="00B53095" w:rsidP="00B53095">
      <w:pPr>
        <w:pStyle w:val="3-BodyText"/>
      </w:pPr>
      <w:r w:rsidRPr="000B725B">
        <w:rPr>
          <w:rFonts w:cs="Times New Roman"/>
          <w:lang w:eastAsia="en-GB"/>
        </w:rPr>
        <w:t xml:space="preserve">For rPFS, the submission explained </w:t>
      </w:r>
      <w:r w:rsidR="00935AD9" w:rsidRPr="000B725B">
        <w:rPr>
          <w:rFonts w:cs="Times New Roman"/>
          <w:lang w:eastAsia="en-GB"/>
        </w:rPr>
        <w:t xml:space="preserve">that </w:t>
      </w:r>
      <w:r w:rsidRPr="000B725B">
        <w:rPr>
          <w:rFonts w:cs="Times New Roman"/>
          <w:lang w:eastAsia="en-GB"/>
        </w:rPr>
        <w:t>as the first interim OS analysis (DCO 3 October 2022) showed that the Kaplan-Meier curves for OS and rPFS crossed toward</w:t>
      </w:r>
      <w:r w:rsidR="00935AD9" w:rsidRPr="000B725B">
        <w:rPr>
          <w:rFonts w:cs="Times New Roman"/>
          <w:lang w:eastAsia="en-GB"/>
        </w:rPr>
        <w:t>s</w:t>
      </w:r>
      <w:r w:rsidRPr="000B725B">
        <w:rPr>
          <w:rFonts w:cs="Times New Roman"/>
          <w:lang w:eastAsia="en-GB"/>
        </w:rPr>
        <w:t xml:space="preserve"> the end of the trial follow-up, </w:t>
      </w:r>
      <w:r w:rsidR="00F0045B" w:rsidRPr="000B725B">
        <w:rPr>
          <w:rFonts w:cs="Times New Roman"/>
          <w:lang w:eastAsia="en-GB"/>
        </w:rPr>
        <w:t xml:space="preserve">resulting </w:t>
      </w:r>
      <w:r w:rsidRPr="000B725B">
        <w:rPr>
          <w:rFonts w:cs="Times New Roman"/>
          <w:lang w:eastAsia="en-GB"/>
        </w:rPr>
        <w:t>from the application of censoring rules, an alternative rPFS definition was adopted by the submission</w:t>
      </w:r>
      <w:r w:rsidR="00935AD9" w:rsidRPr="000B725B">
        <w:rPr>
          <w:rFonts w:cs="Times New Roman"/>
          <w:lang w:eastAsia="en-GB"/>
        </w:rPr>
        <w:t xml:space="preserve">. This </w:t>
      </w:r>
      <w:r w:rsidRPr="000B725B">
        <w:rPr>
          <w:rFonts w:cs="Times New Roman"/>
          <w:lang w:eastAsia="en-GB"/>
        </w:rPr>
        <w:t>incorporat</w:t>
      </w:r>
      <w:r w:rsidR="00935AD9" w:rsidRPr="000B725B">
        <w:rPr>
          <w:rFonts w:cs="Times New Roman"/>
          <w:lang w:eastAsia="en-GB"/>
        </w:rPr>
        <w:t>ed</w:t>
      </w:r>
      <w:r w:rsidRPr="000B725B">
        <w:rPr>
          <w:rFonts w:cs="Times New Roman"/>
          <w:lang w:eastAsia="en-GB"/>
        </w:rPr>
        <w:t xml:space="preserve"> the progression or death event into the rPFS endpoint for patients previously censored. The submission was not completely clear about the new definition; however, using the primary definition in the sensitivity analysis had minimal impact on the ICER (</w:t>
      </w:r>
      <w:r w:rsidRPr="005C70FC">
        <w:rPr>
          <w:rFonts w:cs="Times New Roman"/>
          <w:lang w:eastAsia="en-GB"/>
        </w:rPr>
        <w:t>-</w:t>
      </w:r>
      <w:r w:rsidR="00D62519" w:rsidRPr="00CD40AA">
        <w:rPr>
          <w:rFonts w:cs="Times New Roman"/>
          <w:color w:val="000000"/>
          <w:w w:val="15"/>
          <w:shd w:val="solid" w:color="000000" w:fill="000000"/>
          <w:fitText w:val="-20" w:id="-961822461"/>
          <w:lang w:eastAsia="en-GB"/>
          <w14:textFill>
            <w14:solidFill>
              <w14:srgbClr w14:val="000000">
                <w14:alpha w14:val="100000"/>
              </w14:srgbClr>
            </w14:solidFill>
          </w14:textFill>
        </w:rPr>
        <w:t xml:space="preserve">|  </w:t>
      </w:r>
      <w:r w:rsidR="00D62519" w:rsidRPr="00CD40AA">
        <w:rPr>
          <w:rFonts w:cs="Times New Roman"/>
          <w:color w:val="000000"/>
          <w:spacing w:val="-69"/>
          <w:w w:val="15"/>
          <w:shd w:val="solid" w:color="000000" w:fill="000000"/>
          <w:fitText w:val="-20" w:id="-961822461"/>
          <w:lang w:eastAsia="en-GB"/>
          <w14:textFill>
            <w14:solidFill>
              <w14:srgbClr w14:val="000000">
                <w14:alpha w14:val="100000"/>
              </w14:srgbClr>
            </w14:solidFill>
          </w14:textFill>
        </w:rPr>
        <w:t>|</w:t>
      </w:r>
      <w:r w:rsidRPr="000B725B">
        <w:rPr>
          <w:rFonts w:cs="Times New Roman"/>
          <w:lang w:eastAsia="en-GB"/>
        </w:rPr>
        <w:t>% change).</w:t>
      </w:r>
    </w:p>
    <w:p w14:paraId="2E6F6E41" w14:textId="58FCEF16" w:rsidR="00FC216F" w:rsidRPr="000B725B" w:rsidRDefault="00B53095" w:rsidP="00FC216F">
      <w:pPr>
        <w:pStyle w:val="3-BodyText"/>
      </w:pPr>
      <w:r w:rsidRPr="000B725B">
        <w:t xml:space="preserve">rPFS extrapolations modelled by treatment arm (stratified) using the alternate rPFS definition are presented in </w:t>
      </w:r>
      <w:r w:rsidR="00984EA5" w:rsidRPr="000B725B">
        <w:fldChar w:fldCharType="begin" w:fldLock="1"/>
      </w:r>
      <w:r w:rsidR="00984EA5" w:rsidRPr="000B725B">
        <w:instrText xml:space="preserve"> REF _Ref155280178 \h </w:instrText>
      </w:r>
      <w:r w:rsidR="000B725B" w:rsidRPr="000B725B">
        <w:instrText xml:space="preserve"> \* MERGEFORMAT </w:instrText>
      </w:r>
      <w:r w:rsidR="00984EA5" w:rsidRPr="000B725B">
        <w:fldChar w:fldCharType="separate"/>
      </w:r>
      <w:r w:rsidR="00324A7E" w:rsidRPr="000B725B">
        <w:t xml:space="preserve">Figure </w:t>
      </w:r>
      <w:r w:rsidR="00324A7E" w:rsidRPr="000B725B">
        <w:rPr>
          <w:noProof/>
        </w:rPr>
        <w:t>7</w:t>
      </w:r>
      <w:r w:rsidR="00984EA5" w:rsidRPr="000B725B">
        <w:fldChar w:fldCharType="end"/>
      </w:r>
      <w:r w:rsidRPr="000B725B">
        <w:t>.</w:t>
      </w:r>
    </w:p>
    <w:p w14:paraId="5631342E" w14:textId="6721346C" w:rsidR="009B1B01" w:rsidRPr="005A293B" w:rsidRDefault="00984EA5" w:rsidP="00984EA5">
      <w:pPr>
        <w:pStyle w:val="Caption"/>
      </w:pPr>
      <w:bookmarkStart w:id="67" w:name="_Ref155280178"/>
      <w:bookmarkEnd w:id="64"/>
      <w:r>
        <w:lastRenderedPageBreak/>
        <w:t xml:space="preserve">Figure </w:t>
      </w:r>
      <w:fldSimple w:instr=" SEQ Figure \* ARABIC " w:fldLock="1">
        <w:r w:rsidR="00324A7E">
          <w:rPr>
            <w:noProof/>
          </w:rPr>
          <w:t>7</w:t>
        </w:r>
      </w:fldSimple>
      <w:bookmarkEnd w:id="67"/>
      <w:r w:rsidR="00935AD9">
        <w:rPr>
          <w:noProof/>
        </w:rPr>
        <w:t>:</w:t>
      </w:r>
      <w:r>
        <w:t xml:space="preserve"> </w:t>
      </w:r>
      <w:r w:rsidRPr="00455304">
        <w:t>Extrapolations of rPFS (alternative definition, DCO: 3 October 2022)</w:t>
      </w:r>
      <w:r w:rsidR="009B1B01" w:rsidRPr="005A293B">
        <w:t xml:space="preserve"> </w:t>
      </w:r>
    </w:p>
    <w:p w14:paraId="38ABBA9A" w14:textId="4AE599BB" w:rsidR="009B1B01" w:rsidRPr="005A293B" w:rsidRDefault="00C20728" w:rsidP="009B1B01">
      <w:r>
        <w:rPr>
          <w:noProof/>
        </w:rPr>
        <w:drawing>
          <wp:inline distT="0" distB="0" distL="0" distR="0" wp14:anchorId="65477AD7" wp14:editId="0089C1DD">
            <wp:extent cx="5702157" cy="3724275"/>
            <wp:effectExtent l="0" t="0" r="0" b="0"/>
            <wp:docPr id="27" name="Picture 27" descr="Figure 7: Extrapolations of rPFS (alternative definition, DCO: 3 October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7: Extrapolations of rPFS (alternative definition, DCO: 3 October 2022)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7760" cy="3734466"/>
                    </a:xfrm>
                    <a:prstGeom prst="rect">
                      <a:avLst/>
                    </a:prstGeom>
                    <a:noFill/>
                  </pic:spPr>
                </pic:pic>
              </a:graphicData>
            </a:graphic>
          </wp:inline>
        </w:drawing>
      </w:r>
    </w:p>
    <w:p w14:paraId="2F228362" w14:textId="3BC37529" w:rsidR="009B1B01" w:rsidRPr="005A293B" w:rsidRDefault="009B1B01" w:rsidP="009B1B01">
      <w:pPr>
        <w:pStyle w:val="TableFooter"/>
      </w:pPr>
      <w:r w:rsidRPr="005A293B">
        <w:t>Source: Compiled during the evaluation</w:t>
      </w:r>
    </w:p>
    <w:p w14:paraId="12A8CC43" w14:textId="609E2CB4" w:rsidR="009B1B01" w:rsidRPr="005A293B" w:rsidRDefault="00321F0D" w:rsidP="005C70FC">
      <w:pPr>
        <w:pStyle w:val="TableFooter"/>
        <w:spacing w:after="120"/>
        <w:jc w:val="both"/>
      </w:pPr>
      <w:r w:rsidRPr="005A293B">
        <w:rPr>
          <w:iCs/>
        </w:rPr>
        <w:t>ENZ=enzalutamide;</w:t>
      </w:r>
      <w:r w:rsidRPr="005A293B">
        <w:rPr>
          <w:i/>
        </w:rPr>
        <w:t xml:space="preserve"> </w:t>
      </w:r>
      <w:r w:rsidRPr="005A293B">
        <w:rPr>
          <w:iCs/>
        </w:rPr>
        <w:t>DCO=data cut-off; KM=Kaplan</w:t>
      </w:r>
      <w:r w:rsidRPr="005A293B">
        <w:t>-Meier, rPFS=</w:t>
      </w:r>
      <w:r w:rsidRPr="005A293B">
        <w:rPr>
          <w:iCs/>
        </w:rPr>
        <w:t>radiographic</w:t>
      </w:r>
      <w:r w:rsidRPr="005A293B">
        <w:t xml:space="preserve"> progression free survival; TAL=talazoparib</w:t>
      </w:r>
    </w:p>
    <w:p w14:paraId="382735A2" w14:textId="707877AE" w:rsidR="0019002C" w:rsidRPr="000B725B" w:rsidRDefault="00B53095" w:rsidP="0019002C">
      <w:pPr>
        <w:pStyle w:val="3-BodyText"/>
      </w:pPr>
      <w:r w:rsidRPr="000B725B">
        <w:t xml:space="preserve">For </w:t>
      </w:r>
      <w:r w:rsidR="00321F0D" w:rsidRPr="000B725B">
        <w:t>rPFS</w:t>
      </w:r>
      <w:r w:rsidRPr="000B725B">
        <w:t>,</w:t>
      </w:r>
      <w:r w:rsidR="00321F0D" w:rsidRPr="000B725B">
        <w:t xml:space="preserve"> </w:t>
      </w:r>
      <w:r w:rsidRPr="000B725B">
        <w:t xml:space="preserve">the submission selected </w:t>
      </w:r>
      <w:r w:rsidR="00321F0D" w:rsidRPr="000B725B">
        <w:t>the Weibull function</w:t>
      </w:r>
      <w:r w:rsidR="006D30B1" w:rsidRPr="000B725B">
        <w:t xml:space="preserve"> based on clinical plausibility (despite it not having the best visual fit or AIC/BIC statistics)</w:t>
      </w:r>
      <w:r w:rsidRPr="000B725B">
        <w:t xml:space="preserve">. While the Weibull function showed good </w:t>
      </w:r>
      <w:r w:rsidR="00321F0D" w:rsidRPr="000B725B">
        <w:t xml:space="preserve">visual fit in the enzalutamide arm </w:t>
      </w:r>
      <w:r w:rsidRPr="000B725B">
        <w:t xml:space="preserve">it was not a good </w:t>
      </w:r>
      <w:r w:rsidR="00321F0D" w:rsidRPr="000B725B">
        <w:t xml:space="preserve">fit beyond approximately 12 months (up to 20 months of Kaplan-Meier data) in the talazoparib + enzalutamide arm. </w:t>
      </w:r>
      <w:r w:rsidR="006D30B1" w:rsidRPr="000B725B">
        <w:t>However, a</w:t>
      </w:r>
      <w:r w:rsidRPr="000B725B">
        <w:t xml:space="preserve"> gap </w:t>
      </w:r>
      <w:r w:rsidR="00321F0D" w:rsidRPr="000B725B">
        <w:t xml:space="preserve">between the rPFS Kaplan-Meier and the extrapolation curves was </w:t>
      </w:r>
      <w:r w:rsidR="006D30B1" w:rsidRPr="000B725B">
        <w:t xml:space="preserve">evident for many of the </w:t>
      </w:r>
      <w:r w:rsidR="00321F0D" w:rsidRPr="000B725B">
        <w:t>extrapolation functions</w:t>
      </w:r>
      <w:r w:rsidR="006D30B1" w:rsidRPr="000B725B">
        <w:t xml:space="preserve"> (except the flexible spline-based Weibull</w:t>
      </w:r>
      <w:r w:rsidR="00621518" w:rsidRPr="000B725B">
        <w:t xml:space="preserve">, </w:t>
      </w:r>
      <w:r w:rsidR="006D30B1" w:rsidRPr="000B725B">
        <w:t>3 knots</w:t>
      </w:r>
      <w:r w:rsidR="00F0045B" w:rsidRPr="000B725B">
        <w:t>)</w:t>
      </w:r>
      <w:r w:rsidR="00321F0D" w:rsidRPr="000B725B">
        <w:t xml:space="preserve">. </w:t>
      </w:r>
      <w:r w:rsidR="00092C6E" w:rsidRPr="000B725B">
        <w:t xml:space="preserve">The observed discrepancy may be attributed to the immaturity of the rPFS data, with the number of events falling short of the </w:t>
      </w:r>
      <w:r w:rsidR="00E54DA6" w:rsidRPr="000B725B">
        <w:t xml:space="preserve">target number of events in the </w:t>
      </w:r>
      <w:r w:rsidR="00092C6E" w:rsidRPr="000B725B">
        <w:t>protocol and the median</w:t>
      </w:r>
      <w:r w:rsidR="00E54DA6" w:rsidRPr="000B725B">
        <w:t xml:space="preserve"> </w:t>
      </w:r>
      <w:r w:rsidR="00092C6E" w:rsidRPr="000B725B">
        <w:t xml:space="preserve">not being reached. </w:t>
      </w:r>
    </w:p>
    <w:p w14:paraId="70B0E281" w14:textId="39FB42ED" w:rsidR="009B1B01" w:rsidRPr="000B725B" w:rsidRDefault="006D30B1" w:rsidP="006474C3">
      <w:pPr>
        <w:pStyle w:val="3-BodyText"/>
      </w:pPr>
      <w:r w:rsidRPr="000B725B">
        <w:t xml:space="preserve">OS extrapolations modelled by treatment arm (stratified) are presented in </w:t>
      </w:r>
      <w:r w:rsidR="00984EA5" w:rsidRPr="000B725B">
        <w:fldChar w:fldCharType="begin" w:fldLock="1"/>
      </w:r>
      <w:r w:rsidR="00984EA5" w:rsidRPr="000B725B">
        <w:rPr>
          <w:rFonts w:cs="Times New Roman"/>
          <w:color w:val="000000"/>
          <w:lang w:eastAsia="en-GB"/>
        </w:rPr>
        <w:instrText xml:space="preserve"> REF _Ref155280294 \h </w:instrText>
      </w:r>
      <w:r w:rsidR="000B725B" w:rsidRPr="000B725B">
        <w:instrText xml:space="preserve"> \* MERGEFORMAT </w:instrText>
      </w:r>
      <w:r w:rsidR="00984EA5" w:rsidRPr="000B725B">
        <w:fldChar w:fldCharType="separate"/>
      </w:r>
      <w:r w:rsidR="00324A7E" w:rsidRPr="000B725B">
        <w:t xml:space="preserve">Figure </w:t>
      </w:r>
      <w:r w:rsidR="00324A7E" w:rsidRPr="000B725B">
        <w:rPr>
          <w:noProof/>
        </w:rPr>
        <w:t>8</w:t>
      </w:r>
      <w:r w:rsidR="00984EA5" w:rsidRPr="000B725B">
        <w:fldChar w:fldCharType="end"/>
      </w:r>
      <w:r w:rsidR="00092C6E" w:rsidRPr="000B725B">
        <w:t>.</w:t>
      </w:r>
      <w:r w:rsidR="009B1B01" w:rsidRPr="000B725B">
        <w:rPr>
          <w:rFonts w:cs="Times New Roman"/>
          <w:color w:val="000000"/>
          <w:lang w:eastAsia="en-GB"/>
        </w:rPr>
        <w:t xml:space="preserve"> </w:t>
      </w:r>
    </w:p>
    <w:p w14:paraId="4CEE6998" w14:textId="0DC0B40F" w:rsidR="009B1B01" w:rsidRPr="005A293B" w:rsidRDefault="00984EA5" w:rsidP="00984EA5">
      <w:pPr>
        <w:pStyle w:val="Caption"/>
      </w:pPr>
      <w:bookmarkStart w:id="68" w:name="_Ref155280294"/>
      <w:r>
        <w:lastRenderedPageBreak/>
        <w:t xml:space="preserve">Figure </w:t>
      </w:r>
      <w:fldSimple w:instr=" SEQ Figure \* ARABIC " w:fldLock="1">
        <w:r w:rsidR="00324A7E">
          <w:rPr>
            <w:noProof/>
          </w:rPr>
          <w:t>8</w:t>
        </w:r>
      </w:fldSimple>
      <w:bookmarkEnd w:id="68"/>
      <w:r w:rsidR="00935AD9">
        <w:rPr>
          <w:noProof/>
        </w:rPr>
        <w:t>:</w:t>
      </w:r>
      <w:r>
        <w:t xml:space="preserve"> </w:t>
      </w:r>
      <w:r w:rsidRPr="00BD0BE5">
        <w:t>Extrapolations of OS (DCO: 28 March 2023)</w:t>
      </w:r>
    </w:p>
    <w:p w14:paraId="7155DA70" w14:textId="5677C3F1" w:rsidR="009B1B01" w:rsidRPr="005A293B" w:rsidRDefault="00984EA5" w:rsidP="009B1B01">
      <w:r>
        <w:rPr>
          <w:noProof/>
        </w:rPr>
        <w:drawing>
          <wp:inline distT="0" distB="0" distL="0" distR="0" wp14:anchorId="4BA4D0CA" wp14:editId="3FA19212">
            <wp:extent cx="5733089" cy="3743325"/>
            <wp:effectExtent l="0" t="0" r="1270" b="0"/>
            <wp:docPr id="14" name="Picture 14" descr="Figure 8: Extrapolations of OS (DCO: 28 March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8: Extrapolations of OS (DCO: 28 March 20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903" cy="3764750"/>
                    </a:xfrm>
                    <a:prstGeom prst="rect">
                      <a:avLst/>
                    </a:prstGeom>
                    <a:noFill/>
                  </pic:spPr>
                </pic:pic>
              </a:graphicData>
            </a:graphic>
          </wp:inline>
        </w:drawing>
      </w:r>
    </w:p>
    <w:p w14:paraId="05A9DBF3" w14:textId="77777777" w:rsidR="009B1B01" w:rsidRPr="005A293B" w:rsidRDefault="009B1B01" w:rsidP="009B1B01">
      <w:pPr>
        <w:pStyle w:val="TableFooter"/>
      </w:pPr>
      <w:r w:rsidRPr="005A293B">
        <w:t>Source: compiled during the evaluation</w:t>
      </w:r>
    </w:p>
    <w:p w14:paraId="030DC8CA" w14:textId="3FB1B269" w:rsidR="009B1B01" w:rsidRPr="005A293B" w:rsidRDefault="00092C6E" w:rsidP="005C70FC">
      <w:pPr>
        <w:pStyle w:val="TableFooter"/>
        <w:spacing w:after="120"/>
        <w:jc w:val="both"/>
      </w:pPr>
      <w:r w:rsidRPr="005A293B">
        <w:t>ENZ=enzalutamide; DCO=data cut-off; KM=Kaplan-Meier; OS=overall survival; TAL=talazoparib</w:t>
      </w:r>
    </w:p>
    <w:p w14:paraId="50DBD673" w14:textId="659B56E2" w:rsidR="00A50033" w:rsidRPr="000B725B" w:rsidRDefault="006D30B1" w:rsidP="0019002C">
      <w:pPr>
        <w:pStyle w:val="3-BodyText"/>
        <w:rPr>
          <w:iCs/>
        </w:rPr>
      </w:pPr>
      <w:r w:rsidRPr="3C097EED">
        <w:rPr>
          <w:rFonts w:cs="Times New Roman"/>
          <w:color w:val="000000" w:themeColor="text1"/>
          <w:lang w:eastAsia="en-GB"/>
        </w:rPr>
        <w:t xml:space="preserve">For OS, the submission selected the Gamma distribution (based on goodness of visual fit and the lowest AIC/BIC values). </w:t>
      </w:r>
      <w:r w:rsidR="006716E7" w:rsidRPr="000B725B">
        <w:rPr>
          <w:iCs/>
          <w:lang w:eastAsia="en-GB"/>
        </w:rPr>
        <w:t>A</w:t>
      </w:r>
      <w:r w:rsidR="00B04E04" w:rsidRPr="000B725B">
        <w:rPr>
          <w:iCs/>
          <w:lang w:eastAsia="en-GB"/>
        </w:rPr>
        <w:t xml:space="preserve"> </w:t>
      </w:r>
      <w:r w:rsidR="006716E7" w:rsidRPr="000B725B">
        <w:rPr>
          <w:iCs/>
          <w:lang w:eastAsia="en-GB"/>
        </w:rPr>
        <w:t>separation</w:t>
      </w:r>
      <w:r w:rsidR="00352037" w:rsidRPr="000B725B">
        <w:rPr>
          <w:iCs/>
          <w:lang w:eastAsia="en-GB"/>
        </w:rPr>
        <w:t xml:space="preserve"> was evident </w:t>
      </w:r>
      <w:r w:rsidR="00F0045B" w:rsidRPr="000B725B">
        <w:rPr>
          <w:iCs/>
          <w:lang w:eastAsia="en-GB"/>
        </w:rPr>
        <w:t xml:space="preserve">between </w:t>
      </w:r>
      <w:r w:rsidR="00352037" w:rsidRPr="000B725B">
        <w:rPr>
          <w:iCs/>
          <w:lang w:eastAsia="en-GB"/>
        </w:rPr>
        <w:t xml:space="preserve">all extrapolated OS curves and </w:t>
      </w:r>
      <w:r w:rsidR="006716E7" w:rsidRPr="000B725B">
        <w:rPr>
          <w:iCs/>
          <w:lang w:eastAsia="en-GB"/>
        </w:rPr>
        <w:t xml:space="preserve">the Kaplan-Meier </w:t>
      </w:r>
      <w:r w:rsidR="00352037" w:rsidRPr="000B725B">
        <w:rPr>
          <w:iCs/>
          <w:lang w:eastAsia="en-GB"/>
        </w:rPr>
        <w:t xml:space="preserve">data </w:t>
      </w:r>
      <w:r w:rsidR="00B04E04" w:rsidRPr="000B725B">
        <w:rPr>
          <w:iCs/>
          <w:lang w:eastAsia="en-GB"/>
        </w:rPr>
        <w:t xml:space="preserve">for </w:t>
      </w:r>
      <w:r w:rsidR="00352037" w:rsidRPr="000B725B">
        <w:rPr>
          <w:iCs/>
          <w:lang w:eastAsia="en-GB"/>
        </w:rPr>
        <w:t xml:space="preserve">the </w:t>
      </w:r>
      <w:r w:rsidR="00B04E04" w:rsidRPr="000B725B">
        <w:rPr>
          <w:iCs/>
          <w:lang w:eastAsia="en-GB"/>
        </w:rPr>
        <w:t>talazoparib + enzalutamide</w:t>
      </w:r>
      <w:r w:rsidR="00352037" w:rsidRPr="000B725B">
        <w:rPr>
          <w:iCs/>
          <w:lang w:eastAsia="en-GB"/>
        </w:rPr>
        <w:t xml:space="preserve"> arm with a</w:t>
      </w:r>
      <w:r w:rsidR="00F0045B" w:rsidRPr="000B725B">
        <w:rPr>
          <w:iCs/>
          <w:lang w:eastAsia="en-GB"/>
        </w:rPr>
        <w:t>n increasing</w:t>
      </w:r>
      <w:r w:rsidR="00352037" w:rsidRPr="000B725B">
        <w:rPr>
          <w:iCs/>
          <w:lang w:eastAsia="en-GB"/>
        </w:rPr>
        <w:t xml:space="preserve"> gap from </w:t>
      </w:r>
      <w:r w:rsidR="00B04E04" w:rsidRPr="000B725B">
        <w:rPr>
          <w:iCs/>
          <w:lang w:eastAsia="en-GB"/>
        </w:rPr>
        <w:t>month 33 onwards.</w:t>
      </w:r>
      <w:r w:rsidR="00246A89" w:rsidRPr="000B725B">
        <w:rPr>
          <w:iCs/>
          <w:lang w:eastAsia="en-GB"/>
        </w:rPr>
        <w:t xml:space="preserve"> </w:t>
      </w:r>
      <w:r w:rsidR="00246A89" w:rsidRPr="000B725B">
        <w:rPr>
          <w:iCs/>
        </w:rPr>
        <w:t xml:space="preserve">A sensitivity analysis conducted during the evaluation using stratified modelling </w:t>
      </w:r>
      <w:r w:rsidR="00F0045B" w:rsidRPr="000B725B">
        <w:rPr>
          <w:iCs/>
        </w:rPr>
        <w:t xml:space="preserve">and the </w:t>
      </w:r>
      <w:r w:rsidR="00246A89" w:rsidRPr="000B725B">
        <w:rPr>
          <w:iCs/>
        </w:rPr>
        <w:t xml:space="preserve">Gompertz function </w:t>
      </w:r>
      <w:r w:rsidR="00F0045B" w:rsidRPr="000B725B">
        <w:rPr>
          <w:iCs/>
        </w:rPr>
        <w:t xml:space="preserve">resulted in </w:t>
      </w:r>
      <w:r w:rsidR="00246A89" w:rsidRPr="000B725B">
        <w:rPr>
          <w:iCs/>
        </w:rPr>
        <w:t xml:space="preserve">a </w:t>
      </w:r>
      <w:r w:rsidR="00D62519" w:rsidRPr="00CD40AA">
        <w:rPr>
          <w:iCs/>
          <w:color w:val="000000"/>
          <w:w w:val="15"/>
          <w:shd w:val="solid" w:color="000000" w:fill="000000"/>
          <w:fitText w:val="-20" w:id="-961822460"/>
          <w14:textFill>
            <w14:solidFill>
              <w14:srgbClr w14:val="000000">
                <w14:alpha w14:val="100000"/>
              </w14:srgbClr>
            </w14:solidFill>
          </w14:textFill>
        </w:rPr>
        <w:t xml:space="preserve">|  </w:t>
      </w:r>
      <w:r w:rsidR="00D62519" w:rsidRPr="00CD40AA">
        <w:rPr>
          <w:iCs/>
          <w:color w:val="000000"/>
          <w:spacing w:val="-69"/>
          <w:w w:val="15"/>
          <w:shd w:val="solid" w:color="000000" w:fill="000000"/>
          <w:fitText w:val="-20" w:id="-961822460"/>
          <w14:textFill>
            <w14:solidFill>
              <w14:srgbClr w14:val="000000">
                <w14:alpha w14:val="100000"/>
              </w14:srgbClr>
            </w14:solidFill>
          </w14:textFill>
        </w:rPr>
        <w:t>|</w:t>
      </w:r>
      <w:r w:rsidR="00246A89" w:rsidRPr="000B725B">
        <w:rPr>
          <w:iCs/>
        </w:rPr>
        <w:t>% increase in the ICER</w:t>
      </w:r>
      <w:r w:rsidR="00F0045B" w:rsidRPr="000B725B">
        <w:rPr>
          <w:iCs/>
        </w:rPr>
        <w:t xml:space="preserve"> (</w:t>
      </w:r>
      <w:r w:rsidR="00167F62" w:rsidRPr="00167F62">
        <w:rPr>
          <w:iCs/>
        </w:rPr>
        <w:t>$75,000 to &lt; $95,000</w:t>
      </w:r>
      <w:r w:rsidR="00F0045B" w:rsidRPr="000B725B">
        <w:rPr>
          <w:iCs/>
        </w:rPr>
        <w:t xml:space="preserve">, as compared to the </w:t>
      </w:r>
      <w:r w:rsidR="00246A89" w:rsidRPr="000B725B">
        <w:rPr>
          <w:iCs/>
        </w:rPr>
        <w:t>base</w:t>
      </w:r>
      <w:r w:rsidR="008C0BA8">
        <w:rPr>
          <w:iCs/>
        </w:rPr>
        <w:t xml:space="preserve"> </w:t>
      </w:r>
      <w:r w:rsidR="00246A89" w:rsidRPr="000B725B">
        <w:rPr>
          <w:iCs/>
        </w:rPr>
        <w:t xml:space="preserve">case of </w:t>
      </w:r>
      <w:r w:rsidR="001E4A47" w:rsidRPr="001E4A47">
        <w:rPr>
          <w:iCs/>
        </w:rPr>
        <w:t>$55,000</w:t>
      </w:r>
      <w:r w:rsidR="00477CD8">
        <w:rPr>
          <w:iCs/>
        </w:rPr>
        <w:t> </w:t>
      </w:r>
      <w:r w:rsidR="001E4A47" w:rsidRPr="001E4A47">
        <w:rPr>
          <w:iCs/>
        </w:rPr>
        <w:t>to</w:t>
      </w:r>
      <w:r w:rsidR="001E4A47">
        <w:rPr>
          <w:iCs/>
        </w:rPr>
        <w:t xml:space="preserve"> </w:t>
      </w:r>
      <w:r w:rsidR="001E4A47" w:rsidRPr="001E4A47">
        <w:rPr>
          <w:iCs/>
        </w:rPr>
        <w:t>&lt;</w:t>
      </w:r>
      <w:r w:rsidR="00477CD8">
        <w:rPr>
          <w:iCs/>
        </w:rPr>
        <w:t> </w:t>
      </w:r>
      <w:r w:rsidR="001E4A47" w:rsidRPr="001E4A47">
        <w:rPr>
          <w:iCs/>
        </w:rPr>
        <w:t>$75,000</w:t>
      </w:r>
      <w:r w:rsidR="00246A89" w:rsidRPr="000B725B">
        <w:rPr>
          <w:iCs/>
        </w:rPr>
        <w:t xml:space="preserve"> per QALY gained</w:t>
      </w:r>
      <w:r w:rsidR="00F0045B" w:rsidRPr="000B725B">
        <w:rPr>
          <w:iCs/>
        </w:rPr>
        <w:t>)</w:t>
      </w:r>
      <w:r w:rsidR="00246A89" w:rsidRPr="000B725B">
        <w:rPr>
          <w:iCs/>
        </w:rPr>
        <w:t>.</w:t>
      </w:r>
      <w:r w:rsidR="00215A2E" w:rsidRPr="000B725B">
        <w:rPr>
          <w:iCs/>
          <w:lang w:eastAsia="en-GB"/>
        </w:rPr>
        <w:t xml:space="preserve"> </w:t>
      </w:r>
      <w:r w:rsidR="00215A2E" w:rsidRPr="3C097EED">
        <w:rPr>
          <w:rFonts w:cs="Times New Roman"/>
          <w:color w:val="000000" w:themeColor="text1"/>
          <w:lang w:eastAsia="en-GB"/>
        </w:rPr>
        <w:t xml:space="preserve">It should be noted that </w:t>
      </w:r>
      <w:r w:rsidR="00EE0E6F" w:rsidRPr="3C097EED">
        <w:rPr>
          <w:rFonts w:cs="Times New Roman"/>
          <w:color w:val="000000" w:themeColor="text1"/>
          <w:lang w:eastAsia="en-GB"/>
        </w:rPr>
        <w:t>the gap</w:t>
      </w:r>
      <w:r w:rsidR="00F0045B" w:rsidRPr="3C097EED">
        <w:rPr>
          <w:rFonts w:cs="Times New Roman"/>
          <w:color w:val="000000" w:themeColor="text1"/>
          <w:lang w:eastAsia="en-GB"/>
        </w:rPr>
        <w:t>s</w:t>
      </w:r>
      <w:r w:rsidR="00EE0E6F" w:rsidRPr="3C097EED">
        <w:rPr>
          <w:rFonts w:cs="Times New Roman"/>
          <w:color w:val="000000" w:themeColor="text1"/>
          <w:lang w:eastAsia="en-GB"/>
        </w:rPr>
        <w:t xml:space="preserve"> between </w:t>
      </w:r>
      <w:r w:rsidR="00F0045B" w:rsidRPr="3C097EED">
        <w:rPr>
          <w:rFonts w:cs="Times New Roman"/>
          <w:color w:val="000000" w:themeColor="text1"/>
          <w:lang w:eastAsia="en-GB"/>
        </w:rPr>
        <w:t xml:space="preserve">the </w:t>
      </w:r>
      <w:r w:rsidR="00EE0E6F" w:rsidRPr="3C097EED">
        <w:rPr>
          <w:rFonts w:cs="Times New Roman"/>
          <w:color w:val="000000" w:themeColor="text1"/>
          <w:lang w:eastAsia="en-GB"/>
        </w:rPr>
        <w:t xml:space="preserve">OS and rPFS </w:t>
      </w:r>
      <w:r w:rsidR="00F0045B" w:rsidRPr="3C097EED">
        <w:rPr>
          <w:rFonts w:cs="Times New Roman"/>
          <w:color w:val="000000" w:themeColor="text1"/>
          <w:lang w:eastAsia="en-GB"/>
        </w:rPr>
        <w:t xml:space="preserve">Kaplan-Meier and extrapolated </w:t>
      </w:r>
      <w:r w:rsidR="00EE0E6F" w:rsidRPr="3C097EED">
        <w:rPr>
          <w:rFonts w:cs="Times New Roman"/>
          <w:color w:val="000000" w:themeColor="text1"/>
          <w:lang w:eastAsia="en-GB"/>
        </w:rPr>
        <w:t xml:space="preserve">curves </w:t>
      </w:r>
      <w:r w:rsidR="00F0045B" w:rsidRPr="3C097EED">
        <w:rPr>
          <w:rFonts w:cs="Times New Roman"/>
          <w:color w:val="000000" w:themeColor="text1"/>
          <w:lang w:eastAsia="en-GB"/>
        </w:rPr>
        <w:t xml:space="preserve">were </w:t>
      </w:r>
      <w:r w:rsidR="00215A2E" w:rsidRPr="3C097EED">
        <w:rPr>
          <w:rFonts w:cs="Times New Roman"/>
          <w:color w:val="000000" w:themeColor="text1"/>
          <w:lang w:eastAsia="en-GB"/>
        </w:rPr>
        <w:t xml:space="preserve">less apparent when the </w:t>
      </w:r>
      <w:r w:rsidR="00F0045B" w:rsidRPr="3C097EED">
        <w:rPr>
          <w:rFonts w:cs="Times New Roman"/>
          <w:color w:val="000000" w:themeColor="text1"/>
          <w:lang w:eastAsia="en-GB"/>
        </w:rPr>
        <w:t xml:space="preserve">less mature </w:t>
      </w:r>
      <w:r w:rsidR="00215A2E" w:rsidRPr="3C097EED">
        <w:rPr>
          <w:rFonts w:cs="Times New Roman"/>
          <w:color w:val="000000" w:themeColor="text1"/>
          <w:lang w:eastAsia="en-GB"/>
        </w:rPr>
        <w:t xml:space="preserve">data from </w:t>
      </w:r>
      <w:r w:rsidR="00A50033" w:rsidRPr="3C097EED">
        <w:rPr>
          <w:rFonts w:cs="Times New Roman"/>
          <w:color w:val="000000" w:themeColor="text1"/>
          <w:lang w:eastAsia="en-GB"/>
        </w:rPr>
        <w:t xml:space="preserve">DCO </w:t>
      </w:r>
      <w:r w:rsidR="00215A2E" w:rsidRPr="3C097EED">
        <w:rPr>
          <w:rFonts w:cs="Times New Roman"/>
          <w:color w:val="000000" w:themeColor="text1"/>
          <w:lang w:eastAsia="en-GB"/>
        </w:rPr>
        <w:t xml:space="preserve">03 October 2022 </w:t>
      </w:r>
      <w:r w:rsidR="00F0045B" w:rsidRPr="3C097EED">
        <w:rPr>
          <w:rFonts w:cs="Times New Roman"/>
          <w:color w:val="000000" w:themeColor="text1"/>
          <w:lang w:eastAsia="en-GB"/>
        </w:rPr>
        <w:t>were</w:t>
      </w:r>
      <w:r w:rsidR="00215A2E" w:rsidRPr="3C097EED">
        <w:rPr>
          <w:rFonts w:cs="Times New Roman"/>
          <w:color w:val="000000" w:themeColor="text1"/>
          <w:lang w:eastAsia="en-GB"/>
        </w:rPr>
        <w:t xml:space="preserve"> used.</w:t>
      </w:r>
      <w:r w:rsidR="00A50033" w:rsidRPr="3C097EED">
        <w:rPr>
          <w:rFonts w:cs="Times New Roman"/>
          <w:color w:val="000000" w:themeColor="text1"/>
          <w:lang w:eastAsia="en-GB"/>
        </w:rPr>
        <w:t xml:space="preserve"> </w:t>
      </w:r>
      <w:r w:rsidR="00352037" w:rsidRPr="000B725B">
        <w:rPr>
          <w:iCs/>
        </w:rPr>
        <w:t xml:space="preserve">This disparity may be due to the comparatively </w:t>
      </w:r>
      <w:r w:rsidR="00A50033" w:rsidRPr="000B725B">
        <w:rPr>
          <w:iCs/>
        </w:rPr>
        <w:t>immatur</w:t>
      </w:r>
      <w:r w:rsidR="000A0245" w:rsidRPr="000B725B">
        <w:rPr>
          <w:iCs/>
        </w:rPr>
        <w:t>e</w:t>
      </w:r>
      <w:r w:rsidR="00A50033" w:rsidRPr="000B725B">
        <w:rPr>
          <w:iCs/>
        </w:rPr>
        <w:t xml:space="preserve"> </w:t>
      </w:r>
      <w:r w:rsidR="00352037" w:rsidRPr="000B725B">
        <w:rPr>
          <w:iCs/>
        </w:rPr>
        <w:t>OS data in</w:t>
      </w:r>
      <w:r w:rsidR="00A50033" w:rsidRPr="000B725B">
        <w:rPr>
          <w:iCs/>
        </w:rPr>
        <w:t xml:space="preserve"> </w:t>
      </w:r>
      <w:r w:rsidR="00352037" w:rsidRPr="000B725B">
        <w:rPr>
          <w:iCs/>
        </w:rPr>
        <w:t xml:space="preserve">the </w:t>
      </w:r>
      <w:r w:rsidR="00A50033" w:rsidRPr="000B725B">
        <w:rPr>
          <w:iCs/>
        </w:rPr>
        <w:t>talazoparib + enzalutamide arm.</w:t>
      </w:r>
      <w:r w:rsidR="00DB3632" w:rsidRPr="000B725B">
        <w:rPr>
          <w:iCs/>
        </w:rPr>
        <w:t xml:space="preserve"> </w:t>
      </w:r>
    </w:p>
    <w:p w14:paraId="044AD2B1" w14:textId="48A2123E" w:rsidR="00980722" w:rsidRPr="000B725B" w:rsidRDefault="00980722" w:rsidP="0019002C">
      <w:pPr>
        <w:pStyle w:val="3-BodyText"/>
        <w:rPr>
          <w:iCs/>
        </w:rPr>
      </w:pPr>
      <w:r w:rsidRPr="000B725B">
        <w:rPr>
          <w:iCs/>
        </w:rPr>
        <w:t>The submission assumed that rPFS and OS effects would gradually diminish over</w:t>
      </w:r>
      <w:r w:rsidR="00AF6FAB" w:rsidRPr="000B725B">
        <w:rPr>
          <w:iCs/>
        </w:rPr>
        <w:t xml:space="preserve"> </w:t>
      </w:r>
      <w:r w:rsidRPr="000B725B">
        <w:rPr>
          <w:iCs/>
        </w:rPr>
        <w:t>36</w:t>
      </w:r>
      <w:r w:rsidR="00DF557B">
        <w:rPr>
          <w:iCs/>
        </w:rPr>
        <w:t> </w:t>
      </w:r>
      <w:r w:rsidRPr="000B725B">
        <w:rPr>
          <w:iCs/>
        </w:rPr>
        <w:t xml:space="preserve">months. </w:t>
      </w:r>
      <w:r w:rsidR="00AF6FAB" w:rsidRPr="000B725B">
        <w:rPr>
          <w:iCs/>
        </w:rPr>
        <w:t xml:space="preserve">This assumption lacked justification as it wasn't grounded in trial-reported or published data. However, eliminating the efficacy tapering assumption and having the treatment effects dissipate immediately at the end of the trial follow-up had </w:t>
      </w:r>
      <w:r w:rsidR="00AA098B" w:rsidRPr="000B725B">
        <w:rPr>
          <w:iCs/>
        </w:rPr>
        <w:t xml:space="preserve">a </w:t>
      </w:r>
      <w:r w:rsidR="00AF6FAB" w:rsidRPr="000B725B">
        <w:rPr>
          <w:iCs/>
        </w:rPr>
        <w:t xml:space="preserve">less than </w:t>
      </w:r>
      <w:r w:rsidR="00AF6FAB" w:rsidRPr="00477CD8">
        <w:rPr>
          <w:iCs/>
        </w:rPr>
        <w:t>1</w:t>
      </w:r>
      <w:r w:rsidR="00AF6FAB" w:rsidRPr="000B725B">
        <w:rPr>
          <w:iCs/>
        </w:rPr>
        <w:t>% effect on the ICER</w:t>
      </w:r>
      <w:r w:rsidRPr="000B725B">
        <w:rPr>
          <w:iCs/>
        </w:rPr>
        <w:t xml:space="preserve">. </w:t>
      </w:r>
    </w:p>
    <w:p w14:paraId="65B65224" w14:textId="0CA2B722" w:rsidR="0012318A" w:rsidRPr="000B725B" w:rsidRDefault="00AA3B65" w:rsidP="0012318A">
      <w:pPr>
        <w:pStyle w:val="3-BodyText"/>
        <w:rPr>
          <w:iCs/>
        </w:rPr>
      </w:pPr>
      <w:r w:rsidRPr="000B725B">
        <w:rPr>
          <w:iCs/>
        </w:rPr>
        <w:t>Health state t</w:t>
      </w:r>
      <w:r w:rsidR="002D535E" w:rsidRPr="000B725B">
        <w:rPr>
          <w:iCs/>
        </w:rPr>
        <w:t xml:space="preserve">reatment-specific utility values were derived from EQ-5D-5L data collected from the </w:t>
      </w:r>
      <w:r w:rsidR="002D535E" w:rsidRPr="000337F9">
        <w:rPr>
          <w:i/>
        </w:rPr>
        <w:t>BRCA1/2</w:t>
      </w:r>
      <w:r w:rsidR="002D535E" w:rsidRPr="000B725B">
        <w:rPr>
          <w:iCs/>
        </w:rPr>
        <w:t xml:space="preserve"> subgroup in TALAPRO-2. The analysis was conducted using </w:t>
      </w:r>
      <w:r w:rsidR="00A50033" w:rsidRPr="000B725B">
        <w:rPr>
          <w:iCs/>
        </w:rPr>
        <w:t xml:space="preserve">data from DCO </w:t>
      </w:r>
      <w:r w:rsidR="002D535E" w:rsidRPr="000B725B">
        <w:rPr>
          <w:iCs/>
        </w:rPr>
        <w:t>28 Mar 2023, using the UK value set</w:t>
      </w:r>
      <w:r w:rsidR="00F0045B" w:rsidRPr="000B725B">
        <w:rPr>
          <w:iCs/>
        </w:rPr>
        <w:t>. S</w:t>
      </w:r>
      <w:r w:rsidR="00352037" w:rsidRPr="000B725B">
        <w:rPr>
          <w:iCs/>
        </w:rPr>
        <w:t xml:space="preserve">pecifically, </w:t>
      </w:r>
      <w:r w:rsidR="002D535E" w:rsidRPr="000B725B">
        <w:rPr>
          <w:iCs/>
        </w:rPr>
        <w:t xml:space="preserve">the EQ-5D-5L to EQ-5D-3L mapping value set developed by the NICE Decision Support Unit </w:t>
      </w:r>
      <w:r w:rsidR="002D535E" w:rsidRPr="000B725B">
        <w:rPr>
          <w:iCs/>
        </w:rPr>
        <w:lastRenderedPageBreak/>
        <w:t>(Hernandez-Alava 2017</w:t>
      </w:r>
      <w:r w:rsidR="002D535E" w:rsidRPr="000B725B">
        <w:rPr>
          <w:rStyle w:val="FootnoteReference"/>
          <w:iCs/>
        </w:rPr>
        <w:footnoteReference w:id="12"/>
      </w:r>
      <w:r w:rsidR="002D535E" w:rsidRPr="000B725B">
        <w:rPr>
          <w:iCs/>
        </w:rPr>
        <w:t>) was used</w:t>
      </w:r>
      <w:r w:rsidR="003F7A1D">
        <w:rPr>
          <w:iCs/>
        </w:rPr>
        <w:t xml:space="preserve"> even though</w:t>
      </w:r>
      <w:r w:rsidR="00352037" w:rsidRPr="000B725B">
        <w:rPr>
          <w:iCs/>
        </w:rPr>
        <w:t xml:space="preserve"> an </w:t>
      </w:r>
      <w:r w:rsidR="002D535E" w:rsidRPr="000B725B">
        <w:rPr>
          <w:iCs/>
        </w:rPr>
        <w:t>Australian value set for the EQ-5D-</w:t>
      </w:r>
      <w:r w:rsidR="00A50033" w:rsidRPr="000B725B">
        <w:rPr>
          <w:iCs/>
        </w:rPr>
        <w:t> </w:t>
      </w:r>
      <w:r w:rsidR="002D535E" w:rsidRPr="000B725B">
        <w:rPr>
          <w:iCs/>
        </w:rPr>
        <w:t xml:space="preserve">5L was published </w:t>
      </w:r>
      <w:r w:rsidR="00935AD9" w:rsidRPr="000B725B">
        <w:rPr>
          <w:iCs/>
        </w:rPr>
        <w:t>at</w:t>
      </w:r>
      <w:r w:rsidR="002D535E" w:rsidRPr="000B725B">
        <w:rPr>
          <w:iCs/>
        </w:rPr>
        <w:t xml:space="preserve"> the time the submission was prepared</w:t>
      </w:r>
      <w:r w:rsidR="002D535E" w:rsidRPr="000B725B">
        <w:rPr>
          <w:rStyle w:val="FootnoteReference"/>
          <w:iCs/>
        </w:rPr>
        <w:footnoteReference w:id="13"/>
      </w:r>
      <w:r w:rsidR="002D535E" w:rsidRPr="000B725B">
        <w:rPr>
          <w:iCs/>
        </w:rPr>
        <w:t xml:space="preserve">. </w:t>
      </w:r>
      <w:r w:rsidR="00F13554" w:rsidRPr="006E4BFC">
        <w:rPr>
          <w:iCs/>
        </w:rPr>
        <w:t>The PSCR stated that the UK value set was used to derive the utility values for the progression free health state to align with the literature-based estimates used post progression.</w:t>
      </w:r>
      <w:r w:rsidR="00F13554">
        <w:rPr>
          <w:iCs/>
        </w:rPr>
        <w:t xml:space="preserve"> </w:t>
      </w:r>
      <w:r w:rsidR="00A33C06" w:rsidRPr="000B725B">
        <w:rPr>
          <w:iCs/>
        </w:rPr>
        <w:t xml:space="preserve">Health state utility values for the </w:t>
      </w:r>
      <w:r w:rsidR="00A33C06" w:rsidRPr="000337F9">
        <w:rPr>
          <w:i/>
        </w:rPr>
        <w:t>BRCA1/2</w:t>
      </w:r>
      <w:r w:rsidR="00A33C06" w:rsidRPr="000B725B">
        <w:rPr>
          <w:iCs/>
        </w:rPr>
        <w:t xml:space="preserve"> subgroup are shown in </w:t>
      </w:r>
      <w:r w:rsidR="00A33C06" w:rsidRPr="000B725B">
        <w:rPr>
          <w:iCs/>
        </w:rPr>
        <w:fldChar w:fldCharType="begin" w:fldLock="1"/>
      </w:r>
      <w:r w:rsidR="00A33C06" w:rsidRPr="000B725B">
        <w:rPr>
          <w:iCs/>
        </w:rPr>
        <w:instrText xml:space="preserve"> REF _Ref156303476 \h  \* MERGEFORMAT </w:instrText>
      </w:r>
      <w:r w:rsidR="00A33C06" w:rsidRPr="000B725B">
        <w:rPr>
          <w:iCs/>
        </w:rPr>
      </w:r>
      <w:r w:rsidR="00A33C06" w:rsidRPr="000B725B">
        <w:rPr>
          <w:iCs/>
        </w:rPr>
        <w:fldChar w:fldCharType="separate"/>
      </w:r>
      <w:r w:rsidR="00A33C06" w:rsidRPr="000B725B">
        <w:rPr>
          <w:iCs/>
        </w:rPr>
        <w:t xml:space="preserve">Table </w:t>
      </w:r>
      <w:r w:rsidR="00A33C06" w:rsidRPr="000B725B">
        <w:rPr>
          <w:iCs/>
          <w:noProof/>
        </w:rPr>
        <w:t>10</w:t>
      </w:r>
      <w:r w:rsidR="00A33C06" w:rsidRPr="000B725B">
        <w:rPr>
          <w:iCs/>
        </w:rPr>
        <w:fldChar w:fldCharType="end"/>
      </w:r>
      <w:r w:rsidR="00A33C06" w:rsidRPr="000B725B">
        <w:rPr>
          <w:iCs/>
        </w:rPr>
        <w:t>.</w:t>
      </w:r>
    </w:p>
    <w:p w14:paraId="0B36A755" w14:textId="2C2336AB" w:rsidR="0012318A" w:rsidRPr="0012318A" w:rsidRDefault="0012318A" w:rsidP="0012318A">
      <w:pPr>
        <w:pStyle w:val="TableFigureHeading"/>
        <w:rPr>
          <w:szCs w:val="18"/>
        </w:rPr>
      </w:pPr>
      <w:bookmarkStart w:id="69" w:name="_Ref156303476"/>
      <w:r>
        <w:t xml:space="preserve">Table </w:t>
      </w:r>
      <w:fldSimple w:instr=" SEQ Table \* ARABIC " w:fldLock="1">
        <w:r w:rsidR="00A01609">
          <w:rPr>
            <w:noProof/>
          </w:rPr>
          <w:t>10</w:t>
        </w:r>
      </w:fldSimple>
      <w:bookmarkEnd w:id="69"/>
      <w:r w:rsidR="0041034B">
        <w:t>:</w:t>
      </w:r>
      <w:r>
        <w:t xml:space="preserve"> </w:t>
      </w:r>
      <w:r w:rsidRPr="00431C02">
        <w:t>Health State Utility Values -</w:t>
      </w:r>
      <w:r w:rsidRPr="0012318A">
        <w:rPr>
          <w:i/>
          <w:iCs/>
        </w:rPr>
        <w:t>BRCA1/2</w:t>
      </w:r>
      <w:r w:rsidRPr="00431C02">
        <w:t xml:space="preserve"> subgroup</w:t>
      </w:r>
    </w:p>
    <w:tbl>
      <w:tblPr>
        <w:tblStyle w:val="ASDTable2"/>
        <w:tblW w:w="5000" w:type="pct"/>
        <w:tblInd w:w="0" w:type="dxa"/>
        <w:tblLook w:val="04A0" w:firstRow="1" w:lastRow="0" w:firstColumn="1" w:lastColumn="0" w:noHBand="0" w:noVBand="1"/>
        <w:tblCaption w:val="Table 10: Health State Utility Values -BRCA1/2 subgroup"/>
      </w:tblPr>
      <w:tblGrid>
        <w:gridCol w:w="2629"/>
        <w:gridCol w:w="2101"/>
        <w:gridCol w:w="2366"/>
        <w:gridCol w:w="1921"/>
      </w:tblGrid>
      <w:tr w:rsidR="0012318A" w:rsidRPr="005A293B" w14:paraId="5DF07E56" w14:textId="77777777" w:rsidTr="00E97B08">
        <w:trPr>
          <w:trHeight w:val="20"/>
        </w:trPr>
        <w:tc>
          <w:tcPr>
            <w:tcW w:w="1458" w:type="pct"/>
            <w:vAlign w:val="center"/>
            <w:hideMark/>
          </w:tcPr>
          <w:p w14:paraId="4ABE1BA7" w14:textId="77777777" w:rsidR="0012318A" w:rsidRPr="005A293B" w:rsidRDefault="0012318A" w:rsidP="00AA098B">
            <w:pPr>
              <w:pStyle w:val="PBACTabletext"/>
              <w:spacing w:after="0"/>
              <w:rPr>
                <w:b/>
                <w:bCs/>
              </w:rPr>
            </w:pPr>
          </w:p>
        </w:tc>
        <w:tc>
          <w:tcPr>
            <w:tcW w:w="1165" w:type="pct"/>
            <w:vAlign w:val="center"/>
            <w:hideMark/>
          </w:tcPr>
          <w:p w14:paraId="7A37C336" w14:textId="77777777" w:rsidR="0012318A" w:rsidRPr="005A293B" w:rsidRDefault="0012318A" w:rsidP="00E80CF0">
            <w:pPr>
              <w:pStyle w:val="PBACTabletext"/>
              <w:spacing w:after="0"/>
              <w:jc w:val="center"/>
              <w:rPr>
                <w:b/>
                <w:bCs/>
              </w:rPr>
            </w:pPr>
            <w:r w:rsidRPr="005A293B">
              <w:rPr>
                <w:b/>
                <w:bCs/>
              </w:rPr>
              <w:t>Mean (SE)</w:t>
            </w:r>
          </w:p>
        </w:tc>
        <w:tc>
          <w:tcPr>
            <w:tcW w:w="1312" w:type="pct"/>
            <w:vAlign w:val="center"/>
            <w:hideMark/>
          </w:tcPr>
          <w:p w14:paraId="4848DDE3" w14:textId="77777777" w:rsidR="0012318A" w:rsidRPr="005A293B" w:rsidRDefault="0012318A" w:rsidP="00E80CF0">
            <w:pPr>
              <w:pStyle w:val="PBACTabletext"/>
              <w:spacing w:after="0"/>
              <w:jc w:val="center"/>
              <w:rPr>
                <w:b/>
                <w:bCs/>
              </w:rPr>
            </w:pPr>
            <w:r w:rsidRPr="005A293B">
              <w:rPr>
                <w:b/>
                <w:bCs/>
              </w:rPr>
              <w:t>95% CI</w:t>
            </w:r>
          </w:p>
        </w:tc>
        <w:tc>
          <w:tcPr>
            <w:tcW w:w="1065" w:type="pct"/>
          </w:tcPr>
          <w:p w14:paraId="2E751D44" w14:textId="77777777" w:rsidR="0012318A" w:rsidRPr="005A293B" w:rsidRDefault="0012318A" w:rsidP="00556695">
            <w:pPr>
              <w:pStyle w:val="PBACTabletext"/>
              <w:spacing w:after="0"/>
              <w:rPr>
                <w:b/>
                <w:bCs/>
              </w:rPr>
            </w:pPr>
            <w:r w:rsidRPr="005A293B">
              <w:rPr>
                <w:b/>
                <w:bCs/>
              </w:rPr>
              <w:t>Reference</w:t>
            </w:r>
          </w:p>
        </w:tc>
      </w:tr>
      <w:tr w:rsidR="0012318A" w:rsidRPr="005A293B" w14:paraId="1883F4F5" w14:textId="77777777" w:rsidTr="00E97B08">
        <w:trPr>
          <w:trHeight w:val="20"/>
        </w:trPr>
        <w:tc>
          <w:tcPr>
            <w:tcW w:w="5000" w:type="pct"/>
            <w:gridSpan w:val="4"/>
            <w:vAlign w:val="center"/>
            <w:hideMark/>
          </w:tcPr>
          <w:p w14:paraId="6E2B91C4" w14:textId="0066161C" w:rsidR="0012318A" w:rsidRPr="005A293B" w:rsidRDefault="00935AD9" w:rsidP="00AA098B">
            <w:pPr>
              <w:pStyle w:val="PBACTabletext"/>
              <w:spacing w:after="0"/>
              <w:rPr>
                <w:b/>
                <w:bCs/>
              </w:rPr>
            </w:pPr>
            <w:r>
              <w:rPr>
                <w:b/>
                <w:bCs/>
              </w:rPr>
              <w:t>Progression free</w:t>
            </w:r>
            <w:r w:rsidR="0012318A" w:rsidRPr="005A293B">
              <w:rPr>
                <w:b/>
                <w:bCs/>
              </w:rPr>
              <w:t xml:space="preserve"> (Trial-based, EQ-5D)</w:t>
            </w:r>
          </w:p>
        </w:tc>
      </w:tr>
      <w:tr w:rsidR="0012318A" w:rsidRPr="005A293B" w14:paraId="414253DF" w14:textId="77777777" w:rsidTr="00E97B08">
        <w:trPr>
          <w:trHeight w:val="20"/>
        </w:trPr>
        <w:tc>
          <w:tcPr>
            <w:tcW w:w="1458" w:type="pct"/>
            <w:vAlign w:val="center"/>
            <w:hideMark/>
          </w:tcPr>
          <w:p w14:paraId="19590C16" w14:textId="77777777" w:rsidR="0012318A" w:rsidRPr="005A293B" w:rsidRDefault="0012318A" w:rsidP="00AA098B">
            <w:pPr>
              <w:pStyle w:val="PBACTabletext"/>
              <w:spacing w:after="0"/>
            </w:pPr>
            <w:r w:rsidRPr="005A293B">
              <w:t>Overall sample</w:t>
            </w:r>
          </w:p>
        </w:tc>
        <w:tc>
          <w:tcPr>
            <w:tcW w:w="1165" w:type="pct"/>
            <w:vAlign w:val="center"/>
            <w:hideMark/>
          </w:tcPr>
          <w:p w14:paraId="08315A7F" w14:textId="77777777" w:rsidR="0012318A" w:rsidRPr="005A293B" w:rsidRDefault="0012318A" w:rsidP="00E80CF0">
            <w:pPr>
              <w:pStyle w:val="PBACTabletext"/>
              <w:spacing w:after="0"/>
              <w:jc w:val="center"/>
            </w:pPr>
            <w:r w:rsidRPr="005A293B">
              <w:t>0.793 (0.010)</w:t>
            </w:r>
          </w:p>
        </w:tc>
        <w:tc>
          <w:tcPr>
            <w:tcW w:w="1312" w:type="pct"/>
            <w:vAlign w:val="center"/>
            <w:hideMark/>
          </w:tcPr>
          <w:p w14:paraId="68697DF2" w14:textId="3A5377B1" w:rsidR="0012318A" w:rsidRPr="005A293B" w:rsidRDefault="0012318A" w:rsidP="00E80CF0">
            <w:pPr>
              <w:pStyle w:val="PBACTabletext"/>
              <w:spacing w:after="0"/>
              <w:jc w:val="center"/>
            </w:pPr>
            <w:r w:rsidRPr="005A293B">
              <w:t>0.773-0.812</w:t>
            </w:r>
          </w:p>
        </w:tc>
        <w:tc>
          <w:tcPr>
            <w:tcW w:w="1065" w:type="pct"/>
            <w:vMerge w:val="restart"/>
            <w:vAlign w:val="center"/>
          </w:tcPr>
          <w:p w14:paraId="32119584" w14:textId="77777777" w:rsidR="0012318A" w:rsidRPr="005A293B" w:rsidRDefault="0012318A" w:rsidP="00556695">
            <w:pPr>
              <w:pStyle w:val="PBACTabletext"/>
              <w:spacing w:after="0"/>
            </w:pPr>
            <w:r w:rsidRPr="005A293B">
              <w:t xml:space="preserve">UK Value Set </w:t>
            </w:r>
          </w:p>
          <w:p w14:paraId="67A1B24E" w14:textId="77777777" w:rsidR="0012318A" w:rsidRPr="005A293B" w:rsidRDefault="0012318A" w:rsidP="00556695">
            <w:pPr>
              <w:pStyle w:val="PBACTabletext"/>
              <w:spacing w:after="0"/>
            </w:pPr>
            <w:r w:rsidRPr="005A293B">
              <w:t>DCO 28 March 2023</w:t>
            </w:r>
          </w:p>
        </w:tc>
      </w:tr>
      <w:tr w:rsidR="0012318A" w:rsidRPr="005A293B" w14:paraId="6A88BBF5" w14:textId="77777777" w:rsidTr="00E97B08">
        <w:trPr>
          <w:trHeight w:val="20"/>
        </w:trPr>
        <w:tc>
          <w:tcPr>
            <w:tcW w:w="1458" w:type="pct"/>
            <w:vAlign w:val="center"/>
            <w:hideMark/>
          </w:tcPr>
          <w:p w14:paraId="28985D51" w14:textId="77777777" w:rsidR="0012318A" w:rsidRPr="005A293B" w:rsidRDefault="0012318A" w:rsidP="00AA098B">
            <w:pPr>
              <w:pStyle w:val="PBACTabletext"/>
              <w:spacing w:after="0"/>
            </w:pPr>
            <w:r w:rsidRPr="005A293B">
              <w:t>TAL + ENZ</w:t>
            </w:r>
          </w:p>
        </w:tc>
        <w:tc>
          <w:tcPr>
            <w:tcW w:w="1165" w:type="pct"/>
            <w:vAlign w:val="center"/>
            <w:hideMark/>
          </w:tcPr>
          <w:p w14:paraId="7840B4F4" w14:textId="77777777" w:rsidR="0012318A" w:rsidRPr="005A293B" w:rsidRDefault="0012318A" w:rsidP="00E80CF0">
            <w:pPr>
              <w:pStyle w:val="PBACTabletext"/>
              <w:spacing w:after="0"/>
              <w:jc w:val="center"/>
            </w:pPr>
            <w:r w:rsidRPr="005A293B">
              <w:rPr>
                <w:b/>
                <w:bCs/>
              </w:rPr>
              <w:t>0.811</w:t>
            </w:r>
            <w:r w:rsidRPr="005A293B">
              <w:t xml:space="preserve"> (0.014)</w:t>
            </w:r>
          </w:p>
        </w:tc>
        <w:tc>
          <w:tcPr>
            <w:tcW w:w="1312" w:type="pct"/>
            <w:vAlign w:val="center"/>
            <w:hideMark/>
          </w:tcPr>
          <w:p w14:paraId="656AEE3F" w14:textId="3B177CC6" w:rsidR="0012318A" w:rsidRPr="005A293B" w:rsidRDefault="0012318A" w:rsidP="00E80CF0">
            <w:pPr>
              <w:pStyle w:val="PBACTabletext"/>
              <w:spacing w:after="0"/>
              <w:jc w:val="center"/>
            </w:pPr>
            <w:r w:rsidRPr="005A293B">
              <w:t>0.783-0.839</w:t>
            </w:r>
          </w:p>
        </w:tc>
        <w:tc>
          <w:tcPr>
            <w:tcW w:w="1065" w:type="pct"/>
            <w:vMerge/>
          </w:tcPr>
          <w:p w14:paraId="5242DF98" w14:textId="77777777" w:rsidR="0012318A" w:rsidRPr="005A293B" w:rsidRDefault="0012318A" w:rsidP="00556695">
            <w:pPr>
              <w:pStyle w:val="PBACTabletext"/>
              <w:spacing w:after="0"/>
            </w:pPr>
          </w:p>
        </w:tc>
      </w:tr>
      <w:tr w:rsidR="0012318A" w:rsidRPr="005A293B" w14:paraId="5EF919EA" w14:textId="77777777" w:rsidTr="00E97B08">
        <w:trPr>
          <w:trHeight w:val="20"/>
        </w:trPr>
        <w:tc>
          <w:tcPr>
            <w:tcW w:w="1458" w:type="pct"/>
            <w:vAlign w:val="center"/>
            <w:hideMark/>
          </w:tcPr>
          <w:p w14:paraId="1A9F9BDE" w14:textId="77777777" w:rsidR="0012318A" w:rsidRPr="005A293B" w:rsidRDefault="0012318A" w:rsidP="00AA098B">
            <w:pPr>
              <w:pStyle w:val="PBACTabletext"/>
              <w:spacing w:after="0"/>
            </w:pPr>
            <w:r w:rsidRPr="005A293B">
              <w:t>PBO + ENZ</w:t>
            </w:r>
          </w:p>
        </w:tc>
        <w:tc>
          <w:tcPr>
            <w:tcW w:w="1165" w:type="pct"/>
            <w:vAlign w:val="center"/>
            <w:hideMark/>
          </w:tcPr>
          <w:p w14:paraId="782B62C5" w14:textId="77777777" w:rsidR="0012318A" w:rsidRPr="005A293B" w:rsidRDefault="0012318A" w:rsidP="00E80CF0">
            <w:pPr>
              <w:pStyle w:val="PBACTabletext"/>
              <w:spacing w:after="0"/>
              <w:jc w:val="center"/>
            </w:pPr>
            <w:r w:rsidRPr="005A293B">
              <w:rPr>
                <w:b/>
                <w:bCs/>
              </w:rPr>
              <w:t>0.777</w:t>
            </w:r>
            <w:r w:rsidRPr="005A293B">
              <w:t xml:space="preserve"> (0.013)</w:t>
            </w:r>
          </w:p>
        </w:tc>
        <w:tc>
          <w:tcPr>
            <w:tcW w:w="1312" w:type="pct"/>
            <w:vAlign w:val="center"/>
            <w:hideMark/>
          </w:tcPr>
          <w:p w14:paraId="33791894" w14:textId="55C8F801" w:rsidR="0012318A" w:rsidRPr="005A293B" w:rsidRDefault="0012318A" w:rsidP="00E80CF0">
            <w:pPr>
              <w:pStyle w:val="PBACTabletext"/>
              <w:spacing w:after="0"/>
              <w:jc w:val="center"/>
            </w:pPr>
            <w:r w:rsidRPr="005A293B">
              <w:t>0.751-0.803</w:t>
            </w:r>
          </w:p>
        </w:tc>
        <w:tc>
          <w:tcPr>
            <w:tcW w:w="1065" w:type="pct"/>
            <w:vMerge/>
          </w:tcPr>
          <w:p w14:paraId="47B0A6BA" w14:textId="77777777" w:rsidR="0012318A" w:rsidRPr="005A293B" w:rsidRDefault="0012318A" w:rsidP="00556695">
            <w:pPr>
              <w:pStyle w:val="PBACTabletext"/>
              <w:spacing w:after="0"/>
            </w:pPr>
          </w:p>
        </w:tc>
      </w:tr>
      <w:tr w:rsidR="0012318A" w:rsidRPr="005A293B" w14:paraId="0346B356" w14:textId="77777777" w:rsidTr="00E97B08">
        <w:trPr>
          <w:trHeight w:val="20"/>
        </w:trPr>
        <w:tc>
          <w:tcPr>
            <w:tcW w:w="5000" w:type="pct"/>
            <w:gridSpan w:val="4"/>
            <w:vAlign w:val="center"/>
          </w:tcPr>
          <w:p w14:paraId="2267CD96" w14:textId="2E027E10" w:rsidR="0012318A" w:rsidRPr="005A293B" w:rsidRDefault="00935AD9" w:rsidP="00AA098B">
            <w:pPr>
              <w:pStyle w:val="PBACTabletext"/>
              <w:spacing w:after="0"/>
            </w:pPr>
            <w:r>
              <w:rPr>
                <w:b/>
                <w:bCs/>
              </w:rPr>
              <w:t>Progressed disease</w:t>
            </w:r>
            <w:r w:rsidR="0012318A" w:rsidRPr="005A293B">
              <w:rPr>
                <w:b/>
                <w:bCs/>
              </w:rPr>
              <w:t xml:space="preserve"> (Cohort study, EQ-5D)</w:t>
            </w:r>
          </w:p>
        </w:tc>
      </w:tr>
      <w:tr w:rsidR="0012318A" w:rsidRPr="005A293B" w14:paraId="254CC4AC" w14:textId="77777777" w:rsidTr="00E97B08">
        <w:trPr>
          <w:trHeight w:val="20"/>
        </w:trPr>
        <w:tc>
          <w:tcPr>
            <w:tcW w:w="1458" w:type="pct"/>
            <w:vAlign w:val="center"/>
          </w:tcPr>
          <w:p w14:paraId="4A5A946D" w14:textId="77777777" w:rsidR="0012318A" w:rsidRPr="005A293B" w:rsidRDefault="0012318A" w:rsidP="00AA098B">
            <w:pPr>
              <w:pStyle w:val="PBACTabletext"/>
              <w:spacing w:after="0"/>
            </w:pPr>
            <w:r w:rsidRPr="005A293B">
              <w:t>PD</w:t>
            </w:r>
            <w:r w:rsidRPr="00E80CF0">
              <w:t>a</w:t>
            </w:r>
            <w:r w:rsidRPr="005A293B">
              <w:t xml:space="preserve"> (2-L treatment)</w:t>
            </w:r>
          </w:p>
        </w:tc>
        <w:tc>
          <w:tcPr>
            <w:tcW w:w="1165" w:type="pct"/>
            <w:vAlign w:val="center"/>
          </w:tcPr>
          <w:p w14:paraId="0FFCFD8F" w14:textId="77777777" w:rsidR="0012318A" w:rsidRPr="005A293B" w:rsidRDefault="0012318A" w:rsidP="00E80CF0">
            <w:pPr>
              <w:pStyle w:val="PBACTabletext"/>
              <w:spacing w:after="0"/>
              <w:jc w:val="center"/>
            </w:pPr>
            <w:r w:rsidRPr="005A293B">
              <w:rPr>
                <w:b/>
                <w:bCs/>
              </w:rPr>
              <w:t>0.635</w:t>
            </w:r>
          </w:p>
        </w:tc>
        <w:tc>
          <w:tcPr>
            <w:tcW w:w="1312" w:type="pct"/>
            <w:vAlign w:val="center"/>
          </w:tcPr>
          <w:p w14:paraId="779806E6" w14:textId="77777777" w:rsidR="0012318A" w:rsidRPr="00B0591B" w:rsidRDefault="0012318A" w:rsidP="00E80CF0">
            <w:pPr>
              <w:pStyle w:val="PBACTabletext"/>
              <w:spacing w:after="0"/>
              <w:jc w:val="center"/>
            </w:pPr>
            <w:r w:rsidRPr="00B0591B">
              <w:t>NR</w:t>
            </w:r>
          </w:p>
        </w:tc>
        <w:tc>
          <w:tcPr>
            <w:tcW w:w="1065" w:type="pct"/>
            <w:vMerge w:val="restart"/>
            <w:vAlign w:val="center"/>
          </w:tcPr>
          <w:p w14:paraId="1E4DAF5A" w14:textId="77777777" w:rsidR="0012318A" w:rsidRPr="005A293B" w:rsidRDefault="0012318A" w:rsidP="00556695">
            <w:pPr>
              <w:pStyle w:val="PBACTabletext"/>
              <w:spacing w:after="0"/>
            </w:pPr>
            <w:r w:rsidRPr="005A293B">
              <w:t>Sullivan et al. 2007</w:t>
            </w:r>
            <w:r w:rsidRPr="005A293B">
              <w:rPr>
                <w:rStyle w:val="FootnoteReference"/>
              </w:rPr>
              <w:footnoteReference w:id="14"/>
            </w:r>
          </w:p>
        </w:tc>
      </w:tr>
      <w:tr w:rsidR="0012318A" w:rsidRPr="005A293B" w14:paraId="40A62EDE" w14:textId="77777777" w:rsidTr="00E97B08">
        <w:trPr>
          <w:trHeight w:val="20"/>
        </w:trPr>
        <w:tc>
          <w:tcPr>
            <w:tcW w:w="1458" w:type="pct"/>
            <w:vAlign w:val="center"/>
          </w:tcPr>
          <w:p w14:paraId="0D21BE13" w14:textId="77777777" w:rsidR="0012318A" w:rsidRPr="005A293B" w:rsidRDefault="0012318A" w:rsidP="00AA098B">
            <w:pPr>
              <w:pStyle w:val="PBACTabletext"/>
              <w:spacing w:after="0"/>
            </w:pPr>
            <w:r w:rsidRPr="005A293B">
              <w:t>PD</w:t>
            </w:r>
            <w:r w:rsidRPr="00E80CF0">
              <w:t>b</w:t>
            </w:r>
            <w:r w:rsidRPr="005A293B">
              <w:t xml:space="preserve"> (palliative care)</w:t>
            </w:r>
          </w:p>
        </w:tc>
        <w:tc>
          <w:tcPr>
            <w:tcW w:w="1165" w:type="pct"/>
            <w:vAlign w:val="center"/>
          </w:tcPr>
          <w:p w14:paraId="62858C3B" w14:textId="77777777" w:rsidR="0012318A" w:rsidRPr="005A293B" w:rsidRDefault="0012318A" w:rsidP="00E80CF0">
            <w:pPr>
              <w:pStyle w:val="PBACTabletext"/>
              <w:spacing w:after="0"/>
              <w:jc w:val="center"/>
            </w:pPr>
            <w:r w:rsidRPr="005A293B">
              <w:rPr>
                <w:b/>
                <w:bCs/>
              </w:rPr>
              <w:t>0.560</w:t>
            </w:r>
          </w:p>
        </w:tc>
        <w:tc>
          <w:tcPr>
            <w:tcW w:w="1312" w:type="pct"/>
            <w:vAlign w:val="center"/>
          </w:tcPr>
          <w:p w14:paraId="3861AF84" w14:textId="77777777" w:rsidR="0012318A" w:rsidRPr="00B0591B" w:rsidRDefault="0012318A" w:rsidP="00E80CF0">
            <w:pPr>
              <w:pStyle w:val="PBACTabletext"/>
              <w:spacing w:after="0"/>
              <w:jc w:val="center"/>
            </w:pPr>
            <w:r w:rsidRPr="00B0591B">
              <w:t>NR</w:t>
            </w:r>
          </w:p>
        </w:tc>
        <w:tc>
          <w:tcPr>
            <w:tcW w:w="1065" w:type="pct"/>
            <w:vMerge/>
          </w:tcPr>
          <w:p w14:paraId="16972D01" w14:textId="77777777" w:rsidR="0012318A" w:rsidRPr="005A293B" w:rsidRDefault="0012318A" w:rsidP="00556695">
            <w:pPr>
              <w:pStyle w:val="PBACTabletext"/>
              <w:spacing w:after="0"/>
            </w:pPr>
          </w:p>
        </w:tc>
      </w:tr>
    </w:tbl>
    <w:p w14:paraId="4260DAA2" w14:textId="77777777" w:rsidR="0012318A" w:rsidRPr="005A293B" w:rsidRDefault="0012318A" w:rsidP="0012318A">
      <w:pPr>
        <w:pStyle w:val="TableFooter"/>
        <w:jc w:val="both"/>
      </w:pPr>
      <w:r w:rsidRPr="005A293B">
        <w:rPr>
          <w:b/>
          <w:bCs/>
        </w:rPr>
        <w:t>Bold:</w:t>
      </w:r>
      <w:r w:rsidRPr="005A293B">
        <w:t xml:space="preserve"> used in the base case.</w:t>
      </w:r>
    </w:p>
    <w:p w14:paraId="7C57ECE7" w14:textId="77777777" w:rsidR="0012318A" w:rsidRDefault="0012318A" w:rsidP="0012318A">
      <w:pPr>
        <w:pStyle w:val="TableFooter"/>
        <w:jc w:val="both"/>
        <w:rPr>
          <w:lang w:eastAsia="en-GB"/>
        </w:rPr>
      </w:pPr>
      <w:r w:rsidRPr="005A293B">
        <w:t>Source: Table 3.6-1, p162 and Excel worksheet ‘Utility Wight Inputs’ in the Cost Effectiveness Model.</w:t>
      </w:r>
    </w:p>
    <w:p w14:paraId="0CD5F78A" w14:textId="5B0C723A" w:rsidR="0012318A" w:rsidRPr="0012318A" w:rsidRDefault="0012318A" w:rsidP="005C70FC">
      <w:pPr>
        <w:pStyle w:val="TableFooter"/>
        <w:spacing w:after="120"/>
        <w:jc w:val="both"/>
        <w:rPr>
          <w:lang w:eastAsia="en-GB"/>
        </w:rPr>
      </w:pPr>
      <w:r w:rsidRPr="005A293B">
        <w:t>2L=second line; DCO=data cut</w:t>
      </w:r>
      <w:r>
        <w:t>-</w:t>
      </w:r>
      <w:r w:rsidRPr="005A293B">
        <w:t xml:space="preserve">off date, ENZ=enzalutamide; </w:t>
      </w:r>
      <w:r>
        <w:t xml:space="preserve">NR=not reported; </w:t>
      </w:r>
      <w:r w:rsidRPr="005A293B">
        <w:t>PBO=placebo; PD=progressed disease</w:t>
      </w:r>
      <w:r>
        <w:t>; TAL=talazoparib</w:t>
      </w:r>
    </w:p>
    <w:p w14:paraId="71A0D688" w14:textId="4229660E" w:rsidR="00AA3B65" w:rsidRPr="000B725B" w:rsidRDefault="002804DC" w:rsidP="0056068A">
      <w:pPr>
        <w:pStyle w:val="3-BodyText"/>
        <w:rPr>
          <w:iCs/>
        </w:rPr>
      </w:pPr>
      <w:r w:rsidRPr="000B725B">
        <w:rPr>
          <w:iCs/>
        </w:rPr>
        <w:t xml:space="preserve">In the </w:t>
      </w:r>
      <w:r w:rsidR="00F13554">
        <w:rPr>
          <w:iCs/>
        </w:rPr>
        <w:t>progression free</w:t>
      </w:r>
      <w:r w:rsidR="00F13554" w:rsidRPr="000B725B">
        <w:rPr>
          <w:iCs/>
        </w:rPr>
        <w:t xml:space="preserve"> </w:t>
      </w:r>
      <w:r w:rsidRPr="000B725B">
        <w:rPr>
          <w:iCs/>
        </w:rPr>
        <w:t>health state, the submission presented treatment-specific</w:t>
      </w:r>
      <w:r w:rsidR="00365BB3" w:rsidRPr="000B725B">
        <w:rPr>
          <w:iCs/>
        </w:rPr>
        <w:t xml:space="preserve"> utility values as well as an overall utility value pooled across the two treatment arms</w:t>
      </w:r>
      <w:r w:rsidR="009F2407" w:rsidRPr="000B725B">
        <w:rPr>
          <w:iCs/>
        </w:rPr>
        <w:t xml:space="preserve">. Treatment </w:t>
      </w:r>
      <w:r w:rsidRPr="000B725B">
        <w:rPr>
          <w:iCs/>
        </w:rPr>
        <w:t xml:space="preserve">specific </w:t>
      </w:r>
      <w:r w:rsidR="00F0045B" w:rsidRPr="000B725B">
        <w:rPr>
          <w:iCs/>
        </w:rPr>
        <w:t xml:space="preserve">utility </w:t>
      </w:r>
      <w:r w:rsidRPr="000B725B">
        <w:rPr>
          <w:iCs/>
        </w:rPr>
        <w:t xml:space="preserve">values </w:t>
      </w:r>
      <w:r w:rsidR="009F2407" w:rsidRPr="000B725B">
        <w:rPr>
          <w:iCs/>
        </w:rPr>
        <w:t xml:space="preserve">were used </w:t>
      </w:r>
      <w:r w:rsidRPr="000B725B">
        <w:rPr>
          <w:iCs/>
        </w:rPr>
        <w:t xml:space="preserve">in the base case (0.811 and 0.777 in </w:t>
      </w:r>
      <w:r w:rsidR="00365BB3" w:rsidRPr="000B725B">
        <w:rPr>
          <w:iCs/>
        </w:rPr>
        <w:t xml:space="preserve">the </w:t>
      </w:r>
      <w:r w:rsidRPr="000B725B">
        <w:rPr>
          <w:iCs/>
        </w:rPr>
        <w:t>talazoparib + enzalutamide and enzalutamide monotherapy</w:t>
      </w:r>
      <w:r w:rsidR="00365BB3" w:rsidRPr="000B725B">
        <w:rPr>
          <w:iCs/>
        </w:rPr>
        <w:t xml:space="preserve"> arms</w:t>
      </w:r>
      <w:r w:rsidRPr="000B725B">
        <w:rPr>
          <w:iCs/>
        </w:rPr>
        <w:t xml:space="preserve">, respectively). </w:t>
      </w:r>
      <w:r w:rsidR="00F13554" w:rsidRPr="006E4BFC">
        <w:rPr>
          <w:iCs/>
        </w:rPr>
        <w:t>The ESC considered that use of treatment specific utilities in the progression free health state was not appropriate, particularly as</w:t>
      </w:r>
      <w:r w:rsidR="00F13554">
        <w:rPr>
          <w:iCs/>
        </w:rPr>
        <w:t xml:space="preserve"> </w:t>
      </w:r>
      <w:r w:rsidR="00186C4F" w:rsidRPr="000B725B">
        <w:rPr>
          <w:iCs/>
        </w:rPr>
        <w:t>talazoparib + enzalutamide reported higher incidence of adverse events.</w:t>
      </w:r>
      <w:r w:rsidR="00367ACE" w:rsidRPr="000B725B">
        <w:rPr>
          <w:iCs/>
        </w:rPr>
        <w:t xml:space="preserve"> Sensitivity analysis conducted during the evaluation demonstrated that the model was sensitive to changes in utility values. Changing the utility values from ‘treatment-specific’ to ‘overall’ and incorporating AE disutilities increased the ICER by </w:t>
      </w:r>
      <w:r w:rsidR="00D62519" w:rsidRPr="00CD40AA">
        <w:rPr>
          <w:iCs/>
          <w:color w:val="000000"/>
          <w:w w:val="15"/>
          <w:shd w:val="solid" w:color="000000" w:fill="000000"/>
          <w:fitText w:val="-20" w:id="-961822459"/>
          <w14:textFill>
            <w14:solidFill>
              <w14:srgbClr w14:val="000000">
                <w14:alpha w14:val="100000"/>
              </w14:srgbClr>
            </w14:solidFill>
          </w14:textFill>
        </w:rPr>
        <w:t xml:space="preserve">|  </w:t>
      </w:r>
      <w:r w:rsidR="00D62519" w:rsidRPr="00CD40AA">
        <w:rPr>
          <w:iCs/>
          <w:color w:val="000000"/>
          <w:spacing w:val="-69"/>
          <w:w w:val="15"/>
          <w:shd w:val="solid" w:color="000000" w:fill="000000"/>
          <w:fitText w:val="-20" w:id="-961822459"/>
          <w14:textFill>
            <w14:solidFill>
              <w14:srgbClr w14:val="000000">
                <w14:alpha w14:val="100000"/>
              </w14:srgbClr>
            </w14:solidFill>
          </w14:textFill>
        </w:rPr>
        <w:t>|</w:t>
      </w:r>
      <w:r w:rsidR="00367ACE" w:rsidRPr="000B725B">
        <w:rPr>
          <w:iCs/>
        </w:rPr>
        <w:t xml:space="preserve">% to </w:t>
      </w:r>
      <w:r w:rsidR="00BD14F9" w:rsidRPr="00BD14F9">
        <w:rPr>
          <w:iCs/>
        </w:rPr>
        <w:t>$55,000 to &lt; $75,000</w:t>
      </w:r>
      <w:r w:rsidR="00367ACE" w:rsidRPr="000B725B">
        <w:rPr>
          <w:iCs/>
        </w:rPr>
        <w:t xml:space="preserve"> per QALY gained from a base case of </w:t>
      </w:r>
      <w:r w:rsidR="00C671D9" w:rsidRPr="00C671D9">
        <w:rPr>
          <w:iCs/>
        </w:rPr>
        <w:t>$55,000 to &lt;</w:t>
      </w:r>
      <w:r w:rsidR="00245E90">
        <w:rPr>
          <w:iCs/>
        </w:rPr>
        <w:t> </w:t>
      </w:r>
      <w:r w:rsidR="00C671D9" w:rsidRPr="00C671D9">
        <w:rPr>
          <w:iCs/>
        </w:rPr>
        <w:t>$75,000</w:t>
      </w:r>
      <w:r w:rsidR="00367ACE" w:rsidRPr="000B725B">
        <w:rPr>
          <w:iCs/>
        </w:rPr>
        <w:t xml:space="preserve"> per QALY gained.</w:t>
      </w:r>
      <w:r w:rsidR="00935AD9" w:rsidRPr="000B725B">
        <w:rPr>
          <w:iCs/>
        </w:rPr>
        <w:t xml:space="preserve"> </w:t>
      </w:r>
      <w:r w:rsidR="00694064" w:rsidRPr="000B725B">
        <w:rPr>
          <w:iCs/>
        </w:rPr>
        <w:t>In general</w:t>
      </w:r>
      <w:r w:rsidRPr="000B725B">
        <w:rPr>
          <w:iCs/>
        </w:rPr>
        <w:t xml:space="preserve">, the </w:t>
      </w:r>
      <w:r w:rsidR="00F13554">
        <w:rPr>
          <w:iCs/>
        </w:rPr>
        <w:t>progression free</w:t>
      </w:r>
      <w:r w:rsidR="00F13554" w:rsidRPr="000B725B">
        <w:rPr>
          <w:iCs/>
        </w:rPr>
        <w:t xml:space="preserve"> </w:t>
      </w:r>
      <w:r w:rsidR="003F2AFE" w:rsidRPr="000B725B">
        <w:rPr>
          <w:iCs/>
        </w:rPr>
        <w:t xml:space="preserve">health state </w:t>
      </w:r>
      <w:r w:rsidR="00186C4F" w:rsidRPr="000B725B">
        <w:rPr>
          <w:iCs/>
        </w:rPr>
        <w:t xml:space="preserve">utilities provided </w:t>
      </w:r>
      <w:r w:rsidRPr="000B725B">
        <w:rPr>
          <w:iCs/>
        </w:rPr>
        <w:t xml:space="preserve">in the submission </w:t>
      </w:r>
      <w:r w:rsidR="00186C4F" w:rsidRPr="000B725B">
        <w:rPr>
          <w:iCs/>
        </w:rPr>
        <w:t xml:space="preserve">were </w:t>
      </w:r>
      <w:r w:rsidRPr="000B725B">
        <w:rPr>
          <w:iCs/>
        </w:rPr>
        <w:t>higher than utility values</w:t>
      </w:r>
      <w:r w:rsidR="00186C4F" w:rsidRPr="000B725B">
        <w:rPr>
          <w:iCs/>
        </w:rPr>
        <w:t xml:space="preserve"> used in</w:t>
      </w:r>
      <w:r w:rsidRPr="000B725B">
        <w:rPr>
          <w:iCs/>
        </w:rPr>
        <w:t xml:space="preserve"> previous </w:t>
      </w:r>
      <w:r w:rsidR="00935AD9" w:rsidRPr="000B725B">
        <w:rPr>
          <w:iCs/>
        </w:rPr>
        <w:t xml:space="preserve">prostate cancer </w:t>
      </w:r>
      <w:r w:rsidR="00186C4F" w:rsidRPr="000B725B">
        <w:rPr>
          <w:iCs/>
        </w:rPr>
        <w:t xml:space="preserve">economic evaluations presented to the </w:t>
      </w:r>
      <w:r w:rsidRPr="000B725B">
        <w:rPr>
          <w:iCs/>
        </w:rPr>
        <w:t>PBAC</w:t>
      </w:r>
      <w:r w:rsidR="00935AD9" w:rsidRPr="000B725B">
        <w:rPr>
          <w:iCs/>
        </w:rPr>
        <w:t>,</w:t>
      </w:r>
      <w:r w:rsidRPr="000B725B">
        <w:rPr>
          <w:iCs/>
        </w:rPr>
        <w:t xml:space="preserve"> </w:t>
      </w:r>
      <w:r w:rsidR="00365BB3" w:rsidRPr="000B725B">
        <w:rPr>
          <w:iCs/>
        </w:rPr>
        <w:t xml:space="preserve">including </w:t>
      </w:r>
      <w:r w:rsidR="00186C4F" w:rsidRPr="000B725B">
        <w:rPr>
          <w:iCs/>
        </w:rPr>
        <w:t xml:space="preserve">submissions </w:t>
      </w:r>
      <w:r w:rsidR="00365BB3" w:rsidRPr="000B725B">
        <w:rPr>
          <w:iCs/>
        </w:rPr>
        <w:t xml:space="preserve">in earlier </w:t>
      </w:r>
      <w:r w:rsidR="00323710" w:rsidRPr="000B725B">
        <w:rPr>
          <w:iCs/>
        </w:rPr>
        <w:t xml:space="preserve">stages </w:t>
      </w:r>
      <w:r w:rsidR="00935AD9" w:rsidRPr="000B725B">
        <w:rPr>
          <w:iCs/>
        </w:rPr>
        <w:t>of disease</w:t>
      </w:r>
      <w:r w:rsidRPr="000B725B">
        <w:rPr>
          <w:iCs/>
        </w:rPr>
        <w:t xml:space="preserve">. For </w:t>
      </w:r>
      <w:r w:rsidR="0056711C">
        <w:rPr>
          <w:iCs/>
        </w:rPr>
        <w:t>example</w:t>
      </w:r>
      <w:r w:rsidRPr="000B725B">
        <w:rPr>
          <w:iCs/>
        </w:rPr>
        <w:t xml:space="preserve">, </w:t>
      </w:r>
      <w:r w:rsidR="00365BB3" w:rsidRPr="000B725B">
        <w:rPr>
          <w:iCs/>
        </w:rPr>
        <w:t xml:space="preserve">the assumed </w:t>
      </w:r>
      <w:r w:rsidRPr="000B725B">
        <w:rPr>
          <w:iCs/>
        </w:rPr>
        <w:t xml:space="preserve">utility value for </w:t>
      </w:r>
      <w:r w:rsidR="00935AD9" w:rsidRPr="000B725B">
        <w:rPr>
          <w:iCs/>
        </w:rPr>
        <w:t xml:space="preserve">the progression free health state in the </w:t>
      </w:r>
      <w:r w:rsidRPr="000B725B">
        <w:rPr>
          <w:iCs/>
        </w:rPr>
        <w:t xml:space="preserve">apalutamide </w:t>
      </w:r>
      <w:r w:rsidR="00935AD9" w:rsidRPr="000B725B">
        <w:rPr>
          <w:iCs/>
        </w:rPr>
        <w:t>submission for</w:t>
      </w:r>
      <w:r w:rsidRPr="000B725B">
        <w:rPr>
          <w:iCs/>
        </w:rPr>
        <w:t xml:space="preserve"> mHSPC </w:t>
      </w:r>
      <w:r w:rsidR="00365BB3" w:rsidRPr="000B725B">
        <w:rPr>
          <w:iCs/>
        </w:rPr>
        <w:t>was</w:t>
      </w:r>
      <w:r w:rsidR="00186C4F" w:rsidRPr="000B725B">
        <w:rPr>
          <w:iCs/>
        </w:rPr>
        <w:t xml:space="preserve"> </w:t>
      </w:r>
      <w:r w:rsidR="00323710" w:rsidRPr="000B725B">
        <w:rPr>
          <w:iCs/>
        </w:rPr>
        <w:t>0.79</w:t>
      </w:r>
      <w:r w:rsidR="004E0D9E" w:rsidRPr="000B725B">
        <w:rPr>
          <w:iCs/>
        </w:rPr>
        <w:t xml:space="preserve"> </w:t>
      </w:r>
      <w:r w:rsidR="004E0D9E" w:rsidRPr="000B725B">
        <w:rPr>
          <w:rStyle w:val="FootnoteReference"/>
          <w:iCs/>
        </w:rPr>
        <w:footnoteReference w:id="15"/>
      </w:r>
      <w:r w:rsidRPr="000B725B">
        <w:rPr>
          <w:iCs/>
        </w:rPr>
        <w:t xml:space="preserve">. </w:t>
      </w:r>
    </w:p>
    <w:p w14:paraId="4D54CB1C" w14:textId="664AA784" w:rsidR="002804DC" w:rsidRPr="000B725B" w:rsidRDefault="002804DC" w:rsidP="00E94C60">
      <w:pPr>
        <w:pStyle w:val="3-BodyText"/>
        <w:rPr>
          <w:iCs/>
        </w:rPr>
      </w:pPr>
      <w:r w:rsidRPr="000B725B">
        <w:rPr>
          <w:iCs/>
        </w:rPr>
        <w:t xml:space="preserve">In the </w:t>
      </w:r>
      <w:r w:rsidR="00F13554">
        <w:rPr>
          <w:iCs/>
        </w:rPr>
        <w:t>progressed disease</w:t>
      </w:r>
      <w:r w:rsidR="00F13554" w:rsidRPr="000B725B">
        <w:rPr>
          <w:iCs/>
        </w:rPr>
        <w:t xml:space="preserve"> </w:t>
      </w:r>
      <w:r w:rsidRPr="000B725B">
        <w:rPr>
          <w:iCs/>
        </w:rPr>
        <w:t xml:space="preserve">health state, the submission explained that due to limited data from TALAPRO-2 to inform utility values, estimates were obtained from previous PBAC submissions in prostate cancer and the literature. This approach was considered appropriate, given </w:t>
      </w:r>
      <w:r w:rsidR="00935AD9" w:rsidRPr="000B725B">
        <w:rPr>
          <w:iCs/>
        </w:rPr>
        <w:t xml:space="preserve">that there were </w:t>
      </w:r>
      <w:r w:rsidRPr="000B725B">
        <w:rPr>
          <w:iCs/>
        </w:rPr>
        <w:t xml:space="preserve">concerns </w:t>
      </w:r>
      <w:r w:rsidR="00935AD9" w:rsidRPr="000B725B">
        <w:rPr>
          <w:iCs/>
        </w:rPr>
        <w:t xml:space="preserve">with </w:t>
      </w:r>
      <w:r w:rsidRPr="000B725B">
        <w:rPr>
          <w:iCs/>
        </w:rPr>
        <w:t xml:space="preserve">the accuracy of trial-reported post-progression utility values, which were higher than the </w:t>
      </w:r>
      <w:r w:rsidR="00F13554">
        <w:rPr>
          <w:iCs/>
        </w:rPr>
        <w:t>progression free</w:t>
      </w:r>
      <w:r w:rsidR="00F13554" w:rsidRPr="000B725B">
        <w:rPr>
          <w:iCs/>
        </w:rPr>
        <w:t xml:space="preserve"> </w:t>
      </w:r>
      <w:r w:rsidRPr="000B725B">
        <w:rPr>
          <w:iCs/>
        </w:rPr>
        <w:t xml:space="preserve">health state </w:t>
      </w:r>
      <w:r w:rsidRPr="000B725B">
        <w:rPr>
          <w:iCs/>
        </w:rPr>
        <w:lastRenderedPageBreak/>
        <w:t xml:space="preserve">utility weights in the intervention arm. </w:t>
      </w:r>
      <w:r w:rsidR="00F13554">
        <w:rPr>
          <w:iCs/>
        </w:rPr>
        <w:t>Progressed disease</w:t>
      </w:r>
      <w:r w:rsidR="00F13554" w:rsidRPr="000B725B">
        <w:rPr>
          <w:iCs/>
        </w:rPr>
        <w:t xml:space="preserve"> </w:t>
      </w:r>
      <w:r w:rsidRPr="000B725B">
        <w:rPr>
          <w:iCs/>
        </w:rPr>
        <w:t>utility value</w:t>
      </w:r>
      <w:r w:rsidR="00D31C37" w:rsidRPr="000B725B">
        <w:rPr>
          <w:iCs/>
        </w:rPr>
        <w:t>s were based on the darolutamide submission for nmC</w:t>
      </w:r>
      <w:r w:rsidR="0041034B" w:rsidRPr="000B725B">
        <w:rPr>
          <w:iCs/>
        </w:rPr>
        <w:t>RP</w:t>
      </w:r>
      <w:r w:rsidR="00D31C37" w:rsidRPr="000B725B">
        <w:rPr>
          <w:iCs/>
        </w:rPr>
        <w:t>C</w:t>
      </w:r>
      <w:r w:rsidR="00935AD9" w:rsidRPr="000B725B">
        <w:rPr>
          <w:iCs/>
        </w:rPr>
        <w:t xml:space="preserve">, with the </w:t>
      </w:r>
      <w:r w:rsidR="00D31C37" w:rsidRPr="000B725B">
        <w:rPr>
          <w:iCs/>
        </w:rPr>
        <w:t>utility reported for the</w:t>
      </w:r>
      <w:r w:rsidRPr="000B725B">
        <w:rPr>
          <w:iCs/>
        </w:rPr>
        <w:t xml:space="preserve"> </w:t>
      </w:r>
      <w:r w:rsidR="00D31C37" w:rsidRPr="000B725B">
        <w:rPr>
          <w:iCs/>
        </w:rPr>
        <w:t>post-discontinuation health state (i.e. mCRPC)</w:t>
      </w:r>
      <w:r w:rsidR="00935AD9" w:rsidRPr="000B725B">
        <w:rPr>
          <w:iCs/>
        </w:rPr>
        <w:t xml:space="preserve"> being applied</w:t>
      </w:r>
      <w:r w:rsidR="00D31C37" w:rsidRPr="000B725B">
        <w:rPr>
          <w:iCs/>
        </w:rPr>
        <w:t xml:space="preserve"> </w:t>
      </w:r>
      <w:r w:rsidRPr="000B725B">
        <w:rPr>
          <w:iCs/>
        </w:rPr>
        <w:t>(value=0.635, para</w:t>
      </w:r>
      <w:r w:rsidR="00F13554">
        <w:rPr>
          <w:iCs/>
        </w:rPr>
        <w:t>graph</w:t>
      </w:r>
      <w:r w:rsidRPr="000B725B">
        <w:rPr>
          <w:iCs/>
        </w:rPr>
        <w:t xml:space="preserve"> 6.43, darolutamide PSD, March 2021). This value was derived from an observational study of 280 patients with mCRPC, showing a baseline EQ-5D value of 0.635, with subsequent deterioration to 0.560 at 3, 6, and 9 months (Sullivan 2007</w:t>
      </w:r>
      <w:r w:rsidRPr="000B725B">
        <w:rPr>
          <w:rStyle w:val="FootnoteReference"/>
          <w:iCs/>
        </w:rPr>
        <w:footnoteReference w:id="16"/>
      </w:r>
      <w:r w:rsidRPr="000B725B">
        <w:rPr>
          <w:iCs/>
        </w:rPr>
        <w:t xml:space="preserve">). The submission used the value of 0.635 </w:t>
      </w:r>
      <w:r w:rsidR="00D31C37" w:rsidRPr="000B725B">
        <w:rPr>
          <w:iCs/>
        </w:rPr>
        <w:t xml:space="preserve">in PDa for patients </w:t>
      </w:r>
      <w:r w:rsidRPr="000B725B">
        <w:rPr>
          <w:iCs/>
        </w:rPr>
        <w:t>receiving 2</w:t>
      </w:r>
      <w:r w:rsidRPr="000B725B">
        <w:rPr>
          <w:iCs/>
          <w:vertAlign w:val="superscript"/>
        </w:rPr>
        <w:t>nd</w:t>
      </w:r>
      <w:r w:rsidRPr="000B725B">
        <w:rPr>
          <w:iCs/>
        </w:rPr>
        <w:t xml:space="preserve"> line treatment</w:t>
      </w:r>
      <w:r w:rsidR="00D31C37" w:rsidRPr="000B725B">
        <w:rPr>
          <w:iCs/>
        </w:rPr>
        <w:t xml:space="preserve">, </w:t>
      </w:r>
      <w:r w:rsidRPr="000B725B">
        <w:rPr>
          <w:iCs/>
        </w:rPr>
        <w:t xml:space="preserve">and 0.560 </w:t>
      </w:r>
      <w:r w:rsidR="00D31C37" w:rsidRPr="000B725B">
        <w:rPr>
          <w:iCs/>
        </w:rPr>
        <w:t xml:space="preserve">in </w:t>
      </w:r>
      <w:r w:rsidRPr="000B725B">
        <w:rPr>
          <w:iCs/>
        </w:rPr>
        <w:t>PD</w:t>
      </w:r>
      <w:r w:rsidR="00694064" w:rsidRPr="000B725B">
        <w:rPr>
          <w:iCs/>
        </w:rPr>
        <w:t>b</w:t>
      </w:r>
      <w:r w:rsidR="00D31C37" w:rsidRPr="000B725B">
        <w:rPr>
          <w:iCs/>
        </w:rPr>
        <w:t xml:space="preserve"> for patients in palliative care</w:t>
      </w:r>
      <w:r w:rsidRPr="000B725B">
        <w:rPr>
          <w:iCs/>
        </w:rPr>
        <w:t>. The</w:t>
      </w:r>
      <w:r w:rsidR="00367ACE" w:rsidRPr="000B725B">
        <w:rPr>
          <w:iCs/>
        </w:rPr>
        <w:t xml:space="preserve"> </w:t>
      </w:r>
      <w:r w:rsidRPr="000B725B">
        <w:rPr>
          <w:iCs/>
        </w:rPr>
        <w:t xml:space="preserve">submission </w:t>
      </w:r>
      <w:r w:rsidR="00694064" w:rsidRPr="000B725B">
        <w:rPr>
          <w:iCs/>
        </w:rPr>
        <w:t xml:space="preserve">argued the application of </w:t>
      </w:r>
      <w:r w:rsidR="00367ACE" w:rsidRPr="000B725B">
        <w:rPr>
          <w:iCs/>
        </w:rPr>
        <w:t xml:space="preserve">0.635 for </w:t>
      </w:r>
      <w:r w:rsidR="00694064" w:rsidRPr="000B725B">
        <w:rPr>
          <w:iCs/>
        </w:rPr>
        <w:t xml:space="preserve">progressed mCRPC </w:t>
      </w:r>
      <w:r w:rsidR="00367ACE" w:rsidRPr="000B725B">
        <w:rPr>
          <w:iCs/>
        </w:rPr>
        <w:t xml:space="preserve">patients </w:t>
      </w:r>
      <w:r w:rsidR="00694064" w:rsidRPr="000B725B">
        <w:rPr>
          <w:iCs/>
        </w:rPr>
        <w:t xml:space="preserve">was reasonable because Sullivan 2007 </w:t>
      </w:r>
      <w:r w:rsidR="00D31C37" w:rsidRPr="000B725B">
        <w:rPr>
          <w:iCs/>
        </w:rPr>
        <w:t xml:space="preserve">more </w:t>
      </w:r>
      <w:r w:rsidR="00694064" w:rsidRPr="000B725B">
        <w:rPr>
          <w:iCs/>
        </w:rPr>
        <w:t xml:space="preserve">likely reflected </w:t>
      </w:r>
      <w:r w:rsidR="00D31C37" w:rsidRPr="000B725B">
        <w:rPr>
          <w:iCs/>
        </w:rPr>
        <w:t xml:space="preserve">a </w:t>
      </w:r>
      <w:r w:rsidR="00694064" w:rsidRPr="000B725B">
        <w:rPr>
          <w:iCs/>
        </w:rPr>
        <w:t xml:space="preserve">contemporary second line cohort given the study predated the availability of novel hormonal agents and the cohort described was likely treated with cytotoxic chemotherapy with poorer prognosis. </w:t>
      </w:r>
      <w:r w:rsidR="00367ACE" w:rsidRPr="000B725B">
        <w:rPr>
          <w:iCs/>
        </w:rPr>
        <w:t>Overall</w:t>
      </w:r>
      <w:r w:rsidR="00935AD9" w:rsidRPr="000B725B">
        <w:rPr>
          <w:iCs/>
        </w:rPr>
        <w:t>,</w:t>
      </w:r>
      <w:r w:rsidR="00367ACE" w:rsidRPr="000B725B">
        <w:rPr>
          <w:iCs/>
        </w:rPr>
        <w:t xml:space="preserve"> t</w:t>
      </w:r>
      <w:r w:rsidRPr="000B725B">
        <w:rPr>
          <w:iCs/>
        </w:rPr>
        <w:t xml:space="preserve">he submission's approach was </w:t>
      </w:r>
      <w:r w:rsidR="00E80CF0" w:rsidRPr="000B725B">
        <w:rPr>
          <w:iCs/>
        </w:rPr>
        <w:t>generally</w:t>
      </w:r>
      <w:r w:rsidR="00367ACE" w:rsidRPr="000B725B">
        <w:rPr>
          <w:iCs/>
        </w:rPr>
        <w:t xml:space="preserve"> </w:t>
      </w:r>
      <w:r w:rsidRPr="000B725B">
        <w:rPr>
          <w:iCs/>
        </w:rPr>
        <w:t xml:space="preserve">reasonable. </w:t>
      </w:r>
      <w:r w:rsidR="00A50033" w:rsidRPr="000B725B">
        <w:rPr>
          <w:iCs/>
        </w:rPr>
        <w:t xml:space="preserve">Lower utility in </w:t>
      </w:r>
      <w:r w:rsidRPr="000B725B">
        <w:rPr>
          <w:iCs/>
        </w:rPr>
        <w:t>PD</w:t>
      </w:r>
      <w:r w:rsidR="00367ACE" w:rsidRPr="000B725B">
        <w:rPr>
          <w:iCs/>
        </w:rPr>
        <w:t>b</w:t>
      </w:r>
      <w:r w:rsidRPr="000B725B">
        <w:rPr>
          <w:iCs/>
        </w:rPr>
        <w:t xml:space="preserve"> </w:t>
      </w:r>
      <w:r w:rsidR="00A50033" w:rsidRPr="000B725B">
        <w:rPr>
          <w:iCs/>
        </w:rPr>
        <w:t xml:space="preserve">appeared plausible </w:t>
      </w:r>
      <w:r w:rsidRPr="000B725B">
        <w:rPr>
          <w:iCs/>
        </w:rPr>
        <w:t>acknowledging the impact of declining quality of life as patients close to the end of life</w:t>
      </w:r>
      <w:r w:rsidR="00BF4EAC" w:rsidRPr="000B725B">
        <w:rPr>
          <w:iCs/>
        </w:rPr>
        <w:t>.</w:t>
      </w:r>
      <w:r w:rsidR="006415B1" w:rsidRPr="000B725B">
        <w:rPr>
          <w:iCs/>
        </w:rPr>
        <w:t xml:space="preserve"> A sensitivity analysis conducted during the evaluation showed that having a constant utility value of 0.635 for both PD</w:t>
      </w:r>
      <w:r w:rsidR="00367ACE" w:rsidRPr="000B725B">
        <w:rPr>
          <w:iCs/>
        </w:rPr>
        <w:t>a</w:t>
      </w:r>
      <w:r w:rsidR="006415B1" w:rsidRPr="000B725B">
        <w:rPr>
          <w:iCs/>
        </w:rPr>
        <w:t xml:space="preserve"> and PD</w:t>
      </w:r>
      <w:r w:rsidR="00367ACE" w:rsidRPr="000B725B">
        <w:rPr>
          <w:iCs/>
        </w:rPr>
        <w:t>b</w:t>
      </w:r>
      <w:r w:rsidR="006415B1" w:rsidRPr="000B725B">
        <w:rPr>
          <w:iCs/>
        </w:rPr>
        <w:t xml:space="preserve"> </w:t>
      </w:r>
      <w:r w:rsidR="00367ACE" w:rsidRPr="000B725B">
        <w:rPr>
          <w:iCs/>
        </w:rPr>
        <w:t xml:space="preserve">marginally increased the </w:t>
      </w:r>
      <w:r w:rsidR="006415B1" w:rsidRPr="000B725B">
        <w:rPr>
          <w:iCs/>
        </w:rPr>
        <w:t xml:space="preserve">ICER by </w:t>
      </w:r>
      <w:r w:rsidR="00D62519" w:rsidRPr="00CD40AA">
        <w:rPr>
          <w:iCs/>
          <w:color w:val="000000"/>
          <w:w w:val="15"/>
          <w:shd w:val="solid" w:color="000000" w:fill="000000"/>
          <w:fitText w:val="-20" w:id="-961822458"/>
          <w14:textFill>
            <w14:solidFill>
              <w14:srgbClr w14:val="000000">
                <w14:alpha w14:val="100000"/>
              </w14:srgbClr>
            </w14:solidFill>
          </w14:textFill>
        </w:rPr>
        <w:t xml:space="preserve">|  </w:t>
      </w:r>
      <w:r w:rsidR="00D62519" w:rsidRPr="00CD40AA">
        <w:rPr>
          <w:iCs/>
          <w:color w:val="000000"/>
          <w:spacing w:val="-69"/>
          <w:w w:val="15"/>
          <w:shd w:val="solid" w:color="000000" w:fill="000000"/>
          <w:fitText w:val="-20" w:id="-961822458"/>
          <w14:textFill>
            <w14:solidFill>
              <w14:srgbClr w14:val="000000">
                <w14:alpha w14:val="100000"/>
              </w14:srgbClr>
            </w14:solidFill>
          </w14:textFill>
        </w:rPr>
        <w:t>|</w:t>
      </w:r>
      <w:r w:rsidR="00742192" w:rsidRPr="000B725B">
        <w:rPr>
          <w:iCs/>
        </w:rPr>
        <w:t xml:space="preserve">% to </w:t>
      </w:r>
      <w:r w:rsidR="00BD14F9" w:rsidRPr="00BD14F9">
        <w:rPr>
          <w:iCs/>
        </w:rPr>
        <w:t>$55,000 to &lt;</w:t>
      </w:r>
      <w:r w:rsidR="00477CD8">
        <w:rPr>
          <w:iCs/>
        </w:rPr>
        <w:t> </w:t>
      </w:r>
      <w:r w:rsidR="00BD14F9" w:rsidRPr="00BD14F9">
        <w:rPr>
          <w:iCs/>
        </w:rPr>
        <w:t>$75,000</w:t>
      </w:r>
      <w:r w:rsidR="00742192" w:rsidRPr="000B725B">
        <w:rPr>
          <w:iCs/>
        </w:rPr>
        <w:t xml:space="preserve"> </w:t>
      </w:r>
      <w:r w:rsidR="00F14FE2" w:rsidRPr="000B725B">
        <w:rPr>
          <w:iCs/>
        </w:rPr>
        <w:t xml:space="preserve">from a base case of </w:t>
      </w:r>
      <w:r w:rsidR="00CB680A" w:rsidRPr="00CB680A">
        <w:rPr>
          <w:iCs/>
        </w:rPr>
        <w:t>$55,000 to &lt; $75,000</w:t>
      </w:r>
      <w:r w:rsidR="00F14FE2" w:rsidRPr="000B725B">
        <w:rPr>
          <w:iCs/>
        </w:rPr>
        <w:t xml:space="preserve"> per QALY gained</w:t>
      </w:r>
      <w:r w:rsidR="00742192" w:rsidRPr="000B725B">
        <w:rPr>
          <w:iCs/>
        </w:rPr>
        <w:t>.</w:t>
      </w:r>
    </w:p>
    <w:p w14:paraId="579EA19C" w14:textId="70B9AD75" w:rsidR="009B1B01" w:rsidRPr="000B725B" w:rsidRDefault="009B1B01" w:rsidP="00705218">
      <w:pPr>
        <w:pStyle w:val="3-BodyText"/>
        <w:rPr>
          <w:iCs/>
        </w:rPr>
      </w:pPr>
      <w:r w:rsidRPr="000B725B">
        <w:rPr>
          <w:iCs/>
        </w:rPr>
        <w:t xml:space="preserve">Costs applied in the model were reasonably estimated. </w:t>
      </w:r>
      <w:r w:rsidR="00917E79" w:rsidRPr="000B725B">
        <w:rPr>
          <w:iCs/>
        </w:rPr>
        <w:t xml:space="preserve">The </w:t>
      </w:r>
      <w:r w:rsidR="00F0045B" w:rsidRPr="000B725B">
        <w:rPr>
          <w:iCs/>
        </w:rPr>
        <w:t xml:space="preserve">proposed </w:t>
      </w:r>
      <w:r w:rsidR="00917E79" w:rsidRPr="000B725B">
        <w:rPr>
          <w:iCs/>
        </w:rPr>
        <w:t xml:space="preserve">effective </w:t>
      </w:r>
      <w:r w:rsidR="00BF4313">
        <w:rPr>
          <w:iCs/>
        </w:rPr>
        <w:t>ex-manufacturer price (</w:t>
      </w:r>
      <w:r w:rsidR="00917E79" w:rsidRPr="000B725B">
        <w:rPr>
          <w:iCs/>
        </w:rPr>
        <w:t>EMP</w:t>
      </w:r>
      <w:r w:rsidR="00BF4313">
        <w:rPr>
          <w:iCs/>
        </w:rPr>
        <w:t>)</w:t>
      </w:r>
      <w:r w:rsidR="00917E79" w:rsidRPr="000B725B">
        <w:rPr>
          <w:iCs/>
        </w:rPr>
        <w:t xml:space="preserve"> of talazoparib was $</w:t>
      </w:r>
      <w:r w:rsidR="00D62519" w:rsidRPr="00CD40AA">
        <w:rPr>
          <w:iCs/>
          <w:color w:val="000000"/>
          <w:w w:val="15"/>
          <w:shd w:val="solid" w:color="000000" w:fill="000000"/>
          <w:fitText w:val="-20" w:id="-961822457"/>
          <w14:textFill>
            <w14:solidFill>
              <w14:srgbClr w14:val="000000">
                <w14:alpha w14:val="100000"/>
              </w14:srgbClr>
            </w14:solidFill>
          </w14:textFill>
        </w:rPr>
        <w:t xml:space="preserve">|  </w:t>
      </w:r>
      <w:r w:rsidR="00D62519" w:rsidRPr="00CD40AA">
        <w:rPr>
          <w:iCs/>
          <w:color w:val="000000"/>
          <w:spacing w:val="-69"/>
          <w:w w:val="15"/>
          <w:shd w:val="solid" w:color="000000" w:fill="000000"/>
          <w:fitText w:val="-20" w:id="-961822457"/>
          <w14:textFill>
            <w14:solidFill>
              <w14:srgbClr w14:val="000000">
                <w14:alpha w14:val="100000"/>
              </w14:srgbClr>
            </w14:solidFill>
          </w14:textFill>
        </w:rPr>
        <w:t>|</w:t>
      </w:r>
      <w:r w:rsidR="00917E79" w:rsidRPr="000B725B">
        <w:rPr>
          <w:iCs/>
        </w:rPr>
        <w:t xml:space="preserve">. For enzalutamide, </w:t>
      </w:r>
      <w:r w:rsidR="00EC2FC5">
        <w:rPr>
          <w:iCs/>
        </w:rPr>
        <w:t>an</w:t>
      </w:r>
      <w:r w:rsidR="00917E79" w:rsidRPr="000B725B">
        <w:rPr>
          <w:iCs/>
        </w:rPr>
        <w:t xml:space="preserve"> estimate</w:t>
      </w:r>
      <w:r w:rsidR="00EC2FC5">
        <w:rPr>
          <w:iCs/>
        </w:rPr>
        <w:t>d</w:t>
      </w:r>
      <w:r w:rsidR="00917E79" w:rsidRPr="000B725B">
        <w:rPr>
          <w:iCs/>
        </w:rPr>
        <w:t xml:space="preserve"> effective </w:t>
      </w:r>
      <w:r w:rsidR="00EC2FC5">
        <w:rPr>
          <w:iCs/>
        </w:rPr>
        <w:t>EMP</w:t>
      </w:r>
      <w:r w:rsidR="00917E79" w:rsidRPr="000B725B">
        <w:rPr>
          <w:iCs/>
        </w:rPr>
        <w:t xml:space="preserve"> of $</w:t>
      </w:r>
      <w:r w:rsidR="00D62519" w:rsidRPr="00CD40AA">
        <w:rPr>
          <w:iCs/>
          <w:color w:val="000000"/>
          <w:w w:val="15"/>
          <w:shd w:val="solid" w:color="000000" w:fill="000000"/>
          <w:fitText w:val="-20" w:id="-961822456"/>
          <w14:textFill>
            <w14:solidFill>
              <w14:srgbClr w14:val="000000">
                <w14:alpha w14:val="100000"/>
              </w14:srgbClr>
            </w14:solidFill>
          </w14:textFill>
        </w:rPr>
        <w:t xml:space="preserve">|  </w:t>
      </w:r>
      <w:r w:rsidR="00D62519" w:rsidRPr="00CD40AA">
        <w:rPr>
          <w:iCs/>
          <w:color w:val="000000"/>
          <w:spacing w:val="-69"/>
          <w:w w:val="15"/>
          <w:shd w:val="solid" w:color="000000" w:fill="000000"/>
          <w:fitText w:val="-20" w:id="-961822456"/>
          <w14:textFill>
            <w14:solidFill>
              <w14:srgbClr w14:val="000000">
                <w14:alpha w14:val="100000"/>
              </w14:srgbClr>
            </w14:solidFill>
          </w14:textFill>
        </w:rPr>
        <w:t>|</w:t>
      </w:r>
      <w:r w:rsidR="00EC2FC5">
        <w:rPr>
          <w:iCs/>
        </w:rPr>
        <w:t xml:space="preserve"> (28-day pack</w:t>
      </w:r>
      <w:r w:rsidR="00917E79" w:rsidRPr="000B725B">
        <w:rPr>
          <w:iCs/>
        </w:rPr>
        <w:t>)</w:t>
      </w:r>
      <w:r w:rsidR="00EC2FC5">
        <w:rPr>
          <w:iCs/>
        </w:rPr>
        <w:t xml:space="preserve"> was used</w:t>
      </w:r>
      <w:r w:rsidR="00917E79" w:rsidRPr="000B725B">
        <w:rPr>
          <w:iCs/>
        </w:rPr>
        <w:t xml:space="preserve">. </w:t>
      </w:r>
    </w:p>
    <w:p w14:paraId="7BAABB67" w14:textId="3DC129D4" w:rsidR="009B1B01" w:rsidRPr="000B725B" w:rsidRDefault="00D66A3D" w:rsidP="009B1B01">
      <w:pPr>
        <w:pStyle w:val="3-BodyText"/>
        <w:rPr>
          <w:iCs/>
        </w:rPr>
      </w:pPr>
      <w:r w:rsidRPr="000B725B">
        <w:rPr>
          <w:iCs/>
        </w:rPr>
        <w:t xml:space="preserve">Model traces </w:t>
      </w:r>
      <w:r w:rsidR="009B1B01" w:rsidRPr="000B725B">
        <w:rPr>
          <w:iCs/>
        </w:rPr>
        <w:t xml:space="preserve">presented in </w:t>
      </w:r>
      <w:r w:rsidR="00DB1899" w:rsidRPr="000B725B">
        <w:rPr>
          <w:iCs/>
        </w:rPr>
        <w:fldChar w:fldCharType="begin" w:fldLock="1"/>
      </w:r>
      <w:r w:rsidR="00DB1899" w:rsidRPr="000B725B">
        <w:rPr>
          <w:iCs/>
        </w:rPr>
        <w:instrText xml:space="preserve"> REF _Ref155281255 \h </w:instrText>
      </w:r>
      <w:r w:rsidR="009F2407" w:rsidRPr="000B725B">
        <w:rPr>
          <w:iCs/>
        </w:rPr>
        <w:instrText xml:space="preserve"> \* MERGEFORMAT </w:instrText>
      </w:r>
      <w:r w:rsidR="00DB1899" w:rsidRPr="000B725B">
        <w:rPr>
          <w:iCs/>
        </w:rPr>
      </w:r>
      <w:r w:rsidR="00DB1899" w:rsidRPr="000B725B">
        <w:rPr>
          <w:iCs/>
        </w:rPr>
        <w:fldChar w:fldCharType="separate"/>
      </w:r>
      <w:r w:rsidR="00324A7E" w:rsidRPr="000B725B">
        <w:rPr>
          <w:iCs/>
        </w:rPr>
        <w:t xml:space="preserve">Figure </w:t>
      </w:r>
      <w:r w:rsidR="00324A7E" w:rsidRPr="000B725B">
        <w:rPr>
          <w:iCs/>
          <w:noProof/>
        </w:rPr>
        <w:t>9</w:t>
      </w:r>
      <w:r w:rsidR="00DB1899" w:rsidRPr="000B725B">
        <w:rPr>
          <w:iCs/>
        </w:rPr>
        <w:fldChar w:fldCharType="end"/>
      </w:r>
      <w:r w:rsidR="009F2407" w:rsidRPr="000B725B">
        <w:rPr>
          <w:iCs/>
        </w:rPr>
        <w:t xml:space="preserve"> </w:t>
      </w:r>
      <w:r w:rsidR="009B1B01" w:rsidRPr="000B725B">
        <w:rPr>
          <w:iCs/>
        </w:rPr>
        <w:t xml:space="preserve">demonstrate that </w:t>
      </w:r>
      <w:r w:rsidR="00917E79" w:rsidRPr="000B725B">
        <w:rPr>
          <w:iCs/>
        </w:rPr>
        <w:t xml:space="preserve">differences between the two treatment arms were primarily </w:t>
      </w:r>
      <w:r w:rsidRPr="000B725B">
        <w:rPr>
          <w:iCs/>
        </w:rPr>
        <w:t xml:space="preserve">due to </w:t>
      </w:r>
      <w:r w:rsidR="00917E79" w:rsidRPr="000B725B">
        <w:rPr>
          <w:iCs/>
        </w:rPr>
        <w:t xml:space="preserve">extrapolated </w:t>
      </w:r>
      <w:r w:rsidRPr="000B725B">
        <w:rPr>
          <w:iCs/>
        </w:rPr>
        <w:t xml:space="preserve">differences </w:t>
      </w:r>
      <w:r w:rsidR="00917E79" w:rsidRPr="000B725B">
        <w:rPr>
          <w:iCs/>
        </w:rPr>
        <w:t xml:space="preserve">in progression-free survival, with greater numbers of patients </w:t>
      </w:r>
      <w:r w:rsidR="00935AD9" w:rsidRPr="000B725B">
        <w:rPr>
          <w:iCs/>
        </w:rPr>
        <w:t xml:space="preserve">treated with talazoparib + enzalutamide </w:t>
      </w:r>
      <w:r w:rsidR="00917E79" w:rsidRPr="000B725B">
        <w:rPr>
          <w:iCs/>
        </w:rPr>
        <w:t xml:space="preserve">in </w:t>
      </w:r>
      <w:r w:rsidR="00F13554">
        <w:rPr>
          <w:iCs/>
        </w:rPr>
        <w:t>progression free</w:t>
      </w:r>
      <w:r w:rsidR="00F13554" w:rsidRPr="000B725B">
        <w:rPr>
          <w:iCs/>
        </w:rPr>
        <w:t xml:space="preserve"> </w:t>
      </w:r>
      <w:r w:rsidR="00DD6468" w:rsidRPr="000B725B">
        <w:rPr>
          <w:iCs/>
        </w:rPr>
        <w:t xml:space="preserve">health state </w:t>
      </w:r>
      <w:r w:rsidR="00917E79" w:rsidRPr="000B725B">
        <w:rPr>
          <w:iCs/>
        </w:rPr>
        <w:t xml:space="preserve">compared to enzalutamide monotherapy. </w:t>
      </w:r>
      <w:r w:rsidRPr="000B725B">
        <w:rPr>
          <w:iCs/>
        </w:rPr>
        <w:t>Given the importance of the rPFS to the modelled results, a main source of uncertainty in the model was the imm</w:t>
      </w:r>
      <w:r w:rsidR="00917E79" w:rsidRPr="000B725B">
        <w:rPr>
          <w:iCs/>
        </w:rPr>
        <w:t xml:space="preserve">aturity </w:t>
      </w:r>
      <w:r w:rsidRPr="000B725B">
        <w:rPr>
          <w:iCs/>
        </w:rPr>
        <w:t>of observed</w:t>
      </w:r>
      <w:r w:rsidR="00917E79" w:rsidRPr="000B725B">
        <w:rPr>
          <w:iCs/>
        </w:rPr>
        <w:t xml:space="preserve"> rPFS </w:t>
      </w:r>
      <w:r w:rsidRPr="000B725B">
        <w:rPr>
          <w:iCs/>
        </w:rPr>
        <w:t xml:space="preserve">from TALAPRO-2 Cohort 2, </w:t>
      </w:r>
      <w:r w:rsidRPr="000337F9">
        <w:rPr>
          <w:i/>
        </w:rPr>
        <w:t>BRCA1/2</w:t>
      </w:r>
      <w:r w:rsidRPr="000B725B">
        <w:rPr>
          <w:iCs/>
        </w:rPr>
        <w:t xml:space="preserve"> subgroup, with median rPFS not reached and </w:t>
      </w:r>
      <w:r w:rsidR="00DF451E" w:rsidRPr="000B725B">
        <w:rPr>
          <w:iCs/>
        </w:rPr>
        <w:t xml:space="preserve">only 33% </w:t>
      </w:r>
      <w:r w:rsidR="00D204CD" w:rsidRPr="000B725B">
        <w:rPr>
          <w:iCs/>
        </w:rPr>
        <w:t>of patients having progressed at DCO 3 October 2022</w:t>
      </w:r>
      <w:r w:rsidRPr="000B725B">
        <w:rPr>
          <w:iCs/>
        </w:rPr>
        <w:t xml:space="preserve"> in the talazoparib + enzalutamide arm</w:t>
      </w:r>
      <w:r w:rsidR="00DF451E" w:rsidRPr="000B725B">
        <w:rPr>
          <w:iCs/>
        </w:rPr>
        <w:t>.</w:t>
      </w:r>
    </w:p>
    <w:p w14:paraId="1A1B74F3" w14:textId="05510D0C" w:rsidR="00F82E7A" w:rsidRPr="005A293B" w:rsidRDefault="00984EA5" w:rsidP="00246A89">
      <w:pPr>
        <w:pStyle w:val="TableFooter"/>
      </w:pPr>
      <w:bookmarkStart w:id="70" w:name="_Ref155281255"/>
      <w:r w:rsidRPr="000A0245">
        <w:rPr>
          <w:b/>
          <w:sz w:val="20"/>
        </w:rPr>
        <w:lastRenderedPageBreak/>
        <w:t xml:space="preserve">Figure </w:t>
      </w:r>
      <w:r w:rsidR="00FF4F15" w:rsidRPr="000A0245">
        <w:rPr>
          <w:b/>
          <w:sz w:val="20"/>
        </w:rPr>
        <w:fldChar w:fldCharType="begin" w:fldLock="1"/>
      </w:r>
      <w:r w:rsidR="00FF4F15" w:rsidRPr="000A0245">
        <w:rPr>
          <w:b/>
          <w:sz w:val="20"/>
        </w:rPr>
        <w:instrText xml:space="preserve"> SEQ Figure \* ARABIC </w:instrText>
      </w:r>
      <w:r w:rsidR="00FF4F15" w:rsidRPr="000A0245">
        <w:rPr>
          <w:b/>
          <w:sz w:val="20"/>
        </w:rPr>
        <w:fldChar w:fldCharType="separate"/>
      </w:r>
      <w:r w:rsidR="00324A7E">
        <w:rPr>
          <w:b/>
          <w:noProof/>
          <w:sz w:val="20"/>
        </w:rPr>
        <w:t>9</w:t>
      </w:r>
      <w:r w:rsidR="00FF4F15" w:rsidRPr="000A0245">
        <w:rPr>
          <w:b/>
          <w:noProof/>
          <w:sz w:val="20"/>
        </w:rPr>
        <w:fldChar w:fldCharType="end"/>
      </w:r>
      <w:bookmarkEnd w:id="70"/>
      <w:r w:rsidR="00935AD9">
        <w:rPr>
          <w:b/>
          <w:noProof/>
          <w:sz w:val="20"/>
        </w:rPr>
        <w:t>:</w:t>
      </w:r>
      <w:r w:rsidRPr="000A0245">
        <w:rPr>
          <w:b/>
          <w:sz w:val="20"/>
        </w:rPr>
        <w:t xml:space="preserve"> Survival traces for talazoparib + enzalutamide and enzalutamide monotherapy arms of the model</w:t>
      </w:r>
      <w:r w:rsidR="00917E79" w:rsidRPr="005A293B">
        <w:rPr>
          <w:noProof/>
        </w:rPr>
        <w:drawing>
          <wp:inline distT="0" distB="0" distL="0" distR="0" wp14:anchorId="3DED3DC0" wp14:editId="633559FA">
            <wp:extent cx="5581498" cy="2843363"/>
            <wp:effectExtent l="0" t="0" r="635" b="0"/>
            <wp:docPr id="54" name="Picture 54" descr="Figure 9: Survival traces for talazoparib + enzalutamide and enzalutamide monotherapy arms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9: Survival traces for talazoparib + enzalutamide and enzalutamide monotherapy arms of the model"/>
                    <pic:cNvPicPr>
                      <a:picLocks noChangeAspect="1" noChangeArrowheads="1"/>
                    </pic:cNvPicPr>
                  </pic:nvPicPr>
                  <pic:blipFill rotWithShape="1">
                    <a:blip r:embed="rId26">
                      <a:extLst>
                        <a:ext uri="{28A0092B-C50C-407E-A947-70E740481C1C}">
                          <a14:useLocalDpi xmlns:a14="http://schemas.microsoft.com/office/drawing/2010/main" val="0"/>
                        </a:ext>
                      </a:extLst>
                    </a:blip>
                    <a:srcRect b="6364"/>
                    <a:stretch/>
                  </pic:blipFill>
                  <pic:spPr bwMode="auto">
                    <a:xfrm>
                      <a:off x="0" y="0"/>
                      <a:ext cx="5585884" cy="2845597"/>
                    </a:xfrm>
                    <a:prstGeom prst="rect">
                      <a:avLst/>
                    </a:prstGeom>
                    <a:noFill/>
                    <a:ln>
                      <a:noFill/>
                    </a:ln>
                    <a:extLst>
                      <a:ext uri="{53640926-AAD7-44D8-BBD7-CCE9431645EC}">
                        <a14:shadowObscured xmlns:a14="http://schemas.microsoft.com/office/drawing/2010/main"/>
                      </a:ext>
                    </a:extLst>
                  </pic:spPr>
                </pic:pic>
              </a:graphicData>
            </a:graphic>
          </wp:inline>
        </w:drawing>
      </w:r>
      <w:r w:rsidR="00F82E7A" w:rsidRPr="005A293B">
        <w:t xml:space="preserve"> Source: ‘Deterministic Results Graphical’ worksheet in the Excel workbook ‘Talazoparib (TALZENNA)_mCRPC_CEM_01NOV2023</w:t>
      </w:r>
    </w:p>
    <w:p w14:paraId="2A62596F" w14:textId="5A43DFA2" w:rsidR="00F82E7A" w:rsidRDefault="00F82E7A" w:rsidP="00477CD8">
      <w:pPr>
        <w:pStyle w:val="TableFigureFooter"/>
      </w:pPr>
      <w:r w:rsidRPr="005A293B">
        <w:t>ENZ=enzalutamide, TAL=talazoparib</w:t>
      </w:r>
    </w:p>
    <w:p w14:paraId="50050C0B" w14:textId="1DE403CB" w:rsidR="009B1B01" w:rsidRPr="005A293B" w:rsidRDefault="009B1B01" w:rsidP="009B1B01">
      <w:pPr>
        <w:pStyle w:val="3-BodyText"/>
      </w:pPr>
      <w:r w:rsidRPr="005A293B">
        <w:t xml:space="preserve">Key drivers of the model are described in </w:t>
      </w:r>
      <w:r w:rsidRPr="005A293B">
        <w:fldChar w:fldCharType="begin" w:fldLock="1"/>
      </w:r>
      <w:r w:rsidRPr="005A293B">
        <w:instrText xml:space="preserve"> REF _Ref143181340 \h </w:instrText>
      </w:r>
      <w:r w:rsidRPr="005A293B">
        <w:fldChar w:fldCharType="separate"/>
      </w:r>
      <w:r w:rsidR="00935AD9" w:rsidRPr="005A293B">
        <w:t xml:space="preserve">Table </w:t>
      </w:r>
      <w:r w:rsidR="00935AD9">
        <w:rPr>
          <w:noProof/>
        </w:rPr>
        <w:t>11</w:t>
      </w:r>
      <w:r w:rsidRPr="005A293B">
        <w:fldChar w:fldCharType="end"/>
      </w:r>
      <w:r w:rsidRPr="005A293B">
        <w:t>.</w:t>
      </w:r>
    </w:p>
    <w:p w14:paraId="6CABE460" w14:textId="2F7D28F9" w:rsidR="009B1B01" w:rsidRPr="005A293B" w:rsidRDefault="009B1B01" w:rsidP="00B4795D">
      <w:pPr>
        <w:pStyle w:val="Caption"/>
        <w:keepLines w:val="0"/>
        <w:rPr>
          <w:rStyle w:val="CommentReference"/>
          <w:b/>
          <w:szCs w:val="24"/>
        </w:rPr>
      </w:pPr>
      <w:bookmarkStart w:id="71" w:name="_Ref143181340"/>
      <w:bookmarkStart w:id="72" w:name="_Ref142993792"/>
      <w:r w:rsidRPr="005A293B">
        <w:lastRenderedPageBreak/>
        <w:t xml:space="preserve">Table </w:t>
      </w:r>
      <w:fldSimple w:instr=" SEQ Table \* ARABIC " w:fldLock="1">
        <w:r w:rsidR="00A01609">
          <w:rPr>
            <w:noProof/>
          </w:rPr>
          <w:t>11</w:t>
        </w:r>
      </w:fldSimple>
      <w:bookmarkEnd w:id="71"/>
      <w:r w:rsidRPr="005A293B">
        <w:t>:</w:t>
      </w:r>
      <w:r w:rsidRPr="005A293B">
        <w:rPr>
          <w:rStyle w:val="CommentReference"/>
          <w:b/>
          <w:szCs w:val="24"/>
        </w:rPr>
        <w:t xml:space="preserve"> Key drivers of the model</w:t>
      </w:r>
      <w:bookmarkEnd w:id="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129"/>
        <w:gridCol w:w="6804"/>
        <w:gridCol w:w="1084"/>
      </w:tblGrid>
      <w:tr w:rsidR="009B1B01" w:rsidRPr="000B725B" w14:paraId="6775CA79" w14:textId="77777777" w:rsidTr="00E97B08">
        <w:trPr>
          <w:trHeight w:val="20"/>
          <w:tblHeader/>
        </w:trPr>
        <w:tc>
          <w:tcPr>
            <w:tcW w:w="626" w:type="pct"/>
            <w:shd w:val="clear" w:color="auto" w:fill="auto"/>
            <w:vAlign w:val="center"/>
          </w:tcPr>
          <w:p w14:paraId="196523AC" w14:textId="77777777" w:rsidR="009B1B01" w:rsidRPr="000B725B" w:rsidRDefault="009B1B01" w:rsidP="00B4795D">
            <w:pPr>
              <w:pStyle w:val="In-tableHeading"/>
              <w:jc w:val="center"/>
              <w:rPr>
                <w:lang w:val="en-AU"/>
              </w:rPr>
            </w:pPr>
            <w:r w:rsidRPr="000B725B">
              <w:rPr>
                <w:lang w:val="en-AU"/>
              </w:rPr>
              <w:t>Description</w:t>
            </w:r>
          </w:p>
        </w:tc>
        <w:tc>
          <w:tcPr>
            <w:tcW w:w="3773" w:type="pct"/>
            <w:shd w:val="clear" w:color="auto" w:fill="auto"/>
            <w:vAlign w:val="center"/>
          </w:tcPr>
          <w:p w14:paraId="58164D6F" w14:textId="77777777" w:rsidR="009B1B01" w:rsidRPr="000B725B" w:rsidRDefault="009B1B01" w:rsidP="00B4795D">
            <w:pPr>
              <w:pStyle w:val="In-tableHeading"/>
              <w:jc w:val="center"/>
              <w:rPr>
                <w:lang w:val="en-AU"/>
              </w:rPr>
            </w:pPr>
            <w:r w:rsidRPr="000B725B">
              <w:rPr>
                <w:lang w:val="en-AU"/>
              </w:rPr>
              <w:t>Method/Value</w:t>
            </w:r>
          </w:p>
        </w:tc>
        <w:tc>
          <w:tcPr>
            <w:tcW w:w="601" w:type="pct"/>
            <w:shd w:val="clear" w:color="auto" w:fill="auto"/>
            <w:vAlign w:val="center"/>
          </w:tcPr>
          <w:p w14:paraId="6AA56DE5" w14:textId="77777777" w:rsidR="009B1B01" w:rsidRPr="000B725B" w:rsidRDefault="009B1B01" w:rsidP="00B4795D">
            <w:pPr>
              <w:pStyle w:val="In-tableHeading"/>
              <w:jc w:val="center"/>
              <w:rPr>
                <w:lang w:val="en-AU"/>
              </w:rPr>
            </w:pPr>
            <w:r w:rsidRPr="000B725B">
              <w:rPr>
                <w:lang w:val="en-AU"/>
              </w:rPr>
              <w:t>Impact</w:t>
            </w:r>
          </w:p>
        </w:tc>
      </w:tr>
      <w:tr w:rsidR="009B1B01" w:rsidRPr="000B725B" w14:paraId="7860EB1C" w14:textId="77777777" w:rsidTr="00E97B08">
        <w:trPr>
          <w:trHeight w:val="20"/>
        </w:trPr>
        <w:tc>
          <w:tcPr>
            <w:tcW w:w="626" w:type="pct"/>
            <w:shd w:val="clear" w:color="auto" w:fill="auto"/>
            <w:vAlign w:val="center"/>
          </w:tcPr>
          <w:p w14:paraId="2CE56D75" w14:textId="094D43AC" w:rsidR="009B1B01" w:rsidRPr="000B725B" w:rsidRDefault="00F5139E" w:rsidP="00B4795D">
            <w:pPr>
              <w:pStyle w:val="TableText0"/>
            </w:pPr>
            <w:r w:rsidRPr="000B725B">
              <w:t>rPFS</w:t>
            </w:r>
            <w:r w:rsidR="009B1B01" w:rsidRPr="000B725B">
              <w:t xml:space="preserve"> benefit</w:t>
            </w:r>
          </w:p>
        </w:tc>
        <w:tc>
          <w:tcPr>
            <w:tcW w:w="3773" w:type="pct"/>
            <w:shd w:val="clear" w:color="auto" w:fill="auto"/>
            <w:vAlign w:val="center"/>
          </w:tcPr>
          <w:p w14:paraId="78A4F1C0" w14:textId="0BCDB81A" w:rsidR="00F5139E" w:rsidRPr="000B725B" w:rsidRDefault="009B1B01" w:rsidP="00B4795D">
            <w:pPr>
              <w:pStyle w:val="TableText0"/>
              <w:jc w:val="both"/>
            </w:pPr>
            <w:r w:rsidRPr="000B725B">
              <w:t xml:space="preserve">The submission extrapolated rPFS KM data from the </w:t>
            </w:r>
            <w:r w:rsidR="006C3ED1" w:rsidRPr="000337F9">
              <w:rPr>
                <w:i/>
                <w:iCs/>
              </w:rPr>
              <w:t>BRCA1/2</w:t>
            </w:r>
            <w:r w:rsidRPr="000B725B">
              <w:t xml:space="preserve"> subgroup. </w:t>
            </w:r>
            <w:r w:rsidR="00F5139E" w:rsidRPr="000B725B">
              <w:t xml:space="preserve">Since the median time to rPFS in the talazoparib + enzalutamide arm of the </w:t>
            </w:r>
            <w:r w:rsidR="00F5139E" w:rsidRPr="000337F9">
              <w:rPr>
                <w:i/>
                <w:iCs/>
              </w:rPr>
              <w:t>BRCA1/2</w:t>
            </w:r>
            <w:r w:rsidR="00F5139E" w:rsidRPr="000B725B">
              <w:t xml:space="preserve"> subgroup in TALAPRO-2 was not reached, the extrapolation carried a high level of uncertainty. This uncertainty was visually evident in the rPFS </w:t>
            </w:r>
            <w:r w:rsidR="00B63C2D" w:rsidRPr="000B725B">
              <w:t xml:space="preserve">KM </w:t>
            </w:r>
            <w:r w:rsidR="00F5139E" w:rsidRPr="000B725B">
              <w:t>and extrapolation curve</w:t>
            </w:r>
            <w:r w:rsidR="009F2407" w:rsidRPr="000B725B">
              <w:t>s</w:t>
            </w:r>
            <w:r w:rsidR="00F5139E" w:rsidRPr="000B725B">
              <w:t xml:space="preserve">, </w:t>
            </w:r>
            <w:r w:rsidR="009F2407" w:rsidRPr="000B725B">
              <w:t xml:space="preserve">where </w:t>
            </w:r>
            <w:r w:rsidR="00F5139E" w:rsidRPr="000B725B">
              <w:t xml:space="preserve">the </w:t>
            </w:r>
            <w:r w:rsidR="009F2407" w:rsidRPr="000B725B">
              <w:t>extrapolat</w:t>
            </w:r>
            <w:r w:rsidR="00F0045B" w:rsidRPr="000B725B">
              <w:t>ed TAL+ENZ</w:t>
            </w:r>
            <w:r w:rsidR="009F2407" w:rsidRPr="000B725B">
              <w:t xml:space="preserve"> curves deviated from </w:t>
            </w:r>
            <w:r w:rsidR="00F5139E" w:rsidRPr="000B725B">
              <w:t xml:space="preserve">the KM curve </w:t>
            </w:r>
            <w:r w:rsidR="009F2407" w:rsidRPr="000B725B">
              <w:t xml:space="preserve">from </w:t>
            </w:r>
            <w:r w:rsidR="00F5139E" w:rsidRPr="000B725B">
              <w:t>approximately 15 months</w:t>
            </w:r>
            <w:r w:rsidR="009F2407" w:rsidRPr="000B725B">
              <w:t xml:space="preserve">. </w:t>
            </w:r>
            <w:r w:rsidR="005402A7" w:rsidRPr="000B725B">
              <w:t xml:space="preserve">This </w:t>
            </w:r>
            <w:r w:rsidR="00FE3F07" w:rsidRPr="000B725B">
              <w:t>uncertainty</w:t>
            </w:r>
            <w:r w:rsidR="005402A7" w:rsidRPr="000B725B">
              <w:t xml:space="preserve"> was difficult to test in the model given the lack of data.</w:t>
            </w:r>
          </w:p>
        </w:tc>
        <w:tc>
          <w:tcPr>
            <w:tcW w:w="601" w:type="pct"/>
            <w:shd w:val="clear" w:color="auto" w:fill="auto"/>
            <w:vAlign w:val="center"/>
          </w:tcPr>
          <w:p w14:paraId="6ADB4131" w14:textId="3113EC29" w:rsidR="009B1B01" w:rsidRPr="000B725B" w:rsidRDefault="009B1B01" w:rsidP="00B4795D">
            <w:pPr>
              <w:pStyle w:val="TableText0"/>
            </w:pPr>
            <w:r w:rsidRPr="000B725B">
              <w:t xml:space="preserve">High, favours </w:t>
            </w:r>
            <w:r w:rsidR="00B63C2D" w:rsidRPr="000B725B">
              <w:t>TAL+ENZ</w:t>
            </w:r>
          </w:p>
        </w:tc>
      </w:tr>
      <w:tr w:rsidR="00F5139E" w:rsidRPr="000B725B" w14:paraId="4D219AEF" w14:textId="77777777" w:rsidTr="00E97B08">
        <w:trPr>
          <w:trHeight w:val="20"/>
        </w:trPr>
        <w:tc>
          <w:tcPr>
            <w:tcW w:w="626" w:type="pct"/>
            <w:shd w:val="clear" w:color="auto" w:fill="auto"/>
            <w:vAlign w:val="center"/>
          </w:tcPr>
          <w:p w14:paraId="2F4D0FE3" w14:textId="77777777" w:rsidR="00F5139E" w:rsidRPr="000B725B" w:rsidRDefault="00F5139E" w:rsidP="00B4795D">
            <w:pPr>
              <w:pStyle w:val="TableText0"/>
            </w:pPr>
            <w:r w:rsidRPr="000B725B">
              <w:t>Time on treatment</w:t>
            </w:r>
          </w:p>
        </w:tc>
        <w:tc>
          <w:tcPr>
            <w:tcW w:w="3773" w:type="pct"/>
            <w:shd w:val="clear" w:color="auto" w:fill="auto"/>
            <w:vAlign w:val="center"/>
          </w:tcPr>
          <w:p w14:paraId="3A673B80" w14:textId="7D8C1B5F" w:rsidR="00F5139E" w:rsidRPr="000B725B" w:rsidRDefault="00B63C2D" w:rsidP="00B4795D">
            <w:pPr>
              <w:pStyle w:val="TableText0"/>
            </w:pPr>
            <w:r w:rsidRPr="000B725B">
              <w:t>TTD</w:t>
            </w:r>
            <w:r w:rsidR="00F5139E" w:rsidRPr="000B725B">
              <w:t xml:space="preserve"> estimates were very uncertain due to 1) unclear source, 2) </w:t>
            </w:r>
            <w:r w:rsidR="009F2407" w:rsidRPr="000B725B">
              <w:t xml:space="preserve">unexplained </w:t>
            </w:r>
            <w:r w:rsidRPr="000B725B">
              <w:t xml:space="preserve">gap </w:t>
            </w:r>
            <w:r w:rsidR="009F2407" w:rsidRPr="000B725B">
              <w:t xml:space="preserve">between TTD and </w:t>
            </w:r>
            <w:r w:rsidRPr="000B725B">
              <w:t>r</w:t>
            </w:r>
            <w:r w:rsidR="00F5139E" w:rsidRPr="000B725B">
              <w:t xml:space="preserve">PFS in the </w:t>
            </w:r>
            <w:r w:rsidRPr="000B725B">
              <w:t>TAL+ENZ</w:t>
            </w:r>
            <w:r w:rsidR="00F5139E" w:rsidRPr="000B725B">
              <w:t xml:space="preserve"> arm,</w:t>
            </w:r>
            <w:r w:rsidRPr="000B725B">
              <w:t xml:space="preserve"> and</w:t>
            </w:r>
            <w:r w:rsidR="00F5139E" w:rsidRPr="000B725B">
              <w:t xml:space="preserve"> 3)</w:t>
            </w:r>
            <w:r w:rsidRPr="000B725B">
              <w:t xml:space="preserve"> TTD </w:t>
            </w:r>
            <w:r w:rsidR="009F2407" w:rsidRPr="000B725B">
              <w:t xml:space="preserve">that exceeded </w:t>
            </w:r>
            <w:r w:rsidRPr="000B725B">
              <w:t>rPFS in the ENZ arm.</w:t>
            </w:r>
            <w:r w:rsidR="005402A7" w:rsidRPr="000B725B">
              <w:t xml:space="preserve"> The ICER increased to </w:t>
            </w:r>
            <w:r w:rsidR="00246A89" w:rsidRPr="000B725B">
              <w:t>$</w:t>
            </w:r>
            <w:r w:rsidR="00D62519" w:rsidRPr="00D62519">
              <w:rPr>
                <w:color w:val="000000"/>
                <w:spacing w:val="48"/>
                <w:shd w:val="solid" w:color="000000" w:fill="000000"/>
                <w:fitText w:val="225" w:id="-961822455"/>
                <w14:textFill>
                  <w14:solidFill>
                    <w14:srgbClr w14:val="000000">
                      <w14:alpha w14:val="100000"/>
                    </w14:srgbClr>
                  </w14:solidFill>
                </w14:textFill>
              </w:rPr>
              <w:t>||</w:t>
            </w:r>
            <w:r w:rsidR="00D62519" w:rsidRPr="00D62519">
              <w:rPr>
                <w:color w:val="000000"/>
                <w:spacing w:val="2"/>
                <w:shd w:val="solid" w:color="000000" w:fill="000000"/>
                <w:fitText w:val="225" w:id="-961822455"/>
                <w14:textFill>
                  <w14:solidFill>
                    <w14:srgbClr w14:val="000000">
                      <w14:alpha w14:val="100000"/>
                    </w14:srgbClr>
                  </w14:solidFill>
                </w14:textFill>
              </w:rPr>
              <w:t>|</w:t>
            </w:r>
            <w:r w:rsidR="00E65E2A" w:rsidRPr="00E65E2A">
              <w:rPr>
                <w:vertAlign w:val="superscript"/>
              </w:rPr>
              <w:t>1</w:t>
            </w:r>
            <w:r w:rsidR="005402A7" w:rsidRPr="000B725B">
              <w:t xml:space="preserve"> per QALY gained from a base case of $</w:t>
            </w:r>
            <w:r w:rsidR="00D62519" w:rsidRPr="00D62519">
              <w:rPr>
                <w:color w:val="000000"/>
                <w:spacing w:val="48"/>
                <w:shd w:val="solid" w:color="000000" w:fill="000000"/>
                <w:fitText w:val="225" w:id="-961822454"/>
                <w14:textFill>
                  <w14:solidFill>
                    <w14:srgbClr w14:val="000000">
                      <w14:alpha w14:val="100000"/>
                    </w14:srgbClr>
                  </w14:solidFill>
                </w14:textFill>
              </w:rPr>
              <w:t>||</w:t>
            </w:r>
            <w:r w:rsidR="00D62519" w:rsidRPr="00D62519">
              <w:rPr>
                <w:color w:val="000000"/>
                <w:spacing w:val="2"/>
                <w:shd w:val="solid" w:color="000000" w:fill="000000"/>
                <w:fitText w:val="225" w:id="-961822454"/>
                <w14:textFill>
                  <w14:solidFill>
                    <w14:srgbClr w14:val="000000">
                      <w14:alpha w14:val="100000"/>
                    </w14:srgbClr>
                  </w14:solidFill>
                </w14:textFill>
              </w:rPr>
              <w:t>|</w:t>
            </w:r>
            <w:r w:rsidR="00E65E2A" w:rsidRPr="00E65E2A">
              <w:rPr>
                <w:vertAlign w:val="superscript"/>
              </w:rPr>
              <w:t>2</w:t>
            </w:r>
            <w:r w:rsidR="005402A7" w:rsidRPr="000B725B">
              <w:t xml:space="preserve"> when </w:t>
            </w:r>
            <w:r w:rsidR="00246A89" w:rsidRPr="000B725B">
              <w:t>treatment duration</w:t>
            </w:r>
            <w:r w:rsidR="005402A7" w:rsidRPr="000B725B">
              <w:t xml:space="preserve"> was assumed to follow rPFS.</w:t>
            </w:r>
          </w:p>
        </w:tc>
        <w:tc>
          <w:tcPr>
            <w:tcW w:w="601" w:type="pct"/>
            <w:shd w:val="clear" w:color="auto" w:fill="auto"/>
            <w:vAlign w:val="center"/>
          </w:tcPr>
          <w:p w14:paraId="256274A5" w14:textId="56D4A67D" w:rsidR="00F5139E" w:rsidRPr="000B725B" w:rsidRDefault="00F5139E" w:rsidP="00B4795D">
            <w:pPr>
              <w:pStyle w:val="TableText0"/>
            </w:pPr>
            <w:r w:rsidRPr="000B725B">
              <w:t xml:space="preserve">High, favours </w:t>
            </w:r>
            <w:r w:rsidR="00B63C2D" w:rsidRPr="000B725B">
              <w:t>TAL+ENZ</w:t>
            </w:r>
          </w:p>
        </w:tc>
      </w:tr>
      <w:tr w:rsidR="009B1B01" w:rsidRPr="000B725B" w14:paraId="295368E7" w14:textId="77777777" w:rsidTr="00E97B08">
        <w:trPr>
          <w:trHeight w:val="20"/>
        </w:trPr>
        <w:tc>
          <w:tcPr>
            <w:tcW w:w="626" w:type="pct"/>
            <w:shd w:val="clear" w:color="auto" w:fill="auto"/>
            <w:vAlign w:val="center"/>
          </w:tcPr>
          <w:p w14:paraId="39288A2F" w14:textId="77777777" w:rsidR="009B1B01" w:rsidRPr="000B725B" w:rsidRDefault="009B1B01" w:rsidP="00B4795D">
            <w:pPr>
              <w:pStyle w:val="TableText0"/>
            </w:pPr>
            <w:r w:rsidRPr="000B725B">
              <w:t>Time horizon</w:t>
            </w:r>
          </w:p>
        </w:tc>
        <w:tc>
          <w:tcPr>
            <w:tcW w:w="3773" w:type="pct"/>
            <w:shd w:val="clear" w:color="auto" w:fill="auto"/>
            <w:vAlign w:val="center"/>
          </w:tcPr>
          <w:p w14:paraId="6349EE09" w14:textId="09CAAAF1" w:rsidR="009B1B01" w:rsidRPr="000B725B" w:rsidRDefault="009B1B01" w:rsidP="00B4795D">
            <w:pPr>
              <w:pStyle w:val="TableText0"/>
            </w:pPr>
            <w:r w:rsidRPr="000B725B">
              <w:t>The submission used a 1</w:t>
            </w:r>
            <w:r w:rsidR="00B63C2D" w:rsidRPr="000B725B">
              <w:t>0</w:t>
            </w:r>
            <w:r w:rsidRPr="000B725B">
              <w:t xml:space="preserve">-year time horizon. However, given </w:t>
            </w:r>
            <w:r w:rsidR="00B63C2D" w:rsidRPr="000B725B">
              <w:t xml:space="preserve">the poor prognosis in this patient population, the immaturity of OS data from TALAPRO-2 (approx. 33.5% mature </w:t>
            </w:r>
            <w:r w:rsidR="00935AD9" w:rsidRPr="000B725B">
              <w:t xml:space="preserve">at </w:t>
            </w:r>
            <w:r w:rsidR="00B63C2D" w:rsidRPr="000B725B">
              <w:t xml:space="preserve">28 March 2023 data-cut), </w:t>
            </w:r>
            <w:r w:rsidRPr="000B725B">
              <w:t xml:space="preserve">and previous PBAC recommendations, a shorter time-horizon may </w:t>
            </w:r>
            <w:r w:rsidR="00B63C2D" w:rsidRPr="000B725B">
              <w:t>have been</w:t>
            </w:r>
            <w:r w:rsidRPr="000B725B">
              <w:t xml:space="preserve"> more appropriate.</w:t>
            </w:r>
            <w:r w:rsidR="005402A7" w:rsidRPr="000B725B">
              <w:t xml:space="preserve"> Reducing the time horizon to 5 years increased the ICER</w:t>
            </w:r>
            <w:r w:rsidR="00F70B97" w:rsidRPr="000B725B">
              <w:t xml:space="preserve"> by </w:t>
            </w:r>
            <w:r w:rsidR="00D62519" w:rsidRPr="00D62519">
              <w:rPr>
                <w:color w:val="000000"/>
                <w:spacing w:val="48"/>
                <w:shd w:val="solid" w:color="000000" w:fill="000000"/>
                <w:fitText w:val="225" w:id="-961822208"/>
                <w14:textFill>
                  <w14:solidFill>
                    <w14:srgbClr w14:val="000000">
                      <w14:alpha w14:val="100000"/>
                    </w14:srgbClr>
                  </w14:solidFill>
                </w14:textFill>
              </w:rPr>
              <w:t>||</w:t>
            </w:r>
            <w:r w:rsidR="00D62519" w:rsidRPr="00D62519">
              <w:rPr>
                <w:color w:val="000000"/>
                <w:spacing w:val="2"/>
                <w:shd w:val="solid" w:color="000000" w:fill="000000"/>
                <w:fitText w:val="225" w:id="-961822208"/>
                <w14:textFill>
                  <w14:solidFill>
                    <w14:srgbClr w14:val="000000">
                      <w14:alpha w14:val="100000"/>
                    </w14:srgbClr>
                  </w14:solidFill>
                </w14:textFill>
              </w:rPr>
              <w:t>|</w:t>
            </w:r>
            <w:r w:rsidR="00F70B97" w:rsidRPr="000B725B">
              <w:t>%</w:t>
            </w:r>
            <w:r w:rsidR="005402A7" w:rsidRPr="000B725B">
              <w:t xml:space="preserve"> to</w:t>
            </w:r>
            <w:r w:rsidR="000306CB">
              <w:t xml:space="preserve"> </w:t>
            </w:r>
            <w:r w:rsidR="005402A7" w:rsidRPr="000B725B">
              <w:t>$</w:t>
            </w:r>
            <w:r w:rsidR="00D62519" w:rsidRPr="00D62519">
              <w:rPr>
                <w:color w:val="000000"/>
                <w:spacing w:val="48"/>
                <w:shd w:val="solid" w:color="000000" w:fill="000000"/>
                <w:fitText w:val="225" w:id="-961822207"/>
                <w14:textFill>
                  <w14:solidFill>
                    <w14:srgbClr w14:val="000000">
                      <w14:alpha w14:val="100000"/>
                    </w14:srgbClr>
                  </w14:solidFill>
                </w14:textFill>
              </w:rPr>
              <w:t>||</w:t>
            </w:r>
            <w:r w:rsidR="00D62519" w:rsidRPr="00D62519">
              <w:rPr>
                <w:color w:val="000000"/>
                <w:spacing w:val="2"/>
                <w:shd w:val="solid" w:color="000000" w:fill="000000"/>
                <w:fitText w:val="225" w:id="-961822207"/>
                <w14:textFill>
                  <w14:solidFill>
                    <w14:srgbClr w14:val="000000">
                      <w14:alpha w14:val="100000"/>
                    </w14:srgbClr>
                  </w14:solidFill>
                </w14:textFill>
              </w:rPr>
              <w:t>|</w:t>
            </w:r>
            <w:r w:rsidR="00BD14F9" w:rsidRPr="00E65E2A">
              <w:rPr>
                <w:vertAlign w:val="superscript"/>
              </w:rPr>
              <w:t>2</w:t>
            </w:r>
            <w:r w:rsidR="005402A7" w:rsidRPr="000B725B">
              <w:t xml:space="preserve"> per QALY gained.</w:t>
            </w:r>
          </w:p>
        </w:tc>
        <w:tc>
          <w:tcPr>
            <w:tcW w:w="601" w:type="pct"/>
            <w:shd w:val="clear" w:color="auto" w:fill="auto"/>
            <w:vAlign w:val="center"/>
          </w:tcPr>
          <w:p w14:paraId="263DBB9E" w14:textId="20378B38" w:rsidR="009B1B01" w:rsidRPr="000B725B" w:rsidRDefault="00BF4313" w:rsidP="00B4795D">
            <w:pPr>
              <w:pStyle w:val="TableText0"/>
            </w:pPr>
            <w:r>
              <w:t>Moderate to high</w:t>
            </w:r>
            <w:r w:rsidR="00F5139E" w:rsidRPr="000B725B">
              <w:t xml:space="preserve">, favours </w:t>
            </w:r>
            <w:r w:rsidR="00B63C2D" w:rsidRPr="000B725B">
              <w:t>TAL+ENZ</w:t>
            </w:r>
          </w:p>
        </w:tc>
      </w:tr>
      <w:tr w:rsidR="00C4135A" w:rsidRPr="000B725B" w14:paraId="50E0D0CB" w14:textId="77777777" w:rsidTr="00E97B08">
        <w:trPr>
          <w:trHeight w:val="20"/>
        </w:trPr>
        <w:tc>
          <w:tcPr>
            <w:tcW w:w="626" w:type="pct"/>
            <w:shd w:val="clear" w:color="auto" w:fill="auto"/>
            <w:vAlign w:val="center"/>
          </w:tcPr>
          <w:p w14:paraId="7B61D753" w14:textId="43158253" w:rsidR="00C4135A" w:rsidRPr="000B725B" w:rsidRDefault="00C4135A" w:rsidP="00B4795D">
            <w:pPr>
              <w:pStyle w:val="TableText0"/>
            </w:pPr>
            <w:r w:rsidRPr="000B725B">
              <w:t>Subsequent treatment use</w:t>
            </w:r>
          </w:p>
        </w:tc>
        <w:tc>
          <w:tcPr>
            <w:tcW w:w="3773" w:type="pct"/>
            <w:shd w:val="clear" w:color="auto" w:fill="auto"/>
            <w:vAlign w:val="center"/>
          </w:tcPr>
          <w:p w14:paraId="738E7BEB" w14:textId="10E23641" w:rsidR="00C4135A" w:rsidRPr="000B725B" w:rsidRDefault="00785B0C" w:rsidP="00B4795D">
            <w:pPr>
              <w:pStyle w:val="TableText0"/>
            </w:pPr>
            <w:r w:rsidRPr="000B725B">
              <w:t xml:space="preserve">The submission assumed that </w:t>
            </w:r>
            <w:r w:rsidR="00F13554">
              <w:t>71.3% of</w:t>
            </w:r>
            <w:r w:rsidR="00F13554" w:rsidRPr="000B725B">
              <w:t xml:space="preserve"> </w:t>
            </w:r>
            <w:r w:rsidRPr="000B725B">
              <w:t xml:space="preserve">patients </w:t>
            </w:r>
            <w:r w:rsidR="007D025C" w:rsidRPr="000B725B">
              <w:t>receiving</w:t>
            </w:r>
            <w:r w:rsidRPr="000B725B">
              <w:t xml:space="preserve"> enzalutamide monotherapy </w:t>
            </w:r>
            <w:r w:rsidR="00F13554">
              <w:t>would receive subsequent therapy. All of these patients were assumed to receive</w:t>
            </w:r>
            <w:r w:rsidR="00F13554" w:rsidRPr="000B725B">
              <w:t xml:space="preserve"> </w:t>
            </w:r>
            <w:r w:rsidRPr="000B725B">
              <w:t>olaparib monotherapy as subsequent treatment</w:t>
            </w:r>
            <w:r w:rsidR="007D025C" w:rsidRPr="000B725B">
              <w:t>.</w:t>
            </w:r>
            <w:r w:rsidRPr="000B725B">
              <w:t xml:space="preserve"> </w:t>
            </w:r>
            <w:r w:rsidR="007D025C" w:rsidRPr="000B725B">
              <w:t xml:space="preserve">This scenario was inconsistent with trial data and </w:t>
            </w:r>
            <w:r w:rsidR="005402A7" w:rsidRPr="000B725B">
              <w:t xml:space="preserve">may not be fully reflective of </w:t>
            </w:r>
            <w:r w:rsidR="007D025C" w:rsidRPr="000B725B">
              <w:t>Australian practice</w:t>
            </w:r>
            <w:r w:rsidRPr="000B725B">
              <w:t>.</w:t>
            </w:r>
            <w:r w:rsidR="005402A7" w:rsidRPr="000B725B">
              <w:t xml:space="preserve"> Some patients may choose to have alternate treatments and some may not be fit enough to receive treatment in second line. </w:t>
            </w:r>
            <w:r w:rsidR="00F0045B" w:rsidRPr="000B725B">
              <w:t>D</w:t>
            </w:r>
            <w:r w:rsidR="005402A7" w:rsidRPr="000B725B">
              <w:t>ecreasing use of 2</w:t>
            </w:r>
            <w:r w:rsidR="005402A7" w:rsidRPr="000B725B">
              <w:rPr>
                <w:vertAlign w:val="superscript"/>
              </w:rPr>
              <w:t>nd</w:t>
            </w:r>
            <w:r w:rsidR="005402A7" w:rsidRPr="000B725B">
              <w:t xml:space="preserve"> line olaparib to 80%</w:t>
            </w:r>
            <w:r w:rsidR="007803CE" w:rsidRPr="000B725B">
              <w:t xml:space="preserve"> (</w:t>
            </w:r>
            <w:r w:rsidR="00F0045B" w:rsidRPr="000B725B">
              <w:t xml:space="preserve">and </w:t>
            </w:r>
            <w:r w:rsidR="007803CE" w:rsidRPr="000B725B">
              <w:t>assuming DTX</w:t>
            </w:r>
            <w:r w:rsidR="00E84FC7" w:rsidRPr="000B725B">
              <w:t xml:space="preserve"> 14% and 6% CBZ) increased the ICER to $</w:t>
            </w:r>
            <w:r w:rsidR="00D62519" w:rsidRPr="00D62519">
              <w:rPr>
                <w:color w:val="000000"/>
                <w:spacing w:val="48"/>
                <w:shd w:val="solid" w:color="000000" w:fill="000000"/>
                <w:fitText w:val="225" w:id="-961822206"/>
                <w14:textFill>
                  <w14:solidFill>
                    <w14:srgbClr w14:val="000000">
                      <w14:alpha w14:val="100000"/>
                    </w14:srgbClr>
                  </w14:solidFill>
                </w14:textFill>
              </w:rPr>
              <w:t>||</w:t>
            </w:r>
            <w:r w:rsidR="00D62519" w:rsidRPr="00D62519">
              <w:rPr>
                <w:color w:val="000000"/>
                <w:spacing w:val="2"/>
                <w:shd w:val="solid" w:color="000000" w:fill="000000"/>
                <w:fitText w:val="225" w:id="-961822206"/>
                <w14:textFill>
                  <w14:solidFill>
                    <w14:srgbClr w14:val="000000">
                      <w14:alpha w14:val="100000"/>
                    </w14:srgbClr>
                  </w14:solidFill>
                </w14:textFill>
              </w:rPr>
              <w:t>|</w:t>
            </w:r>
            <w:r w:rsidR="00E65E2A" w:rsidRPr="00E65E2A">
              <w:rPr>
                <w:vertAlign w:val="superscript"/>
              </w:rPr>
              <w:t>2</w:t>
            </w:r>
            <w:r w:rsidR="00E84FC7" w:rsidRPr="000B725B">
              <w:t xml:space="preserve"> per QALY gained.</w:t>
            </w:r>
            <w:r w:rsidR="003F7A1D">
              <w:t xml:space="preserve"> </w:t>
            </w:r>
          </w:p>
        </w:tc>
        <w:tc>
          <w:tcPr>
            <w:tcW w:w="601" w:type="pct"/>
            <w:shd w:val="clear" w:color="auto" w:fill="auto"/>
            <w:vAlign w:val="center"/>
          </w:tcPr>
          <w:p w14:paraId="3C34CE72" w14:textId="677ED3C9" w:rsidR="00C4135A" w:rsidRPr="000B725B" w:rsidRDefault="00785B0C" w:rsidP="00B4795D">
            <w:pPr>
              <w:pStyle w:val="TableText0"/>
            </w:pPr>
            <w:r w:rsidRPr="000B725B">
              <w:t>Moderate</w:t>
            </w:r>
            <w:r w:rsidR="003F7A1D">
              <w:t xml:space="preserve"> </w:t>
            </w:r>
            <w:r w:rsidR="003F7A1D" w:rsidRPr="002E7BAB">
              <w:t>to high</w:t>
            </w:r>
            <w:r w:rsidRPr="00BF4313">
              <w:t>,</w:t>
            </w:r>
            <w:r w:rsidRPr="000B725B">
              <w:t xml:space="preserve"> favours TAL+ENZ</w:t>
            </w:r>
          </w:p>
        </w:tc>
      </w:tr>
      <w:tr w:rsidR="007D025C" w:rsidRPr="000B725B" w14:paraId="220BECC8" w14:textId="77777777" w:rsidTr="00E97B08">
        <w:trPr>
          <w:trHeight w:val="20"/>
        </w:trPr>
        <w:tc>
          <w:tcPr>
            <w:tcW w:w="626" w:type="pct"/>
            <w:shd w:val="clear" w:color="auto" w:fill="auto"/>
            <w:vAlign w:val="center"/>
          </w:tcPr>
          <w:p w14:paraId="6C066D8E" w14:textId="77777777" w:rsidR="007D025C" w:rsidRPr="000B725B" w:rsidRDefault="007D025C" w:rsidP="00B4795D">
            <w:pPr>
              <w:pStyle w:val="TableText0"/>
            </w:pPr>
            <w:r w:rsidRPr="000B725B">
              <w:t>Utilities</w:t>
            </w:r>
          </w:p>
        </w:tc>
        <w:tc>
          <w:tcPr>
            <w:tcW w:w="3773" w:type="pct"/>
            <w:shd w:val="clear" w:color="auto" w:fill="auto"/>
            <w:vAlign w:val="center"/>
          </w:tcPr>
          <w:p w14:paraId="4DA5DBB1" w14:textId="77777777" w:rsidR="007D025C" w:rsidRPr="000B725B" w:rsidRDefault="007D025C" w:rsidP="00B4795D">
            <w:pPr>
              <w:pStyle w:val="TableText0"/>
            </w:pPr>
            <w:r w:rsidRPr="000B725B">
              <w:t>Treatment-specific utility values were derived from EQ-5D-5L data in Cohort 2 and mapped to EQ-5D-3L, instead of using the EQ-5D-5L Australian value set. Overall, these values were likely overestimated.</w:t>
            </w:r>
          </w:p>
        </w:tc>
        <w:tc>
          <w:tcPr>
            <w:tcW w:w="601" w:type="pct"/>
            <w:shd w:val="clear" w:color="auto" w:fill="auto"/>
            <w:vAlign w:val="center"/>
          </w:tcPr>
          <w:p w14:paraId="6EE9FFEC" w14:textId="5439D7D2" w:rsidR="007D025C" w:rsidRPr="000B725B" w:rsidRDefault="007D025C" w:rsidP="00B4795D">
            <w:pPr>
              <w:pStyle w:val="TableText0"/>
            </w:pPr>
            <w:r w:rsidRPr="000B725B">
              <w:t>Moderate, favours TAL+ENZ</w:t>
            </w:r>
          </w:p>
        </w:tc>
      </w:tr>
    </w:tbl>
    <w:p w14:paraId="5C171C05" w14:textId="77777777" w:rsidR="009B1B01" w:rsidRPr="005A293B" w:rsidRDefault="009B1B01" w:rsidP="00565C8B">
      <w:pPr>
        <w:pStyle w:val="TableFooter"/>
        <w:keepNext/>
        <w:jc w:val="both"/>
      </w:pPr>
      <w:r w:rsidRPr="005A293B">
        <w:t xml:space="preserve">Source: compiled during the evaluation </w:t>
      </w:r>
    </w:p>
    <w:p w14:paraId="23FD43A9" w14:textId="4407C23A" w:rsidR="008C08FA" w:rsidRDefault="00EC2FC5" w:rsidP="00565C8B">
      <w:pPr>
        <w:pStyle w:val="TableFooter"/>
        <w:keepNext/>
        <w:jc w:val="both"/>
      </w:pPr>
      <w:r>
        <w:t>CBZ=cabazitaxel; DTX</w:t>
      </w:r>
      <w:r w:rsidRPr="00EC2FC5">
        <w:t xml:space="preserve">=docetaxel; </w:t>
      </w:r>
      <w:r w:rsidR="00B63C2D" w:rsidRPr="00EC2FC5">
        <w:t>ENZ=enzalutamide; KM=Kaplan-Meier;</w:t>
      </w:r>
      <w:r w:rsidR="009B1B01" w:rsidRPr="00EC2FC5">
        <w:t xml:space="preserve"> OS=overall survival</w:t>
      </w:r>
      <w:r w:rsidR="00B63C2D" w:rsidRPr="00EC2FC5">
        <w:t xml:space="preserve">; </w:t>
      </w:r>
      <w:r w:rsidR="00132F22" w:rsidRPr="00EC2FC5">
        <w:t>r</w:t>
      </w:r>
      <w:r w:rsidR="009B1B01" w:rsidRPr="00EC2FC5">
        <w:t>PFS=</w:t>
      </w:r>
      <w:r w:rsidR="006034A4" w:rsidRPr="00EC2FC5">
        <w:t>radiographic</w:t>
      </w:r>
      <w:r w:rsidR="00132F22" w:rsidRPr="00EC2FC5">
        <w:t xml:space="preserve"> </w:t>
      </w:r>
      <w:r w:rsidR="009B1B01" w:rsidRPr="00EC2FC5">
        <w:t>progression-free survival</w:t>
      </w:r>
      <w:r w:rsidR="00B63C2D" w:rsidRPr="00EC2FC5">
        <w:t>;</w:t>
      </w:r>
      <w:r w:rsidR="009B1B01" w:rsidRPr="00EC2FC5">
        <w:t xml:space="preserve"> PH=proportional hazard, </w:t>
      </w:r>
      <w:r w:rsidR="00B63C2D" w:rsidRPr="00EC2FC5">
        <w:t xml:space="preserve">TAL=talazoparib; </w:t>
      </w:r>
      <w:r w:rsidR="009B1B01" w:rsidRPr="00EC2FC5">
        <w:t>T</w:t>
      </w:r>
      <w:r w:rsidR="00B63C2D" w:rsidRPr="00EC2FC5">
        <w:t>TD</w:t>
      </w:r>
      <w:r w:rsidR="009B1B01" w:rsidRPr="00EC2FC5">
        <w:t xml:space="preserve">=time </w:t>
      </w:r>
      <w:r w:rsidR="00B63C2D" w:rsidRPr="00EC2FC5">
        <w:t>to treatment discontinuation.</w:t>
      </w:r>
    </w:p>
    <w:p w14:paraId="185F2407" w14:textId="77777777" w:rsidR="00E65E2A" w:rsidRPr="009A6D58" w:rsidRDefault="00E65E2A" w:rsidP="00565C8B">
      <w:pPr>
        <w:keepNext/>
        <w:jc w:val="both"/>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4F5EF4C" w14:textId="129AC057" w:rsidR="00E65E2A" w:rsidRPr="009A6D58" w:rsidRDefault="00E65E2A" w:rsidP="00565C8B">
      <w:pPr>
        <w:keepNext/>
        <w:jc w:val="both"/>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65E2A">
        <w:rPr>
          <w:rFonts w:ascii="Arial Narrow" w:hAnsi="Arial Narrow"/>
          <w:i/>
          <w:sz w:val="18"/>
          <w:szCs w:val="18"/>
        </w:rPr>
        <w:t>$75,000 to &lt; $95,000</w:t>
      </w:r>
    </w:p>
    <w:p w14:paraId="1835E4D4" w14:textId="3870677B" w:rsidR="00E65E2A" w:rsidRPr="009A6D58" w:rsidRDefault="00E65E2A" w:rsidP="00565C8B">
      <w:pPr>
        <w:spacing w:after="120"/>
        <w:jc w:val="both"/>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65E2A">
        <w:rPr>
          <w:rFonts w:ascii="Arial Narrow" w:hAnsi="Arial Narrow"/>
          <w:i/>
          <w:sz w:val="18"/>
          <w:szCs w:val="18"/>
        </w:rPr>
        <w:t>$55,000 to &lt; $75,000</w:t>
      </w:r>
    </w:p>
    <w:p w14:paraId="38832E56" w14:textId="638EC3B3" w:rsidR="009B1B01" w:rsidRPr="002E7BAB" w:rsidRDefault="009B1B01" w:rsidP="009B1B01">
      <w:pPr>
        <w:pStyle w:val="3-BodyText"/>
      </w:pPr>
      <w:r w:rsidRPr="00EC2FC5">
        <w:t xml:space="preserve">The results of the stepped analysis are presented in </w:t>
      </w:r>
      <w:r w:rsidRPr="00EC2FC5">
        <w:fldChar w:fldCharType="begin" w:fldLock="1"/>
      </w:r>
      <w:r w:rsidRPr="00EC2FC5">
        <w:instrText xml:space="preserve"> REF _Ref143088695 \h </w:instrText>
      </w:r>
      <w:r w:rsidR="00EC2FC5">
        <w:instrText xml:space="preserve"> \* MERGEFORMAT </w:instrText>
      </w:r>
      <w:r w:rsidRPr="00EC2FC5">
        <w:fldChar w:fldCharType="separate"/>
      </w:r>
      <w:r w:rsidR="00935AD9" w:rsidRPr="00EC2FC5">
        <w:t xml:space="preserve">Table </w:t>
      </w:r>
      <w:r w:rsidR="00935AD9" w:rsidRPr="00EC2FC5">
        <w:rPr>
          <w:noProof/>
        </w:rPr>
        <w:t>12</w:t>
      </w:r>
      <w:r w:rsidRPr="00EC2FC5">
        <w:fldChar w:fldCharType="end"/>
      </w:r>
      <w:r w:rsidRPr="00EC2FC5">
        <w:t>.</w:t>
      </w:r>
      <w:r w:rsidR="00DF451E" w:rsidRPr="00EC2FC5">
        <w:t xml:space="preserve"> The estimated base case ICER for the proposed scenario (talazoparib + enzalutamide) versus current scenario (enzalutamide monotherapy) was </w:t>
      </w:r>
      <w:r w:rsidR="000C656B" w:rsidRPr="000C656B">
        <w:t>$55,000 to &lt; $75,000</w:t>
      </w:r>
      <w:r w:rsidR="00DF451E" w:rsidRPr="00EC2FC5">
        <w:t xml:space="preserve"> per QALY gained.</w:t>
      </w:r>
    </w:p>
    <w:p w14:paraId="1B957D93" w14:textId="4D20CAF5" w:rsidR="009B1B01" w:rsidRPr="00EC2FC5" w:rsidRDefault="009B1B01" w:rsidP="00B4795D">
      <w:pPr>
        <w:pStyle w:val="Caption"/>
        <w:keepLines w:val="0"/>
      </w:pPr>
      <w:bookmarkStart w:id="73" w:name="_Ref143088695"/>
      <w:r w:rsidRPr="00EC2FC5">
        <w:lastRenderedPageBreak/>
        <w:t xml:space="preserve">Table </w:t>
      </w:r>
      <w:fldSimple w:instr=" SEQ Table \* ARABIC " w:fldLock="1">
        <w:r w:rsidR="00A01609">
          <w:rPr>
            <w:noProof/>
          </w:rPr>
          <w:t>12</w:t>
        </w:r>
      </w:fldSimple>
      <w:bookmarkEnd w:id="73"/>
      <w:r w:rsidRPr="00EC2FC5">
        <w:t>:</w:t>
      </w:r>
      <w:r w:rsidRPr="00EC2FC5">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688"/>
        <w:gridCol w:w="2521"/>
        <w:gridCol w:w="31"/>
        <w:gridCol w:w="2269"/>
        <w:gridCol w:w="1508"/>
      </w:tblGrid>
      <w:tr w:rsidR="009B1B01" w:rsidRPr="00EC2FC5" w14:paraId="4C6D8259" w14:textId="77777777" w:rsidTr="00AC2B40">
        <w:trPr>
          <w:tblHeader/>
        </w:trPr>
        <w:tc>
          <w:tcPr>
            <w:tcW w:w="1491" w:type="pct"/>
            <w:vAlign w:val="center"/>
          </w:tcPr>
          <w:p w14:paraId="50FF2C32" w14:textId="77777777" w:rsidR="009B1B01" w:rsidRPr="00EC2FC5" w:rsidRDefault="009B1B01" w:rsidP="00B4795D">
            <w:pPr>
              <w:pStyle w:val="In-tableHeading"/>
              <w:rPr>
                <w:lang w:val="en-AU"/>
              </w:rPr>
            </w:pPr>
            <w:r w:rsidRPr="00EC2FC5">
              <w:rPr>
                <w:lang w:val="en-AU"/>
              </w:rPr>
              <w:t>Step and component</w:t>
            </w:r>
          </w:p>
        </w:tc>
        <w:tc>
          <w:tcPr>
            <w:tcW w:w="1415" w:type="pct"/>
            <w:gridSpan w:val="2"/>
            <w:vAlign w:val="center"/>
          </w:tcPr>
          <w:p w14:paraId="684F520E" w14:textId="47B98FB7" w:rsidR="009B1B01" w:rsidRPr="00EC2FC5" w:rsidRDefault="00234B15" w:rsidP="00B4795D">
            <w:pPr>
              <w:pStyle w:val="In-tableHeading"/>
              <w:jc w:val="center"/>
              <w:rPr>
                <w:lang w:val="en-AU"/>
              </w:rPr>
            </w:pPr>
            <w:r w:rsidRPr="00EC2FC5">
              <w:rPr>
                <w:lang w:val="en-AU"/>
              </w:rPr>
              <w:t>Talazoparib + enzalutamide</w:t>
            </w:r>
          </w:p>
        </w:tc>
        <w:tc>
          <w:tcPr>
            <w:tcW w:w="1258" w:type="pct"/>
            <w:vAlign w:val="center"/>
          </w:tcPr>
          <w:p w14:paraId="460BBF66" w14:textId="6B4CA846" w:rsidR="009B1B01" w:rsidRPr="00EC2FC5" w:rsidRDefault="00234B15" w:rsidP="00B4795D">
            <w:pPr>
              <w:pStyle w:val="In-tableHeading"/>
              <w:jc w:val="center"/>
              <w:rPr>
                <w:lang w:val="en-AU"/>
              </w:rPr>
            </w:pPr>
            <w:r w:rsidRPr="00EC2FC5">
              <w:rPr>
                <w:lang w:val="en-AU"/>
              </w:rPr>
              <w:t xml:space="preserve">Enzalutamide </w:t>
            </w:r>
            <w:r w:rsidR="009B1B01" w:rsidRPr="00EC2FC5">
              <w:rPr>
                <w:lang w:val="en-AU"/>
              </w:rPr>
              <w:t>monotherapy</w:t>
            </w:r>
          </w:p>
        </w:tc>
        <w:tc>
          <w:tcPr>
            <w:tcW w:w="836" w:type="pct"/>
            <w:vAlign w:val="center"/>
          </w:tcPr>
          <w:p w14:paraId="4BBA7D80" w14:textId="77777777" w:rsidR="009B1B01" w:rsidRPr="00EC2FC5" w:rsidRDefault="009B1B01" w:rsidP="00B4795D">
            <w:pPr>
              <w:pStyle w:val="In-tableHeading"/>
              <w:jc w:val="center"/>
              <w:rPr>
                <w:lang w:val="en-AU"/>
              </w:rPr>
            </w:pPr>
            <w:r w:rsidRPr="00EC2FC5">
              <w:rPr>
                <w:lang w:val="en-AU"/>
              </w:rPr>
              <w:t>Increment</w:t>
            </w:r>
          </w:p>
        </w:tc>
      </w:tr>
      <w:tr w:rsidR="00567118" w:rsidRPr="00EC2FC5" w14:paraId="010F7DBA" w14:textId="77777777" w:rsidTr="00AC2B40">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9E5698F" w14:textId="77777777" w:rsidR="00567118" w:rsidRPr="00EC2FC5" w:rsidRDefault="00567118" w:rsidP="00B4795D">
            <w:pPr>
              <w:pStyle w:val="TableText0"/>
              <w:jc w:val="both"/>
              <w:rPr>
                <w:rFonts w:cs="Times New Roman"/>
                <w:b/>
                <w:snapToGrid w:val="0"/>
              </w:rPr>
            </w:pPr>
            <w:r w:rsidRPr="00EC2FC5">
              <w:rPr>
                <w:rFonts w:cs="Times New Roman"/>
                <w:b/>
                <w:snapToGrid w:val="0"/>
              </w:rPr>
              <w:t>Step 1: Trial based to median follow up for OS (26 months)</w:t>
            </w:r>
          </w:p>
        </w:tc>
      </w:tr>
      <w:tr w:rsidR="00567118" w:rsidRPr="00EC2FC5" w14:paraId="3A305E4A" w14:textId="77777777" w:rsidTr="00AC2B40">
        <w:tc>
          <w:tcPr>
            <w:tcW w:w="1491" w:type="pct"/>
            <w:tcBorders>
              <w:top w:val="single" w:sz="4" w:space="0" w:color="auto"/>
              <w:left w:val="single" w:sz="4" w:space="0" w:color="auto"/>
              <w:bottom w:val="single" w:sz="4" w:space="0" w:color="auto"/>
              <w:right w:val="single" w:sz="4" w:space="0" w:color="auto"/>
            </w:tcBorders>
            <w:vAlign w:val="center"/>
            <w:hideMark/>
          </w:tcPr>
          <w:p w14:paraId="4A56F5D4" w14:textId="77777777" w:rsidR="00567118" w:rsidRPr="00EC2FC5" w:rsidRDefault="00567118" w:rsidP="00B4795D">
            <w:pPr>
              <w:pStyle w:val="TableText0"/>
              <w:jc w:val="both"/>
            </w:pPr>
            <w:r w:rsidRPr="00EC2FC5">
              <w:t>Costs</w:t>
            </w:r>
          </w:p>
        </w:tc>
        <w:tc>
          <w:tcPr>
            <w:tcW w:w="1398" w:type="pct"/>
            <w:tcBorders>
              <w:top w:val="single" w:sz="4" w:space="0" w:color="auto"/>
              <w:left w:val="single" w:sz="4" w:space="0" w:color="auto"/>
              <w:bottom w:val="single" w:sz="4" w:space="0" w:color="auto"/>
              <w:right w:val="single" w:sz="4" w:space="0" w:color="auto"/>
            </w:tcBorders>
            <w:vAlign w:val="center"/>
            <w:hideMark/>
          </w:tcPr>
          <w:p w14:paraId="052194C5" w14:textId="43D9A22C" w:rsidR="00567118" w:rsidRPr="00EC2FC5" w:rsidRDefault="00567118" w:rsidP="00B4795D">
            <w:pPr>
              <w:pStyle w:val="TableText0"/>
              <w:jc w:val="center"/>
            </w:pPr>
            <w:r w:rsidRPr="00EC2FC5">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1275" w:type="pct"/>
            <w:gridSpan w:val="2"/>
            <w:tcBorders>
              <w:top w:val="single" w:sz="4" w:space="0" w:color="auto"/>
              <w:left w:val="single" w:sz="4" w:space="0" w:color="auto"/>
              <w:bottom w:val="single" w:sz="4" w:space="0" w:color="auto"/>
              <w:right w:val="single" w:sz="4" w:space="0" w:color="auto"/>
            </w:tcBorders>
            <w:vAlign w:val="center"/>
            <w:hideMark/>
          </w:tcPr>
          <w:p w14:paraId="745504D5" w14:textId="7930106A" w:rsidR="00567118" w:rsidRPr="00EC2FC5" w:rsidRDefault="00567118" w:rsidP="00B4795D">
            <w:pPr>
              <w:pStyle w:val="TableText0"/>
              <w:jc w:val="center"/>
            </w:pPr>
            <w:r w:rsidRPr="00EC2FC5">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vAlign w:val="center"/>
            <w:hideMark/>
          </w:tcPr>
          <w:p w14:paraId="7CA75337" w14:textId="5896F830" w:rsidR="00567118" w:rsidRPr="00EC2FC5" w:rsidRDefault="00567118" w:rsidP="00B4795D">
            <w:pPr>
              <w:pStyle w:val="TableText0"/>
              <w:jc w:val="center"/>
            </w:pPr>
            <w:r w:rsidRPr="00EC2FC5">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r>
      <w:tr w:rsidR="00567118" w:rsidRPr="00EC2FC5" w14:paraId="59D7C546" w14:textId="77777777" w:rsidTr="00AC2B40">
        <w:tc>
          <w:tcPr>
            <w:tcW w:w="1491" w:type="pct"/>
            <w:tcBorders>
              <w:top w:val="single" w:sz="4" w:space="0" w:color="auto"/>
              <w:left w:val="single" w:sz="4" w:space="0" w:color="auto"/>
              <w:bottom w:val="single" w:sz="4" w:space="0" w:color="auto"/>
              <w:right w:val="single" w:sz="4" w:space="0" w:color="auto"/>
            </w:tcBorders>
            <w:vAlign w:val="center"/>
            <w:hideMark/>
          </w:tcPr>
          <w:p w14:paraId="6C9E19B7" w14:textId="6D5724FD" w:rsidR="00567118" w:rsidRPr="00EC2FC5" w:rsidRDefault="00567118" w:rsidP="00B4795D">
            <w:pPr>
              <w:pStyle w:val="TableText0"/>
              <w:jc w:val="both"/>
            </w:pPr>
            <w:r w:rsidRPr="00EC2FC5">
              <w:t>LY</w:t>
            </w:r>
            <w:r w:rsidR="00BF4313" w:rsidRPr="00EC2FC5">
              <w:t>s</w:t>
            </w:r>
          </w:p>
        </w:tc>
        <w:tc>
          <w:tcPr>
            <w:tcW w:w="1398" w:type="pct"/>
            <w:tcBorders>
              <w:top w:val="single" w:sz="4" w:space="0" w:color="auto"/>
              <w:left w:val="single" w:sz="4" w:space="0" w:color="auto"/>
              <w:bottom w:val="single" w:sz="4" w:space="0" w:color="auto"/>
              <w:right w:val="single" w:sz="4" w:space="0" w:color="auto"/>
            </w:tcBorders>
            <w:vAlign w:val="center"/>
            <w:hideMark/>
          </w:tcPr>
          <w:p w14:paraId="084D83B6" w14:textId="77777777" w:rsidR="00567118" w:rsidRPr="00565C8B" w:rsidRDefault="00567118" w:rsidP="00B4795D">
            <w:pPr>
              <w:pStyle w:val="TableText0"/>
              <w:jc w:val="center"/>
              <w:rPr>
                <w:rFonts w:cs="Arial"/>
                <w:color w:val="000000"/>
              </w:rPr>
            </w:pPr>
            <w:r w:rsidRPr="00565C8B">
              <w:rPr>
                <w:rFonts w:eastAsia="Calibri" w:cs="Times New Roman"/>
                <w:szCs w:val="20"/>
              </w:rPr>
              <w:t>1.97</w:t>
            </w:r>
          </w:p>
        </w:tc>
        <w:tc>
          <w:tcPr>
            <w:tcW w:w="1275" w:type="pct"/>
            <w:gridSpan w:val="2"/>
            <w:tcBorders>
              <w:top w:val="single" w:sz="4" w:space="0" w:color="auto"/>
              <w:left w:val="single" w:sz="4" w:space="0" w:color="auto"/>
              <w:bottom w:val="single" w:sz="4" w:space="0" w:color="auto"/>
              <w:right w:val="single" w:sz="4" w:space="0" w:color="auto"/>
            </w:tcBorders>
            <w:vAlign w:val="center"/>
            <w:hideMark/>
          </w:tcPr>
          <w:p w14:paraId="20C284E8" w14:textId="77777777" w:rsidR="00567118" w:rsidRPr="00565C8B" w:rsidRDefault="00567118" w:rsidP="00B4795D">
            <w:pPr>
              <w:pStyle w:val="TableText0"/>
              <w:jc w:val="center"/>
              <w:rPr>
                <w:rFonts w:cs="Arial"/>
                <w:color w:val="000000"/>
              </w:rPr>
            </w:pPr>
            <w:r w:rsidRPr="00565C8B">
              <w:rPr>
                <w:rFonts w:eastAsia="Calibri" w:cs="Times New Roman"/>
                <w:szCs w:val="20"/>
              </w:rPr>
              <w:t>1.80</w:t>
            </w:r>
          </w:p>
        </w:tc>
        <w:tc>
          <w:tcPr>
            <w:tcW w:w="836" w:type="pct"/>
            <w:tcBorders>
              <w:top w:val="single" w:sz="4" w:space="0" w:color="auto"/>
              <w:left w:val="single" w:sz="4" w:space="0" w:color="auto"/>
              <w:bottom w:val="single" w:sz="4" w:space="0" w:color="auto"/>
              <w:right w:val="single" w:sz="4" w:space="0" w:color="auto"/>
            </w:tcBorders>
            <w:vAlign w:val="center"/>
            <w:hideMark/>
          </w:tcPr>
          <w:p w14:paraId="61717D10" w14:textId="77777777" w:rsidR="00567118" w:rsidRPr="00BD14F9" w:rsidRDefault="00567118" w:rsidP="00B4795D">
            <w:pPr>
              <w:pStyle w:val="TableText0"/>
              <w:jc w:val="center"/>
              <w:rPr>
                <w:rFonts w:cs="Arial"/>
                <w:color w:val="000000"/>
              </w:rPr>
            </w:pPr>
            <w:r w:rsidRPr="00BD14F9">
              <w:rPr>
                <w:rFonts w:eastAsia="Calibri" w:cs="Times New Roman"/>
                <w:szCs w:val="20"/>
              </w:rPr>
              <w:t>0.17</w:t>
            </w:r>
          </w:p>
        </w:tc>
      </w:tr>
      <w:tr w:rsidR="00567118" w:rsidRPr="005A293B" w14:paraId="54AAAC51" w14:textId="77777777" w:rsidTr="00AC2B40">
        <w:tc>
          <w:tcPr>
            <w:tcW w:w="4164" w:type="pct"/>
            <w:gridSpan w:val="4"/>
            <w:tcBorders>
              <w:top w:val="single" w:sz="4" w:space="0" w:color="auto"/>
              <w:left w:val="single" w:sz="4" w:space="0" w:color="auto"/>
              <w:bottom w:val="single" w:sz="4" w:space="0" w:color="auto"/>
              <w:right w:val="single" w:sz="4" w:space="0" w:color="auto"/>
            </w:tcBorders>
            <w:vAlign w:val="center"/>
            <w:hideMark/>
          </w:tcPr>
          <w:p w14:paraId="45B7EEF0" w14:textId="77777777" w:rsidR="00567118" w:rsidRPr="00EC2FC5" w:rsidRDefault="00567118" w:rsidP="00B4795D">
            <w:pPr>
              <w:pStyle w:val="TableText0"/>
              <w:jc w:val="both"/>
            </w:pPr>
            <w:r w:rsidRPr="00EC2FC5">
              <w:t>Incremental cost/extra LY gained</w:t>
            </w:r>
          </w:p>
        </w:tc>
        <w:tc>
          <w:tcPr>
            <w:tcW w:w="836" w:type="pct"/>
            <w:tcBorders>
              <w:top w:val="single" w:sz="4" w:space="0" w:color="auto"/>
              <w:left w:val="single" w:sz="4" w:space="0" w:color="auto"/>
              <w:bottom w:val="single" w:sz="4" w:space="0" w:color="auto"/>
              <w:right w:val="single" w:sz="4" w:space="0" w:color="auto"/>
            </w:tcBorders>
            <w:vAlign w:val="center"/>
            <w:hideMark/>
          </w:tcPr>
          <w:p w14:paraId="3C56453B" w14:textId="1739584F" w:rsidR="00567118" w:rsidRPr="005A293B" w:rsidRDefault="00567118" w:rsidP="00B4795D">
            <w:pPr>
              <w:pStyle w:val="TableText0"/>
              <w:jc w:val="center"/>
              <w:rPr>
                <w:rFonts w:cs="Arial"/>
                <w:i/>
                <w:color w:val="000000"/>
              </w:rPr>
            </w:pPr>
            <w:r w:rsidRPr="00EC2FC5">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r w:rsidR="00591172" w:rsidRPr="00591172">
              <w:rPr>
                <w:rFonts w:eastAsia="Calibri" w:cs="Times New Roman"/>
                <w:szCs w:val="20"/>
                <w:vertAlign w:val="superscript"/>
              </w:rPr>
              <w:t>1</w:t>
            </w:r>
          </w:p>
        </w:tc>
      </w:tr>
      <w:tr w:rsidR="00567118" w:rsidRPr="005A293B" w14:paraId="6339E130" w14:textId="77777777" w:rsidTr="00AC2B40">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A84C9AD" w14:textId="43191323" w:rsidR="00567118" w:rsidRPr="005A293B" w:rsidRDefault="00567118" w:rsidP="00B4795D">
            <w:pPr>
              <w:pStyle w:val="TableText0"/>
              <w:jc w:val="both"/>
              <w:rPr>
                <w:b/>
              </w:rPr>
            </w:pPr>
            <w:r w:rsidRPr="005A293B">
              <w:rPr>
                <w:b/>
              </w:rPr>
              <w:t xml:space="preserve">Step 2: Extrapolation of </w:t>
            </w:r>
            <w:r w:rsidR="004364A1" w:rsidRPr="005A293B">
              <w:rPr>
                <w:b/>
              </w:rPr>
              <w:t>r</w:t>
            </w:r>
            <w:r w:rsidRPr="005A293B">
              <w:rPr>
                <w:b/>
              </w:rPr>
              <w:t>PFS, OS and TTD to horizon</w:t>
            </w:r>
          </w:p>
        </w:tc>
      </w:tr>
      <w:tr w:rsidR="00567118" w:rsidRPr="005A293B" w14:paraId="77BAA8F5" w14:textId="77777777" w:rsidTr="00AC2B40">
        <w:tc>
          <w:tcPr>
            <w:tcW w:w="1491" w:type="pct"/>
            <w:tcBorders>
              <w:top w:val="single" w:sz="4" w:space="0" w:color="auto"/>
              <w:left w:val="single" w:sz="4" w:space="0" w:color="auto"/>
              <w:bottom w:val="single" w:sz="4" w:space="0" w:color="auto"/>
              <w:right w:val="single" w:sz="4" w:space="0" w:color="auto"/>
            </w:tcBorders>
            <w:vAlign w:val="center"/>
            <w:hideMark/>
          </w:tcPr>
          <w:p w14:paraId="3E80EB7E" w14:textId="77777777" w:rsidR="00567118" w:rsidRPr="005A293B" w:rsidRDefault="00567118" w:rsidP="00B4795D">
            <w:pPr>
              <w:pStyle w:val="TableText0"/>
              <w:jc w:val="both"/>
              <w:rPr>
                <w:rFonts w:ascii="Times" w:hAnsi="Times"/>
              </w:rPr>
            </w:pPr>
            <w:r w:rsidRPr="005A293B">
              <w:t>Costs</w:t>
            </w:r>
          </w:p>
        </w:tc>
        <w:tc>
          <w:tcPr>
            <w:tcW w:w="1398" w:type="pct"/>
            <w:tcBorders>
              <w:top w:val="single" w:sz="4" w:space="0" w:color="auto"/>
              <w:left w:val="single" w:sz="4" w:space="0" w:color="auto"/>
              <w:bottom w:val="single" w:sz="4" w:space="0" w:color="auto"/>
              <w:right w:val="single" w:sz="4" w:space="0" w:color="auto"/>
            </w:tcBorders>
            <w:vAlign w:val="center"/>
            <w:hideMark/>
          </w:tcPr>
          <w:p w14:paraId="72D720AE" w14:textId="5E20187C" w:rsidR="00567118" w:rsidRPr="005A293B" w:rsidRDefault="00567118" w:rsidP="00B4795D">
            <w:pPr>
              <w:pStyle w:val="TableText0"/>
              <w:jc w:val="cente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1275" w:type="pct"/>
            <w:gridSpan w:val="2"/>
            <w:tcBorders>
              <w:top w:val="single" w:sz="4" w:space="0" w:color="auto"/>
              <w:left w:val="single" w:sz="4" w:space="0" w:color="auto"/>
              <w:bottom w:val="single" w:sz="4" w:space="0" w:color="auto"/>
              <w:right w:val="single" w:sz="4" w:space="0" w:color="auto"/>
            </w:tcBorders>
            <w:vAlign w:val="center"/>
            <w:hideMark/>
          </w:tcPr>
          <w:p w14:paraId="420DA03B" w14:textId="14C2CBCE" w:rsidR="00567118" w:rsidRPr="005A293B" w:rsidRDefault="00567118" w:rsidP="00B4795D">
            <w:pPr>
              <w:pStyle w:val="TableText0"/>
              <w:jc w:val="cente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vAlign w:val="bottom"/>
            <w:hideMark/>
          </w:tcPr>
          <w:p w14:paraId="1FC8DC5D" w14:textId="105F8D18" w:rsidR="00567118" w:rsidRPr="005A293B" w:rsidRDefault="00567118" w:rsidP="00B4795D">
            <w:pPr>
              <w:pStyle w:val="TableText0"/>
              <w:jc w:val="cente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r>
      <w:tr w:rsidR="00567118" w:rsidRPr="005A293B" w14:paraId="1D21BF25" w14:textId="77777777" w:rsidTr="00AC2B40">
        <w:tc>
          <w:tcPr>
            <w:tcW w:w="1491" w:type="pct"/>
            <w:tcBorders>
              <w:top w:val="single" w:sz="4" w:space="0" w:color="auto"/>
              <w:left w:val="single" w:sz="4" w:space="0" w:color="auto"/>
              <w:bottom w:val="single" w:sz="4" w:space="0" w:color="auto"/>
              <w:right w:val="single" w:sz="4" w:space="0" w:color="auto"/>
            </w:tcBorders>
            <w:vAlign w:val="center"/>
            <w:hideMark/>
          </w:tcPr>
          <w:p w14:paraId="4EF0C2A7" w14:textId="7E9026A5" w:rsidR="00567118" w:rsidRPr="005A293B" w:rsidRDefault="00567118" w:rsidP="00B4795D">
            <w:pPr>
              <w:pStyle w:val="TableText0"/>
              <w:jc w:val="both"/>
            </w:pPr>
            <w:r w:rsidRPr="005A293B">
              <w:t>LY</w:t>
            </w:r>
            <w:r w:rsidR="00BF4313">
              <w:t>s</w:t>
            </w:r>
          </w:p>
        </w:tc>
        <w:tc>
          <w:tcPr>
            <w:tcW w:w="1398" w:type="pct"/>
            <w:tcBorders>
              <w:top w:val="single" w:sz="4" w:space="0" w:color="auto"/>
              <w:left w:val="single" w:sz="4" w:space="0" w:color="auto"/>
              <w:bottom w:val="single" w:sz="4" w:space="0" w:color="auto"/>
              <w:right w:val="single" w:sz="4" w:space="0" w:color="auto"/>
            </w:tcBorders>
            <w:vAlign w:val="center"/>
            <w:hideMark/>
          </w:tcPr>
          <w:p w14:paraId="0568600E" w14:textId="77777777" w:rsidR="00567118" w:rsidRPr="00565C8B" w:rsidRDefault="00567118" w:rsidP="00B4795D">
            <w:pPr>
              <w:pStyle w:val="TableText0"/>
              <w:jc w:val="center"/>
            </w:pPr>
            <w:r w:rsidRPr="00565C8B">
              <w:rPr>
                <w:rFonts w:eastAsia="Calibri" w:cs="Times New Roman"/>
                <w:szCs w:val="20"/>
              </w:rPr>
              <w:t>3.65</w:t>
            </w:r>
          </w:p>
        </w:tc>
        <w:tc>
          <w:tcPr>
            <w:tcW w:w="1275" w:type="pct"/>
            <w:gridSpan w:val="2"/>
            <w:tcBorders>
              <w:top w:val="single" w:sz="4" w:space="0" w:color="auto"/>
              <w:left w:val="single" w:sz="4" w:space="0" w:color="auto"/>
              <w:bottom w:val="single" w:sz="4" w:space="0" w:color="auto"/>
              <w:right w:val="single" w:sz="4" w:space="0" w:color="auto"/>
            </w:tcBorders>
            <w:vAlign w:val="center"/>
            <w:hideMark/>
          </w:tcPr>
          <w:p w14:paraId="1039B555" w14:textId="77777777" w:rsidR="00567118" w:rsidRPr="00565C8B" w:rsidRDefault="00567118" w:rsidP="00B4795D">
            <w:pPr>
              <w:pStyle w:val="TableText0"/>
              <w:jc w:val="center"/>
            </w:pPr>
            <w:r w:rsidRPr="00565C8B">
              <w:rPr>
                <w:rFonts w:eastAsia="Calibri" w:cs="Times New Roman"/>
                <w:szCs w:val="20"/>
              </w:rPr>
              <w:t>2.71</w:t>
            </w:r>
          </w:p>
        </w:tc>
        <w:tc>
          <w:tcPr>
            <w:tcW w:w="836" w:type="pct"/>
            <w:tcBorders>
              <w:top w:val="single" w:sz="4" w:space="0" w:color="auto"/>
              <w:left w:val="single" w:sz="4" w:space="0" w:color="auto"/>
              <w:bottom w:val="single" w:sz="4" w:space="0" w:color="auto"/>
              <w:right w:val="single" w:sz="4" w:space="0" w:color="auto"/>
            </w:tcBorders>
            <w:vAlign w:val="bottom"/>
            <w:hideMark/>
          </w:tcPr>
          <w:p w14:paraId="10EE32DB" w14:textId="77777777" w:rsidR="00567118" w:rsidRPr="00BD14F9" w:rsidRDefault="00567118" w:rsidP="00B4795D">
            <w:pPr>
              <w:pStyle w:val="TableText0"/>
              <w:jc w:val="center"/>
            </w:pPr>
            <w:r w:rsidRPr="00BD14F9">
              <w:rPr>
                <w:rFonts w:eastAsia="Calibri" w:cs="Times New Roman"/>
                <w:szCs w:val="20"/>
              </w:rPr>
              <w:t>0.95</w:t>
            </w:r>
          </w:p>
        </w:tc>
      </w:tr>
      <w:tr w:rsidR="00567118" w:rsidRPr="005A293B" w14:paraId="2E170A5F" w14:textId="77777777" w:rsidTr="00AC2B40">
        <w:tc>
          <w:tcPr>
            <w:tcW w:w="4164" w:type="pct"/>
            <w:gridSpan w:val="4"/>
            <w:tcBorders>
              <w:top w:val="single" w:sz="4" w:space="0" w:color="auto"/>
              <w:left w:val="single" w:sz="4" w:space="0" w:color="auto"/>
              <w:bottom w:val="single" w:sz="4" w:space="0" w:color="auto"/>
              <w:right w:val="single" w:sz="4" w:space="0" w:color="auto"/>
            </w:tcBorders>
            <w:vAlign w:val="center"/>
            <w:hideMark/>
          </w:tcPr>
          <w:p w14:paraId="32AEC223" w14:textId="77777777" w:rsidR="00567118" w:rsidRPr="005A293B" w:rsidRDefault="00567118" w:rsidP="00B4795D">
            <w:pPr>
              <w:pStyle w:val="TableText0"/>
              <w:jc w:val="both"/>
            </w:pPr>
            <w:r w:rsidRPr="005A293B">
              <w:t>Incremental cost/extra LY gained</w:t>
            </w:r>
          </w:p>
        </w:tc>
        <w:tc>
          <w:tcPr>
            <w:tcW w:w="836" w:type="pct"/>
            <w:tcBorders>
              <w:top w:val="single" w:sz="4" w:space="0" w:color="auto"/>
              <w:left w:val="single" w:sz="4" w:space="0" w:color="auto"/>
              <w:bottom w:val="single" w:sz="4" w:space="0" w:color="auto"/>
              <w:right w:val="single" w:sz="4" w:space="0" w:color="auto"/>
            </w:tcBorders>
            <w:vAlign w:val="bottom"/>
            <w:hideMark/>
          </w:tcPr>
          <w:p w14:paraId="755A8E6E" w14:textId="2ADF502B" w:rsidR="00567118" w:rsidRPr="005A293B" w:rsidRDefault="00567118" w:rsidP="00B4795D">
            <w:pPr>
              <w:pStyle w:val="TableText0"/>
              <w:jc w:val="cente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r w:rsidR="00591172" w:rsidRPr="00591172">
              <w:rPr>
                <w:rFonts w:eastAsia="Calibri" w:cs="Times New Roman"/>
                <w:szCs w:val="20"/>
                <w:vertAlign w:val="superscript"/>
              </w:rPr>
              <w:t>2</w:t>
            </w:r>
          </w:p>
        </w:tc>
      </w:tr>
      <w:tr w:rsidR="00567118" w:rsidRPr="005A293B" w14:paraId="5EED20C4" w14:textId="77777777" w:rsidTr="00AC2B40">
        <w:tc>
          <w:tcPr>
            <w:tcW w:w="5000" w:type="pct"/>
            <w:gridSpan w:val="5"/>
            <w:tcBorders>
              <w:top w:val="single" w:sz="4" w:space="0" w:color="auto"/>
              <w:left w:val="single" w:sz="4" w:space="0" w:color="auto"/>
              <w:bottom w:val="single" w:sz="4" w:space="0" w:color="auto"/>
              <w:right w:val="single" w:sz="4" w:space="0" w:color="auto"/>
            </w:tcBorders>
            <w:vAlign w:val="center"/>
          </w:tcPr>
          <w:p w14:paraId="740E2D4F" w14:textId="77777777" w:rsidR="00567118" w:rsidRPr="005A293B" w:rsidRDefault="00567118" w:rsidP="00B4795D">
            <w:pPr>
              <w:pStyle w:val="TableText0"/>
              <w:jc w:val="both"/>
              <w:rPr>
                <w:rFonts w:eastAsia="Calibri" w:cs="Times New Roman"/>
                <w:b/>
                <w:bCs w:val="0"/>
                <w:szCs w:val="20"/>
              </w:rPr>
            </w:pPr>
            <w:r w:rsidRPr="005A293B">
              <w:rPr>
                <w:rFonts w:eastAsia="Calibri" w:cs="Times New Roman"/>
                <w:b/>
                <w:bCs w:val="0"/>
                <w:szCs w:val="20"/>
              </w:rPr>
              <w:t>Step 3: Transformation of LYs to QALYs</w:t>
            </w:r>
          </w:p>
        </w:tc>
      </w:tr>
      <w:tr w:rsidR="00567118" w:rsidRPr="005A293B" w14:paraId="0A10FE22" w14:textId="77777777" w:rsidTr="00AC2B40">
        <w:tc>
          <w:tcPr>
            <w:tcW w:w="1491" w:type="pct"/>
            <w:tcBorders>
              <w:top w:val="single" w:sz="4" w:space="0" w:color="auto"/>
              <w:left w:val="single" w:sz="4" w:space="0" w:color="auto"/>
              <w:bottom w:val="single" w:sz="4" w:space="0" w:color="auto"/>
              <w:right w:val="single" w:sz="4" w:space="0" w:color="auto"/>
            </w:tcBorders>
          </w:tcPr>
          <w:p w14:paraId="4A0EDCCA" w14:textId="77777777" w:rsidR="00567118" w:rsidRPr="005A293B" w:rsidRDefault="00567118" w:rsidP="00B4795D">
            <w:pPr>
              <w:pStyle w:val="TableText0"/>
              <w:jc w:val="both"/>
            </w:pPr>
            <w:r w:rsidRPr="005A293B">
              <w:rPr>
                <w:rFonts w:eastAsia="Calibri" w:cs="Times New Roman"/>
                <w:szCs w:val="20"/>
              </w:rPr>
              <w:t>Costs</w:t>
            </w:r>
          </w:p>
        </w:tc>
        <w:tc>
          <w:tcPr>
            <w:tcW w:w="1398" w:type="pct"/>
            <w:tcBorders>
              <w:top w:val="single" w:sz="4" w:space="0" w:color="auto"/>
              <w:left w:val="single" w:sz="4" w:space="0" w:color="auto"/>
              <w:bottom w:val="single" w:sz="4" w:space="0" w:color="auto"/>
              <w:right w:val="single" w:sz="4" w:space="0" w:color="auto"/>
            </w:tcBorders>
            <w:vAlign w:val="center"/>
          </w:tcPr>
          <w:p w14:paraId="37390634" w14:textId="729C2218" w:rsidR="00567118" w:rsidRPr="005A293B" w:rsidRDefault="00567118" w:rsidP="00B4795D">
            <w:pPr>
              <w:pStyle w:val="TableText0"/>
              <w:jc w:val="cente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21AFC40C" w14:textId="393B5110" w:rsidR="00567118" w:rsidRPr="005A293B" w:rsidRDefault="00567118" w:rsidP="00B4795D">
            <w:pPr>
              <w:pStyle w:val="TableText0"/>
              <w:jc w:val="cente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vAlign w:val="center"/>
          </w:tcPr>
          <w:p w14:paraId="6F00BAF3" w14:textId="37CBD847" w:rsidR="00567118" w:rsidRPr="005A293B" w:rsidRDefault="00567118" w:rsidP="00B4795D">
            <w:pPr>
              <w:pStyle w:val="TableText0"/>
              <w:jc w:val="center"/>
              <w:rPr>
                <w:rFonts w:eastAsia="Calibri" w:cs="Times New Roman"/>
                <w:szCs w:val="20"/>
              </w:rP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r>
      <w:tr w:rsidR="00567118" w:rsidRPr="005A293B" w14:paraId="3E849E30" w14:textId="77777777" w:rsidTr="00AC2B40">
        <w:tc>
          <w:tcPr>
            <w:tcW w:w="1491" w:type="pct"/>
            <w:tcBorders>
              <w:top w:val="single" w:sz="4" w:space="0" w:color="auto"/>
              <w:left w:val="single" w:sz="4" w:space="0" w:color="auto"/>
              <w:bottom w:val="single" w:sz="4" w:space="0" w:color="auto"/>
              <w:right w:val="single" w:sz="4" w:space="0" w:color="auto"/>
            </w:tcBorders>
          </w:tcPr>
          <w:p w14:paraId="48F20996" w14:textId="77777777" w:rsidR="00567118" w:rsidRPr="005A293B" w:rsidRDefault="00567118" w:rsidP="00B4795D">
            <w:pPr>
              <w:pStyle w:val="TableText0"/>
              <w:jc w:val="both"/>
            </w:pPr>
            <w:r w:rsidRPr="005A293B">
              <w:rPr>
                <w:rFonts w:eastAsia="Calibri" w:cs="Times New Roman"/>
                <w:szCs w:val="20"/>
              </w:rPr>
              <w:t>QALYs</w:t>
            </w:r>
          </w:p>
        </w:tc>
        <w:tc>
          <w:tcPr>
            <w:tcW w:w="1398" w:type="pct"/>
            <w:tcBorders>
              <w:top w:val="single" w:sz="4" w:space="0" w:color="auto"/>
              <w:left w:val="single" w:sz="4" w:space="0" w:color="auto"/>
              <w:bottom w:val="single" w:sz="4" w:space="0" w:color="auto"/>
              <w:right w:val="single" w:sz="4" w:space="0" w:color="auto"/>
            </w:tcBorders>
            <w:vAlign w:val="center"/>
          </w:tcPr>
          <w:p w14:paraId="086691EB" w14:textId="77777777" w:rsidR="00567118" w:rsidRPr="00565C8B" w:rsidRDefault="00567118" w:rsidP="00B4795D">
            <w:pPr>
              <w:pStyle w:val="TableText0"/>
              <w:jc w:val="center"/>
            </w:pPr>
            <w:r w:rsidRPr="00565C8B">
              <w:rPr>
                <w:rFonts w:eastAsia="Calibri" w:cs="Times New Roman"/>
                <w:szCs w:val="20"/>
              </w:rPr>
              <w:t>2.78</w:t>
            </w: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61F8905A" w14:textId="77777777" w:rsidR="00567118" w:rsidRPr="00565C8B" w:rsidRDefault="00567118" w:rsidP="00B4795D">
            <w:pPr>
              <w:pStyle w:val="TableText0"/>
              <w:jc w:val="center"/>
            </w:pPr>
            <w:r w:rsidRPr="00565C8B">
              <w:rPr>
                <w:rFonts w:eastAsia="Calibri" w:cs="Times New Roman"/>
                <w:szCs w:val="20"/>
              </w:rPr>
              <w:t>1.79</w:t>
            </w:r>
          </w:p>
        </w:tc>
        <w:tc>
          <w:tcPr>
            <w:tcW w:w="836" w:type="pct"/>
            <w:tcBorders>
              <w:top w:val="single" w:sz="4" w:space="0" w:color="auto"/>
              <w:left w:val="single" w:sz="4" w:space="0" w:color="auto"/>
              <w:bottom w:val="single" w:sz="4" w:space="0" w:color="auto"/>
              <w:right w:val="single" w:sz="4" w:space="0" w:color="auto"/>
            </w:tcBorders>
            <w:vAlign w:val="center"/>
          </w:tcPr>
          <w:p w14:paraId="17C6BE70" w14:textId="77777777" w:rsidR="00567118" w:rsidRPr="00BD14F9" w:rsidRDefault="00567118" w:rsidP="00B4795D">
            <w:pPr>
              <w:pStyle w:val="TableText0"/>
              <w:jc w:val="center"/>
              <w:rPr>
                <w:rFonts w:eastAsia="Calibri" w:cs="Times New Roman"/>
                <w:szCs w:val="20"/>
              </w:rPr>
            </w:pPr>
            <w:r w:rsidRPr="00BD14F9">
              <w:rPr>
                <w:rFonts w:eastAsia="Calibri" w:cs="Times New Roman"/>
                <w:szCs w:val="20"/>
              </w:rPr>
              <w:t>0.98</w:t>
            </w:r>
          </w:p>
        </w:tc>
      </w:tr>
      <w:tr w:rsidR="00567118" w:rsidRPr="005A293B" w14:paraId="268FC242" w14:textId="77777777" w:rsidTr="00AC2B40">
        <w:tc>
          <w:tcPr>
            <w:tcW w:w="4164" w:type="pct"/>
            <w:gridSpan w:val="4"/>
            <w:tcBorders>
              <w:top w:val="single" w:sz="4" w:space="0" w:color="auto"/>
              <w:left w:val="single" w:sz="4" w:space="0" w:color="auto"/>
              <w:bottom w:val="single" w:sz="4" w:space="0" w:color="auto"/>
              <w:right w:val="single" w:sz="4" w:space="0" w:color="auto"/>
            </w:tcBorders>
          </w:tcPr>
          <w:p w14:paraId="00B56691" w14:textId="77777777" w:rsidR="00567118" w:rsidRPr="005A293B" w:rsidRDefault="00567118" w:rsidP="00B4795D">
            <w:pPr>
              <w:pStyle w:val="TableText0"/>
              <w:jc w:val="both"/>
            </w:pPr>
            <w:r w:rsidRPr="005A293B">
              <w:rPr>
                <w:rFonts w:eastAsia="Calibri" w:cs="Times New Roman"/>
                <w:szCs w:val="20"/>
              </w:rPr>
              <w:t>Incremental cost/QALY gained</w:t>
            </w:r>
          </w:p>
        </w:tc>
        <w:tc>
          <w:tcPr>
            <w:tcW w:w="836" w:type="pct"/>
            <w:tcBorders>
              <w:top w:val="single" w:sz="4" w:space="0" w:color="auto"/>
              <w:left w:val="single" w:sz="4" w:space="0" w:color="auto"/>
              <w:bottom w:val="single" w:sz="4" w:space="0" w:color="auto"/>
              <w:right w:val="single" w:sz="4" w:space="0" w:color="auto"/>
            </w:tcBorders>
            <w:vAlign w:val="center"/>
          </w:tcPr>
          <w:p w14:paraId="4A2C74F5" w14:textId="3FDC9AAB" w:rsidR="00567118" w:rsidRPr="005A293B" w:rsidRDefault="00567118" w:rsidP="00B4795D">
            <w:pPr>
              <w:pStyle w:val="TableText0"/>
              <w:jc w:val="center"/>
              <w:rPr>
                <w:rFonts w:eastAsia="Calibri" w:cs="Times New Roman"/>
                <w:szCs w:val="20"/>
              </w:rP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r w:rsidR="00591172" w:rsidRPr="00591172">
              <w:rPr>
                <w:rFonts w:eastAsia="Calibri" w:cs="Times New Roman"/>
                <w:szCs w:val="20"/>
                <w:vertAlign w:val="superscript"/>
              </w:rPr>
              <w:t>2</w:t>
            </w:r>
          </w:p>
        </w:tc>
      </w:tr>
      <w:tr w:rsidR="009B1B01" w:rsidRPr="005A293B" w14:paraId="11B75ED1" w14:textId="77777777" w:rsidTr="00AC2B40">
        <w:tc>
          <w:tcPr>
            <w:tcW w:w="5000" w:type="pct"/>
            <w:gridSpan w:val="5"/>
            <w:vAlign w:val="center"/>
          </w:tcPr>
          <w:p w14:paraId="1ADC550C" w14:textId="5FEFCA71" w:rsidR="009B1B01" w:rsidRPr="005A293B" w:rsidRDefault="00567118" w:rsidP="00B4795D">
            <w:pPr>
              <w:pStyle w:val="In-tableHeading"/>
              <w:rPr>
                <w:lang w:val="en-AU"/>
              </w:rPr>
            </w:pPr>
            <w:r w:rsidRPr="005A293B">
              <w:rPr>
                <w:lang w:val="en-AU"/>
              </w:rPr>
              <w:t>Step 4: Discounting costs and QALYs at 5%</w:t>
            </w:r>
          </w:p>
        </w:tc>
      </w:tr>
      <w:tr w:rsidR="00567118" w:rsidRPr="005A293B" w14:paraId="73EB9497" w14:textId="77777777" w:rsidTr="00AC2B40">
        <w:tc>
          <w:tcPr>
            <w:tcW w:w="1491" w:type="pct"/>
            <w:vAlign w:val="center"/>
          </w:tcPr>
          <w:p w14:paraId="42BD26E8" w14:textId="77777777" w:rsidR="00567118" w:rsidRPr="005A293B" w:rsidRDefault="00567118" w:rsidP="00B4795D">
            <w:pPr>
              <w:pStyle w:val="TableText0"/>
              <w:rPr>
                <w:rFonts w:ascii="Times" w:hAnsi="Times"/>
              </w:rPr>
            </w:pPr>
            <w:r w:rsidRPr="005A293B">
              <w:t>Costs (all costs, discounted)</w:t>
            </w:r>
          </w:p>
        </w:tc>
        <w:tc>
          <w:tcPr>
            <w:tcW w:w="1415" w:type="pct"/>
            <w:gridSpan w:val="2"/>
            <w:vAlign w:val="center"/>
          </w:tcPr>
          <w:p w14:paraId="6D8A67D9" w14:textId="6ACAC971" w:rsidR="00567118" w:rsidRPr="005A293B" w:rsidRDefault="00567118" w:rsidP="00B4795D">
            <w:pPr>
              <w:pStyle w:val="TableText0"/>
              <w:jc w:val="center"/>
              <w:rPr>
                <w:rFonts w:ascii="Times" w:hAnsi="Times"/>
              </w:rP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1258" w:type="pct"/>
            <w:vAlign w:val="center"/>
          </w:tcPr>
          <w:p w14:paraId="71BEDA4D" w14:textId="259C9BAE" w:rsidR="00567118" w:rsidRPr="005A293B" w:rsidRDefault="00567118" w:rsidP="00B4795D">
            <w:pPr>
              <w:pStyle w:val="TableText0"/>
              <w:jc w:val="center"/>
              <w:rPr>
                <w:rFonts w:ascii="Times" w:hAnsi="Times"/>
              </w:rP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c>
          <w:tcPr>
            <w:tcW w:w="836" w:type="pct"/>
            <w:vAlign w:val="center"/>
          </w:tcPr>
          <w:p w14:paraId="41C9C085" w14:textId="5C87C2AA" w:rsidR="00567118" w:rsidRPr="005A293B" w:rsidRDefault="00567118" w:rsidP="00B4795D">
            <w:pPr>
              <w:pStyle w:val="TableText0"/>
              <w:jc w:val="center"/>
              <w:rPr>
                <w:rFonts w:ascii="Times" w:hAnsi="Times"/>
              </w:rPr>
            </w:pPr>
            <w:r w:rsidRPr="005A293B">
              <w:rPr>
                <w:rFonts w:eastAsia="Calibri" w:cs="Times New Roman"/>
                <w:szCs w:val="20"/>
              </w:rPr>
              <w:t>$</w:t>
            </w:r>
            <w:r w:rsidR="00D62519" w:rsidRPr="00D62519">
              <w:rPr>
                <w:rFonts w:eastAsia="Calibri" w:cs="Times New Roman"/>
                <w:color w:val="000000"/>
                <w:szCs w:val="20"/>
                <w:shd w:val="solid" w:color="000000" w:fill="000000"/>
                <w14:textFill>
                  <w14:solidFill>
                    <w14:srgbClr w14:val="000000">
                      <w14:alpha w14:val="100000"/>
                    </w14:srgbClr>
                  </w14:solidFill>
                </w14:textFill>
              </w:rPr>
              <w:t>|</w:t>
            </w:r>
          </w:p>
        </w:tc>
      </w:tr>
      <w:tr w:rsidR="00567118" w:rsidRPr="005A293B" w14:paraId="51EDCACA" w14:textId="77777777" w:rsidTr="00AC2B40">
        <w:tc>
          <w:tcPr>
            <w:tcW w:w="1491" w:type="pct"/>
            <w:vAlign w:val="center"/>
          </w:tcPr>
          <w:p w14:paraId="41362720" w14:textId="77777777" w:rsidR="00567118" w:rsidRPr="005A293B" w:rsidRDefault="00567118" w:rsidP="00B4795D">
            <w:pPr>
              <w:pStyle w:val="TableText0"/>
            </w:pPr>
            <w:r w:rsidRPr="005A293B">
              <w:t>QALY</w:t>
            </w:r>
          </w:p>
        </w:tc>
        <w:tc>
          <w:tcPr>
            <w:tcW w:w="1415" w:type="pct"/>
            <w:gridSpan w:val="2"/>
            <w:vAlign w:val="center"/>
          </w:tcPr>
          <w:p w14:paraId="5587D243" w14:textId="2A0F5C8E" w:rsidR="00567118" w:rsidRPr="00565C8B" w:rsidRDefault="00567118" w:rsidP="00B4795D">
            <w:pPr>
              <w:pStyle w:val="TableText0"/>
              <w:jc w:val="center"/>
            </w:pPr>
            <w:r w:rsidRPr="00565C8B">
              <w:rPr>
                <w:rFonts w:eastAsia="Calibri" w:cs="Times New Roman"/>
                <w:szCs w:val="20"/>
              </w:rPr>
              <w:t>2.50</w:t>
            </w:r>
          </w:p>
        </w:tc>
        <w:tc>
          <w:tcPr>
            <w:tcW w:w="1258" w:type="pct"/>
            <w:vAlign w:val="center"/>
          </w:tcPr>
          <w:p w14:paraId="569A33CC" w14:textId="0425D129" w:rsidR="00567118" w:rsidRPr="00565C8B" w:rsidRDefault="00567118" w:rsidP="00B4795D">
            <w:pPr>
              <w:pStyle w:val="TableText0"/>
              <w:jc w:val="center"/>
            </w:pPr>
            <w:r w:rsidRPr="00565C8B">
              <w:rPr>
                <w:rFonts w:eastAsia="Calibri" w:cs="Times New Roman"/>
                <w:szCs w:val="20"/>
              </w:rPr>
              <w:t>1.65</w:t>
            </w:r>
          </w:p>
        </w:tc>
        <w:tc>
          <w:tcPr>
            <w:tcW w:w="836" w:type="pct"/>
            <w:vAlign w:val="center"/>
          </w:tcPr>
          <w:p w14:paraId="74C202AE" w14:textId="56ABBA15" w:rsidR="00567118" w:rsidRPr="00BD14F9" w:rsidRDefault="00567118" w:rsidP="00B4795D">
            <w:pPr>
              <w:pStyle w:val="TableText0"/>
              <w:jc w:val="center"/>
            </w:pPr>
            <w:r w:rsidRPr="00BD14F9">
              <w:rPr>
                <w:rFonts w:eastAsia="Calibri" w:cs="Times New Roman"/>
                <w:szCs w:val="20"/>
              </w:rPr>
              <w:t>0.85</w:t>
            </w:r>
          </w:p>
        </w:tc>
      </w:tr>
      <w:tr w:rsidR="009B1B01" w:rsidRPr="005A293B" w14:paraId="0B3C1794" w14:textId="77777777" w:rsidTr="00AC2B40">
        <w:tc>
          <w:tcPr>
            <w:tcW w:w="4164" w:type="pct"/>
            <w:gridSpan w:val="4"/>
            <w:vAlign w:val="center"/>
          </w:tcPr>
          <w:p w14:paraId="2A8991B5" w14:textId="77777777" w:rsidR="009B1B01" w:rsidRPr="005A293B" w:rsidRDefault="009B1B01" w:rsidP="00B4795D">
            <w:pPr>
              <w:pStyle w:val="TableText0"/>
              <w:rPr>
                <w:b/>
                <w:bCs w:val="0"/>
              </w:rPr>
            </w:pPr>
            <w:r w:rsidRPr="005A293B">
              <w:rPr>
                <w:b/>
                <w:bCs w:val="0"/>
              </w:rPr>
              <w:t>Incremental discounted cost/extra QALY gained</w:t>
            </w:r>
          </w:p>
        </w:tc>
        <w:tc>
          <w:tcPr>
            <w:tcW w:w="836" w:type="pct"/>
            <w:vAlign w:val="center"/>
          </w:tcPr>
          <w:p w14:paraId="7AA79CED" w14:textId="54B6C7AD" w:rsidR="009B1B01" w:rsidRPr="005A293B" w:rsidRDefault="00567118" w:rsidP="00B4795D">
            <w:pPr>
              <w:pStyle w:val="TableText0"/>
              <w:jc w:val="center"/>
              <w:rPr>
                <w:b/>
                <w:bCs w:val="0"/>
              </w:rPr>
            </w:pPr>
            <w:r w:rsidRPr="005A293B">
              <w:rPr>
                <w:rFonts w:eastAsia="Calibri" w:cs="Times New Roman"/>
                <w:b/>
                <w:bCs w:val="0"/>
                <w:szCs w:val="20"/>
              </w:rPr>
              <w:t>$</w:t>
            </w:r>
            <w:r w:rsidR="00D62519" w:rsidRPr="00D62519">
              <w:rPr>
                <w:rFonts w:eastAsia="Calibri" w:cs="Times New Roman"/>
                <w:b/>
                <w:bCs w:val="0"/>
                <w:color w:val="000000"/>
                <w:szCs w:val="20"/>
                <w:shd w:val="solid" w:color="000000" w:fill="000000"/>
                <w14:textFill>
                  <w14:solidFill>
                    <w14:srgbClr w14:val="000000">
                      <w14:alpha w14:val="100000"/>
                    </w14:srgbClr>
                  </w14:solidFill>
                </w14:textFill>
              </w:rPr>
              <w:t>|</w:t>
            </w:r>
            <w:r w:rsidR="00591172" w:rsidRPr="00591172">
              <w:rPr>
                <w:rFonts w:eastAsia="Calibri" w:cs="Times New Roman"/>
                <w:szCs w:val="20"/>
                <w:vertAlign w:val="superscript"/>
              </w:rPr>
              <w:t>2</w:t>
            </w:r>
          </w:p>
        </w:tc>
      </w:tr>
    </w:tbl>
    <w:p w14:paraId="335A1425" w14:textId="77777777" w:rsidR="00056CD3" w:rsidRPr="005A293B" w:rsidRDefault="00056CD3" w:rsidP="00B4795D">
      <w:pPr>
        <w:pStyle w:val="TableFooter"/>
        <w:keepNext/>
        <w:jc w:val="both"/>
      </w:pPr>
      <w:r w:rsidRPr="005A293B">
        <w:t xml:space="preserve">Source: Table 3.9-3, p176 of the submission </w:t>
      </w:r>
    </w:p>
    <w:p w14:paraId="21C39846" w14:textId="168E81B8" w:rsidR="00056CD3" w:rsidRPr="005A293B" w:rsidRDefault="00056CD3" w:rsidP="00B4795D">
      <w:pPr>
        <w:pStyle w:val="TableFooter"/>
        <w:keepNext/>
        <w:jc w:val="both"/>
      </w:pPr>
      <w:r w:rsidRPr="005A293B">
        <w:t>ENZ=enzalutamide, LY=life year, OS=overall survival, QALY=quality adjusted life year, rPFS=radiographic progression-free survival, TAL=talazoparib, TTD=time to treatment discontinuation.</w:t>
      </w:r>
    </w:p>
    <w:p w14:paraId="52DB0960" w14:textId="760F9715" w:rsidR="009B1B01" w:rsidRDefault="00056CD3" w:rsidP="00B4795D">
      <w:pPr>
        <w:pStyle w:val="TableFooter"/>
        <w:keepNext/>
        <w:jc w:val="both"/>
      </w:pPr>
      <w:bookmarkStart w:id="74" w:name="_Hlk153812138"/>
      <w:r w:rsidRPr="005A293B">
        <w:t>Note: the numbers have been rounded.</w:t>
      </w:r>
      <w:bookmarkEnd w:id="74"/>
    </w:p>
    <w:p w14:paraId="456E7DC1" w14:textId="77777777" w:rsidR="00B4795D" w:rsidRPr="009A6D58" w:rsidRDefault="00B4795D" w:rsidP="00B4795D">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D8CEF3C" w14:textId="0B377EE5" w:rsidR="00B4795D" w:rsidRDefault="0079362B" w:rsidP="00477CD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91172" w:rsidRPr="00591172">
        <w:rPr>
          <w:rFonts w:ascii="Arial Narrow" w:hAnsi="Arial Narrow"/>
          <w:i/>
          <w:sz w:val="18"/>
          <w:szCs w:val="18"/>
        </w:rPr>
        <w:t>$155,000 to &lt; $255,000</w:t>
      </w:r>
    </w:p>
    <w:p w14:paraId="2DD9E874" w14:textId="326753CD" w:rsidR="00B4795D" w:rsidRPr="00B4795D" w:rsidRDefault="00591172" w:rsidP="0010075B">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91172">
        <w:rPr>
          <w:rFonts w:ascii="Arial Narrow" w:hAnsi="Arial Narrow"/>
          <w:i/>
          <w:sz w:val="18"/>
          <w:szCs w:val="18"/>
        </w:rPr>
        <w:t>$55,000 to &lt; $75,000</w:t>
      </w:r>
    </w:p>
    <w:p w14:paraId="7629B37E" w14:textId="586F1049" w:rsidR="00EC2FC5" w:rsidRDefault="00EC2FC5" w:rsidP="009B1B01">
      <w:pPr>
        <w:pStyle w:val="3-BodyText"/>
      </w:pPr>
      <w:bookmarkStart w:id="75" w:name="_Ref164077117"/>
      <w:r w:rsidRPr="000B725B">
        <w:rPr>
          <w:bCs/>
        </w:rPr>
        <w:t>It should be noted that the model heavily relied on rPFS benefits. A key concern for the model was the immaturity the rPFS data informing the model, with the median rPFS not reached in the intervention arm and approximately 33% maturity. Poor visual fit to the KM data was evident in the extrapolations from approximately 15 months onward. Similar uncertainty in the source of data and goodness of fit of extrapolations to KM data was also evident for TTD.</w:t>
      </w:r>
      <w:bookmarkEnd w:id="75"/>
    </w:p>
    <w:p w14:paraId="69A40205" w14:textId="6321CF0A" w:rsidR="009B1B01" w:rsidRPr="005A293B" w:rsidRDefault="009B1B01" w:rsidP="009B1B01">
      <w:pPr>
        <w:pStyle w:val="3-BodyText"/>
      </w:pPr>
      <w:r w:rsidRPr="005A293B">
        <w:t xml:space="preserve">The results of key univariate and multivariate sensitivity analyses are summarised in </w:t>
      </w:r>
      <w:r w:rsidRPr="005A293B">
        <w:fldChar w:fldCharType="begin" w:fldLock="1"/>
      </w:r>
      <w:r w:rsidRPr="005A293B">
        <w:instrText xml:space="preserve"> REF _Ref143181410 \h </w:instrText>
      </w:r>
      <w:r w:rsidRPr="005A293B">
        <w:fldChar w:fldCharType="separate"/>
      </w:r>
      <w:r w:rsidR="00935AD9" w:rsidRPr="005A293B">
        <w:t xml:space="preserve">Table </w:t>
      </w:r>
      <w:r w:rsidR="00935AD9">
        <w:rPr>
          <w:noProof/>
        </w:rPr>
        <w:t>13</w:t>
      </w:r>
      <w:r w:rsidRPr="005A293B">
        <w:fldChar w:fldCharType="end"/>
      </w:r>
      <w:r w:rsidRPr="005A293B">
        <w:t>.</w:t>
      </w:r>
    </w:p>
    <w:p w14:paraId="53EE68B6" w14:textId="5CDBB7A4" w:rsidR="009B1B01" w:rsidRPr="005A293B" w:rsidRDefault="009B1B01" w:rsidP="00477CD8">
      <w:pPr>
        <w:pStyle w:val="Caption"/>
        <w:widowControl w:val="0"/>
        <w:rPr>
          <w:rStyle w:val="CommentReference"/>
          <w:b/>
          <w:szCs w:val="24"/>
        </w:rPr>
      </w:pPr>
      <w:bookmarkStart w:id="76" w:name="_Ref143181410"/>
      <w:r w:rsidRPr="005A293B">
        <w:lastRenderedPageBreak/>
        <w:t xml:space="preserve">Table </w:t>
      </w:r>
      <w:fldSimple w:instr=" SEQ Table \* ARABIC " w:fldLock="1">
        <w:r w:rsidR="00A01609">
          <w:rPr>
            <w:noProof/>
          </w:rPr>
          <w:t>13</w:t>
        </w:r>
      </w:fldSimple>
      <w:bookmarkEnd w:id="76"/>
      <w:r w:rsidRPr="005A293B">
        <w:t>:</w:t>
      </w:r>
      <w:r w:rsidRPr="005A293B">
        <w:rPr>
          <w:rStyle w:val="CommentReference"/>
          <w:b/>
          <w:szCs w:val="24"/>
        </w:rPr>
        <w:t xml:space="preserve"> Key sensitivity analyses</w:t>
      </w:r>
    </w:p>
    <w:tbl>
      <w:tblPr>
        <w:tblStyle w:val="TableGrid"/>
        <w:tblW w:w="5000" w:type="pct"/>
        <w:tblCellMar>
          <w:left w:w="57" w:type="dxa"/>
          <w:right w:w="57" w:type="dxa"/>
        </w:tblCellMar>
        <w:tblLook w:val="04A0" w:firstRow="1" w:lastRow="0" w:firstColumn="1" w:lastColumn="0" w:noHBand="0" w:noVBand="1"/>
        <w:tblCaption w:val="Table 13: Key sensitivity analyses"/>
      </w:tblPr>
      <w:tblGrid>
        <w:gridCol w:w="5155"/>
        <w:gridCol w:w="1080"/>
        <w:gridCol w:w="959"/>
        <w:gridCol w:w="1080"/>
        <w:gridCol w:w="743"/>
      </w:tblGrid>
      <w:tr w:rsidR="003F7A1D" w:rsidRPr="000B725B" w14:paraId="069A36D2" w14:textId="77777777" w:rsidTr="00EC2FC5">
        <w:trPr>
          <w:trHeight w:val="20"/>
          <w:tblHeader/>
        </w:trPr>
        <w:tc>
          <w:tcPr>
            <w:tcW w:w="2858" w:type="pct"/>
            <w:tcBorders>
              <w:top w:val="single" w:sz="4" w:space="0" w:color="auto"/>
              <w:left w:val="single" w:sz="4" w:space="0" w:color="auto"/>
              <w:bottom w:val="single" w:sz="4" w:space="0" w:color="auto"/>
              <w:right w:val="single" w:sz="4" w:space="0" w:color="auto"/>
            </w:tcBorders>
            <w:vAlign w:val="center"/>
            <w:hideMark/>
          </w:tcPr>
          <w:p w14:paraId="064838D8" w14:textId="77777777"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Model assumption/parameter</w:t>
            </w:r>
          </w:p>
        </w:tc>
        <w:tc>
          <w:tcPr>
            <w:tcW w:w="599" w:type="pct"/>
            <w:tcBorders>
              <w:top w:val="single" w:sz="4" w:space="0" w:color="auto"/>
              <w:left w:val="single" w:sz="4" w:space="0" w:color="auto"/>
              <w:bottom w:val="single" w:sz="4" w:space="0" w:color="auto"/>
              <w:right w:val="single" w:sz="4" w:space="0" w:color="auto"/>
            </w:tcBorders>
            <w:vAlign w:val="center"/>
            <w:hideMark/>
          </w:tcPr>
          <w:p w14:paraId="1BB95C3C" w14:textId="77777777"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Inc costs</w:t>
            </w:r>
          </w:p>
        </w:tc>
        <w:tc>
          <w:tcPr>
            <w:tcW w:w="532" w:type="pct"/>
            <w:tcBorders>
              <w:top w:val="single" w:sz="4" w:space="0" w:color="auto"/>
              <w:left w:val="single" w:sz="4" w:space="0" w:color="auto"/>
              <w:bottom w:val="single" w:sz="4" w:space="0" w:color="auto"/>
              <w:right w:val="single" w:sz="4" w:space="0" w:color="auto"/>
            </w:tcBorders>
            <w:vAlign w:val="center"/>
            <w:hideMark/>
          </w:tcPr>
          <w:p w14:paraId="31143241" w14:textId="77777777"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Inc QALYs</w:t>
            </w:r>
          </w:p>
        </w:tc>
        <w:tc>
          <w:tcPr>
            <w:tcW w:w="599" w:type="pct"/>
            <w:tcBorders>
              <w:top w:val="single" w:sz="4" w:space="0" w:color="auto"/>
              <w:left w:val="single" w:sz="4" w:space="0" w:color="auto"/>
              <w:bottom w:val="single" w:sz="4" w:space="0" w:color="auto"/>
              <w:right w:val="single" w:sz="4" w:space="0" w:color="auto"/>
            </w:tcBorders>
            <w:vAlign w:val="center"/>
            <w:hideMark/>
          </w:tcPr>
          <w:p w14:paraId="6ED8B3E3" w14:textId="77777777"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ICER</w:t>
            </w:r>
          </w:p>
        </w:tc>
        <w:tc>
          <w:tcPr>
            <w:tcW w:w="412" w:type="pct"/>
            <w:tcBorders>
              <w:top w:val="single" w:sz="4" w:space="0" w:color="auto"/>
              <w:left w:val="single" w:sz="4" w:space="0" w:color="auto"/>
              <w:bottom w:val="single" w:sz="4" w:space="0" w:color="auto"/>
              <w:right w:val="single" w:sz="4" w:space="0" w:color="auto"/>
            </w:tcBorders>
            <w:vAlign w:val="center"/>
            <w:hideMark/>
          </w:tcPr>
          <w:p w14:paraId="0A7A0839" w14:textId="77777777"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Inc %</w:t>
            </w:r>
          </w:p>
        </w:tc>
      </w:tr>
      <w:tr w:rsidR="003F7A1D" w:rsidRPr="000B725B" w14:paraId="16537500"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6535CE09" w14:textId="77777777"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Base case</w:t>
            </w:r>
          </w:p>
        </w:tc>
        <w:tc>
          <w:tcPr>
            <w:tcW w:w="599" w:type="pct"/>
            <w:tcBorders>
              <w:top w:val="single" w:sz="4" w:space="0" w:color="auto"/>
              <w:left w:val="single" w:sz="4" w:space="0" w:color="auto"/>
              <w:bottom w:val="single" w:sz="4" w:space="0" w:color="auto"/>
              <w:right w:val="single" w:sz="4" w:space="0" w:color="auto"/>
            </w:tcBorders>
            <w:vAlign w:val="center"/>
          </w:tcPr>
          <w:p w14:paraId="5C2E0E81" w14:textId="3AFE2A68"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w:t>
            </w:r>
            <w:r w:rsidR="00D62519" w:rsidRPr="00D62519">
              <w:rPr>
                <w:rFonts w:ascii="Arial Narrow" w:hAnsi="Arial Narrow" w:cs="Calibri"/>
                <w:b/>
                <w:bCs/>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6DEF3F88" w14:textId="77777777"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0.85</w:t>
            </w:r>
          </w:p>
        </w:tc>
        <w:tc>
          <w:tcPr>
            <w:tcW w:w="599" w:type="pct"/>
            <w:tcBorders>
              <w:top w:val="single" w:sz="4" w:space="0" w:color="auto"/>
              <w:left w:val="single" w:sz="4" w:space="0" w:color="auto"/>
              <w:bottom w:val="single" w:sz="4" w:space="0" w:color="auto"/>
              <w:right w:val="single" w:sz="4" w:space="0" w:color="auto"/>
            </w:tcBorders>
            <w:vAlign w:val="center"/>
          </w:tcPr>
          <w:p w14:paraId="0E6527FD" w14:textId="5A3EA39F"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w:t>
            </w:r>
            <w:r w:rsidR="00D62519" w:rsidRPr="00CD40AA">
              <w:rPr>
                <w:rFonts w:ascii="Arial Narrow" w:hAnsi="Arial Narrow" w:cs="Calibri" w:hint="eastAsia"/>
                <w:b/>
                <w:bCs/>
                <w:color w:val="000000"/>
                <w:w w:val="15"/>
                <w:sz w:val="20"/>
                <w:szCs w:val="20"/>
                <w:shd w:val="solid" w:color="000000" w:fill="000000"/>
                <w:fitText w:val="15" w:id="-961822205"/>
                <w14:textFill>
                  <w14:solidFill>
                    <w14:srgbClr w14:val="000000">
                      <w14:alpha w14:val="100000"/>
                    </w14:srgbClr>
                  </w14:solidFill>
                </w14:textFill>
              </w:rPr>
              <w:t xml:space="preserve">　</w:t>
            </w:r>
            <w:r w:rsidR="00D62519" w:rsidRPr="00CD40AA">
              <w:rPr>
                <w:rFonts w:ascii="Arial Narrow" w:hAnsi="Arial Narrow" w:cs="Calibri"/>
                <w:b/>
                <w:bCs/>
                <w:color w:val="000000"/>
                <w:w w:val="15"/>
                <w:sz w:val="20"/>
                <w:szCs w:val="20"/>
                <w:shd w:val="solid" w:color="000000" w:fill="000000"/>
                <w:fitText w:val="15" w:id="-961822205"/>
                <w14:textFill>
                  <w14:solidFill>
                    <w14:srgbClr w14:val="000000">
                      <w14:alpha w14:val="100000"/>
                    </w14:srgbClr>
                  </w14:solidFill>
                </w14:textFill>
              </w:rPr>
              <w:t>|</w:t>
            </w:r>
            <w:r w:rsidR="00D62519" w:rsidRPr="00CD40AA">
              <w:rPr>
                <w:rFonts w:ascii="Arial Narrow" w:hAnsi="Arial Narrow" w:cs="Calibri" w:hint="eastAsia"/>
                <w:b/>
                <w:bCs/>
                <w:color w:val="000000"/>
                <w:spacing w:val="-51"/>
                <w:w w:val="15"/>
                <w:sz w:val="20"/>
                <w:szCs w:val="20"/>
                <w:shd w:val="solid" w:color="000000" w:fill="000000"/>
                <w:fitText w:val="15" w:id="-961822205"/>
                <w14:textFill>
                  <w14:solidFill>
                    <w14:srgbClr w14:val="000000">
                      <w14:alpha w14:val="100000"/>
                    </w14:srgbClr>
                  </w14:solidFill>
                </w14:textFill>
              </w:rPr>
              <w:t xml:space="preserve">　</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hideMark/>
          </w:tcPr>
          <w:p w14:paraId="59BBD7D2" w14:textId="77777777" w:rsidR="00543DB7" w:rsidRPr="000B725B" w:rsidRDefault="00543DB7" w:rsidP="00477CD8">
            <w:pPr>
              <w:keepNext/>
              <w:keepLines/>
              <w:jc w:val="center"/>
              <w:rPr>
                <w:rFonts w:ascii="Arial Narrow" w:hAnsi="Arial Narrow" w:cs="Calibri"/>
                <w:b/>
                <w:bCs/>
                <w:sz w:val="20"/>
                <w:szCs w:val="20"/>
              </w:rPr>
            </w:pPr>
            <w:r w:rsidRPr="000B725B">
              <w:rPr>
                <w:rFonts w:ascii="Arial Narrow" w:hAnsi="Arial Narrow" w:cs="Calibri"/>
                <w:b/>
                <w:bCs/>
                <w:sz w:val="20"/>
                <w:szCs w:val="20"/>
              </w:rPr>
              <w:t>-</w:t>
            </w:r>
          </w:p>
        </w:tc>
      </w:tr>
      <w:tr w:rsidR="00543DB7" w:rsidRPr="000B725B" w14:paraId="4067074E"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ABC2F15" w14:textId="77777777"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Time horizon (base case 10 years)</w:t>
            </w:r>
          </w:p>
        </w:tc>
      </w:tr>
      <w:tr w:rsidR="003F7A1D" w:rsidRPr="000B725B" w14:paraId="386FE8D7"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4B900A89"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7.5 years</w:t>
            </w:r>
          </w:p>
        </w:tc>
        <w:tc>
          <w:tcPr>
            <w:tcW w:w="599" w:type="pct"/>
            <w:tcBorders>
              <w:top w:val="single" w:sz="4" w:space="0" w:color="auto"/>
              <w:left w:val="single" w:sz="4" w:space="0" w:color="auto"/>
              <w:bottom w:val="single" w:sz="4" w:space="0" w:color="auto"/>
              <w:right w:val="single" w:sz="4" w:space="0" w:color="auto"/>
            </w:tcBorders>
            <w:vAlign w:val="center"/>
            <w:hideMark/>
          </w:tcPr>
          <w:p w14:paraId="6FF10362" w14:textId="0F0465CF"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0C1BA9BC"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0.84</w:t>
            </w:r>
          </w:p>
        </w:tc>
        <w:tc>
          <w:tcPr>
            <w:tcW w:w="599" w:type="pct"/>
            <w:tcBorders>
              <w:top w:val="single" w:sz="4" w:space="0" w:color="auto"/>
              <w:left w:val="single" w:sz="4" w:space="0" w:color="auto"/>
              <w:bottom w:val="single" w:sz="4" w:space="0" w:color="auto"/>
              <w:right w:val="single" w:sz="4" w:space="0" w:color="auto"/>
            </w:tcBorders>
            <w:vAlign w:val="center"/>
            <w:hideMark/>
          </w:tcPr>
          <w:p w14:paraId="1C4B50C3" w14:textId="623B0446"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hideMark/>
          </w:tcPr>
          <w:p w14:paraId="10661CEA" w14:textId="0CFE06CC"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4"/>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4"/>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4"/>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584DB499"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384463E9"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5 years</w:t>
            </w:r>
          </w:p>
        </w:tc>
        <w:tc>
          <w:tcPr>
            <w:tcW w:w="599" w:type="pct"/>
            <w:tcBorders>
              <w:top w:val="single" w:sz="4" w:space="0" w:color="auto"/>
              <w:left w:val="single" w:sz="4" w:space="0" w:color="auto"/>
              <w:bottom w:val="single" w:sz="4" w:space="0" w:color="auto"/>
              <w:right w:val="single" w:sz="4" w:space="0" w:color="auto"/>
            </w:tcBorders>
            <w:vAlign w:val="center"/>
            <w:hideMark/>
          </w:tcPr>
          <w:p w14:paraId="32B9B963" w14:textId="4D2AF321"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1A09D958"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0.76</w:t>
            </w:r>
          </w:p>
        </w:tc>
        <w:tc>
          <w:tcPr>
            <w:tcW w:w="599" w:type="pct"/>
            <w:tcBorders>
              <w:top w:val="single" w:sz="4" w:space="0" w:color="auto"/>
              <w:left w:val="single" w:sz="4" w:space="0" w:color="auto"/>
              <w:bottom w:val="single" w:sz="4" w:space="0" w:color="auto"/>
              <w:right w:val="single" w:sz="4" w:space="0" w:color="auto"/>
            </w:tcBorders>
            <w:vAlign w:val="center"/>
            <w:hideMark/>
          </w:tcPr>
          <w:p w14:paraId="06E3B84C" w14:textId="6B060D5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hideMark/>
          </w:tcPr>
          <w:p w14:paraId="6921FF58" w14:textId="31B88E5E"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3"/>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3"/>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3"/>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543DB7" w:rsidRPr="000B725B" w14:paraId="49721308"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816456C" w14:textId="77777777"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rPFS extrapolations (base case: stratified, Weibull)</w:t>
            </w:r>
          </w:p>
        </w:tc>
      </w:tr>
      <w:tr w:rsidR="003F7A1D" w:rsidRPr="000B725B" w14:paraId="0B677596"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3850E8BB"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Covariate, Gamma</w:t>
            </w:r>
          </w:p>
        </w:tc>
        <w:tc>
          <w:tcPr>
            <w:tcW w:w="599" w:type="pct"/>
            <w:tcBorders>
              <w:top w:val="single" w:sz="4" w:space="0" w:color="auto"/>
              <w:left w:val="single" w:sz="4" w:space="0" w:color="auto"/>
              <w:bottom w:val="single" w:sz="4" w:space="0" w:color="auto"/>
              <w:right w:val="single" w:sz="4" w:space="0" w:color="auto"/>
            </w:tcBorders>
            <w:vAlign w:val="center"/>
            <w:hideMark/>
          </w:tcPr>
          <w:p w14:paraId="12FD2B13" w14:textId="29BC498F"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156A22EA"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0.85</w:t>
            </w:r>
          </w:p>
        </w:tc>
        <w:tc>
          <w:tcPr>
            <w:tcW w:w="599" w:type="pct"/>
            <w:tcBorders>
              <w:top w:val="single" w:sz="4" w:space="0" w:color="auto"/>
              <w:left w:val="single" w:sz="4" w:space="0" w:color="auto"/>
              <w:bottom w:val="single" w:sz="4" w:space="0" w:color="auto"/>
              <w:right w:val="single" w:sz="4" w:space="0" w:color="auto"/>
            </w:tcBorders>
            <w:vAlign w:val="center"/>
            <w:hideMark/>
          </w:tcPr>
          <w:p w14:paraId="23CA2887" w14:textId="20548B82"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hideMark/>
          </w:tcPr>
          <w:p w14:paraId="1D817B64" w14:textId="3183E025"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2"/>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2"/>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2"/>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10D6775E"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510604D6"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rPFS primary definition (base case: alternative)</w:t>
            </w:r>
          </w:p>
        </w:tc>
        <w:tc>
          <w:tcPr>
            <w:tcW w:w="599" w:type="pct"/>
            <w:tcBorders>
              <w:top w:val="single" w:sz="4" w:space="0" w:color="auto"/>
              <w:left w:val="single" w:sz="4" w:space="0" w:color="auto"/>
              <w:bottom w:val="single" w:sz="4" w:space="0" w:color="auto"/>
              <w:right w:val="single" w:sz="4" w:space="0" w:color="auto"/>
            </w:tcBorders>
            <w:vAlign w:val="center"/>
          </w:tcPr>
          <w:p w14:paraId="6EF45C95" w14:textId="09CE7E98"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2F90ADFA"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0.91</w:t>
            </w:r>
          </w:p>
        </w:tc>
        <w:tc>
          <w:tcPr>
            <w:tcW w:w="599" w:type="pct"/>
            <w:tcBorders>
              <w:top w:val="single" w:sz="4" w:space="0" w:color="auto"/>
              <w:left w:val="single" w:sz="4" w:space="0" w:color="auto"/>
              <w:bottom w:val="single" w:sz="4" w:space="0" w:color="auto"/>
              <w:right w:val="single" w:sz="4" w:space="0" w:color="auto"/>
            </w:tcBorders>
            <w:vAlign w:val="center"/>
          </w:tcPr>
          <w:p w14:paraId="5C6F0E62" w14:textId="0EFF6E70"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2B87B924" w14:textId="15BA9C4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pacing w:val="94"/>
                <w:sz w:val="20"/>
                <w:szCs w:val="20"/>
                <w:shd w:val="solid" w:color="000000" w:fill="000000"/>
                <w:fitText w:val="180" w:id="-961822201"/>
                <w14:textFill>
                  <w14:solidFill>
                    <w14:srgbClr w14:val="000000">
                      <w14:alpha w14:val="100000"/>
                    </w14:srgbClr>
                  </w14:solidFill>
                </w14:textFill>
              </w:rPr>
              <w:t>|</w:t>
            </w:r>
            <w:r w:rsidR="00D62519" w:rsidRPr="00D62519">
              <w:rPr>
                <w:rFonts w:ascii="Arial Narrow" w:hAnsi="Arial Narrow" w:cs="Calibri"/>
                <w:color w:val="000000"/>
                <w:spacing w:val="1"/>
                <w:sz w:val="20"/>
                <w:szCs w:val="20"/>
                <w:shd w:val="solid" w:color="000000" w:fill="000000"/>
                <w:fitText w:val="180" w:id="-961822201"/>
                <w14:textFill>
                  <w14:solidFill>
                    <w14:srgbClr w14:val="000000">
                      <w14:alpha w14:val="100000"/>
                    </w14:srgbClr>
                  </w14:solidFill>
                </w14:textFill>
              </w:rPr>
              <w:t>|</w:t>
            </w:r>
            <w:r w:rsidRPr="000B725B">
              <w:rPr>
                <w:rFonts w:ascii="Arial Narrow" w:hAnsi="Arial Narrow" w:cs="Calibri"/>
                <w:sz w:val="20"/>
                <w:szCs w:val="20"/>
              </w:rPr>
              <w:t>%</w:t>
            </w:r>
          </w:p>
        </w:tc>
      </w:tr>
      <w:tr w:rsidR="00543DB7" w:rsidRPr="000B725B" w14:paraId="455D1E4B"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82DF000"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b/>
                <w:bCs/>
                <w:sz w:val="20"/>
                <w:szCs w:val="20"/>
              </w:rPr>
              <w:t>OS modelling &amp; extrapolation (base case: stratified, Gamma)</w:t>
            </w:r>
          </w:p>
        </w:tc>
      </w:tr>
      <w:tr w:rsidR="003F7A1D" w:rsidRPr="000B725B" w14:paraId="3BBB9869"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20600B79"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Covariate, Gamma</w:t>
            </w:r>
          </w:p>
        </w:tc>
        <w:tc>
          <w:tcPr>
            <w:tcW w:w="599" w:type="pct"/>
            <w:tcBorders>
              <w:top w:val="single" w:sz="4" w:space="0" w:color="auto"/>
              <w:left w:val="single" w:sz="4" w:space="0" w:color="auto"/>
              <w:bottom w:val="single" w:sz="4" w:space="0" w:color="auto"/>
              <w:right w:val="single" w:sz="4" w:space="0" w:color="auto"/>
            </w:tcBorders>
            <w:vAlign w:val="center"/>
          </w:tcPr>
          <w:p w14:paraId="1FA4EDD6" w14:textId="0930625E"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1544EC28"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0.86</w:t>
            </w:r>
          </w:p>
        </w:tc>
        <w:tc>
          <w:tcPr>
            <w:tcW w:w="599" w:type="pct"/>
            <w:tcBorders>
              <w:top w:val="single" w:sz="4" w:space="0" w:color="auto"/>
              <w:left w:val="single" w:sz="4" w:space="0" w:color="auto"/>
              <w:bottom w:val="single" w:sz="4" w:space="0" w:color="auto"/>
              <w:right w:val="single" w:sz="4" w:space="0" w:color="auto"/>
            </w:tcBorders>
            <w:vAlign w:val="center"/>
          </w:tcPr>
          <w:p w14:paraId="102483F7" w14:textId="2014777F"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63E74E81" w14:textId="0077847F"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pacing w:val="94"/>
                <w:sz w:val="20"/>
                <w:szCs w:val="20"/>
                <w:shd w:val="solid" w:color="000000" w:fill="000000"/>
                <w:fitText w:val="180" w:id="-961822200"/>
                <w14:textFill>
                  <w14:solidFill>
                    <w14:srgbClr w14:val="000000">
                      <w14:alpha w14:val="100000"/>
                    </w14:srgbClr>
                  </w14:solidFill>
                </w14:textFill>
              </w:rPr>
              <w:t>|</w:t>
            </w:r>
            <w:r w:rsidR="00D62519" w:rsidRPr="00D62519">
              <w:rPr>
                <w:rFonts w:ascii="Arial Narrow" w:hAnsi="Arial Narrow" w:cs="Calibri"/>
                <w:color w:val="000000"/>
                <w:spacing w:val="1"/>
                <w:sz w:val="20"/>
                <w:szCs w:val="20"/>
                <w:shd w:val="solid" w:color="000000" w:fill="000000"/>
                <w:fitText w:val="180" w:id="-961822200"/>
                <w14:textFill>
                  <w14:solidFill>
                    <w14:srgbClr w14:val="000000">
                      <w14:alpha w14:val="100000"/>
                    </w14:srgbClr>
                  </w14:solidFill>
                </w14:textFill>
              </w:rPr>
              <w:t>|</w:t>
            </w:r>
            <w:r w:rsidRPr="000B725B">
              <w:rPr>
                <w:rFonts w:ascii="Arial Narrow" w:hAnsi="Arial Narrow" w:cs="Calibri"/>
                <w:sz w:val="20"/>
                <w:szCs w:val="20"/>
              </w:rPr>
              <w:t>%</w:t>
            </w:r>
          </w:p>
        </w:tc>
      </w:tr>
      <w:tr w:rsidR="003F7A1D" w:rsidRPr="000B725B" w14:paraId="1F11107D"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26D2BD0D"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Next best-fitted distribution: Stratified, log-logistic</w:t>
            </w:r>
          </w:p>
        </w:tc>
        <w:tc>
          <w:tcPr>
            <w:tcW w:w="599" w:type="pct"/>
            <w:tcBorders>
              <w:top w:val="single" w:sz="4" w:space="0" w:color="auto"/>
              <w:left w:val="single" w:sz="4" w:space="0" w:color="auto"/>
              <w:bottom w:val="single" w:sz="4" w:space="0" w:color="auto"/>
              <w:right w:val="single" w:sz="4" w:space="0" w:color="auto"/>
            </w:tcBorders>
            <w:vAlign w:val="center"/>
          </w:tcPr>
          <w:p w14:paraId="7DAB6B71" w14:textId="22FB50E6"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3445D872"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0.91</w:t>
            </w:r>
          </w:p>
        </w:tc>
        <w:tc>
          <w:tcPr>
            <w:tcW w:w="599" w:type="pct"/>
            <w:tcBorders>
              <w:top w:val="single" w:sz="4" w:space="0" w:color="auto"/>
              <w:left w:val="single" w:sz="4" w:space="0" w:color="auto"/>
              <w:bottom w:val="single" w:sz="4" w:space="0" w:color="auto"/>
              <w:right w:val="single" w:sz="4" w:space="0" w:color="auto"/>
            </w:tcBorders>
            <w:vAlign w:val="center"/>
          </w:tcPr>
          <w:p w14:paraId="768D53C5" w14:textId="50608EA6"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26D39BE9" w14:textId="5BC4933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pacing w:val="41"/>
                <w:sz w:val="20"/>
                <w:szCs w:val="20"/>
                <w:shd w:val="solid" w:color="000000" w:fill="000000"/>
                <w:fitText w:val="210" w:id="-961822199"/>
                <w14:textFill>
                  <w14:solidFill>
                    <w14:srgbClr w14:val="000000">
                      <w14:alpha w14:val="100000"/>
                    </w14:srgbClr>
                  </w14:solidFill>
                </w14:textFill>
              </w:rPr>
              <w:t>||</w:t>
            </w:r>
            <w:r w:rsidR="00D62519" w:rsidRPr="00D62519">
              <w:rPr>
                <w:rFonts w:ascii="Arial Narrow" w:hAnsi="Arial Narrow" w:cs="Calibri"/>
                <w:color w:val="000000"/>
                <w:spacing w:val="1"/>
                <w:sz w:val="20"/>
                <w:szCs w:val="20"/>
                <w:shd w:val="solid" w:color="000000" w:fill="000000"/>
                <w:fitText w:val="210" w:id="-961822199"/>
                <w14:textFill>
                  <w14:solidFill>
                    <w14:srgbClr w14:val="000000">
                      <w14:alpha w14:val="100000"/>
                    </w14:srgbClr>
                  </w14:solidFill>
                </w14:textFill>
              </w:rPr>
              <w:t>|</w:t>
            </w:r>
            <w:r w:rsidR="00F13554">
              <w:rPr>
                <w:rFonts w:ascii="Arial Narrow" w:hAnsi="Arial Narrow" w:cs="Calibri"/>
                <w:sz w:val="20"/>
                <w:szCs w:val="20"/>
              </w:rPr>
              <w:t>9</w:t>
            </w:r>
            <w:r w:rsidRPr="000B725B">
              <w:rPr>
                <w:rFonts w:ascii="Arial Narrow" w:hAnsi="Arial Narrow" w:cs="Calibri"/>
                <w:sz w:val="20"/>
                <w:szCs w:val="20"/>
              </w:rPr>
              <w:t>%</w:t>
            </w:r>
          </w:p>
        </w:tc>
      </w:tr>
      <w:tr w:rsidR="003F7A1D" w:rsidRPr="000B725B" w14:paraId="4BCCF961"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6CB252E4"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Next best distribution: Covariate, Log-logistic</w:t>
            </w:r>
          </w:p>
        </w:tc>
        <w:tc>
          <w:tcPr>
            <w:tcW w:w="599" w:type="pct"/>
            <w:tcBorders>
              <w:top w:val="single" w:sz="4" w:space="0" w:color="auto"/>
              <w:left w:val="single" w:sz="4" w:space="0" w:color="auto"/>
              <w:bottom w:val="single" w:sz="4" w:space="0" w:color="auto"/>
              <w:right w:val="single" w:sz="4" w:space="0" w:color="auto"/>
            </w:tcBorders>
            <w:vAlign w:val="center"/>
          </w:tcPr>
          <w:p w14:paraId="1022D99C" w14:textId="3A18330B"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2402F4FD"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0.89</w:t>
            </w:r>
          </w:p>
        </w:tc>
        <w:tc>
          <w:tcPr>
            <w:tcW w:w="599" w:type="pct"/>
            <w:tcBorders>
              <w:top w:val="single" w:sz="4" w:space="0" w:color="auto"/>
              <w:left w:val="single" w:sz="4" w:space="0" w:color="auto"/>
              <w:bottom w:val="single" w:sz="4" w:space="0" w:color="auto"/>
              <w:right w:val="single" w:sz="4" w:space="0" w:color="auto"/>
            </w:tcBorders>
            <w:vAlign w:val="center"/>
          </w:tcPr>
          <w:p w14:paraId="207D540C" w14:textId="3FFA7CE2"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030E0470" w14:textId="4AAA1210"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pacing w:val="94"/>
                <w:sz w:val="20"/>
                <w:szCs w:val="20"/>
                <w:shd w:val="solid" w:color="000000" w:fill="000000"/>
                <w:fitText w:val="180" w:id="-961822198"/>
                <w14:textFill>
                  <w14:solidFill>
                    <w14:srgbClr w14:val="000000">
                      <w14:alpha w14:val="100000"/>
                    </w14:srgbClr>
                  </w14:solidFill>
                </w14:textFill>
              </w:rPr>
              <w:t>|</w:t>
            </w:r>
            <w:r w:rsidR="00D62519" w:rsidRPr="00D62519">
              <w:rPr>
                <w:rFonts w:ascii="Arial Narrow" w:hAnsi="Arial Narrow" w:cs="Calibri"/>
                <w:color w:val="000000"/>
                <w:spacing w:val="1"/>
                <w:sz w:val="20"/>
                <w:szCs w:val="20"/>
                <w:shd w:val="solid" w:color="000000" w:fill="000000"/>
                <w:fitText w:val="180" w:id="-961822198"/>
                <w14:textFill>
                  <w14:solidFill>
                    <w14:srgbClr w14:val="000000">
                      <w14:alpha w14:val="100000"/>
                    </w14:srgbClr>
                  </w14:solidFill>
                </w14:textFill>
              </w:rPr>
              <w:t>|</w:t>
            </w:r>
            <w:r w:rsidRPr="000B725B">
              <w:rPr>
                <w:rFonts w:ascii="Arial Narrow" w:hAnsi="Arial Narrow" w:cs="Calibri"/>
                <w:sz w:val="20"/>
                <w:szCs w:val="20"/>
              </w:rPr>
              <w:t>%</w:t>
            </w:r>
          </w:p>
        </w:tc>
      </w:tr>
      <w:tr w:rsidR="00543DB7" w:rsidRPr="000B725B" w14:paraId="4D6A975E"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EDA7294" w14:textId="77777777"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Treatment duration (base case: based on TTD, one curve per drug, TAL: Log-normal, ENZ: covariate, Log-logistic)</w:t>
            </w:r>
          </w:p>
        </w:tc>
      </w:tr>
      <w:tr w:rsidR="003F7A1D" w:rsidRPr="000B725B" w14:paraId="5A4DA122"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0D3DD7E1"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Modelling based on rPFS</w:t>
            </w:r>
          </w:p>
        </w:tc>
        <w:tc>
          <w:tcPr>
            <w:tcW w:w="599" w:type="pct"/>
            <w:tcBorders>
              <w:top w:val="single" w:sz="4" w:space="0" w:color="auto"/>
              <w:left w:val="single" w:sz="4" w:space="0" w:color="auto"/>
              <w:bottom w:val="single" w:sz="4" w:space="0" w:color="auto"/>
              <w:right w:val="single" w:sz="4" w:space="0" w:color="auto"/>
            </w:tcBorders>
            <w:vAlign w:val="center"/>
          </w:tcPr>
          <w:p w14:paraId="188F8757" w14:textId="23C03C8E"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5547DBB6"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0.85</w:t>
            </w:r>
          </w:p>
        </w:tc>
        <w:tc>
          <w:tcPr>
            <w:tcW w:w="599" w:type="pct"/>
            <w:tcBorders>
              <w:top w:val="single" w:sz="4" w:space="0" w:color="auto"/>
              <w:left w:val="single" w:sz="4" w:space="0" w:color="auto"/>
              <w:bottom w:val="single" w:sz="4" w:space="0" w:color="auto"/>
              <w:right w:val="single" w:sz="4" w:space="0" w:color="auto"/>
            </w:tcBorders>
            <w:vAlign w:val="center"/>
          </w:tcPr>
          <w:p w14:paraId="40C4BD6B" w14:textId="0F448BD5"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56A385B7" w14:textId="52248CD6"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7"/>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7"/>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7"/>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67DB0D3F"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6F2B8584"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Modelling based on TTD, one curve per treatment regimen</w:t>
            </w:r>
          </w:p>
        </w:tc>
        <w:tc>
          <w:tcPr>
            <w:tcW w:w="599" w:type="pct"/>
            <w:tcBorders>
              <w:top w:val="single" w:sz="4" w:space="0" w:color="auto"/>
              <w:left w:val="single" w:sz="4" w:space="0" w:color="auto"/>
              <w:bottom w:val="single" w:sz="4" w:space="0" w:color="auto"/>
              <w:right w:val="single" w:sz="4" w:space="0" w:color="auto"/>
            </w:tcBorders>
            <w:vAlign w:val="center"/>
          </w:tcPr>
          <w:p w14:paraId="73AE15EE" w14:textId="1D67B785"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788C4AC3"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0.85</w:t>
            </w:r>
          </w:p>
        </w:tc>
        <w:tc>
          <w:tcPr>
            <w:tcW w:w="599" w:type="pct"/>
            <w:tcBorders>
              <w:top w:val="single" w:sz="4" w:space="0" w:color="auto"/>
              <w:left w:val="single" w:sz="4" w:space="0" w:color="auto"/>
              <w:bottom w:val="single" w:sz="4" w:space="0" w:color="auto"/>
              <w:right w:val="single" w:sz="4" w:space="0" w:color="auto"/>
            </w:tcBorders>
            <w:vAlign w:val="center"/>
          </w:tcPr>
          <w:p w14:paraId="391D0C0F" w14:textId="2C13C59A"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2A64609C" w14:textId="01131E71"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6"/>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6"/>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6"/>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E31251" w:rsidRPr="00BF4313" w14:paraId="669AC5BA"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5287F99F" w14:textId="7A54B5E8" w:rsidR="00E31251" w:rsidRPr="00EC2FC5" w:rsidRDefault="00E31251" w:rsidP="00477CD8">
            <w:pPr>
              <w:keepNext/>
              <w:keepLines/>
              <w:rPr>
                <w:rFonts w:ascii="Arial Narrow" w:hAnsi="Arial Narrow" w:cs="Calibri"/>
                <w:sz w:val="20"/>
                <w:szCs w:val="20"/>
              </w:rPr>
            </w:pPr>
            <w:r w:rsidRPr="00EC2FC5">
              <w:rPr>
                <w:rFonts w:ascii="Arial Narrow" w:hAnsi="Arial Narrow" w:cs="Calibri"/>
                <w:sz w:val="20"/>
                <w:szCs w:val="20"/>
              </w:rPr>
              <w:t>ENZ in TAL+ENZ arm = rPFS</w:t>
            </w:r>
          </w:p>
        </w:tc>
        <w:tc>
          <w:tcPr>
            <w:tcW w:w="599" w:type="pct"/>
            <w:tcBorders>
              <w:top w:val="single" w:sz="4" w:space="0" w:color="auto"/>
              <w:left w:val="single" w:sz="4" w:space="0" w:color="auto"/>
              <w:bottom w:val="single" w:sz="4" w:space="0" w:color="auto"/>
              <w:right w:val="single" w:sz="4" w:space="0" w:color="auto"/>
            </w:tcBorders>
            <w:vAlign w:val="center"/>
          </w:tcPr>
          <w:p w14:paraId="45802825" w14:textId="26467F08" w:rsidR="00E31251" w:rsidRPr="00EC2FC5" w:rsidRDefault="00E31251" w:rsidP="00477CD8">
            <w:pPr>
              <w:keepNext/>
              <w:keepLines/>
              <w:jc w:val="center"/>
              <w:rPr>
                <w:rFonts w:ascii="Arial Narrow" w:hAnsi="Arial Narrow" w:cs="Calibri"/>
                <w:sz w:val="20"/>
                <w:szCs w:val="20"/>
              </w:rPr>
            </w:pPr>
            <w:r w:rsidRPr="00EC2FC5">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6090F60C" w14:textId="72B3929C" w:rsidR="00E31251" w:rsidRPr="00EC2FC5" w:rsidRDefault="00E31251" w:rsidP="00477CD8">
            <w:pPr>
              <w:keepNext/>
              <w:keepLines/>
              <w:jc w:val="center"/>
              <w:rPr>
                <w:rFonts w:ascii="Arial Narrow" w:hAnsi="Arial Narrow" w:cs="Calibri"/>
                <w:sz w:val="20"/>
                <w:szCs w:val="20"/>
              </w:rPr>
            </w:pPr>
            <w:r w:rsidRPr="00EC2FC5">
              <w:rPr>
                <w:rFonts w:ascii="Arial Narrow" w:hAnsi="Arial Narrow" w:cs="Calibri"/>
                <w:sz w:val="20"/>
                <w:szCs w:val="20"/>
              </w:rPr>
              <w:t>0.85</w:t>
            </w:r>
          </w:p>
        </w:tc>
        <w:tc>
          <w:tcPr>
            <w:tcW w:w="599" w:type="pct"/>
            <w:tcBorders>
              <w:top w:val="single" w:sz="4" w:space="0" w:color="auto"/>
              <w:left w:val="single" w:sz="4" w:space="0" w:color="auto"/>
              <w:bottom w:val="single" w:sz="4" w:space="0" w:color="auto"/>
              <w:right w:val="single" w:sz="4" w:space="0" w:color="auto"/>
            </w:tcBorders>
            <w:vAlign w:val="center"/>
          </w:tcPr>
          <w:p w14:paraId="343C05B3" w14:textId="6E672EE8" w:rsidR="00E31251" w:rsidRPr="00EC2FC5" w:rsidRDefault="00E31251" w:rsidP="00477CD8">
            <w:pPr>
              <w:keepNext/>
              <w:keepLines/>
              <w:jc w:val="center"/>
              <w:rPr>
                <w:rFonts w:ascii="Arial Narrow" w:hAnsi="Arial Narrow" w:cs="Calibri"/>
                <w:sz w:val="20"/>
                <w:szCs w:val="20"/>
              </w:rPr>
            </w:pPr>
            <w:r w:rsidRPr="00EC2FC5">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7DB3679C" w14:textId="09823064" w:rsidR="00E31251" w:rsidRPr="00EC2FC5"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5"/>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5"/>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5"/>
                <w14:textFill>
                  <w14:solidFill>
                    <w14:srgbClr w14:val="000000">
                      <w14:alpha w14:val="100000"/>
                    </w14:srgbClr>
                  </w14:solidFill>
                </w14:textFill>
              </w:rPr>
              <w:t xml:space="preserve">　</w:t>
            </w:r>
            <w:r w:rsidR="00E31251" w:rsidRPr="00EC2FC5">
              <w:rPr>
                <w:rFonts w:ascii="Arial Narrow" w:hAnsi="Arial Narrow" w:cs="Calibri"/>
                <w:sz w:val="20"/>
                <w:szCs w:val="20"/>
              </w:rPr>
              <w:t>%</w:t>
            </w:r>
          </w:p>
        </w:tc>
      </w:tr>
      <w:tr w:rsidR="00543DB7" w:rsidRPr="000B725B" w14:paraId="4BA81E17"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A4F34C3" w14:textId="77777777"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Discount rate (base case: 5%)</w:t>
            </w:r>
          </w:p>
        </w:tc>
      </w:tr>
      <w:tr w:rsidR="003F7A1D" w:rsidRPr="000B725B" w14:paraId="05169364"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0B973EF0"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3.5% for costs and QALYs</w:t>
            </w:r>
          </w:p>
        </w:tc>
        <w:tc>
          <w:tcPr>
            <w:tcW w:w="599" w:type="pct"/>
            <w:tcBorders>
              <w:top w:val="single" w:sz="4" w:space="0" w:color="auto"/>
              <w:left w:val="single" w:sz="4" w:space="0" w:color="auto"/>
              <w:bottom w:val="single" w:sz="4" w:space="0" w:color="auto"/>
              <w:right w:val="single" w:sz="4" w:space="0" w:color="auto"/>
            </w:tcBorders>
            <w:vAlign w:val="center"/>
          </w:tcPr>
          <w:p w14:paraId="445623DA" w14:textId="7C74928F"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37AA318C"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0.89</w:t>
            </w:r>
          </w:p>
        </w:tc>
        <w:tc>
          <w:tcPr>
            <w:tcW w:w="599" w:type="pct"/>
            <w:tcBorders>
              <w:top w:val="single" w:sz="4" w:space="0" w:color="auto"/>
              <w:left w:val="single" w:sz="4" w:space="0" w:color="auto"/>
              <w:bottom w:val="single" w:sz="4" w:space="0" w:color="auto"/>
              <w:right w:val="single" w:sz="4" w:space="0" w:color="auto"/>
            </w:tcBorders>
            <w:vAlign w:val="center"/>
          </w:tcPr>
          <w:p w14:paraId="173B890D" w14:textId="4E698D35"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62056C3F" w14:textId="3A8A1C51"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pacing w:val="94"/>
                <w:sz w:val="20"/>
                <w:szCs w:val="20"/>
                <w:shd w:val="solid" w:color="000000" w:fill="000000"/>
                <w:fitText w:val="180" w:id="-961822194"/>
                <w14:textFill>
                  <w14:solidFill>
                    <w14:srgbClr w14:val="000000">
                      <w14:alpha w14:val="100000"/>
                    </w14:srgbClr>
                  </w14:solidFill>
                </w14:textFill>
              </w:rPr>
              <w:t>|</w:t>
            </w:r>
            <w:r w:rsidR="00D62519" w:rsidRPr="00D62519">
              <w:rPr>
                <w:rFonts w:ascii="Arial Narrow" w:hAnsi="Arial Narrow" w:cs="Calibri"/>
                <w:color w:val="000000"/>
                <w:spacing w:val="1"/>
                <w:sz w:val="20"/>
                <w:szCs w:val="20"/>
                <w:shd w:val="solid" w:color="000000" w:fill="000000"/>
                <w:fitText w:val="180" w:id="-961822194"/>
                <w14:textFill>
                  <w14:solidFill>
                    <w14:srgbClr w14:val="000000">
                      <w14:alpha w14:val="100000"/>
                    </w14:srgbClr>
                  </w14:solidFill>
                </w14:textFill>
              </w:rPr>
              <w:t>|</w:t>
            </w:r>
            <w:r w:rsidRPr="000B725B">
              <w:rPr>
                <w:rFonts w:ascii="Arial Narrow" w:hAnsi="Arial Narrow" w:cs="Calibri"/>
                <w:sz w:val="20"/>
                <w:szCs w:val="20"/>
              </w:rPr>
              <w:t>%</w:t>
            </w:r>
          </w:p>
        </w:tc>
      </w:tr>
      <w:tr w:rsidR="00543DB7" w:rsidRPr="000B725B" w14:paraId="186226ED"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5B769C8" w14:textId="132D387C" w:rsidR="00543DB7" w:rsidRPr="000B725B" w:rsidRDefault="00543DB7" w:rsidP="00477CD8">
            <w:pPr>
              <w:keepNext/>
              <w:keepLines/>
              <w:rPr>
                <w:rFonts w:ascii="Arial Narrow" w:hAnsi="Arial Narrow" w:cs="Calibri"/>
                <w:sz w:val="20"/>
                <w:szCs w:val="20"/>
              </w:rPr>
            </w:pPr>
            <w:r w:rsidRPr="000B725B">
              <w:rPr>
                <w:rFonts w:ascii="Arial Narrow" w:hAnsi="Arial Narrow" w:cs="Calibri"/>
                <w:b/>
                <w:bCs/>
                <w:sz w:val="20"/>
                <w:szCs w:val="20"/>
              </w:rPr>
              <w:t xml:space="preserve">Utilities (base case </w:t>
            </w:r>
            <w:r w:rsidR="00935AD9" w:rsidRPr="000B725B">
              <w:rPr>
                <w:rFonts w:ascii="Arial Narrow" w:hAnsi="Arial Narrow" w:cs="Calibri"/>
                <w:b/>
                <w:bCs/>
                <w:sz w:val="20"/>
                <w:szCs w:val="20"/>
              </w:rPr>
              <w:t>r</w:t>
            </w:r>
            <w:r w:rsidRPr="000B725B">
              <w:rPr>
                <w:rFonts w:ascii="Arial Narrow" w:hAnsi="Arial Narrow" w:cs="Calibri"/>
                <w:b/>
                <w:bCs/>
                <w:sz w:val="20"/>
                <w:szCs w:val="20"/>
              </w:rPr>
              <w:t>PF, TAL+ENZ: 0.811 and ENZ: 0.777</w:t>
            </w:r>
            <w:r w:rsidR="00935AD9" w:rsidRPr="000B725B">
              <w:rPr>
                <w:rFonts w:ascii="Arial Narrow" w:hAnsi="Arial Narrow" w:cs="Calibri"/>
                <w:b/>
                <w:bCs/>
                <w:sz w:val="20"/>
                <w:szCs w:val="20"/>
              </w:rPr>
              <w:t xml:space="preserve">; </w:t>
            </w:r>
            <w:r w:rsidRPr="000B725B">
              <w:rPr>
                <w:rFonts w:ascii="Arial Narrow" w:hAnsi="Arial Narrow" w:cs="Calibri"/>
                <w:b/>
                <w:bCs/>
                <w:sz w:val="20"/>
                <w:szCs w:val="20"/>
              </w:rPr>
              <w:t>PDa: 0.635, PDb: 0.560)</w:t>
            </w:r>
          </w:p>
        </w:tc>
      </w:tr>
      <w:tr w:rsidR="003F7A1D" w:rsidRPr="000B725B" w14:paraId="45C5857F"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087C22F3" w14:textId="7FF0835B"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 xml:space="preserve">Using lower 95% CI of utilities in </w:t>
            </w:r>
            <w:r w:rsidR="00D95348" w:rsidRPr="000B725B">
              <w:rPr>
                <w:rFonts w:ascii="Arial Narrow" w:hAnsi="Arial Narrow" w:cs="Calibri"/>
                <w:sz w:val="20"/>
                <w:szCs w:val="20"/>
              </w:rPr>
              <w:t>r</w:t>
            </w:r>
            <w:r w:rsidRPr="000B725B">
              <w:rPr>
                <w:rFonts w:ascii="Arial Narrow" w:hAnsi="Arial Narrow" w:cs="Calibri"/>
                <w:sz w:val="20"/>
                <w:szCs w:val="20"/>
              </w:rPr>
              <w:t>PF: TAL+ENZ=0.783, ENZ=0.751</w:t>
            </w:r>
          </w:p>
        </w:tc>
        <w:tc>
          <w:tcPr>
            <w:tcW w:w="599" w:type="pct"/>
            <w:tcBorders>
              <w:top w:val="single" w:sz="4" w:space="0" w:color="auto"/>
              <w:left w:val="single" w:sz="4" w:space="0" w:color="auto"/>
              <w:bottom w:val="single" w:sz="4" w:space="0" w:color="auto"/>
              <w:right w:val="single" w:sz="4" w:space="0" w:color="auto"/>
            </w:tcBorders>
            <w:vAlign w:val="center"/>
          </w:tcPr>
          <w:p w14:paraId="1D557762" w14:textId="100DF549"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72D1996E"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0.81</w:t>
            </w:r>
          </w:p>
        </w:tc>
        <w:tc>
          <w:tcPr>
            <w:tcW w:w="599" w:type="pct"/>
            <w:tcBorders>
              <w:top w:val="single" w:sz="4" w:space="0" w:color="auto"/>
              <w:left w:val="single" w:sz="4" w:space="0" w:color="auto"/>
              <w:bottom w:val="single" w:sz="4" w:space="0" w:color="auto"/>
              <w:right w:val="single" w:sz="4" w:space="0" w:color="auto"/>
            </w:tcBorders>
            <w:vAlign w:val="center"/>
          </w:tcPr>
          <w:p w14:paraId="6DF7FEF4" w14:textId="51E88919"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5DFCC95B" w14:textId="1F3B34F3"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3"/>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3"/>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3"/>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4E0C7EFE"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459F2005" w14:textId="48EC2D39"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 xml:space="preserve">Trial-reported overall utility in </w:t>
            </w:r>
            <w:r w:rsidR="00D95348" w:rsidRPr="000B725B">
              <w:rPr>
                <w:rFonts w:ascii="Arial Narrow" w:hAnsi="Arial Narrow" w:cs="Calibri"/>
                <w:sz w:val="20"/>
                <w:szCs w:val="20"/>
              </w:rPr>
              <w:t>r</w:t>
            </w:r>
            <w:r w:rsidRPr="000B725B">
              <w:rPr>
                <w:rFonts w:ascii="Arial Narrow" w:hAnsi="Arial Narrow" w:cs="Calibri"/>
                <w:sz w:val="20"/>
                <w:szCs w:val="20"/>
              </w:rPr>
              <w:t>PF (0.793), with AEs disutility</w:t>
            </w:r>
          </w:p>
        </w:tc>
        <w:tc>
          <w:tcPr>
            <w:tcW w:w="599" w:type="pct"/>
            <w:tcBorders>
              <w:top w:val="single" w:sz="4" w:space="0" w:color="auto"/>
              <w:left w:val="single" w:sz="4" w:space="0" w:color="auto"/>
              <w:bottom w:val="single" w:sz="4" w:space="0" w:color="auto"/>
              <w:right w:val="single" w:sz="4" w:space="0" w:color="auto"/>
            </w:tcBorders>
            <w:vAlign w:val="center"/>
          </w:tcPr>
          <w:p w14:paraId="049C3337" w14:textId="62672D56"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77657ED2"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0.79</w:t>
            </w:r>
          </w:p>
        </w:tc>
        <w:tc>
          <w:tcPr>
            <w:tcW w:w="599" w:type="pct"/>
            <w:tcBorders>
              <w:top w:val="single" w:sz="4" w:space="0" w:color="auto"/>
              <w:left w:val="single" w:sz="4" w:space="0" w:color="auto"/>
              <w:bottom w:val="single" w:sz="4" w:space="0" w:color="auto"/>
              <w:right w:val="single" w:sz="4" w:space="0" w:color="auto"/>
            </w:tcBorders>
            <w:vAlign w:val="center"/>
          </w:tcPr>
          <w:p w14:paraId="0BBF4730" w14:textId="3D202F05"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441AAA85" w14:textId="7EA712DF"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2"/>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2"/>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2"/>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7F06EEE0"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5070A579" w14:textId="278FC497" w:rsidR="00543DB7" w:rsidRPr="00E31251" w:rsidRDefault="00543DB7" w:rsidP="00477CD8">
            <w:pPr>
              <w:keepNext/>
              <w:keepLines/>
              <w:rPr>
                <w:rFonts w:ascii="Arial Narrow" w:hAnsi="Arial Narrow" w:cs="Calibri"/>
                <w:sz w:val="20"/>
                <w:szCs w:val="20"/>
              </w:rPr>
            </w:pPr>
            <w:r w:rsidRPr="00E31251">
              <w:rPr>
                <w:rFonts w:ascii="Arial Narrow" w:hAnsi="Arial Narrow" w:cs="Calibri"/>
                <w:sz w:val="20"/>
                <w:szCs w:val="20"/>
              </w:rPr>
              <w:t xml:space="preserve">Trial-reported overall in </w:t>
            </w:r>
            <w:r w:rsidR="00D95348" w:rsidRPr="00E31251">
              <w:rPr>
                <w:rFonts w:ascii="Arial Narrow" w:hAnsi="Arial Narrow" w:cs="Calibri"/>
                <w:sz w:val="20"/>
                <w:szCs w:val="20"/>
              </w:rPr>
              <w:t>r</w:t>
            </w:r>
            <w:r w:rsidRPr="00E31251">
              <w:rPr>
                <w:rFonts w:ascii="Arial Narrow" w:hAnsi="Arial Narrow" w:cs="Calibri"/>
                <w:sz w:val="20"/>
                <w:szCs w:val="20"/>
              </w:rPr>
              <w:t>PF (0.793 + AEs disutility), and PDa,b (0.721)</w:t>
            </w:r>
          </w:p>
        </w:tc>
        <w:tc>
          <w:tcPr>
            <w:tcW w:w="599" w:type="pct"/>
            <w:tcBorders>
              <w:top w:val="single" w:sz="4" w:space="0" w:color="auto"/>
              <w:left w:val="single" w:sz="4" w:space="0" w:color="auto"/>
              <w:bottom w:val="single" w:sz="4" w:space="0" w:color="auto"/>
              <w:right w:val="single" w:sz="4" w:space="0" w:color="auto"/>
            </w:tcBorders>
            <w:vAlign w:val="center"/>
          </w:tcPr>
          <w:p w14:paraId="0C88EC93" w14:textId="09F1CB32"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7BE8802A"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0.67</w:t>
            </w:r>
          </w:p>
        </w:tc>
        <w:tc>
          <w:tcPr>
            <w:tcW w:w="599" w:type="pct"/>
            <w:tcBorders>
              <w:top w:val="single" w:sz="4" w:space="0" w:color="auto"/>
              <w:left w:val="single" w:sz="4" w:space="0" w:color="auto"/>
              <w:bottom w:val="single" w:sz="4" w:space="0" w:color="auto"/>
              <w:right w:val="single" w:sz="4" w:space="0" w:color="auto"/>
            </w:tcBorders>
            <w:vAlign w:val="center"/>
          </w:tcPr>
          <w:p w14:paraId="2189D760" w14:textId="2C97FDA2"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40184B20" w14:textId="7482932D"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8"/>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8"/>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8"/>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0DD834B5" w14:textId="77777777" w:rsidTr="00EC2FC5">
        <w:trPr>
          <w:trHeight w:val="43"/>
        </w:trPr>
        <w:tc>
          <w:tcPr>
            <w:tcW w:w="2858" w:type="pct"/>
            <w:tcBorders>
              <w:top w:val="single" w:sz="4" w:space="0" w:color="auto"/>
              <w:left w:val="single" w:sz="4" w:space="0" w:color="auto"/>
              <w:bottom w:val="single" w:sz="4" w:space="0" w:color="auto"/>
              <w:right w:val="single" w:sz="4" w:space="0" w:color="auto"/>
            </w:tcBorders>
            <w:vAlign w:val="center"/>
          </w:tcPr>
          <w:p w14:paraId="480708ED" w14:textId="5175A960" w:rsidR="00543DB7" w:rsidRPr="00E31251" w:rsidRDefault="00543DB7" w:rsidP="00477CD8">
            <w:pPr>
              <w:keepNext/>
              <w:keepLines/>
              <w:rPr>
                <w:rFonts w:ascii="Arial Narrow" w:hAnsi="Arial Narrow" w:cs="Calibri"/>
                <w:sz w:val="20"/>
                <w:szCs w:val="20"/>
              </w:rPr>
            </w:pPr>
            <w:r w:rsidRPr="00E31251">
              <w:rPr>
                <w:rFonts w:ascii="Arial Narrow" w:hAnsi="Arial Narrow" w:cs="Calibri"/>
                <w:sz w:val="20"/>
                <w:szCs w:val="20"/>
              </w:rPr>
              <w:t>NICE-reported (TA391) utilities for rPF (0.76) and PDa utility (0.63)</w:t>
            </w:r>
          </w:p>
        </w:tc>
        <w:tc>
          <w:tcPr>
            <w:tcW w:w="599" w:type="pct"/>
            <w:tcBorders>
              <w:top w:val="single" w:sz="4" w:space="0" w:color="auto"/>
              <w:left w:val="single" w:sz="4" w:space="0" w:color="auto"/>
              <w:bottom w:val="single" w:sz="4" w:space="0" w:color="auto"/>
              <w:right w:val="single" w:sz="4" w:space="0" w:color="auto"/>
            </w:tcBorders>
            <w:vAlign w:val="center"/>
          </w:tcPr>
          <w:p w14:paraId="50EE482F" w14:textId="068F4CB3"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605415FA"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0.74</w:t>
            </w:r>
          </w:p>
        </w:tc>
        <w:tc>
          <w:tcPr>
            <w:tcW w:w="599" w:type="pct"/>
            <w:tcBorders>
              <w:top w:val="single" w:sz="4" w:space="0" w:color="auto"/>
              <w:left w:val="single" w:sz="4" w:space="0" w:color="auto"/>
              <w:bottom w:val="single" w:sz="4" w:space="0" w:color="auto"/>
              <w:right w:val="single" w:sz="4" w:space="0" w:color="auto"/>
            </w:tcBorders>
            <w:vAlign w:val="center"/>
          </w:tcPr>
          <w:p w14:paraId="14DC0F09" w14:textId="0F8FE349"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59397F5F" w14:textId="129C6BF7"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7"/>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7"/>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7"/>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14B8E616" w14:textId="77777777" w:rsidTr="00EC2FC5">
        <w:trPr>
          <w:trHeight w:val="43"/>
        </w:trPr>
        <w:tc>
          <w:tcPr>
            <w:tcW w:w="2858" w:type="pct"/>
            <w:tcBorders>
              <w:top w:val="single" w:sz="4" w:space="0" w:color="auto"/>
              <w:left w:val="single" w:sz="4" w:space="0" w:color="auto"/>
              <w:bottom w:val="single" w:sz="4" w:space="0" w:color="auto"/>
              <w:right w:val="single" w:sz="4" w:space="0" w:color="auto"/>
            </w:tcBorders>
            <w:vAlign w:val="center"/>
          </w:tcPr>
          <w:p w14:paraId="0360C503" w14:textId="598480DE" w:rsidR="004F5942" w:rsidRPr="000B725B" w:rsidRDefault="004F5942" w:rsidP="00477CD8">
            <w:pPr>
              <w:keepNext/>
              <w:keepLines/>
              <w:rPr>
                <w:rFonts w:ascii="Arial Narrow" w:hAnsi="Arial Narrow" w:cs="Calibri"/>
                <w:sz w:val="20"/>
                <w:szCs w:val="20"/>
              </w:rPr>
            </w:pPr>
            <w:r w:rsidRPr="000B725B">
              <w:rPr>
                <w:rFonts w:ascii="Arial Narrow" w:hAnsi="Arial Narrow" w:cs="Calibri"/>
                <w:sz w:val="20"/>
                <w:szCs w:val="20"/>
              </w:rPr>
              <w:t>Same utilities for PDa and PDb (0.635)</w:t>
            </w:r>
          </w:p>
        </w:tc>
        <w:tc>
          <w:tcPr>
            <w:tcW w:w="599" w:type="pct"/>
            <w:tcBorders>
              <w:top w:val="single" w:sz="4" w:space="0" w:color="auto"/>
              <w:left w:val="single" w:sz="4" w:space="0" w:color="auto"/>
              <w:bottom w:val="single" w:sz="4" w:space="0" w:color="auto"/>
              <w:right w:val="single" w:sz="4" w:space="0" w:color="auto"/>
            </w:tcBorders>
            <w:vAlign w:val="center"/>
          </w:tcPr>
          <w:p w14:paraId="3272C56E" w14:textId="47CFA3B0" w:rsidR="004F5942" w:rsidRPr="000B725B" w:rsidRDefault="004F5942"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780CCF6B" w14:textId="5D835205" w:rsidR="004F5942" w:rsidRPr="000B725B" w:rsidRDefault="004F5942" w:rsidP="00477CD8">
            <w:pPr>
              <w:keepNext/>
              <w:keepLines/>
              <w:jc w:val="center"/>
              <w:rPr>
                <w:rFonts w:ascii="Arial Narrow" w:hAnsi="Arial Narrow" w:cs="Calibri"/>
                <w:sz w:val="20"/>
                <w:szCs w:val="20"/>
              </w:rPr>
            </w:pPr>
            <w:r w:rsidRPr="000B725B">
              <w:rPr>
                <w:rFonts w:ascii="Arial Narrow" w:hAnsi="Arial Narrow" w:cs="Calibri"/>
                <w:sz w:val="20"/>
                <w:szCs w:val="20"/>
              </w:rPr>
              <w:t>0.80</w:t>
            </w:r>
          </w:p>
        </w:tc>
        <w:tc>
          <w:tcPr>
            <w:tcW w:w="599" w:type="pct"/>
            <w:tcBorders>
              <w:top w:val="single" w:sz="4" w:space="0" w:color="auto"/>
              <w:left w:val="single" w:sz="4" w:space="0" w:color="auto"/>
              <w:bottom w:val="single" w:sz="4" w:space="0" w:color="auto"/>
              <w:right w:val="single" w:sz="4" w:space="0" w:color="auto"/>
            </w:tcBorders>
            <w:vAlign w:val="center"/>
          </w:tcPr>
          <w:p w14:paraId="1E7E407F" w14:textId="387D3B7B" w:rsidR="004F5942" w:rsidRPr="000B725B" w:rsidRDefault="004F5942"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6C7D0F17" w14:textId="09D7245C" w:rsidR="004F5942"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6"/>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6"/>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6"/>
                <w14:textFill>
                  <w14:solidFill>
                    <w14:srgbClr w14:val="000000">
                      <w14:alpha w14:val="100000"/>
                    </w14:srgbClr>
                  </w14:solidFill>
                </w14:textFill>
              </w:rPr>
              <w:t xml:space="preserve">　</w:t>
            </w:r>
            <w:r w:rsidR="004F5942" w:rsidRPr="000B725B">
              <w:rPr>
                <w:rFonts w:ascii="Arial Narrow" w:hAnsi="Arial Narrow" w:cs="Calibri"/>
                <w:sz w:val="20"/>
                <w:szCs w:val="20"/>
              </w:rPr>
              <w:t>%</w:t>
            </w:r>
          </w:p>
        </w:tc>
      </w:tr>
      <w:tr w:rsidR="00543DB7" w:rsidRPr="000B725B" w14:paraId="1113B02E"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5F05C5A" w14:textId="60A0F7A6"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Subsequent treatments (base case, TAL+ENZ: 70% DTX and 30% CBZ- ENZ: 100% OLA)</w:t>
            </w:r>
          </w:p>
        </w:tc>
      </w:tr>
      <w:tr w:rsidR="003F7A1D" w:rsidRPr="000B725B" w14:paraId="572171C8"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3B5A9320"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Post ENZ arm: 80% OLA, 14% DTX and 6% CBZ</w:t>
            </w:r>
          </w:p>
        </w:tc>
        <w:tc>
          <w:tcPr>
            <w:tcW w:w="599" w:type="pct"/>
            <w:tcBorders>
              <w:top w:val="single" w:sz="4" w:space="0" w:color="auto"/>
              <w:left w:val="single" w:sz="4" w:space="0" w:color="auto"/>
              <w:bottom w:val="single" w:sz="4" w:space="0" w:color="auto"/>
              <w:right w:val="single" w:sz="4" w:space="0" w:color="auto"/>
            </w:tcBorders>
            <w:vAlign w:val="center"/>
          </w:tcPr>
          <w:p w14:paraId="1CCB183B" w14:textId="6CA73699"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366D4E99"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0.85</w:t>
            </w:r>
          </w:p>
        </w:tc>
        <w:tc>
          <w:tcPr>
            <w:tcW w:w="599" w:type="pct"/>
            <w:tcBorders>
              <w:top w:val="single" w:sz="4" w:space="0" w:color="auto"/>
              <w:left w:val="single" w:sz="4" w:space="0" w:color="auto"/>
              <w:bottom w:val="single" w:sz="4" w:space="0" w:color="auto"/>
              <w:right w:val="single" w:sz="4" w:space="0" w:color="auto"/>
            </w:tcBorders>
            <w:vAlign w:val="center"/>
          </w:tcPr>
          <w:p w14:paraId="1A6D2225" w14:textId="266697CC"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67C3A1C2" w14:textId="64467BB6"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5"/>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5"/>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5"/>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3F7A1D" w:rsidRPr="000B725B" w14:paraId="6AE5F29B"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3916EB7C" w14:textId="77777777" w:rsidR="00543DB7" w:rsidRPr="000B725B" w:rsidRDefault="00543DB7" w:rsidP="00477CD8">
            <w:pPr>
              <w:keepNext/>
              <w:keepLines/>
              <w:rPr>
                <w:rFonts w:ascii="Arial Narrow" w:hAnsi="Arial Narrow" w:cs="Calibri"/>
                <w:sz w:val="20"/>
                <w:szCs w:val="20"/>
              </w:rPr>
            </w:pPr>
            <w:r w:rsidRPr="000B725B">
              <w:rPr>
                <w:rFonts w:ascii="Arial Narrow" w:hAnsi="Arial Narrow" w:cs="Calibri"/>
                <w:sz w:val="20"/>
                <w:szCs w:val="20"/>
              </w:rPr>
              <w:t>Post ENZ arm: 63.1% OLA, 26% DTX and 11% CBZ</w:t>
            </w:r>
          </w:p>
        </w:tc>
        <w:tc>
          <w:tcPr>
            <w:tcW w:w="599" w:type="pct"/>
            <w:tcBorders>
              <w:top w:val="single" w:sz="4" w:space="0" w:color="auto"/>
              <w:left w:val="single" w:sz="4" w:space="0" w:color="auto"/>
              <w:bottom w:val="single" w:sz="4" w:space="0" w:color="auto"/>
              <w:right w:val="single" w:sz="4" w:space="0" w:color="auto"/>
            </w:tcBorders>
            <w:vAlign w:val="center"/>
          </w:tcPr>
          <w:p w14:paraId="3F54C81E" w14:textId="2572D986"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328DF919" w14:textId="77777777"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0.86</w:t>
            </w:r>
          </w:p>
        </w:tc>
        <w:tc>
          <w:tcPr>
            <w:tcW w:w="599" w:type="pct"/>
            <w:tcBorders>
              <w:top w:val="single" w:sz="4" w:space="0" w:color="auto"/>
              <w:left w:val="single" w:sz="4" w:space="0" w:color="auto"/>
              <w:bottom w:val="single" w:sz="4" w:space="0" w:color="auto"/>
              <w:right w:val="single" w:sz="4" w:space="0" w:color="auto"/>
            </w:tcBorders>
            <w:vAlign w:val="center"/>
          </w:tcPr>
          <w:p w14:paraId="0B99F187" w14:textId="528C2619" w:rsidR="00543DB7" w:rsidRPr="000B725B" w:rsidRDefault="00543DB7" w:rsidP="00477CD8">
            <w:pPr>
              <w:keepNext/>
              <w:keepLines/>
              <w:jc w:val="center"/>
              <w:rPr>
                <w:rFonts w:ascii="Arial Narrow" w:hAnsi="Arial Narrow" w:cs="Calibri"/>
                <w:sz w:val="20"/>
                <w:szCs w:val="20"/>
              </w:rPr>
            </w:pPr>
            <w:r w:rsidRPr="000B725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2BD3796C" w14:textId="1719A1D6" w:rsidR="00543DB7" w:rsidRPr="000B725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4"/>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4"/>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4"/>
                <w14:textFill>
                  <w14:solidFill>
                    <w14:srgbClr w14:val="000000">
                      <w14:alpha w14:val="100000"/>
                    </w14:srgbClr>
                  </w14:solidFill>
                </w14:textFill>
              </w:rPr>
              <w:t xml:space="preserve">　</w:t>
            </w:r>
            <w:r w:rsidR="00543DB7" w:rsidRPr="000B725B">
              <w:rPr>
                <w:rFonts w:ascii="Arial Narrow" w:hAnsi="Arial Narrow" w:cs="Calibri"/>
                <w:sz w:val="20"/>
                <w:szCs w:val="20"/>
              </w:rPr>
              <w:t>%</w:t>
            </w:r>
          </w:p>
        </w:tc>
      </w:tr>
      <w:tr w:rsidR="00543DB7" w:rsidRPr="000B725B" w14:paraId="1BCDF6B5" w14:textId="77777777" w:rsidTr="00E97B08">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A633AA8" w14:textId="77777777" w:rsidR="00543DB7" w:rsidRPr="000B725B" w:rsidRDefault="00543DB7" w:rsidP="00477CD8">
            <w:pPr>
              <w:keepNext/>
              <w:keepLines/>
              <w:rPr>
                <w:rFonts w:ascii="Arial Narrow" w:hAnsi="Arial Narrow" w:cs="Calibri"/>
                <w:b/>
                <w:bCs/>
                <w:sz w:val="20"/>
                <w:szCs w:val="20"/>
              </w:rPr>
            </w:pPr>
            <w:r w:rsidRPr="000B725B">
              <w:rPr>
                <w:rFonts w:ascii="Arial Narrow" w:hAnsi="Arial Narrow" w:cs="Calibri"/>
                <w:b/>
                <w:bCs/>
                <w:sz w:val="20"/>
                <w:szCs w:val="20"/>
              </w:rPr>
              <w:t>Multivariate analyses</w:t>
            </w:r>
          </w:p>
        </w:tc>
      </w:tr>
      <w:tr w:rsidR="003F7A1D" w:rsidRPr="006E4BFC" w14:paraId="3A103F76"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477E2FA8" w14:textId="23D3AB4A" w:rsidR="00543DB7" w:rsidRPr="006E4BFC" w:rsidRDefault="00543DB7" w:rsidP="00477CD8">
            <w:pPr>
              <w:keepNext/>
              <w:keepLines/>
              <w:rPr>
                <w:rFonts w:ascii="Arial Narrow" w:hAnsi="Arial Narrow" w:cs="Calibri"/>
                <w:sz w:val="20"/>
                <w:szCs w:val="20"/>
              </w:rPr>
            </w:pPr>
            <w:r w:rsidRPr="006E4BFC">
              <w:rPr>
                <w:rFonts w:ascii="Arial Narrow" w:hAnsi="Arial Narrow" w:cs="Calibri"/>
                <w:sz w:val="20"/>
                <w:szCs w:val="20"/>
              </w:rPr>
              <w:t>Time horizon=7.5; treatment duration=rPFS</w:t>
            </w:r>
          </w:p>
        </w:tc>
        <w:tc>
          <w:tcPr>
            <w:tcW w:w="599" w:type="pct"/>
            <w:tcBorders>
              <w:top w:val="single" w:sz="4" w:space="0" w:color="auto"/>
              <w:left w:val="single" w:sz="4" w:space="0" w:color="auto"/>
              <w:bottom w:val="single" w:sz="4" w:space="0" w:color="auto"/>
              <w:right w:val="single" w:sz="4" w:space="0" w:color="auto"/>
            </w:tcBorders>
            <w:vAlign w:val="center"/>
          </w:tcPr>
          <w:p w14:paraId="4EF718D2" w14:textId="524F9C83" w:rsidR="00543DB7" w:rsidRPr="006E4BFC" w:rsidRDefault="00543DB7"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7880137E" w14:textId="77777777" w:rsidR="00543DB7" w:rsidRPr="006E4BFC" w:rsidRDefault="00543DB7" w:rsidP="00477CD8">
            <w:pPr>
              <w:keepNext/>
              <w:keepLines/>
              <w:jc w:val="center"/>
              <w:rPr>
                <w:rFonts w:ascii="Arial Narrow" w:hAnsi="Arial Narrow" w:cs="Calibri"/>
                <w:sz w:val="20"/>
                <w:szCs w:val="20"/>
              </w:rPr>
            </w:pPr>
            <w:r w:rsidRPr="006E4BFC">
              <w:rPr>
                <w:rFonts w:ascii="Arial Narrow" w:hAnsi="Arial Narrow" w:cs="Calibri"/>
                <w:sz w:val="20"/>
                <w:szCs w:val="20"/>
              </w:rPr>
              <w:t>0.84</w:t>
            </w:r>
          </w:p>
        </w:tc>
        <w:tc>
          <w:tcPr>
            <w:tcW w:w="599" w:type="pct"/>
            <w:tcBorders>
              <w:top w:val="single" w:sz="4" w:space="0" w:color="auto"/>
              <w:left w:val="single" w:sz="4" w:space="0" w:color="auto"/>
              <w:bottom w:val="single" w:sz="4" w:space="0" w:color="auto"/>
              <w:right w:val="single" w:sz="4" w:space="0" w:color="auto"/>
            </w:tcBorders>
            <w:vAlign w:val="center"/>
          </w:tcPr>
          <w:p w14:paraId="6478B57E" w14:textId="4A0E0F5F" w:rsidR="00E31251" w:rsidRPr="006E4BFC" w:rsidRDefault="00543DB7" w:rsidP="00477CD8">
            <w:pPr>
              <w:keepNext/>
              <w:keepLines/>
              <w:jc w:val="center"/>
              <w:rPr>
                <w:rFonts w:cs="Calibri"/>
                <w:b/>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05D79232" w14:textId="0B1322E9" w:rsidR="00543DB7" w:rsidRPr="006E4BFC"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3"/>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3"/>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3"/>
                <w14:textFill>
                  <w14:solidFill>
                    <w14:srgbClr w14:val="000000">
                      <w14:alpha w14:val="100000"/>
                    </w14:srgbClr>
                  </w14:solidFill>
                </w14:textFill>
              </w:rPr>
              <w:t xml:space="preserve">　</w:t>
            </w:r>
            <w:r w:rsidR="00543DB7" w:rsidRPr="006E4BFC">
              <w:rPr>
                <w:rFonts w:ascii="Arial Narrow" w:hAnsi="Arial Narrow" w:cs="Calibri"/>
                <w:sz w:val="20"/>
                <w:szCs w:val="20"/>
              </w:rPr>
              <w:t>%</w:t>
            </w:r>
          </w:p>
        </w:tc>
      </w:tr>
      <w:tr w:rsidR="00E31251" w:rsidRPr="006E4BFC" w14:paraId="243B53A4"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616C2BE7" w14:textId="57D16095" w:rsidR="00E31251" w:rsidRPr="006E4BFC" w:rsidRDefault="00E31251" w:rsidP="00477CD8">
            <w:pPr>
              <w:keepNext/>
              <w:keepLines/>
              <w:rPr>
                <w:rFonts w:ascii="Arial Narrow" w:hAnsi="Arial Narrow" w:cs="Calibri"/>
                <w:sz w:val="20"/>
                <w:szCs w:val="20"/>
              </w:rPr>
            </w:pPr>
            <w:r w:rsidRPr="006E4BFC">
              <w:rPr>
                <w:rFonts w:ascii="Arial Narrow" w:hAnsi="Arial Narrow" w:cs="Calibri"/>
                <w:sz w:val="20"/>
                <w:szCs w:val="20"/>
              </w:rPr>
              <w:t>Time horizon=7.5; ENZ in TAL+ENZ arm treatment duration=rPFS</w:t>
            </w:r>
          </w:p>
        </w:tc>
        <w:tc>
          <w:tcPr>
            <w:tcW w:w="599" w:type="pct"/>
            <w:tcBorders>
              <w:top w:val="single" w:sz="4" w:space="0" w:color="auto"/>
              <w:left w:val="single" w:sz="4" w:space="0" w:color="auto"/>
              <w:bottom w:val="single" w:sz="4" w:space="0" w:color="auto"/>
              <w:right w:val="single" w:sz="4" w:space="0" w:color="auto"/>
            </w:tcBorders>
            <w:vAlign w:val="center"/>
          </w:tcPr>
          <w:p w14:paraId="0DDD21DA" w14:textId="24547A89" w:rsidR="00E31251" w:rsidRPr="006E4BFC" w:rsidRDefault="00E31251"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77684F01" w14:textId="29F8CC50" w:rsidR="00E31251" w:rsidRPr="006E4BFC" w:rsidRDefault="00E31251" w:rsidP="00477CD8">
            <w:pPr>
              <w:keepNext/>
              <w:keepLines/>
              <w:jc w:val="center"/>
              <w:rPr>
                <w:rFonts w:ascii="Arial Narrow" w:hAnsi="Arial Narrow" w:cs="Calibri"/>
                <w:sz w:val="20"/>
                <w:szCs w:val="20"/>
              </w:rPr>
            </w:pPr>
            <w:r w:rsidRPr="006E4BFC">
              <w:rPr>
                <w:rFonts w:ascii="Arial Narrow" w:hAnsi="Arial Narrow" w:cs="Calibri"/>
                <w:sz w:val="20"/>
                <w:szCs w:val="20"/>
              </w:rPr>
              <w:t>0.84</w:t>
            </w:r>
          </w:p>
        </w:tc>
        <w:tc>
          <w:tcPr>
            <w:tcW w:w="599" w:type="pct"/>
            <w:tcBorders>
              <w:top w:val="single" w:sz="4" w:space="0" w:color="auto"/>
              <w:left w:val="single" w:sz="4" w:space="0" w:color="auto"/>
              <w:bottom w:val="single" w:sz="4" w:space="0" w:color="auto"/>
              <w:right w:val="single" w:sz="4" w:space="0" w:color="auto"/>
            </w:tcBorders>
            <w:vAlign w:val="center"/>
          </w:tcPr>
          <w:p w14:paraId="77ABDD02" w14:textId="6A0D2FD4" w:rsidR="00E31251" w:rsidRPr="006E4BFC" w:rsidRDefault="00E31251"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174A9B7A" w14:textId="4240795F" w:rsidR="00E31251" w:rsidRPr="006E4BFC"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2"/>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2"/>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2"/>
                <w14:textFill>
                  <w14:solidFill>
                    <w14:srgbClr w14:val="000000">
                      <w14:alpha w14:val="100000"/>
                    </w14:srgbClr>
                  </w14:solidFill>
                </w14:textFill>
              </w:rPr>
              <w:t xml:space="preserve">　</w:t>
            </w:r>
            <w:r w:rsidR="00E31251" w:rsidRPr="006E4BFC">
              <w:rPr>
                <w:rFonts w:ascii="Arial Narrow" w:hAnsi="Arial Narrow" w:cs="Calibri"/>
                <w:sz w:val="20"/>
                <w:szCs w:val="20"/>
              </w:rPr>
              <w:t>%</w:t>
            </w:r>
          </w:p>
        </w:tc>
      </w:tr>
      <w:tr w:rsidR="003F7A1D" w:rsidRPr="006E4BFC" w14:paraId="147946E7"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34846962" w14:textId="7D730C7D" w:rsidR="003F7A1D" w:rsidRPr="006E4BFC" w:rsidRDefault="003F7A1D" w:rsidP="00477CD8">
            <w:pPr>
              <w:keepNext/>
              <w:keepLines/>
              <w:rPr>
                <w:rFonts w:ascii="Arial Narrow" w:hAnsi="Arial Narrow" w:cs="Calibri"/>
                <w:sz w:val="20"/>
                <w:szCs w:val="20"/>
              </w:rPr>
            </w:pPr>
            <w:r w:rsidRPr="006E4BFC">
              <w:rPr>
                <w:rFonts w:ascii="Arial Narrow" w:hAnsi="Arial Narrow" w:cs="Calibri"/>
                <w:sz w:val="20"/>
                <w:szCs w:val="20"/>
              </w:rPr>
              <w:t>Time horizon=7.5; rPF utilities=overall</w:t>
            </w:r>
          </w:p>
        </w:tc>
        <w:tc>
          <w:tcPr>
            <w:tcW w:w="599" w:type="pct"/>
            <w:tcBorders>
              <w:top w:val="single" w:sz="4" w:space="0" w:color="auto"/>
              <w:left w:val="single" w:sz="4" w:space="0" w:color="auto"/>
              <w:bottom w:val="single" w:sz="4" w:space="0" w:color="auto"/>
              <w:right w:val="single" w:sz="4" w:space="0" w:color="auto"/>
            </w:tcBorders>
            <w:vAlign w:val="center"/>
          </w:tcPr>
          <w:p w14:paraId="56CB9304" w14:textId="2E29F7CD" w:rsidR="003F7A1D" w:rsidRPr="006E4BFC" w:rsidRDefault="003F7A1D"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5AD3E60E" w14:textId="2E5D000C" w:rsidR="003F7A1D" w:rsidRPr="006E4BFC" w:rsidRDefault="003F7A1D" w:rsidP="00477CD8">
            <w:pPr>
              <w:keepNext/>
              <w:keepLines/>
              <w:jc w:val="center"/>
              <w:rPr>
                <w:rFonts w:ascii="Arial Narrow" w:hAnsi="Arial Narrow" w:cs="Calibri"/>
                <w:sz w:val="20"/>
                <w:szCs w:val="20"/>
              </w:rPr>
            </w:pPr>
            <w:r w:rsidRPr="006E4BFC">
              <w:rPr>
                <w:rFonts w:ascii="Arial Narrow" w:hAnsi="Arial Narrow" w:cs="Calibri"/>
                <w:sz w:val="20"/>
                <w:szCs w:val="20"/>
              </w:rPr>
              <w:t>0.78</w:t>
            </w:r>
          </w:p>
        </w:tc>
        <w:tc>
          <w:tcPr>
            <w:tcW w:w="599" w:type="pct"/>
            <w:tcBorders>
              <w:top w:val="single" w:sz="4" w:space="0" w:color="auto"/>
              <w:left w:val="single" w:sz="4" w:space="0" w:color="auto"/>
              <w:bottom w:val="single" w:sz="4" w:space="0" w:color="auto"/>
              <w:right w:val="single" w:sz="4" w:space="0" w:color="auto"/>
            </w:tcBorders>
            <w:vAlign w:val="center"/>
          </w:tcPr>
          <w:p w14:paraId="0E2D8C9E" w14:textId="35AAA8DB" w:rsidR="003F7A1D" w:rsidRPr="006E4BFC" w:rsidRDefault="003F7A1D"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DA3DD5" w:rsidRPr="00DA3DD5">
              <w:rPr>
                <w:rFonts w:ascii="Arial Narrow" w:hAnsi="Arial Narrow" w:cs="Calibri"/>
                <w:sz w:val="20"/>
                <w:szCs w:val="20"/>
                <w:vertAlign w:val="superscript"/>
              </w:rPr>
              <w:t>1</w:t>
            </w:r>
          </w:p>
        </w:tc>
        <w:tc>
          <w:tcPr>
            <w:tcW w:w="412" w:type="pct"/>
            <w:tcBorders>
              <w:top w:val="single" w:sz="4" w:space="0" w:color="auto"/>
              <w:left w:val="single" w:sz="4" w:space="0" w:color="auto"/>
              <w:bottom w:val="single" w:sz="4" w:space="0" w:color="auto"/>
              <w:right w:val="single" w:sz="4" w:space="0" w:color="auto"/>
            </w:tcBorders>
            <w:vAlign w:val="center"/>
          </w:tcPr>
          <w:p w14:paraId="04784199" w14:textId="4758F11B" w:rsidR="003F7A1D" w:rsidRPr="006E4BFC"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1"/>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1"/>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1"/>
                <w14:textFill>
                  <w14:solidFill>
                    <w14:srgbClr w14:val="000000">
                      <w14:alpha w14:val="100000"/>
                    </w14:srgbClr>
                  </w14:solidFill>
                </w14:textFill>
              </w:rPr>
              <w:t xml:space="preserve">　</w:t>
            </w:r>
            <w:r w:rsidR="003F7A1D" w:rsidRPr="006E4BFC">
              <w:rPr>
                <w:rFonts w:ascii="Arial Narrow" w:hAnsi="Arial Narrow" w:cs="Calibri"/>
                <w:sz w:val="20"/>
                <w:szCs w:val="20"/>
              </w:rPr>
              <w:t>%</w:t>
            </w:r>
          </w:p>
        </w:tc>
      </w:tr>
      <w:tr w:rsidR="003F7A1D" w:rsidRPr="006E4BFC" w14:paraId="13A1CF7F"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25B11973" w14:textId="4662BB22" w:rsidR="003F7A1D" w:rsidRPr="006E4BFC" w:rsidRDefault="003F7A1D" w:rsidP="00477CD8">
            <w:pPr>
              <w:keepNext/>
              <w:keepLines/>
              <w:rPr>
                <w:rFonts w:ascii="Arial Narrow" w:hAnsi="Arial Narrow" w:cs="Calibri"/>
                <w:sz w:val="20"/>
                <w:szCs w:val="20"/>
              </w:rPr>
            </w:pPr>
            <w:r w:rsidRPr="006E4BFC">
              <w:rPr>
                <w:rFonts w:ascii="Arial Narrow" w:hAnsi="Arial Narrow" w:cs="Calibri"/>
                <w:sz w:val="20"/>
                <w:szCs w:val="20"/>
              </w:rPr>
              <w:t>Time horizon=7.5; rPF utilities=overall; PDb utilities=PDa utilities</w:t>
            </w:r>
          </w:p>
        </w:tc>
        <w:tc>
          <w:tcPr>
            <w:tcW w:w="599" w:type="pct"/>
            <w:tcBorders>
              <w:top w:val="single" w:sz="4" w:space="0" w:color="auto"/>
              <w:left w:val="single" w:sz="4" w:space="0" w:color="auto"/>
              <w:bottom w:val="single" w:sz="4" w:space="0" w:color="auto"/>
              <w:right w:val="single" w:sz="4" w:space="0" w:color="auto"/>
            </w:tcBorders>
            <w:vAlign w:val="center"/>
          </w:tcPr>
          <w:p w14:paraId="162A1916" w14:textId="51F2850A" w:rsidR="003F7A1D" w:rsidRPr="006E4BFC" w:rsidRDefault="003F7A1D"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68111F55" w14:textId="2F5F6EB0" w:rsidR="003F7A1D" w:rsidRPr="006E4BFC" w:rsidRDefault="003F7A1D" w:rsidP="00477CD8">
            <w:pPr>
              <w:keepNext/>
              <w:keepLines/>
              <w:jc w:val="center"/>
              <w:rPr>
                <w:rFonts w:ascii="Arial Narrow" w:hAnsi="Arial Narrow" w:cs="Calibri"/>
                <w:sz w:val="20"/>
                <w:szCs w:val="20"/>
              </w:rPr>
            </w:pPr>
            <w:r w:rsidRPr="006E4BFC">
              <w:rPr>
                <w:rFonts w:ascii="Arial Narrow" w:hAnsi="Arial Narrow" w:cs="Calibri"/>
                <w:sz w:val="20"/>
                <w:szCs w:val="20"/>
              </w:rPr>
              <w:t>0.73</w:t>
            </w:r>
          </w:p>
        </w:tc>
        <w:tc>
          <w:tcPr>
            <w:tcW w:w="599" w:type="pct"/>
            <w:tcBorders>
              <w:top w:val="single" w:sz="4" w:space="0" w:color="auto"/>
              <w:left w:val="single" w:sz="4" w:space="0" w:color="auto"/>
              <w:bottom w:val="single" w:sz="4" w:space="0" w:color="auto"/>
              <w:right w:val="single" w:sz="4" w:space="0" w:color="auto"/>
            </w:tcBorders>
            <w:vAlign w:val="center"/>
          </w:tcPr>
          <w:p w14:paraId="73EBDE83" w14:textId="02355C93" w:rsidR="003F7A1D" w:rsidRPr="006E4BFC" w:rsidRDefault="003F7A1D"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3AC4313D" w14:textId="53B642FC" w:rsidR="003F7A1D" w:rsidRPr="006E4BFC"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200"/>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200"/>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200"/>
                <w14:textFill>
                  <w14:solidFill>
                    <w14:srgbClr w14:val="000000">
                      <w14:alpha w14:val="100000"/>
                    </w14:srgbClr>
                  </w14:solidFill>
                </w14:textFill>
              </w:rPr>
              <w:t xml:space="preserve">　</w:t>
            </w:r>
            <w:r w:rsidR="003F7A1D" w:rsidRPr="006E4BFC">
              <w:rPr>
                <w:rFonts w:ascii="Arial Narrow" w:hAnsi="Arial Narrow" w:cs="Calibri"/>
                <w:sz w:val="20"/>
                <w:szCs w:val="20"/>
              </w:rPr>
              <w:t>%</w:t>
            </w:r>
          </w:p>
        </w:tc>
      </w:tr>
      <w:tr w:rsidR="003F7A1D" w:rsidRPr="006E4BFC" w14:paraId="39346324"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1C5F6DA8" w14:textId="4677E09B" w:rsidR="00543DB7" w:rsidRPr="006E4BFC" w:rsidRDefault="00543DB7" w:rsidP="00477CD8">
            <w:pPr>
              <w:keepNext/>
              <w:keepLines/>
              <w:rPr>
                <w:rFonts w:ascii="Arial Narrow" w:hAnsi="Arial Narrow" w:cs="Calibri"/>
                <w:sz w:val="20"/>
                <w:szCs w:val="20"/>
              </w:rPr>
            </w:pPr>
            <w:r w:rsidRPr="006E4BFC">
              <w:rPr>
                <w:rFonts w:ascii="Arial Narrow" w:hAnsi="Arial Narrow" w:cs="Calibri"/>
                <w:sz w:val="20"/>
                <w:szCs w:val="20"/>
              </w:rPr>
              <w:t>Time horizon</w:t>
            </w:r>
            <w:r w:rsidR="00D2708F" w:rsidRPr="006E4BFC">
              <w:rPr>
                <w:rFonts w:ascii="Arial Narrow" w:hAnsi="Arial Narrow" w:cs="Calibri"/>
                <w:sz w:val="20"/>
                <w:szCs w:val="20"/>
              </w:rPr>
              <w:t>=</w:t>
            </w:r>
            <w:r w:rsidRPr="006E4BFC">
              <w:rPr>
                <w:rFonts w:ascii="Arial Narrow" w:hAnsi="Arial Narrow" w:cs="Calibri"/>
                <w:sz w:val="20"/>
                <w:szCs w:val="20"/>
              </w:rPr>
              <w:t>7.5</w:t>
            </w:r>
            <w:r w:rsidR="00D2708F" w:rsidRPr="006E4BFC">
              <w:rPr>
                <w:rFonts w:ascii="Arial Narrow" w:hAnsi="Arial Narrow" w:cs="Calibri"/>
                <w:sz w:val="20"/>
                <w:szCs w:val="20"/>
              </w:rPr>
              <w:t>;</w:t>
            </w:r>
            <w:r w:rsidRPr="006E4BFC">
              <w:rPr>
                <w:rFonts w:ascii="Arial Narrow" w:hAnsi="Arial Narrow" w:cs="Calibri"/>
                <w:sz w:val="20"/>
                <w:szCs w:val="20"/>
              </w:rPr>
              <w:t xml:space="preserve"> treatment duration</w:t>
            </w:r>
            <w:r w:rsidR="00D2708F" w:rsidRPr="006E4BFC">
              <w:rPr>
                <w:rFonts w:ascii="Arial Narrow" w:hAnsi="Arial Narrow" w:cs="Calibri"/>
                <w:sz w:val="20"/>
                <w:szCs w:val="20"/>
              </w:rPr>
              <w:t>=</w:t>
            </w:r>
            <w:r w:rsidRPr="006E4BFC">
              <w:rPr>
                <w:rFonts w:ascii="Arial Narrow" w:hAnsi="Arial Narrow" w:cs="Calibri"/>
                <w:sz w:val="20"/>
                <w:szCs w:val="20"/>
              </w:rPr>
              <w:t>rPFS</w:t>
            </w:r>
            <w:r w:rsidR="00D2708F" w:rsidRPr="006E4BFC">
              <w:rPr>
                <w:rFonts w:ascii="Arial Narrow" w:hAnsi="Arial Narrow" w:cs="Calibri"/>
                <w:sz w:val="20"/>
                <w:szCs w:val="20"/>
              </w:rPr>
              <w:t>;</w:t>
            </w:r>
            <w:r w:rsidRPr="006E4BFC">
              <w:rPr>
                <w:rFonts w:ascii="Arial Narrow" w:hAnsi="Arial Narrow" w:cs="Calibri"/>
                <w:sz w:val="20"/>
                <w:szCs w:val="20"/>
              </w:rPr>
              <w:t xml:space="preserve"> </w:t>
            </w:r>
            <w:r w:rsidR="00D95348" w:rsidRPr="006E4BFC">
              <w:rPr>
                <w:rFonts w:ascii="Arial Narrow" w:hAnsi="Arial Narrow" w:cs="Calibri"/>
                <w:sz w:val="20"/>
                <w:szCs w:val="20"/>
              </w:rPr>
              <w:t>r</w:t>
            </w:r>
            <w:r w:rsidR="00D2708F" w:rsidRPr="006E4BFC">
              <w:rPr>
                <w:rFonts w:ascii="Arial Narrow" w:hAnsi="Arial Narrow" w:cs="Calibri"/>
                <w:sz w:val="20"/>
                <w:szCs w:val="20"/>
              </w:rPr>
              <w:t>PF</w:t>
            </w:r>
            <w:r w:rsidRPr="006E4BFC">
              <w:rPr>
                <w:rFonts w:ascii="Arial Narrow" w:hAnsi="Arial Narrow" w:cs="Calibri"/>
                <w:sz w:val="20"/>
                <w:szCs w:val="20"/>
              </w:rPr>
              <w:t xml:space="preserve"> utilities</w:t>
            </w:r>
            <w:r w:rsidR="00D2708F" w:rsidRPr="006E4BFC">
              <w:rPr>
                <w:rFonts w:ascii="Arial Narrow" w:hAnsi="Arial Narrow" w:cs="Calibri"/>
                <w:sz w:val="20"/>
                <w:szCs w:val="20"/>
              </w:rPr>
              <w:t>=overall</w:t>
            </w:r>
            <w:r w:rsidRPr="006E4BFC">
              <w:rPr>
                <w:rFonts w:ascii="Arial Narrow" w:hAnsi="Arial Narrow" w:cs="Calibri"/>
                <w:sz w:val="20"/>
                <w:szCs w:val="20"/>
              </w:rPr>
              <w:t xml:space="preserve"> </w:t>
            </w:r>
          </w:p>
        </w:tc>
        <w:tc>
          <w:tcPr>
            <w:tcW w:w="599" w:type="pct"/>
            <w:tcBorders>
              <w:top w:val="single" w:sz="4" w:space="0" w:color="auto"/>
              <w:left w:val="single" w:sz="4" w:space="0" w:color="auto"/>
              <w:bottom w:val="single" w:sz="4" w:space="0" w:color="auto"/>
              <w:right w:val="single" w:sz="4" w:space="0" w:color="auto"/>
            </w:tcBorders>
            <w:vAlign w:val="center"/>
          </w:tcPr>
          <w:p w14:paraId="13FE8D11" w14:textId="10443DFD" w:rsidR="00543DB7" w:rsidRPr="006E4BFC" w:rsidRDefault="00543DB7"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27768025" w14:textId="61F66239" w:rsidR="00543DB7" w:rsidRPr="006E4BFC" w:rsidRDefault="00543DB7" w:rsidP="00477CD8">
            <w:pPr>
              <w:keepNext/>
              <w:keepLines/>
              <w:jc w:val="center"/>
              <w:rPr>
                <w:rFonts w:ascii="Arial Narrow" w:hAnsi="Arial Narrow" w:cs="Calibri"/>
                <w:sz w:val="20"/>
                <w:szCs w:val="20"/>
              </w:rPr>
            </w:pPr>
            <w:r w:rsidRPr="006E4BFC">
              <w:rPr>
                <w:rFonts w:ascii="Arial Narrow" w:hAnsi="Arial Narrow" w:cs="Calibri"/>
                <w:sz w:val="20"/>
                <w:szCs w:val="20"/>
              </w:rPr>
              <w:t>0.7</w:t>
            </w:r>
            <w:r w:rsidR="00E97F64" w:rsidRPr="006E4BFC">
              <w:rPr>
                <w:rFonts w:ascii="Arial Narrow" w:hAnsi="Arial Narrow" w:cs="Calibri"/>
                <w:sz w:val="20"/>
                <w:szCs w:val="20"/>
              </w:rPr>
              <w:t>7</w:t>
            </w:r>
          </w:p>
        </w:tc>
        <w:tc>
          <w:tcPr>
            <w:tcW w:w="599" w:type="pct"/>
            <w:tcBorders>
              <w:top w:val="single" w:sz="4" w:space="0" w:color="auto"/>
              <w:left w:val="single" w:sz="4" w:space="0" w:color="auto"/>
              <w:bottom w:val="single" w:sz="4" w:space="0" w:color="auto"/>
              <w:right w:val="single" w:sz="4" w:space="0" w:color="auto"/>
            </w:tcBorders>
            <w:vAlign w:val="center"/>
          </w:tcPr>
          <w:p w14:paraId="081EE369" w14:textId="32A969AD" w:rsidR="00543DB7" w:rsidRPr="006E4BFC" w:rsidRDefault="00543DB7" w:rsidP="00477CD8">
            <w:pPr>
              <w:keepNext/>
              <w:keepLines/>
              <w:jc w:val="center"/>
              <w:rPr>
                <w:rFonts w:cs="Calibri"/>
                <w:b/>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3</w:t>
            </w:r>
          </w:p>
        </w:tc>
        <w:tc>
          <w:tcPr>
            <w:tcW w:w="412" w:type="pct"/>
            <w:tcBorders>
              <w:top w:val="single" w:sz="4" w:space="0" w:color="auto"/>
              <w:left w:val="single" w:sz="4" w:space="0" w:color="auto"/>
              <w:bottom w:val="single" w:sz="4" w:space="0" w:color="auto"/>
              <w:right w:val="single" w:sz="4" w:space="0" w:color="auto"/>
            </w:tcBorders>
            <w:vAlign w:val="center"/>
          </w:tcPr>
          <w:p w14:paraId="2406F010" w14:textId="0BED01A9" w:rsidR="00543DB7" w:rsidRPr="006E4BFC"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9"/>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9"/>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9"/>
                <w14:textFill>
                  <w14:solidFill>
                    <w14:srgbClr w14:val="000000">
                      <w14:alpha w14:val="100000"/>
                    </w14:srgbClr>
                  </w14:solidFill>
                </w14:textFill>
              </w:rPr>
              <w:t xml:space="preserve">　</w:t>
            </w:r>
            <w:r w:rsidR="00543DB7" w:rsidRPr="006E4BFC">
              <w:rPr>
                <w:rFonts w:ascii="Arial Narrow" w:hAnsi="Arial Narrow" w:cs="Calibri"/>
                <w:sz w:val="20"/>
                <w:szCs w:val="20"/>
              </w:rPr>
              <w:t>%</w:t>
            </w:r>
          </w:p>
        </w:tc>
      </w:tr>
      <w:tr w:rsidR="00E31251" w:rsidRPr="006E4BFC" w14:paraId="3A88D0EC"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2B73F97D" w14:textId="73F99B4A" w:rsidR="00E31251" w:rsidRPr="006E4BFC" w:rsidRDefault="00E31251" w:rsidP="00477CD8">
            <w:pPr>
              <w:keepNext/>
              <w:keepLines/>
              <w:rPr>
                <w:rFonts w:ascii="Arial Narrow" w:hAnsi="Arial Narrow" w:cs="Calibri"/>
                <w:sz w:val="20"/>
                <w:szCs w:val="20"/>
              </w:rPr>
            </w:pPr>
            <w:r w:rsidRPr="006E4BFC">
              <w:rPr>
                <w:rFonts w:ascii="Arial Narrow" w:hAnsi="Arial Narrow" w:cs="Calibri"/>
                <w:sz w:val="20"/>
                <w:szCs w:val="20"/>
              </w:rPr>
              <w:t>Time horizon=7.5; ENZ in TAL+ENZ arm treatment duration=rPFS; rPF utilities=overall</w:t>
            </w:r>
            <w:r w:rsidR="00022209">
              <w:rPr>
                <w:rFonts w:ascii="Arial Narrow" w:hAnsi="Arial Narrow" w:cs="Calibri"/>
                <w:sz w:val="20"/>
                <w:szCs w:val="20"/>
              </w:rPr>
              <w:t xml:space="preserve"> </w:t>
            </w:r>
          </w:p>
        </w:tc>
        <w:tc>
          <w:tcPr>
            <w:tcW w:w="599" w:type="pct"/>
            <w:tcBorders>
              <w:top w:val="single" w:sz="4" w:space="0" w:color="auto"/>
              <w:left w:val="single" w:sz="4" w:space="0" w:color="auto"/>
              <w:bottom w:val="single" w:sz="4" w:space="0" w:color="auto"/>
              <w:right w:val="single" w:sz="4" w:space="0" w:color="auto"/>
            </w:tcBorders>
            <w:vAlign w:val="center"/>
          </w:tcPr>
          <w:p w14:paraId="1B36EB62" w14:textId="39996332" w:rsidR="00E31251" w:rsidRPr="006E4BFC" w:rsidRDefault="00E31251"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24F0C035" w14:textId="0AF83BAF" w:rsidR="00E31251" w:rsidRPr="006E4BFC" w:rsidRDefault="00E31251" w:rsidP="00477CD8">
            <w:pPr>
              <w:keepNext/>
              <w:keepLines/>
              <w:jc w:val="center"/>
              <w:rPr>
                <w:rFonts w:ascii="Arial Narrow" w:hAnsi="Arial Narrow" w:cs="Calibri"/>
                <w:sz w:val="20"/>
                <w:szCs w:val="20"/>
              </w:rPr>
            </w:pPr>
            <w:r w:rsidRPr="006E4BFC">
              <w:rPr>
                <w:rFonts w:ascii="Arial Narrow" w:hAnsi="Arial Narrow" w:cs="Calibri"/>
                <w:sz w:val="20"/>
                <w:szCs w:val="20"/>
              </w:rPr>
              <w:t>0.7</w:t>
            </w:r>
            <w:r w:rsidR="00022209">
              <w:rPr>
                <w:rFonts w:ascii="Arial Narrow" w:hAnsi="Arial Narrow" w:cs="Calibri"/>
                <w:sz w:val="20"/>
                <w:szCs w:val="20"/>
              </w:rPr>
              <w:t>79</w:t>
            </w:r>
          </w:p>
        </w:tc>
        <w:tc>
          <w:tcPr>
            <w:tcW w:w="599" w:type="pct"/>
            <w:tcBorders>
              <w:top w:val="single" w:sz="4" w:space="0" w:color="auto"/>
              <w:left w:val="single" w:sz="4" w:space="0" w:color="auto"/>
              <w:bottom w:val="single" w:sz="4" w:space="0" w:color="auto"/>
              <w:right w:val="single" w:sz="4" w:space="0" w:color="auto"/>
            </w:tcBorders>
            <w:vAlign w:val="center"/>
          </w:tcPr>
          <w:p w14:paraId="430A6E2C" w14:textId="7FC8C96F" w:rsidR="00E31251" w:rsidRPr="006E4BFC" w:rsidRDefault="00E31251" w:rsidP="00477CD8">
            <w:pPr>
              <w:keepNext/>
              <w:keepLines/>
              <w:jc w:val="center"/>
              <w:rPr>
                <w:rFonts w:ascii="Arial Narrow" w:hAnsi="Arial Narrow" w:cs="Calibri"/>
                <w:sz w:val="20"/>
                <w:szCs w:val="20"/>
              </w:rPr>
            </w:pPr>
            <w:r w:rsidRPr="006E4BFC">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02315B51" w14:textId="47746AA9" w:rsidR="00E31251" w:rsidRPr="006E4BFC"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8"/>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8"/>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8"/>
                <w14:textFill>
                  <w14:solidFill>
                    <w14:srgbClr w14:val="000000">
                      <w14:alpha w14:val="100000"/>
                    </w14:srgbClr>
                  </w14:solidFill>
                </w14:textFill>
              </w:rPr>
              <w:t xml:space="preserve">　</w:t>
            </w:r>
            <w:r w:rsidR="00E31251" w:rsidRPr="006E4BFC">
              <w:rPr>
                <w:rFonts w:ascii="Arial Narrow" w:hAnsi="Arial Narrow" w:cs="Calibri"/>
                <w:sz w:val="20"/>
                <w:szCs w:val="20"/>
              </w:rPr>
              <w:t>%</w:t>
            </w:r>
          </w:p>
        </w:tc>
      </w:tr>
      <w:tr w:rsidR="00022209" w:rsidRPr="006E4BFC" w14:paraId="363AC0B5" w14:textId="77777777" w:rsidTr="00EC2FC5">
        <w:trPr>
          <w:trHeight w:val="20"/>
        </w:trPr>
        <w:tc>
          <w:tcPr>
            <w:tcW w:w="2858" w:type="pct"/>
            <w:tcBorders>
              <w:top w:val="single" w:sz="4" w:space="0" w:color="auto"/>
              <w:left w:val="single" w:sz="4" w:space="0" w:color="auto"/>
              <w:bottom w:val="single" w:sz="4" w:space="0" w:color="auto"/>
              <w:right w:val="single" w:sz="4" w:space="0" w:color="auto"/>
            </w:tcBorders>
            <w:vAlign w:val="center"/>
          </w:tcPr>
          <w:p w14:paraId="163090FB" w14:textId="7B8BCEF3" w:rsidR="00022209" w:rsidRPr="00F85179" w:rsidRDefault="00022209" w:rsidP="00477CD8">
            <w:pPr>
              <w:keepNext/>
              <w:keepLines/>
              <w:rPr>
                <w:rFonts w:ascii="Arial Narrow" w:hAnsi="Arial Narrow" w:cs="Calibri"/>
                <w:sz w:val="20"/>
                <w:szCs w:val="20"/>
              </w:rPr>
            </w:pPr>
            <w:r w:rsidRPr="00565C8B">
              <w:rPr>
                <w:rFonts w:ascii="Arial Narrow" w:hAnsi="Arial Narrow" w:cs="Calibri"/>
                <w:sz w:val="20"/>
                <w:szCs w:val="20"/>
              </w:rPr>
              <w:t>Time horizon=7.5; ENZ in TAL+ENZ arm treatment duration=rPFS; rPF utilities=overall and incorporating disutilities</w:t>
            </w:r>
          </w:p>
        </w:tc>
        <w:tc>
          <w:tcPr>
            <w:tcW w:w="599" w:type="pct"/>
            <w:tcBorders>
              <w:top w:val="single" w:sz="4" w:space="0" w:color="auto"/>
              <w:left w:val="single" w:sz="4" w:space="0" w:color="auto"/>
              <w:bottom w:val="single" w:sz="4" w:space="0" w:color="auto"/>
              <w:right w:val="single" w:sz="4" w:space="0" w:color="auto"/>
            </w:tcBorders>
            <w:vAlign w:val="center"/>
          </w:tcPr>
          <w:p w14:paraId="60369EA2" w14:textId="7BD4FFB9" w:rsidR="00022209" w:rsidRPr="00565C8B" w:rsidRDefault="00022209" w:rsidP="00477CD8">
            <w:pPr>
              <w:keepNext/>
              <w:keepLines/>
              <w:jc w:val="center"/>
              <w:rPr>
                <w:rFonts w:ascii="Arial Narrow" w:hAnsi="Arial Narrow" w:cs="Calibri"/>
                <w:sz w:val="20"/>
                <w:szCs w:val="20"/>
              </w:rPr>
            </w:pPr>
            <w:r w:rsidRPr="00565C8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532" w:type="pct"/>
            <w:tcBorders>
              <w:top w:val="single" w:sz="4" w:space="0" w:color="auto"/>
              <w:left w:val="single" w:sz="4" w:space="0" w:color="auto"/>
              <w:bottom w:val="single" w:sz="4" w:space="0" w:color="auto"/>
              <w:right w:val="single" w:sz="4" w:space="0" w:color="auto"/>
            </w:tcBorders>
            <w:vAlign w:val="center"/>
          </w:tcPr>
          <w:p w14:paraId="2A70A88F" w14:textId="43C12FAD" w:rsidR="00022209" w:rsidRPr="00565C8B" w:rsidRDefault="00022209" w:rsidP="00477CD8">
            <w:pPr>
              <w:keepNext/>
              <w:keepLines/>
              <w:jc w:val="center"/>
              <w:rPr>
                <w:rFonts w:ascii="Arial Narrow" w:hAnsi="Arial Narrow" w:cs="Calibri"/>
                <w:sz w:val="20"/>
                <w:szCs w:val="20"/>
              </w:rPr>
            </w:pPr>
            <w:r w:rsidRPr="00565C8B">
              <w:rPr>
                <w:rFonts w:ascii="Arial Narrow" w:hAnsi="Arial Narrow" w:cs="Calibri"/>
                <w:sz w:val="20"/>
                <w:szCs w:val="20"/>
              </w:rPr>
              <w:t>0.775</w:t>
            </w:r>
          </w:p>
        </w:tc>
        <w:tc>
          <w:tcPr>
            <w:tcW w:w="599" w:type="pct"/>
            <w:tcBorders>
              <w:top w:val="single" w:sz="4" w:space="0" w:color="auto"/>
              <w:left w:val="single" w:sz="4" w:space="0" w:color="auto"/>
              <w:bottom w:val="single" w:sz="4" w:space="0" w:color="auto"/>
              <w:right w:val="single" w:sz="4" w:space="0" w:color="auto"/>
            </w:tcBorders>
            <w:vAlign w:val="center"/>
          </w:tcPr>
          <w:p w14:paraId="3EFF4B85" w14:textId="193A1B53" w:rsidR="00022209" w:rsidRPr="00565C8B" w:rsidRDefault="00022209" w:rsidP="00477CD8">
            <w:pPr>
              <w:keepNext/>
              <w:keepLines/>
              <w:jc w:val="center"/>
              <w:rPr>
                <w:rFonts w:ascii="Arial Narrow" w:hAnsi="Arial Narrow" w:cs="Calibri"/>
                <w:sz w:val="20"/>
                <w:szCs w:val="20"/>
              </w:rPr>
            </w:pPr>
            <w:r w:rsidRPr="00565C8B">
              <w:rPr>
                <w:rFonts w:ascii="Arial Narrow" w:hAnsi="Arial Narrow" w:cs="Calibri"/>
                <w:sz w:val="20"/>
                <w:szCs w:val="20"/>
              </w:rPr>
              <w:t>$</w:t>
            </w:r>
            <w:r w:rsidR="00D62519" w:rsidRPr="00D62519">
              <w:rPr>
                <w:rFonts w:ascii="Arial Narrow" w:hAnsi="Arial Narrow" w:cs="Calibri"/>
                <w:color w:val="000000"/>
                <w:sz w:val="20"/>
                <w:szCs w:val="20"/>
                <w:shd w:val="solid" w:color="000000" w:fill="000000"/>
                <w14:textFill>
                  <w14:solidFill>
                    <w14:srgbClr w14:val="000000">
                      <w14:alpha w14:val="100000"/>
                    </w14:srgbClr>
                  </w14:solidFill>
                </w14:textFill>
              </w:rPr>
              <w:t>|</w:t>
            </w:r>
            <w:r w:rsidR="0024276E" w:rsidRPr="0024276E">
              <w:rPr>
                <w:rFonts w:ascii="Arial Narrow" w:hAnsi="Arial Narrow" w:cs="Calibri"/>
                <w:sz w:val="20"/>
                <w:szCs w:val="20"/>
                <w:vertAlign w:val="superscript"/>
              </w:rPr>
              <w:t>2</w:t>
            </w:r>
          </w:p>
        </w:tc>
        <w:tc>
          <w:tcPr>
            <w:tcW w:w="412" w:type="pct"/>
            <w:tcBorders>
              <w:top w:val="single" w:sz="4" w:space="0" w:color="auto"/>
              <w:left w:val="single" w:sz="4" w:space="0" w:color="auto"/>
              <w:bottom w:val="single" w:sz="4" w:space="0" w:color="auto"/>
              <w:right w:val="single" w:sz="4" w:space="0" w:color="auto"/>
            </w:tcBorders>
            <w:vAlign w:val="center"/>
          </w:tcPr>
          <w:p w14:paraId="6300F16D" w14:textId="15BAB75C" w:rsidR="00022209" w:rsidRPr="00565C8B" w:rsidRDefault="00D62519" w:rsidP="00477CD8">
            <w:pPr>
              <w:keepNext/>
              <w:keepLines/>
              <w:jc w:val="center"/>
              <w:rPr>
                <w:rFonts w:ascii="Arial Narrow" w:hAnsi="Arial Narrow" w:cs="Calibri"/>
                <w:sz w:val="20"/>
                <w:szCs w:val="20"/>
              </w:rPr>
            </w:pPr>
            <w:r w:rsidRPr="00D62519">
              <w:rPr>
                <w:rFonts w:ascii="Arial Narrow" w:hAnsi="Arial Narrow" w:cs="Calibri" w:hint="eastAsia"/>
                <w:color w:val="000000"/>
                <w:w w:val="33"/>
                <w:sz w:val="20"/>
                <w:szCs w:val="20"/>
                <w:shd w:val="solid" w:color="000000" w:fill="000000"/>
                <w:fitText w:val="150" w:id="-961822197"/>
                <w14:textFill>
                  <w14:solidFill>
                    <w14:srgbClr w14:val="000000">
                      <w14:alpha w14:val="100000"/>
                    </w14:srgbClr>
                  </w14:solidFill>
                </w14:textFill>
              </w:rPr>
              <w:t xml:space="preserve">　</w:t>
            </w:r>
            <w:r w:rsidRPr="00D62519">
              <w:rPr>
                <w:rFonts w:ascii="Arial Narrow" w:hAnsi="Arial Narrow" w:cs="Calibri"/>
                <w:color w:val="000000"/>
                <w:w w:val="33"/>
                <w:sz w:val="20"/>
                <w:szCs w:val="20"/>
                <w:shd w:val="solid" w:color="000000" w:fill="000000"/>
                <w:fitText w:val="150" w:id="-961822197"/>
                <w14:textFill>
                  <w14:solidFill>
                    <w14:srgbClr w14:val="000000">
                      <w14:alpha w14:val="100000"/>
                    </w14:srgbClr>
                  </w14:solidFill>
                </w14:textFill>
              </w:rPr>
              <w:t>|</w:t>
            </w:r>
            <w:r w:rsidRPr="00D62519">
              <w:rPr>
                <w:rFonts w:ascii="Arial Narrow" w:hAnsi="Arial Narrow" w:cs="Calibri" w:hint="eastAsia"/>
                <w:color w:val="000000"/>
                <w:spacing w:val="4"/>
                <w:w w:val="33"/>
                <w:sz w:val="20"/>
                <w:szCs w:val="20"/>
                <w:shd w:val="solid" w:color="000000" w:fill="000000"/>
                <w:fitText w:val="150" w:id="-961822197"/>
                <w14:textFill>
                  <w14:solidFill>
                    <w14:srgbClr w14:val="000000">
                      <w14:alpha w14:val="100000"/>
                    </w14:srgbClr>
                  </w14:solidFill>
                </w14:textFill>
              </w:rPr>
              <w:t xml:space="preserve">　</w:t>
            </w:r>
            <w:r w:rsidR="00022209" w:rsidRPr="00565C8B">
              <w:rPr>
                <w:rFonts w:ascii="Arial Narrow" w:hAnsi="Arial Narrow" w:cs="Calibri"/>
                <w:sz w:val="20"/>
                <w:szCs w:val="20"/>
              </w:rPr>
              <w:t>%</w:t>
            </w:r>
          </w:p>
        </w:tc>
      </w:tr>
    </w:tbl>
    <w:p w14:paraId="171A72D7" w14:textId="77777777" w:rsidR="00543DB7" w:rsidRPr="005A293B" w:rsidRDefault="00543DB7" w:rsidP="00477CD8">
      <w:pPr>
        <w:pStyle w:val="TableFooter"/>
        <w:keepNext/>
        <w:keepLines/>
        <w:jc w:val="both"/>
      </w:pPr>
      <w:r w:rsidRPr="005A293B">
        <w:t>Source: Table 3.10-1, p180 of the submission and compiled during the evaluation</w:t>
      </w:r>
    </w:p>
    <w:p w14:paraId="6000AA6E" w14:textId="687AC264" w:rsidR="009B1B01" w:rsidRDefault="00543DB7" w:rsidP="00477CD8">
      <w:pPr>
        <w:pStyle w:val="TableFooter"/>
        <w:keepNext/>
        <w:keepLines/>
        <w:jc w:val="both"/>
      </w:pPr>
      <w:r w:rsidRPr="005A293B">
        <w:t>AE=adverse event, CBZ=cabazitaxel, DTX=docetaxel, DPMQ=dispensed price for maximum quantity, ICER=incremental cost-effectiveness ratio, Inc=incremental, KM=Kaplan-Meier, OLA=Olaparib, OS=overall survival, PD=progressed disease, QALY=quality-adjusted life year, rPF=radiographic progression-free, TAL=talazoparib, TTD=time to treatment discontinuation.</w:t>
      </w:r>
    </w:p>
    <w:p w14:paraId="68AF63BE" w14:textId="77777777" w:rsidR="00DA3DD5" w:rsidRPr="009A6D58" w:rsidRDefault="00DA3DD5" w:rsidP="00477CD8">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B925182" w14:textId="6892B8CA" w:rsidR="00DA3DD5" w:rsidRPr="009A6D58" w:rsidRDefault="00DA3DD5" w:rsidP="00477CD8">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A3DD5">
        <w:rPr>
          <w:rFonts w:ascii="Arial Narrow" w:hAnsi="Arial Narrow"/>
          <w:i/>
          <w:sz w:val="18"/>
          <w:szCs w:val="18"/>
        </w:rPr>
        <w:t>$55,000 to &lt; $75,000</w:t>
      </w:r>
    </w:p>
    <w:p w14:paraId="6929E53D" w14:textId="7F765E02" w:rsidR="00DA3DD5" w:rsidRDefault="00DA3DD5" w:rsidP="00477CD8">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A7AA5" w:rsidRPr="002A7AA5">
        <w:rPr>
          <w:rFonts w:ascii="Arial Narrow" w:hAnsi="Arial Narrow"/>
          <w:i/>
          <w:sz w:val="18"/>
          <w:szCs w:val="18"/>
        </w:rPr>
        <w:t>$75,000 to &lt; $95,000</w:t>
      </w:r>
    </w:p>
    <w:p w14:paraId="074C499A" w14:textId="0ACA93E4" w:rsidR="00DA3DD5" w:rsidRDefault="0024276E" w:rsidP="005C70FC">
      <w:pPr>
        <w:spacing w:after="120"/>
        <w:rPr>
          <w:rFonts w:ascii="Arial Narrow" w:hAnsi="Arial Narrow"/>
          <w:i/>
          <w:sz w:val="18"/>
          <w:szCs w:val="18"/>
        </w:rPr>
      </w:pPr>
      <w:r w:rsidRPr="009A6D58">
        <w:rPr>
          <w:rFonts w:ascii="Arial Narrow" w:hAnsi="Arial Narrow"/>
          <w:i/>
          <w:sz w:val="18"/>
          <w:szCs w:val="18"/>
          <w:vertAlign w:val="superscript"/>
        </w:rPr>
        <w:t>3</w:t>
      </w:r>
      <w:r w:rsidR="00DA3DD5">
        <w:rPr>
          <w:rFonts w:ascii="Arial Narrow" w:hAnsi="Arial Narrow"/>
          <w:i/>
          <w:sz w:val="18"/>
          <w:szCs w:val="18"/>
        </w:rPr>
        <w:t xml:space="preserve"> </w:t>
      </w:r>
      <w:r w:rsidR="002A7AA5" w:rsidRPr="002A7AA5">
        <w:rPr>
          <w:rFonts w:ascii="Arial Narrow" w:hAnsi="Arial Narrow"/>
          <w:i/>
          <w:sz w:val="18"/>
          <w:szCs w:val="18"/>
        </w:rPr>
        <w:t>$95,000 to &lt; $115,000</w:t>
      </w:r>
    </w:p>
    <w:p w14:paraId="60EDA653" w14:textId="759598D7" w:rsidR="00E9121C" w:rsidRDefault="00DF451E" w:rsidP="005C70FC">
      <w:pPr>
        <w:pStyle w:val="3-BodyText"/>
      </w:pPr>
      <w:bookmarkStart w:id="77" w:name="_Ref159571224"/>
      <w:r w:rsidRPr="000B725B">
        <w:t xml:space="preserve">The model was most sensitive to changes in assumptions regarding </w:t>
      </w:r>
      <w:r w:rsidR="00487C3A" w:rsidRPr="000B725B">
        <w:t xml:space="preserve">treatment duration, health state utilities, subsequent treatment mix, and time horizon. </w:t>
      </w:r>
      <w:r w:rsidR="00EB76CD" w:rsidRPr="006E4BFC">
        <w:t xml:space="preserve">Noting the explanation provided in the PSCR regarding TTD in the talazoparib + enzalutamide arm (see paragraph </w:t>
      </w:r>
      <w:r w:rsidR="00EB76CD" w:rsidRPr="006E4BFC">
        <w:fldChar w:fldCharType="begin" w:fldLock="1"/>
      </w:r>
      <w:r w:rsidR="00EB76CD" w:rsidRPr="006E4BFC">
        <w:instrText xml:space="preserve"> REF _Ref159829485 \r \h </w:instrText>
      </w:r>
      <w:r w:rsidR="006E4BFC">
        <w:instrText xml:space="preserve"> \* MERGEFORMAT </w:instrText>
      </w:r>
      <w:r w:rsidR="00EB76CD" w:rsidRPr="006E4BFC">
        <w:fldChar w:fldCharType="separate"/>
      </w:r>
      <w:r w:rsidR="007A6415">
        <w:t>6.51</w:t>
      </w:r>
      <w:r w:rsidR="00EB76CD" w:rsidRPr="006E4BFC">
        <w:fldChar w:fldCharType="end"/>
      </w:r>
      <w:r w:rsidR="00EB76CD" w:rsidRPr="006E4BFC">
        <w:t xml:space="preserve">), the ESC considered that the </w:t>
      </w:r>
      <w:r w:rsidR="00487C3A" w:rsidRPr="006E4BFC">
        <w:t xml:space="preserve">multivariate analysis </w:t>
      </w:r>
      <w:r w:rsidR="00EB76CD" w:rsidRPr="006E4BFC">
        <w:t xml:space="preserve">that included </w:t>
      </w:r>
      <w:r w:rsidR="00487C3A" w:rsidRPr="006E4BFC">
        <w:t xml:space="preserve">a 7.5-year time horizon, </w:t>
      </w:r>
      <w:r w:rsidR="00EB76CD" w:rsidRPr="006E4BFC">
        <w:t xml:space="preserve">TTD as modelled in the submission for the </w:t>
      </w:r>
      <w:r w:rsidR="00EB76CD" w:rsidRPr="006E4BFC">
        <w:lastRenderedPageBreak/>
        <w:t xml:space="preserve">talazoparib proportion of the talazoparib + enzalutamide arm but with TTD equalling rPFS for the enzalutamide proportion, </w:t>
      </w:r>
      <w:r w:rsidR="00C4135A" w:rsidRPr="006E4BFC">
        <w:t xml:space="preserve">and </w:t>
      </w:r>
      <w:r w:rsidR="00935AD9" w:rsidRPr="006E4BFC">
        <w:t xml:space="preserve">the application of </w:t>
      </w:r>
      <w:r w:rsidR="00EC2FC5">
        <w:t xml:space="preserve">the </w:t>
      </w:r>
      <w:r w:rsidR="00487C3A" w:rsidRPr="006E4BFC">
        <w:t>overall utilit</w:t>
      </w:r>
      <w:r w:rsidR="00EC2FC5">
        <w:t>y</w:t>
      </w:r>
      <w:r w:rsidR="00487C3A" w:rsidRPr="006E4BFC">
        <w:t xml:space="preserve"> </w:t>
      </w:r>
      <w:r w:rsidR="00022209" w:rsidRPr="00565C8B">
        <w:t xml:space="preserve">and incorporating adverse event related disutilities </w:t>
      </w:r>
      <w:r w:rsidR="00487C3A" w:rsidRPr="006E4BFC">
        <w:t xml:space="preserve">in the </w:t>
      </w:r>
      <w:r w:rsidR="00F13554" w:rsidRPr="006E4BFC">
        <w:t xml:space="preserve">progression free </w:t>
      </w:r>
      <w:r w:rsidR="00487C3A" w:rsidRPr="006E4BFC">
        <w:t>health state</w:t>
      </w:r>
      <w:r w:rsidR="00D95348" w:rsidRPr="006E4BFC">
        <w:t xml:space="preserve"> (as reported by TALAPRO-2)</w:t>
      </w:r>
      <w:r w:rsidR="00EB76CD" w:rsidRPr="006E4BFC">
        <w:t xml:space="preserve"> was a reasonable revised base case. The </w:t>
      </w:r>
      <w:r w:rsidR="00566663" w:rsidRPr="006E4BFC">
        <w:t>ESC noted that the</w:t>
      </w:r>
      <w:r w:rsidR="00487C3A" w:rsidRPr="006E4BFC">
        <w:t xml:space="preserve"> ICER </w:t>
      </w:r>
      <w:r w:rsidR="00EB76CD" w:rsidRPr="006E4BFC">
        <w:t xml:space="preserve">for this analysis </w:t>
      </w:r>
      <w:r w:rsidR="00487C3A" w:rsidRPr="006E4BFC">
        <w:t xml:space="preserve">increased by </w:t>
      </w:r>
      <w:r w:rsidR="00D62519" w:rsidRPr="00CD40AA">
        <w:rPr>
          <w:color w:val="000000"/>
          <w:w w:val="15"/>
          <w:shd w:val="solid" w:color="000000" w:fill="000000"/>
          <w:fitText w:val="-20" w:id="-961822196"/>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2196"/>
          <w14:textFill>
            <w14:solidFill>
              <w14:srgbClr w14:val="000000">
                <w14:alpha w14:val="100000"/>
              </w14:srgbClr>
            </w14:solidFill>
          </w14:textFill>
        </w:rPr>
        <w:t>|</w:t>
      </w:r>
      <w:r w:rsidR="00022209" w:rsidRPr="00565C8B">
        <w:t xml:space="preserve">% </w:t>
      </w:r>
      <w:r w:rsidR="00487C3A" w:rsidRPr="00F85179">
        <w:t xml:space="preserve">to </w:t>
      </w:r>
      <w:r w:rsidR="00BD14F9" w:rsidRPr="00BD14F9">
        <w:t>$75,000 to &lt; $95,000</w:t>
      </w:r>
      <w:r w:rsidR="00022209" w:rsidRPr="00565C8B">
        <w:t xml:space="preserve"> </w:t>
      </w:r>
      <w:r w:rsidR="00EC2FC5">
        <w:t xml:space="preserve">per QALY </w:t>
      </w:r>
      <w:r w:rsidR="00487C3A" w:rsidRPr="006E4BFC">
        <w:t xml:space="preserve">compared to the base case of </w:t>
      </w:r>
      <w:r w:rsidR="00B50389" w:rsidRPr="00B50389">
        <w:t>$55,000 to &lt; $75,000</w:t>
      </w:r>
      <w:r w:rsidR="00EC2FC5">
        <w:t xml:space="preserve"> per QALY</w:t>
      </w:r>
      <w:r w:rsidR="009B1B01" w:rsidRPr="006E4BFC">
        <w:t>.</w:t>
      </w:r>
      <w:r w:rsidR="003F7A1D" w:rsidRPr="006E4BFC">
        <w:t xml:space="preserve"> </w:t>
      </w:r>
      <w:r w:rsidR="00E9121C">
        <w:t xml:space="preserve">The pre-PBAC response accepted the ESC proposed revised base case stating that (i) a 7.5 year time horizon was reasonable given the poor prognosis of </w:t>
      </w:r>
      <w:r w:rsidR="00E9121C" w:rsidRPr="00565C8B">
        <w:rPr>
          <w:i/>
          <w:iCs/>
        </w:rPr>
        <w:t>BRCA1/2</w:t>
      </w:r>
      <w:r w:rsidR="00E9121C">
        <w:t xml:space="preserve"> patients; (ii) the modelling of enzalutamide in the talazoparib + enzalutamide arm to equal rPFS was acceptable and reduced residual uncertainty in the estimated TTD; and (iii) although the use of </w:t>
      </w:r>
      <w:r w:rsidR="00EC2FC5">
        <w:t xml:space="preserve">the </w:t>
      </w:r>
      <w:r w:rsidR="00E9121C">
        <w:t>overall utilit</w:t>
      </w:r>
      <w:r w:rsidR="00EC2FC5">
        <w:t>y</w:t>
      </w:r>
      <w:r w:rsidR="00E9121C">
        <w:t xml:space="preserve"> may fail to capture some of the benefit of treatment with talaz</w:t>
      </w:r>
      <w:r w:rsidR="00EB03DB">
        <w:t>o</w:t>
      </w:r>
      <w:r w:rsidR="00E9121C">
        <w:t>p</w:t>
      </w:r>
      <w:r w:rsidR="00EB03DB">
        <w:t>a</w:t>
      </w:r>
      <w:r w:rsidR="00E9121C">
        <w:t xml:space="preserve">rib + enzalutamide, this revision may reduce uncertainty in the analysis. In addition, the pre-PBAC response proposed a revised effective </w:t>
      </w:r>
      <w:r w:rsidR="00BF4313">
        <w:t>EMP</w:t>
      </w:r>
      <w:r w:rsidR="00E9121C">
        <w:t xml:space="preserve"> for talazoparib of $</w:t>
      </w:r>
      <w:r w:rsidR="00D62519" w:rsidRPr="00CD40AA">
        <w:rPr>
          <w:color w:val="000000"/>
          <w:w w:val="15"/>
          <w:shd w:val="solid" w:color="000000" w:fill="000000"/>
          <w:fitText w:val="-20" w:id="-961822195"/>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2195"/>
          <w14:textFill>
            <w14:solidFill>
              <w14:srgbClr w14:val="000000">
                <w14:alpha w14:val="100000"/>
              </w14:srgbClr>
            </w14:solidFill>
          </w14:textFill>
        </w:rPr>
        <w:t>|</w:t>
      </w:r>
      <w:r w:rsidR="00E9121C">
        <w:t xml:space="preserve"> (compared to $</w:t>
      </w:r>
      <w:r w:rsidR="00D62519" w:rsidRPr="00CD40AA">
        <w:rPr>
          <w:color w:val="000000"/>
          <w:w w:val="15"/>
          <w:shd w:val="solid" w:color="000000" w:fill="000000"/>
          <w:fitText w:val="-20" w:id="-961822194"/>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2194"/>
          <w14:textFill>
            <w14:solidFill>
              <w14:srgbClr w14:val="000000">
                <w14:alpha w14:val="100000"/>
              </w14:srgbClr>
            </w14:solidFill>
          </w14:textFill>
        </w:rPr>
        <w:t>|</w:t>
      </w:r>
      <w:r w:rsidR="00E9121C">
        <w:t xml:space="preserve"> presented in the submission) which reduced the ICER to </w:t>
      </w:r>
      <w:r w:rsidR="00B366C9" w:rsidRPr="00B366C9">
        <w:t>$55,000</w:t>
      </w:r>
      <w:r w:rsidR="00544B08">
        <w:t> </w:t>
      </w:r>
      <w:r w:rsidR="00B366C9" w:rsidRPr="00B366C9">
        <w:t xml:space="preserve">to &lt; $75,000 </w:t>
      </w:r>
      <w:r w:rsidR="00E9121C" w:rsidRPr="00F85179">
        <w:t>p</w:t>
      </w:r>
      <w:r w:rsidR="00E9121C">
        <w:t>er QALY.</w:t>
      </w:r>
    </w:p>
    <w:p w14:paraId="6FE2FA15" w14:textId="07C9D1D6" w:rsidR="00EC2FC5" w:rsidRDefault="00EC2FC5" w:rsidP="00A01609">
      <w:pPr>
        <w:pStyle w:val="3-BodyText"/>
      </w:pPr>
      <w:bookmarkStart w:id="78" w:name="_Ref164079989"/>
      <w:r>
        <w:t xml:space="preserve">It was noted that the revised economic model for talazoparib + enzalutamide resulted in a more reasonable incremental benefit (QALYs gained in the talazoparib + enzalutamide arm = 2.44; QALYs gained in the enzalutamide monotherapy arm = 1.66; increment = 0.78) compared to the base case model presented in November 2023 for olaparib + abiraterone model (QALYs gained in the olaparib + abiraterone arm = 4.67; QALYs gained in the NHA monotherapy arm = 1.87; increment = 2.79). The incremental benefit for the olaparib + abiraterone model remained high </w:t>
      </w:r>
      <w:r w:rsidR="00845A25">
        <w:t xml:space="preserve">with the changes proposed in </w:t>
      </w:r>
      <w:r w:rsidR="005F454E">
        <w:t>its</w:t>
      </w:r>
      <w:r w:rsidR="00845A25">
        <w:t xml:space="preserve"> pre</w:t>
      </w:r>
      <w:r w:rsidR="00A01609">
        <w:t>-</w:t>
      </w:r>
      <w:r w:rsidR="00845A25">
        <w:t xml:space="preserve">PBAC response i.e. </w:t>
      </w:r>
      <w:r>
        <w:t>when the time horizon was reduced from 15</w:t>
      </w:r>
      <w:r w:rsidR="00412F8E">
        <w:t> </w:t>
      </w:r>
      <w:r>
        <w:t>years to 10 (2.24) and when Weibull distributions were applied to the PFS arm (2.77) and OS arms (2.61) (Tables 11 and 12 pp25-26, olaparib +abiraterone PSD, November 2023).</w:t>
      </w:r>
      <w:bookmarkEnd w:id="78"/>
    </w:p>
    <w:p w14:paraId="0153604D" w14:textId="3151DC6D" w:rsidR="00EC2FC5" w:rsidRDefault="00EC2FC5" w:rsidP="00A01609">
      <w:pPr>
        <w:pStyle w:val="3-BodyText"/>
      </w:pPr>
      <w:bookmarkStart w:id="79" w:name="_Ref164079997"/>
      <w:r>
        <w:t>The smaller incremental benefit in the talazoparib + enzalutamide model was primarily due to the smaller QALY gain in the talazoparib + enzalutamide arm. This appeared to be due to:</w:t>
      </w:r>
      <w:bookmarkEnd w:id="79"/>
      <w:r>
        <w:t xml:space="preserve"> </w:t>
      </w:r>
    </w:p>
    <w:p w14:paraId="15155918" w14:textId="347D8F5B" w:rsidR="00EC2FC5" w:rsidRDefault="007F04B6" w:rsidP="00A01609">
      <w:pPr>
        <w:pStyle w:val="3-BodyText"/>
        <w:numPr>
          <w:ilvl w:val="1"/>
          <w:numId w:val="54"/>
        </w:numPr>
        <w:ind w:left="1080"/>
      </w:pPr>
      <w:r>
        <w:t>less</w:t>
      </w:r>
      <w:r w:rsidR="00EC2FC5">
        <w:t xml:space="preserve"> favourable OS results in the </w:t>
      </w:r>
      <w:r w:rsidR="00EC2FC5" w:rsidRPr="00A01609">
        <w:rPr>
          <w:i/>
          <w:iCs/>
        </w:rPr>
        <w:t>BRCA1/2</w:t>
      </w:r>
      <w:r w:rsidR="00EC2FC5">
        <w:t xml:space="preserve"> pathogenetic variant subgroup in the talazoparib + enzalutamide submission (HR = 0.47; 95% CI: 0.26, 0.85)</w:t>
      </w:r>
      <w:r>
        <w:t xml:space="preserve"> compared to the olaparib + abiraterone submission (HR = 0.29; 95% CI: 0.14, 0.56) </w:t>
      </w:r>
      <w:r w:rsidR="00EC2FC5">
        <w:t>(Table 4, p8, olaparib + abiraterone PSC, November 2023); and</w:t>
      </w:r>
    </w:p>
    <w:p w14:paraId="17D0E11B" w14:textId="1E19043A" w:rsidR="00EC2FC5" w:rsidRDefault="00EC2FC5" w:rsidP="00A01609">
      <w:pPr>
        <w:pStyle w:val="3-BodyText"/>
        <w:numPr>
          <w:ilvl w:val="1"/>
          <w:numId w:val="54"/>
        </w:numPr>
        <w:ind w:left="1080"/>
      </w:pPr>
      <w:r>
        <w:t>the extrapolations chosen. In the talazoparib + enzalutamide model the Gamma distribution resulted in less than 5% of talazoparib + enzalutamide patients remaining alive at 10 years; whereas, in the olaparib + abiraterone model, the exponential distribution, which was applied in the base case, resulted in approximately 40% of olaparib + abiraterone patients remaining alive at 10 years and the Weibull distribution resulted in approximately 30% of patients remaining alive (Figure 9, p21, olaparib + abiraterone PSD, November 2023</w:t>
      </w:r>
      <w:r w:rsidR="00A33E60">
        <w:t>)</w:t>
      </w:r>
      <w:r>
        <w:t>.</w:t>
      </w:r>
    </w:p>
    <w:p w14:paraId="321E2F6B" w14:textId="4C4FC255" w:rsidR="00487C3A" w:rsidRPr="006E4BFC" w:rsidRDefault="003F7A1D" w:rsidP="00A01609">
      <w:pPr>
        <w:pStyle w:val="3-BodyText"/>
      </w:pPr>
      <w:r w:rsidRPr="006E4BFC">
        <w:t>The ESC noted that the effects of combination versus sequential therapy could not be explored in the economic model as the clinical inputs required are not available.</w:t>
      </w:r>
      <w:r w:rsidR="00B0591B" w:rsidRPr="006E4BFC">
        <w:t xml:space="preserve"> </w:t>
      </w:r>
      <w:r w:rsidR="00B0591B" w:rsidRPr="006E4BFC">
        <w:lastRenderedPageBreak/>
        <w:t>Further, the ESC noted that the current model structure does not allow differences in subsequent therapies to be explored appropriately. Changing the proportions of subsequent therapy received changes the time spent in PDa and PDb, but does not affect overall survival.</w:t>
      </w:r>
      <w:bookmarkEnd w:id="77"/>
      <w:r w:rsidR="00E9121C">
        <w:t xml:space="preserve"> The pre-PBAC response noted that clinical evidence was not available to inform the relative efficacy of combination versus sequential therapy.</w:t>
      </w:r>
    </w:p>
    <w:p w14:paraId="5BC24589" w14:textId="7A1109CD" w:rsidR="009B1B01" w:rsidRPr="005A293B" w:rsidRDefault="009B1B01" w:rsidP="002377AF">
      <w:pPr>
        <w:pStyle w:val="4-SubsectionHeading"/>
        <w:spacing w:before="0"/>
      </w:pPr>
      <w:bookmarkStart w:id="80" w:name="_Toc144911480"/>
      <w:bookmarkStart w:id="81" w:name="_Toc156833542"/>
      <w:r w:rsidRPr="005A293B">
        <w:t>Drug cost/patient/course: $</w:t>
      </w:r>
      <w:r w:rsidR="00D62519" w:rsidRPr="00D62519">
        <w:rPr>
          <w:color w:val="000000"/>
          <w:spacing w:val="0"/>
          <w:w w:val="76"/>
          <w:kern w:val="0"/>
          <w:shd w:val="solid" w:color="000000" w:fill="000000"/>
          <w:fitText w:val="405" w:id="-961822193"/>
          <w14:textFill>
            <w14:solidFill>
              <w14:srgbClr w14:val="000000">
                <w14:alpha w14:val="100000"/>
              </w14:srgbClr>
            </w14:solidFill>
          </w14:textFill>
        </w:rPr>
        <w:t>||||</w:t>
      </w:r>
      <w:r w:rsidRPr="00A20C3B">
        <w:t xml:space="preserve"> </w:t>
      </w:r>
      <w:r w:rsidRPr="005A293B">
        <w:t xml:space="preserve">(assuming a treatment duration of </w:t>
      </w:r>
      <w:r w:rsidR="00DB3E4B" w:rsidRPr="005A293B">
        <w:t>22</w:t>
      </w:r>
      <w:r w:rsidR="00544B08">
        <w:t> </w:t>
      </w:r>
      <w:r w:rsidR="00DB3E4B" w:rsidRPr="005A293B">
        <w:t>months</w:t>
      </w:r>
      <w:r w:rsidRPr="005A293B">
        <w:t>)</w:t>
      </w:r>
      <w:bookmarkEnd w:id="80"/>
      <w:bookmarkEnd w:id="81"/>
    </w:p>
    <w:p w14:paraId="46F26EDD" w14:textId="736147B9" w:rsidR="009B1B01" w:rsidRPr="005A293B" w:rsidRDefault="009B1B01" w:rsidP="00565C8B">
      <w:pPr>
        <w:pStyle w:val="3-BodyText"/>
        <w:rPr>
          <w:i/>
        </w:rPr>
      </w:pPr>
      <w:r w:rsidRPr="005A293B">
        <w:fldChar w:fldCharType="begin" w:fldLock="1"/>
      </w:r>
      <w:r w:rsidRPr="005A293B">
        <w:instrText xml:space="preserve"> REF _Ref142997069 \h </w:instrText>
      </w:r>
      <w:r w:rsidRPr="005A293B">
        <w:fldChar w:fldCharType="separate"/>
      </w:r>
      <w:r w:rsidR="00935AD9" w:rsidRPr="005A293B">
        <w:t xml:space="preserve">Table </w:t>
      </w:r>
      <w:r w:rsidR="00935AD9">
        <w:rPr>
          <w:noProof/>
        </w:rPr>
        <w:t>14</w:t>
      </w:r>
      <w:r w:rsidRPr="005A293B">
        <w:fldChar w:fldCharType="end"/>
      </w:r>
      <w:r w:rsidRPr="005A293B">
        <w:t xml:space="preserve"> outlines the drug cost per patient for both </w:t>
      </w:r>
      <w:r w:rsidR="00B9322D" w:rsidRPr="005A293B">
        <w:t>talazoparib + enzalutamide</w:t>
      </w:r>
      <w:r w:rsidRPr="005A293B">
        <w:t xml:space="preserve"> and </w:t>
      </w:r>
      <w:r w:rsidR="00B9322D" w:rsidRPr="005A293B">
        <w:t>enzalutamide</w:t>
      </w:r>
      <w:r w:rsidRPr="005A293B">
        <w:t xml:space="preserve"> monotherapy across the model and the financial estimates</w:t>
      </w:r>
      <w:r w:rsidR="00EC2FC5">
        <w:t>, based on the effective DPMQ proposed in the submission (i.e $</w:t>
      </w:r>
      <w:r w:rsidR="00D62519" w:rsidRPr="00CD40AA">
        <w:rPr>
          <w:color w:val="000000"/>
          <w:w w:val="15"/>
          <w:shd w:val="solid" w:color="000000" w:fill="000000"/>
          <w:fitText w:val="-20" w:id="-961822192"/>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2192"/>
          <w14:textFill>
            <w14:solidFill>
              <w14:srgbClr w14:val="000000">
                <w14:alpha w14:val="100000"/>
              </w14:srgbClr>
            </w14:solidFill>
          </w14:textFill>
        </w:rPr>
        <w:t>|</w:t>
      </w:r>
      <w:r w:rsidR="00EC2FC5">
        <w:t>)</w:t>
      </w:r>
      <w:r w:rsidRPr="005A293B">
        <w:t xml:space="preserve">. </w:t>
      </w:r>
    </w:p>
    <w:p w14:paraId="5D93E2CF" w14:textId="7ABBA59D" w:rsidR="009B1B01" w:rsidRPr="005A293B" w:rsidRDefault="009B1B01" w:rsidP="005C70FC">
      <w:pPr>
        <w:pStyle w:val="TableFigureHeading"/>
        <w:keepLines/>
        <w:rPr>
          <w:rStyle w:val="CommentReference"/>
          <w:rFonts w:cs="Arial"/>
          <w:b/>
          <w:bCs w:val="0"/>
          <w:snapToGrid w:val="0"/>
          <w:szCs w:val="24"/>
        </w:rPr>
      </w:pPr>
      <w:bookmarkStart w:id="82" w:name="_Ref142997069"/>
      <w:r w:rsidRPr="005A293B">
        <w:t xml:space="preserve">Table </w:t>
      </w:r>
      <w:fldSimple w:instr=" SEQ Table \* ARABIC " w:fldLock="1">
        <w:r w:rsidR="00A01609">
          <w:rPr>
            <w:noProof/>
          </w:rPr>
          <w:t>14</w:t>
        </w:r>
      </w:fldSimple>
      <w:bookmarkEnd w:id="82"/>
      <w:r w:rsidRPr="005A293B">
        <w:t>:</w:t>
      </w:r>
      <w:r w:rsidRPr="005A293B">
        <w:rPr>
          <w:rStyle w:val="CommentReference"/>
          <w:b/>
          <w:szCs w:val="24"/>
        </w:rPr>
        <w:t xml:space="preserve"> Drug cost per patient (</w:t>
      </w:r>
      <w:r w:rsidR="006C3ED1" w:rsidRPr="005A293B">
        <w:rPr>
          <w:rStyle w:val="CommentReference"/>
          <w:b/>
          <w:i/>
          <w:iCs/>
          <w:szCs w:val="24"/>
        </w:rPr>
        <w:t>BRCA1/2</w:t>
      </w:r>
      <w:r w:rsidRPr="005A293B">
        <w:rPr>
          <w:rStyle w:val="CommentReference"/>
          <w:b/>
          <w:szCs w:val="24"/>
        </w:rPr>
        <w:t xml:space="preserve"> subgroup)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BRCA1/2 subgroup) for proposed and comparator drugs"/>
      </w:tblPr>
      <w:tblGrid>
        <w:gridCol w:w="1413"/>
        <w:gridCol w:w="994"/>
        <w:gridCol w:w="1358"/>
        <w:gridCol w:w="1470"/>
        <w:gridCol w:w="1006"/>
        <w:gridCol w:w="1416"/>
        <w:gridCol w:w="1360"/>
      </w:tblGrid>
      <w:tr w:rsidR="009B1B01" w:rsidRPr="000B725B" w14:paraId="76098E1A" w14:textId="77777777" w:rsidTr="00E97B08">
        <w:trPr>
          <w:cantSplit/>
          <w:tblHeader/>
          <w:jc w:val="center"/>
        </w:trPr>
        <w:tc>
          <w:tcPr>
            <w:tcW w:w="784" w:type="pct"/>
            <w:tcBorders>
              <w:bottom w:val="nil"/>
            </w:tcBorders>
            <w:shd w:val="clear" w:color="auto" w:fill="auto"/>
            <w:vAlign w:val="center"/>
          </w:tcPr>
          <w:p w14:paraId="0D7106D4" w14:textId="77777777" w:rsidR="009B1B01" w:rsidRPr="000B725B" w:rsidRDefault="009B1B01" w:rsidP="005C70FC">
            <w:pPr>
              <w:pStyle w:val="TableText0"/>
              <w:keepLines/>
            </w:pPr>
          </w:p>
        </w:tc>
        <w:tc>
          <w:tcPr>
            <w:tcW w:w="2119" w:type="pct"/>
            <w:gridSpan w:val="3"/>
            <w:shd w:val="clear" w:color="auto" w:fill="auto"/>
            <w:vAlign w:val="center"/>
          </w:tcPr>
          <w:p w14:paraId="441FAE82" w14:textId="0F499991" w:rsidR="009B1B01" w:rsidRPr="000B725B" w:rsidRDefault="00B9322D" w:rsidP="005C70FC">
            <w:pPr>
              <w:pStyle w:val="TableText0"/>
              <w:keepLines/>
              <w:jc w:val="center"/>
              <w:rPr>
                <w:b/>
                <w:bCs w:val="0"/>
                <w:szCs w:val="20"/>
              </w:rPr>
            </w:pPr>
            <w:r w:rsidRPr="000B725B">
              <w:rPr>
                <w:b/>
                <w:bCs w:val="0"/>
              </w:rPr>
              <w:t>Talazoparib + enzalutamide</w:t>
            </w:r>
          </w:p>
        </w:tc>
        <w:tc>
          <w:tcPr>
            <w:tcW w:w="2097" w:type="pct"/>
            <w:gridSpan w:val="3"/>
            <w:shd w:val="clear" w:color="auto" w:fill="auto"/>
            <w:vAlign w:val="center"/>
          </w:tcPr>
          <w:p w14:paraId="0E76939C" w14:textId="52CE3964" w:rsidR="009B1B01" w:rsidRPr="000B725B" w:rsidRDefault="00B9322D" w:rsidP="005C70FC">
            <w:pPr>
              <w:pStyle w:val="TableText0"/>
              <w:keepLines/>
              <w:jc w:val="center"/>
              <w:rPr>
                <w:b/>
                <w:bCs w:val="0"/>
                <w:szCs w:val="20"/>
              </w:rPr>
            </w:pPr>
            <w:r w:rsidRPr="000B725B">
              <w:rPr>
                <w:b/>
                <w:bCs w:val="0"/>
              </w:rPr>
              <w:t>Enzalutamide</w:t>
            </w:r>
            <w:r w:rsidR="009B1B01" w:rsidRPr="000B725B">
              <w:rPr>
                <w:b/>
                <w:bCs w:val="0"/>
              </w:rPr>
              <w:t xml:space="preserve"> monotherapy </w:t>
            </w:r>
          </w:p>
        </w:tc>
      </w:tr>
      <w:tr w:rsidR="009B1B01" w:rsidRPr="000B725B" w14:paraId="23032254" w14:textId="77777777" w:rsidTr="00E97B08">
        <w:trPr>
          <w:cantSplit/>
          <w:tblHeader/>
          <w:jc w:val="center"/>
        </w:trPr>
        <w:tc>
          <w:tcPr>
            <w:tcW w:w="784" w:type="pct"/>
            <w:tcBorders>
              <w:top w:val="nil"/>
            </w:tcBorders>
            <w:shd w:val="clear" w:color="auto" w:fill="auto"/>
            <w:vAlign w:val="center"/>
          </w:tcPr>
          <w:p w14:paraId="679D71C1" w14:textId="77777777" w:rsidR="009B1B01" w:rsidRPr="000B725B" w:rsidRDefault="009B1B01" w:rsidP="005C70FC">
            <w:pPr>
              <w:pStyle w:val="TableText0"/>
              <w:keepLines/>
            </w:pPr>
          </w:p>
        </w:tc>
        <w:tc>
          <w:tcPr>
            <w:tcW w:w="551" w:type="pct"/>
            <w:shd w:val="clear" w:color="auto" w:fill="auto"/>
            <w:vAlign w:val="center"/>
          </w:tcPr>
          <w:p w14:paraId="1E21F220" w14:textId="77777777" w:rsidR="009B1B01" w:rsidRPr="000B725B" w:rsidRDefault="009B1B01" w:rsidP="005C70FC">
            <w:pPr>
              <w:pStyle w:val="TableText0"/>
              <w:keepLines/>
              <w:jc w:val="center"/>
            </w:pPr>
            <w:r w:rsidRPr="000B725B">
              <w:rPr>
                <w:b/>
                <w:szCs w:val="20"/>
              </w:rPr>
              <w:t>Trial dose / duration</w:t>
            </w:r>
          </w:p>
        </w:tc>
        <w:tc>
          <w:tcPr>
            <w:tcW w:w="753" w:type="pct"/>
            <w:shd w:val="clear" w:color="auto" w:fill="auto"/>
            <w:vAlign w:val="center"/>
          </w:tcPr>
          <w:p w14:paraId="17527684" w14:textId="77777777" w:rsidR="009B1B01" w:rsidRPr="000B725B" w:rsidRDefault="009B1B01" w:rsidP="005C70FC">
            <w:pPr>
              <w:pStyle w:val="TableText0"/>
              <w:keepLines/>
              <w:jc w:val="center"/>
            </w:pPr>
            <w:r w:rsidRPr="000B725B">
              <w:rPr>
                <w:b/>
                <w:szCs w:val="20"/>
              </w:rPr>
              <w:t>Model</w:t>
            </w:r>
          </w:p>
        </w:tc>
        <w:tc>
          <w:tcPr>
            <w:tcW w:w="815" w:type="pct"/>
            <w:shd w:val="clear" w:color="auto" w:fill="auto"/>
            <w:vAlign w:val="center"/>
          </w:tcPr>
          <w:p w14:paraId="519964F8" w14:textId="77777777" w:rsidR="009B1B01" w:rsidRPr="000B725B" w:rsidRDefault="009B1B01" w:rsidP="005C70FC">
            <w:pPr>
              <w:pStyle w:val="TableText0"/>
              <w:keepLines/>
              <w:jc w:val="center"/>
            </w:pPr>
            <w:r w:rsidRPr="000B725B">
              <w:rPr>
                <w:b/>
                <w:szCs w:val="20"/>
              </w:rPr>
              <w:t>Financial estimates</w:t>
            </w:r>
          </w:p>
        </w:tc>
        <w:tc>
          <w:tcPr>
            <w:tcW w:w="558" w:type="pct"/>
            <w:shd w:val="clear" w:color="auto" w:fill="auto"/>
            <w:vAlign w:val="center"/>
          </w:tcPr>
          <w:p w14:paraId="04C34EB8" w14:textId="77777777" w:rsidR="009B1B01" w:rsidRPr="000B725B" w:rsidRDefault="009B1B01" w:rsidP="005C70FC">
            <w:pPr>
              <w:pStyle w:val="TableText0"/>
              <w:keepLines/>
              <w:jc w:val="center"/>
            </w:pPr>
            <w:r w:rsidRPr="000B725B">
              <w:rPr>
                <w:b/>
                <w:szCs w:val="20"/>
              </w:rPr>
              <w:t>Trial dose / duration</w:t>
            </w:r>
          </w:p>
        </w:tc>
        <w:tc>
          <w:tcPr>
            <w:tcW w:w="785" w:type="pct"/>
            <w:shd w:val="clear" w:color="auto" w:fill="auto"/>
            <w:vAlign w:val="center"/>
          </w:tcPr>
          <w:p w14:paraId="53AFAD67" w14:textId="77777777" w:rsidR="009B1B01" w:rsidRPr="000B725B" w:rsidRDefault="009B1B01" w:rsidP="005C70FC">
            <w:pPr>
              <w:pStyle w:val="TableText0"/>
              <w:keepLines/>
              <w:jc w:val="center"/>
            </w:pPr>
            <w:r w:rsidRPr="000B725B">
              <w:rPr>
                <w:b/>
                <w:szCs w:val="20"/>
              </w:rPr>
              <w:t>Model</w:t>
            </w:r>
          </w:p>
        </w:tc>
        <w:tc>
          <w:tcPr>
            <w:tcW w:w="754" w:type="pct"/>
            <w:vAlign w:val="center"/>
          </w:tcPr>
          <w:p w14:paraId="159C29FA" w14:textId="77777777" w:rsidR="009B1B01" w:rsidRPr="000B725B" w:rsidRDefault="009B1B01" w:rsidP="005C70FC">
            <w:pPr>
              <w:pStyle w:val="TableText0"/>
              <w:keepLines/>
              <w:jc w:val="center"/>
            </w:pPr>
            <w:r w:rsidRPr="000B725B">
              <w:rPr>
                <w:b/>
                <w:szCs w:val="20"/>
              </w:rPr>
              <w:t>Financial estimates</w:t>
            </w:r>
          </w:p>
        </w:tc>
      </w:tr>
      <w:tr w:rsidR="009B1B01" w:rsidRPr="000B725B" w14:paraId="34110F78" w14:textId="77777777" w:rsidTr="00E97B08">
        <w:trPr>
          <w:cantSplit/>
          <w:jc w:val="center"/>
        </w:trPr>
        <w:tc>
          <w:tcPr>
            <w:tcW w:w="784" w:type="pct"/>
            <w:shd w:val="clear" w:color="auto" w:fill="auto"/>
            <w:vAlign w:val="center"/>
          </w:tcPr>
          <w:p w14:paraId="4A48C76F" w14:textId="77777777" w:rsidR="009B1B01" w:rsidRPr="000B725B" w:rsidRDefault="009B1B01" w:rsidP="005C70FC">
            <w:pPr>
              <w:pStyle w:val="TableText0"/>
              <w:keepLines/>
            </w:pPr>
            <w:r w:rsidRPr="000B725B">
              <w:rPr>
                <w:szCs w:val="20"/>
              </w:rPr>
              <w:t>Mean dose</w:t>
            </w:r>
          </w:p>
        </w:tc>
        <w:tc>
          <w:tcPr>
            <w:tcW w:w="2119" w:type="pct"/>
            <w:gridSpan w:val="3"/>
            <w:shd w:val="clear" w:color="auto" w:fill="auto"/>
            <w:vAlign w:val="center"/>
          </w:tcPr>
          <w:p w14:paraId="6517BBC6" w14:textId="5B13A323" w:rsidR="009B1B01" w:rsidRPr="000B725B" w:rsidRDefault="00B9322D" w:rsidP="005C70FC">
            <w:pPr>
              <w:pStyle w:val="TableText0"/>
              <w:keepLines/>
              <w:jc w:val="center"/>
            </w:pPr>
            <w:r w:rsidRPr="000B725B">
              <w:t>TAL:</w:t>
            </w:r>
            <w:r w:rsidR="009B1B01" w:rsidRPr="000B725B">
              <w:t xml:space="preserve"> </w:t>
            </w:r>
            <w:r w:rsidRPr="000B725B">
              <w:t>0.5</w:t>
            </w:r>
            <w:r w:rsidR="005744F4" w:rsidRPr="000B725B">
              <w:t xml:space="preserve"> </w:t>
            </w:r>
            <w:r w:rsidR="009B1B01" w:rsidRPr="000B725B">
              <w:t xml:space="preserve">mg/day, </w:t>
            </w:r>
            <w:r w:rsidRPr="000B725B">
              <w:t>ENZ:</w:t>
            </w:r>
            <w:r w:rsidR="009B1B01" w:rsidRPr="000B725B">
              <w:t xml:space="preserve"> </w:t>
            </w:r>
            <w:r w:rsidRPr="000B725B">
              <w:t>160</w:t>
            </w:r>
            <w:r w:rsidR="005744F4" w:rsidRPr="000B725B">
              <w:t xml:space="preserve"> </w:t>
            </w:r>
            <w:r w:rsidRPr="000B725B">
              <w:t>mg/day</w:t>
            </w:r>
          </w:p>
        </w:tc>
        <w:tc>
          <w:tcPr>
            <w:tcW w:w="2097" w:type="pct"/>
            <w:gridSpan w:val="3"/>
            <w:shd w:val="clear" w:color="auto" w:fill="auto"/>
            <w:vAlign w:val="center"/>
          </w:tcPr>
          <w:p w14:paraId="5A8B7B96" w14:textId="0A24B66D" w:rsidR="009B1B01" w:rsidRPr="000B725B" w:rsidRDefault="009B1B01" w:rsidP="005C70FC">
            <w:pPr>
              <w:pStyle w:val="TableText0"/>
              <w:keepLines/>
              <w:jc w:val="center"/>
            </w:pPr>
            <w:r w:rsidRPr="000B725B">
              <w:t>ENZ:</w:t>
            </w:r>
            <w:r w:rsidR="00B9322D" w:rsidRPr="000B725B">
              <w:t xml:space="preserve"> 160</w:t>
            </w:r>
            <w:r w:rsidR="005744F4" w:rsidRPr="000B725B">
              <w:t xml:space="preserve"> </w:t>
            </w:r>
            <w:r w:rsidR="00B9322D" w:rsidRPr="000B725B">
              <w:t>mg/day</w:t>
            </w:r>
          </w:p>
        </w:tc>
      </w:tr>
      <w:tr w:rsidR="00566C20" w:rsidRPr="000B725B" w14:paraId="69305068" w14:textId="77777777" w:rsidTr="00E97B08">
        <w:trPr>
          <w:cantSplit/>
          <w:jc w:val="center"/>
        </w:trPr>
        <w:tc>
          <w:tcPr>
            <w:tcW w:w="784" w:type="pct"/>
            <w:shd w:val="clear" w:color="auto" w:fill="auto"/>
            <w:vAlign w:val="center"/>
          </w:tcPr>
          <w:p w14:paraId="0D8B509A" w14:textId="2C13C41B" w:rsidR="00566C20" w:rsidRPr="000B725B" w:rsidRDefault="00566C20" w:rsidP="005C70FC">
            <w:pPr>
              <w:pStyle w:val="TableText0"/>
              <w:keepLines/>
            </w:pPr>
            <w:r w:rsidRPr="000B725B">
              <w:t>Mean treatment duration</w:t>
            </w:r>
            <w:r w:rsidR="005744F4" w:rsidRPr="000B725B">
              <w:t>,</w:t>
            </w:r>
            <w:r w:rsidRPr="000B725B">
              <w:t xml:space="preserve"> months</w:t>
            </w:r>
            <w:r w:rsidR="005744F4" w:rsidRPr="000B725B">
              <w:t xml:space="preserve"> (days)</w:t>
            </w:r>
          </w:p>
        </w:tc>
        <w:tc>
          <w:tcPr>
            <w:tcW w:w="551" w:type="pct"/>
            <w:shd w:val="clear" w:color="auto" w:fill="auto"/>
            <w:vAlign w:val="center"/>
          </w:tcPr>
          <w:p w14:paraId="349FEDE7" w14:textId="77777777" w:rsidR="00566C20" w:rsidRPr="000B725B" w:rsidRDefault="00566C20" w:rsidP="005C70FC">
            <w:pPr>
              <w:pStyle w:val="TableText0"/>
              <w:keepLines/>
              <w:jc w:val="center"/>
              <w:rPr>
                <w:b/>
              </w:rPr>
            </w:pPr>
            <w:r w:rsidRPr="000B725B">
              <w:t>NR</w:t>
            </w:r>
            <w:r w:rsidRPr="000B725B">
              <w:rPr>
                <w:vertAlign w:val="superscript"/>
              </w:rPr>
              <w:t xml:space="preserve"> a</w:t>
            </w:r>
          </w:p>
        </w:tc>
        <w:tc>
          <w:tcPr>
            <w:tcW w:w="753" w:type="pct"/>
            <w:shd w:val="clear" w:color="auto" w:fill="auto"/>
            <w:vAlign w:val="center"/>
          </w:tcPr>
          <w:p w14:paraId="7676751B" w14:textId="698D9986" w:rsidR="00566C20" w:rsidRPr="000B725B" w:rsidRDefault="00566C20" w:rsidP="005C70FC">
            <w:pPr>
              <w:pStyle w:val="TableText0"/>
              <w:keepLines/>
              <w:jc w:val="center"/>
              <w:rPr>
                <w:b/>
              </w:rPr>
            </w:pPr>
            <w:r w:rsidRPr="000B725B">
              <w:t>TAL=27.53</w:t>
            </w:r>
            <w:r w:rsidR="00DB3E4B" w:rsidRPr="000B725B">
              <w:t xml:space="preserve"> </w:t>
            </w:r>
            <w:r w:rsidRPr="000B725B">
              <w:rPr>
                <w:vertAlign w:val="superscript"/>
              </w:rPr>
              <w:t>b</w:t>
            </w:r>
            <w:r w:rsidR="007E11C0" w:rsidRPr="000B725B">
              <w:rPr>
                <w:vertAlign w:val="superscript"/>
              </w:rPr>
              <w:t xml:space="preserve"> </w:t>
            </w:r>
            <w:r w:rsidR="007E11C0" w:rsidRPr="000B725B">
              <w:rPr>
                <w:vertAlign w:val="superscript"/>
              </w:rPr>
              <w:br/>
            </w:r>
            <w:r w:rsidR="007E11C0" w:rsidRPr="000B725B">
              <w:t>(838 days)</w:t>
            </w:r>
            <w:r w:rsidRPr="000B725B">
              <w:t>, ENZ=27.41</w:t>
            </w:r>
            <w:r w:rsidR="00DB3E4B" w:rsidRPr="000B725B">
              <w:t xml:space="preserve"> </w:t>
            </w:r>
            <w:r w:rsidRPr="000B725B">
              <w:rPr>
                <w:vertAlign w:val="superscript"/>
              </w:rPr>
              <w:t>b</w:t>
            </w:r>
            <w:r w:rsidR="007E11C0" w:rsidRPr="000B725B">
              <w:rPr>
                <w:vertAlign w:val="superscript"/>
              </w:rPr>
              <w:br/>
            </w:r>
            <w:r w:rsidR="007E11C0" w:rsidRPr="000B725B">
              <w:rPr>
                <w:bCs w:val="0"/>
              </w:rPr>
              <w:t>(834 days)</w:t>
            </w:r>
          </w:p>
        </w:tc>
        <w:tc>
          <w:tcPr>
            <w:tcW w:w="815" w:type="pct"/>
            <w:shd w:val="clear" w:color="auto" w:fill="auto"/>
            <w:vAlign w:val="center"/>
          </w:tcPr>
          <w:p w14:paraId="397783DF" w14:textId="5583402F" w:rsidR="00566C20" w:rsidRPr="000B725B" w:rsidRDefault="00566C20" w:rsidP="005C70FC">
            <w:pPr>
              <w:pStyle w:val="TableText0"/>
              <w:keepLines/>
              <w:jc w:val="center"/>
              <w:rPr>
                <w:b/>
              </w:rPr>
            </w:pPr>
            <w:r w:rsidRPr="000B725B">
              <w:t>Not used</w:t>
            </w:r>
          </w:p>
        </w:tc>
        <w:tc>
          <w:tcPr>
            <w:tcW w:w="558" w:type="pct"/>
            <w:shd w:val="clear" w:color="auto" w:fill="auto"/>
            <w:vAlign w:val="center"/>
          </w:tcPr>
          <w:p w14:paraId="390ACD9D" w14:textId="77777777" w:rsidR="00566C20" w:rsidRPr="000B725B" w:rsidRDefault="00566C20" w:rsidP="005C70FC">
            <w:pPr>
              <w:pStyle w:val="TableText0"/>
              <w:keepLines/>
              <w:jc w:val="center"/>
              <w:rPr>
                <w:b/>
              </w:rPr>
            </w:pPr>
            <w:r w:rsidRPr="000B725B">
              <w:t>NR</w:t>
            </w:r>
            <w:r w:rsidRPr="000B725B">
              <w:rPr>
                <w:vertAlign w:val="superscript"/>
              </w:rPr>
              <w:t xml:space="preserve"> a</w:t>
            </w:r>
          </w:p>
        </w:tc>
        <w:tc>
          <w:tcPr>
            <w:tcW w:w="785" w:type="pct"/>
            <w:shd w:val="clear" w:color="auto" w:fill="auto"/>
            <w:vAlign w:val="center"/>
          </w:tcPr>
          <w:p w14:paraId="6E7EE470" w14:textId="1AA5D6B5" w:rsidR="00566C20" w:rsidRPr="000B725B" w:rsidRDefault="00566C20" w:rsidP="005C70FC">
            <w:pPr>
              <w:pStyle w:val="TableText0"/>
              <w:keepLines/>
              <w:jc w:val="center"/>
              <w:rPr>
                <w:b/>
              </w:rPr>
            </w:pPr>
            <w:r w:rsidRPr="000B725B">
              <w:t>ENZ=13.45</w:t>
            </w:r>
            <w:r w:rsidR="00DB3E4B" w:rsidRPr="000B725B">
              <w:t xml:space="preserve"> </w:t>
            </w:r>
            <w:r w:rsidRPr="000B725B">
              <w:rPr>
                <w:vertAlign w:val="superscript"/>
              </w:rPr>
              <w:t>b</w:t>
            </w:r>
            <w:r w:rsidR="007E11C0" w:rsidRPr="000B725B">
              <w:rPr>
                <w:vertAlign w:val="superscript"/>
              </w:rPr>
              <w:br/>
            </w:r>
            <w:r w:rsidR="007E11C0" w:rsidRPr="000B725B">
              <w:rPr>
                <w:bCs w:val="0"/>
              </w:rPr>
              <w:t>(409 days)</w:t>
            </w:r>
          </w:p>
        </w:tc>
        <w:tc>
          <w:tcPr>
            <w:tcW w:w="754" w:type="pct"/>
            <w:vMerge w:val="restart"/>
            <w:vAlign w:val="center"/>
          </w:tcPr>
          <w:p w14:paraId="150E85D1" w14:textId="60B30238" w:rsidR="00566C20" w:rsidRPr="000B725B" w:rsidRDefault="00566C20" w:rsidP="005C70FC">
            <w:pPr>
              <w:pStyle w:val="TableText0"/>
              <w:keepLines/>
              <w:jc w:val="center"/>
              <w:rPr>
                <w:bCs w:val="0"/>
              </w:rPr>
            </w:pPr>
            <w:r w:rsidRPr="000B725B">
              <w:rPr>
                <w:bCs w:val="0"/>
              </w:rPr>
              <w:t xml:space="preserve">Financial estimates </w:t>
            </w:r>
            <w:r w:rsidR="007E11C0" w:rsidRPr="000B725B">
              <w:rPr>
                <w:bCs w:val="0"/>
              </w:rPr>
              <w:t>were</w:t>
            </w:r>
            <w:r w:rsidRPr="000B725B">
              <w:rPr>
                <w:bCs w:val="0"/>
              </w:rPr>
              <w:t xml:space="preserve"> not conducted for the </w:t>
            </w:r>
            <w:r w:rsidR="007E11C0" w:rsidRPr="000B725B">
              <w:rPr>
                <w:bCs w:val="0"/>
              </w:rPr>
              <w:t>enzalutamide monotherapy scenario</w:t>
            </w:r>
            <w:r w:rsidR="00234B15" w:rsidRPr="000B725B">
              <w:rPr>
                <w:bCs w:val="0"/>
              </w:rPr>
              <w:t>.</w:t>
            </w:r>
            <w:r w:rsidR="00DB3E4B" w:rsidRPr="000B725B">
              <w:rPr>
                <w:bCs w:val="0"/>
              </w:rPr>
              <w:t xml:space="preserve"> </w:t>
            </w:r>
            <w:r w:rsidR="005E379C" w:rsidRPr="000B725B">
              <w:rPr>
                <w:bCs w:val="0"/>
                <w:vertAlign w:val="superscript"/>
              </w:rPr>
              <w:t>g</w:t>
            </w:r>
          </w:p>
        </w:tc>
      </w:tr>
      <w:tr w:rsidR="00566C20" w:rsidRPr="000B725B" w14:paraId="1907FD85" w14:textId="77777777" w:rsidTr="00E97B08">
        <w:trPr>
          <w:cantSplit/>
          <w:jc w:val="center"/>
        </w:trPr>
        <w:tc>
          <w:tcPr>
            <w:tcW w:w="784" w:type="pct"/>
            <w:shd w:val="clear" w:color="auto" w:fill="auto"/>
            <w:vAlign w:val="center"/>
          </w:tcPr>
          <w:p w14:paraId="51AC69C2" w14:textId="5FB6BB8A" w:rsidR="00566C20" w:rsidRPr="000B725B" w:rsidRDefault="00566C20" w:rsidP="005C70FC">
            <w:pPr>
              <w:pStyle w:val="TableText0"/>
              <w:keepLines/>
            </w:pPr>
            <w:r w:rsidRPr="000B725B">
              <w:t>Median treatment duration</w:t>
            </w:r>
            <w:r w:rsidR="005744F4" w:rsidRPr="000B725B">
              <w:t xml:space="preserve">, </w:t>
            </w:r>
            <w:r w:rsidRPr="000B725B">
              <w:t>months</w:t>
            </w:r>
            <w:r w:rsidR="005744F4" w:rsidRPr="000B725B">
              <w:t xml:space="preserve"> (days)</w:t>
            </w:r>
          </w:p>
        </w:tc>
        <w:tc>
          <w:tcPr>
            <w:tcW w:w="551" w:type="pct"/>
            <w:shd w:val="clear" w:color="auto" w:fill="auto"/>
            <w:vAlign w:val="center"/>
          </w:tcPr>
          <w:p w14:paraId="5E622AB7" w14:textId="0F942C91" w:rsidR="00566C20" w:rsidRPr="000B725B" w:rsidRDefault="00566C20" w:rsidP="005C70FC">
            <w:pPr>
              <w:pStyle w:val="TableText0"/>
              <w:keepLines/>
              <w:jc w:val="center"/>
            </w:pPr>
            <w:r w:rsidRPr="000B725B">
              <w:t>NR</w:t>
            </w:r>
            <w:r w:rsidRPr="000B725B">
              <w:rPr>
                <w:vertAlign w:val="superscript"/>
              </w:rPr>
              <w:t xml:space="preserve"> a</w:t>
            </w:r>
          </w:p>
        </w:tc>
        <w:tc>
          <w:tcPr>
            <w:tcW w:w="753" w:type="pct"/>
            <w:shd w:val="clear" w:color="auto" w:fill="auto"/>
            <w:vAlign w:val="center"/>
          </w:tcPr>
          <w:p w14:paraId="770D9641" w14:textId="7254E243" w:rsidR="00566C20" w:rsidRPr="000B725B" w:rsidRDefault="00566C20" w:rsidP="005C70FC">
            <w:pPr>
              <w:pStyle w:val="TableText0"/>
              <w:keepLines/>
              <w:jc w:val="center"/>
              <w:rPr>
                <w:highlight w:val="yellow"/>
              </w:rPr>
            </w:pPr>
            <w:r w:rsidRPr="000B725B">
              <w:t>22 months (669.63 days)</w:t>
            </w:r>
          </w:p>
        </w:tc>
        <w:tc>
          <w:tcPr>
            <w:tcW w:w="815" w:type="pct"/>
            <w:shd w:val="clear" w:color="auto" w:fill="auto"/>
            <w:vAlign w:val="center"/>
          </w:tcPr>
          <w:p w14:paraId="5F4A2B68" w14:textId="5F07AB6D" w:rsidR="00566C20" w:rsidRPr="000B725B" w:rsidRDefault="00566C20" w:rsidP="005C70FC">
            <w:pPr>
              <w:pStyle w:val="TableText0"/>
              <w:keepLines/>
              <w:jc w:val="center"/>
            </w:pPr>
            <w:r w:rsidRPr="000B725B">
              <w:t xml:space="preserve">22 months </w:t>
            </w:r>
            <w:r w:rsidRPr="000B725B">
              <w:br/>
              <w:t>(669.63 days)</w:t>
            </w:r>
          </w:p>
        </w:tc>
        <w:tc>
          <w:tcPr>
            <w:tcW w:w="558" w:type="pct"/>
            <w:shd w:val="clear" w:color="auto" w:fill="auto"/>
            <w:vAlign w:val="center"/>
          </w:tcPr>
          <w:p w14:paraId="3B700EEC" w14:textId="1C54EBD4" w:rsidR="00566C20" w:rsidRPr="000B725B" w:rsidRDefault="00566C20" w:rsidP="005C70FC">
            <w:pPr>
              <w:pStyle w:val="TableText0"/>
              <w:keepLines/>
              <w:jc w:val="center"/>
            </w:pPr>
            <w:r w:rsidRPr="000B725B">
              <w:t>NR</w:t>
            </w:r>
            <w:r w:rsidRPr="000B725B">
              <w:rPr>
                <w:vertAlign w:val="superscript"/>
              </w:rPr>
              <w:t xml:space="preserve"> a</w:t>
            </w:r>
          </w:p>
        </w:tc>
        <w:tc>
          <w:tcPr>
            <w:tcW w:w="785" w:type="pct"/>
            <w:shd w:val="clear" w:color="auto" w:fill="auto"/>
            <w:vAlign w:val="center"/>
          </w:tcPr>
          <w:p w14:paraId="54F93AEA" w14:textId="3E2B133C" w:rsidR="00566C20" w:rsidRPr="000B725B" w:rsidRDefault="00566C20" w:rsidP="005C70FC">
            <w:pPr>
              <w:pStyle w:val="TableText0"/>
              <w:keepLines/>
              <w:jc w:val="center"/>
              <w:rPr>
                <w:bCs w:val="0"/>
              </w:rPr>
            </w:pPr>
            <w:r w:rsidRPr="000B725B">
              <w:rPr>
                <w:bCs w:val="0"/>
              </w:rPr>
              <w:t xml:space="preserve">12 months </w:t>
            </w:r>
            <w:r w:rsidRPr="000B725B">
              <w:rPr>
                <w:bCs w:val="0"/>
              </w:rPr>
              <w:br/>
              <w:t>(365.25 days)</w:t>
            </w:r>
          </w:p>
        </w:tc>
        <w:tc>
          <w:tcPr>
            <w:tcW w:w="754" w:type="pct"/>
            <w:vMerge/>
            <w:vAlign w:val="center"/>
          </w:tcPr>
          <w:p w14:paraId="78561246" w14:textId="22B41A1D" w:rsidR="00566C20" w:rsidRPr="000B725B" w:rsidRDefault="00566C20" w:rsidP="005C70FC">
            <w:pPr>
              <w:pStyle w:val="TableText0"/>
              <w:keepLines/>
              <w:jc w:val="center"/>
            </w:pPr>
          </w:p>
        </w:tc>
      </w:tr>
      <w:tr w:rsidR="00566C20" w:rsidRPr="000B725B" w14:paraId="1170D12F" w14:textId="77777777" w:rsidTr="00E97B08">
        <w:trPr>
          <w:cantSplit/>
          <w:jc w:val="center"/>
        </w:trPr>
        <w:tc>
          <w:tcPr>
            <w:tcW w:w="784" w:type="pct"/>
            <w:shd w:val="clear" w:color="auto" w:fill="auto"/>
            <w:vAlign w:val="center"/>
          </w:tcPr>
          <w:p w14:paraId="7D89896F" w14:textId="72F766D4" w:rsidR="00566C20" w:rsidRPr="000B725B" w:rsidRDefault="00566C20" w:rsidP="005C70FC">
            <w:pPr>
              <w:pStyle w:val="TableText0"/>
              <w:keepLines/>
              <w:rPr>
                <w:szCs w:val="20"/>
              </w:rPr>
            </w:pPr>
            <w:r w:rsidRPr="000B725B">
              <w:rPr>
                <w:rFonts w:eastAsia="Times New Roman" w:cs="Times New Roman"/>
                <w:bCs w:val="0"/>
                <w:szCs w:val="20"/>
                <w:lang w:eastAsia="en-GB"/>
              </w:rPr>
              <w:t>Total mg administered</w:t>
            </w:r>
          </w:p>
        </w:tc>
        <w:tc>
          <w:tcPr>
            <w:tcW w:w="551" w:type="pct"/>
            <w:shd w:val="clear" w:color="auto" w:fill="auto"/>
            <w:vAlign w:val="center"/>
          </w:tcPr>
          <w:p w14:paraId="206A577E" w14:textId="77777777" w:rsidR="00566C20" w:rsidRPr="000B725B" w:rsidRDefault="00566C20" w:rsidP="005C70FC">
            <w:pPr>
              <w:pStyle w:val="TableText0"/>
              <w:keepLines/>
              <w:jc w:val="center"/>
            </w:pPr>
            <w:r w:rsidRPr="000B725B">
              <w:t>NC</w:t>
            </w:r>
          </w:p>
        </w:tc>
        <w:tc>
          <w:tcPr>
            <w:tcW w:w="753" w:type="pct"/>
            <w:shd w:val="clear" w:color="auto" w:fill="auto"/>
            <w:vAlign w:val="center"/>
          </w:tcPr>
          <w:p w14:paraId="0CBFFA75" w14:textId="4C1601F6" w:rsidR="00566C20" w:rsidRPr="000B725B" w:rsidRDefault="00566C20" w:rsidP="005C70FC">
            <w:pPr>
              <w:pStyle w:val="TableText0"/>
              <w:keepLines/>
              <w:jc w:val="center"/>
            </w:pPr>
            <w:r w:rsidRPr="000B725B">
              <w:t xml:space="preserve">TAL: </w:t>
            </w:r>
            <w:r w:rsidR="00DB3E4B" w:rsidRPr="000B725B">
              <w:t>335</w:t>
            </w:r>
            <w:r w:rsidR="005744F4" w:rsidRPr="000B725B">
              <w:t xml:space="preserve"> </w:t>
            </w:r>
            <w:r w:rsidRPr="000B725B">
              <w:t>mg</w:t>
            </w:r>
            <w:r w:rsidR="00D204CD" w:rsidRPr="000B725B">
              <w:t xml:space="preserve"> </w:t>
            </w:r>
            <w:r w:rsidRPr="000B725B">
              <w:rPr>
                <w:rFonts w:eastAsia="Times New Roman" w:cs="Times New Roman"/>
                <w:bCs w:val="0"/>
                <w:szCs w:val="20"/>
                <w:vertAlign w:val="superscript"/>
                <w:lang w:eastAsia="en-GB"/>
              </w:rPr>
              <w:t>c</w:t>
            </w:r>
          </w:p>
          <w:p w14:paraId="09ADDC24" w14:textId="7D3668B7" w:rsidR="00566C20" w:rsidRPr="000B725B" w:rsidRDefault="00566C20" w:rsidP="005C70FC">
            <w:pPr>
              <w:pStyle w:val="TableText0"/>
              <w:keepLines/>
              <w:jc w:val="center"/>
            </w:pPr>
            <w:r w:rsidRPr="000B725B">
              <w:t xml:space="preserve">ENZ: </w:t>
            </w:r>
            <w:r w:rsidR="00DB3E4B" w:rsidRPr="000B725B">
              <w:t>107,141</w:t>
            </w:r>
            <w:r w:rsidR="009E51BF" w:rsidRPr="000B725B">
              <w:t xml:space="preserve"> mg</w:t>
            </w:r>
          </w:p>
        </w:tc>
        <w:tc>
          <w:tcPr>
            <w:tcW w:w="815" w:type="pct"/>
            <w:shd w:val="clear" w:color="auto" w:fill="auto"/>
            <w:vAlign w:val="center"/>
          </w:tcPr>
          <w:p w14:paraId="6DE317BC" w14:textId="23E96957" w:rsidR="00566C20" w:rsidRPr="000B725B" w:rsidRDefault="00566C20" w:rsidP="005C70FC">
            <w:pPr>
              <w:pStyle w:val="TableText0"/>
              <w:keepLines/>
              <w:jc w:val="center"/>
            </w:pPr>
            <w:r w:rsidRPr="000B725B">
              <w:t>TAL: 25</w:t>
            </w:r>
            <w:r w:rsidR="00DB3E4B" w:rsidRPr="000B725B">
              <w:t>4</w:t>
            </w:r>
            <w:r w:rsidR="005744F4" w:rsidRPr="000B725B">
              <w:t xml:space="preserve"> </w:t>
            </w:r>
            <w:r w:rsidRPr="000B725B">
              <w:t>mg</w:t>
            </w:r>
            <w:r w:rsidR="00DB3E4B" w:rsidRPr="000B725B">
              <w:t xml:space="preserve"> </w:t>
            </w:r>
            <w:r w:rsidRPr="000B725B">
              <w:rPr>
                <w:vertAlign w:val="superscript"/>
              </w:rPr>
              <w:t>d</w:t>
            </w:r>
          </w:p>
          <w:p w14:paraId="3C126C27" w14:textId="04B8E3A7" w:rsidR="00566C20" w:rsidRPr="000B725B" w:rsidRDefault="00566C20" w:rsidP="005C70FC">
            <w:pPr>
              <w:pStyle w:val="TableText0"/>
              <w:keepLines/>
              <w:jc w:val="center"/>
            </w:pPr>
            <w:r w:rsidRPr="000B725B">
              <w:t>ENZ: not included</w:t>
            </w:r>
          </w:p>
        </w:tc>
        <w:tc>
          <w:tcPr>
            <w:tcW w:w="558" w:type="pct"/>
            <w:shd w:val="clear" w:color="auto" w:fill="auto"/>
            <w:vAlign w:val="center"/>
          </w:tcPr>
          <w:p w14:paraId="29CBDA87" w14:textId="77777777" w:rsidR="00566C20" w:rsidRPr="000B725B" w:rsidRDefault="00566C20" w:rsidP="005C70FC">
            <w:pPr>
              <w:pStyle w:val="TableText0"/>
              <w:keepLines/>
              <w:jc w:val="center"/>
            </w:pPr>
            <w:r w:rsidRPr="000B725B">
              <w:t>NC</w:t>
            </w:r>
          </w:p>
        </w:tc>
        <w:tc>
          <w:tcPr>
            <w:tcW w:w="785" w:type="pct"/>
            <w:shd w:val="clear" w:color="auto" w:fill="auto"/>
            <w:vAlign w:val="center"/>
          </w:tcPr>
          <w:p w14:paraId="53A45ADF" w14:textId="4295494D" w:rsidR="00566C20" w:rsidRPr="000B725B" w:rsidRDefault="007E11C0" w:rsidP="005C70FC">
            <w:pPr>
              <w:pStyle w:val="TableText0"/>
              <w:keepLines/>
              <w:jc w:val="center"/>
            </w:pPr>
            <w:r w:rsidRPr="000B725B">
              <w:t xml:space="preserve">ENZ: </w:t>
            </w:r>
            <w:r w:rsidRPr="006A45C9">
              <w:t>107,141</w:t>
            </w:r>
            <w:r w:rsidR="009E51BF" w:rsidRPr="006A45C9">
              <w:t xml:space="preserve"> </w:t>
            </w:r>
            <w:r w:rsidR="009E51BF" w:rsidRPr="000B725B">
              <w:t>mg</w:t>
            </w:r>
          </w:p>
        </w:tc>
        <w:tc>
          <w:tcPr>
            <w:tcW w:w="754" w:type="pct"/>
            <w:vMerge/>
            <w:vAlign w:val="center"/>
          </w:tcPr>
          <w:p w14:paraId="0279B065" w14:textId="725A83B4" w:rsidR="00566C20" w:rsidRPr="000B725B" w:rsidRDefault="00566C20" w:rsidP="005C70FC">
            <w:pPr>
              <w:pStyle w:val="TableText0"/>
              <w:keepLines/>
              <w:jc w:val="center"/>
            </w:pPr>
          </w:p>
        </w:tc>
      </w:tr>
      <w:tr w:rsidR="00566C20" w:rsidRPr="000B725B" w14:paraId="2B9BCF3F" w14:textId="77777777" w:rsidTr="00E97B08">
        <w:trPr>
          <w:cantSplit/>
          <w:jc w:val="center"/>
        </w:trPr>
        <w:tc>
          <w:tcPr>
            <w:tcW w:w="784" w:type="pct"/>
            <w:shd w:val="clear" w:color="auto" w:fill="auto"/>
            <w:vAlign w:val="center"/>
          </w:tcPr>
          <w:p w14:paraId="3015BE49" w14:textId="77777777" w:rsidR="00566C20" w:rsidRPr="000B725B" w:rsidRDefault="00566C20" w:rsidP="005C70FC">
            <w:pPr>
              <w:pStyle w:val="TableText0"/>
              <w:keepLines/>
            </w:pPr>
            <w:r w:rsidRPr="000B725B">
              <w:rPr>
                <w:szCs w:val="20"/>
              </w:rPr>
              <w:t>Cost/patient/ month</w:t>
            </w:r>
            <w:r w:rsidRPr="000B725B">
              <w:rPr>
                <w:vertAlign w:val="superscript"/>
              </w:rPr>
              <w:t xml:space="preserve"> </w:t>
            </w:r>
          </w:p>
        </w:tc>
        <w:tc>
          <w:tcPr>
            <w:tcW w:w="551" w:type="pct"/>
            <w:shd w:val="clear" w:color="auto" w:fill="auto"/>
            <w:vAlign w:val="center"/>
          </w:tcPr>
          <w:p w14:paraId="4D31C891" w14:textId="77777777" w:rsidR="00566C20" w:rsidRPr="000B725B" w:rsidRDefault="00566C20" w:rsidP="005C70FC">
            <w:pPr>
              <w:pStyle w:val="TableText0"/>
              <w:keepLines/>
              <w:jc w:val="center"/>
            </w:pPr>
            <w:r w:rsidRPr="000B725B">
              <w:t>NR</w:t>
            </w:r>
          </w:p>
        </w:tc>
        <w:tc>
          <w:tcPr>
            <w:tcW w:w="753" w:type="pct"/>
            <w:shd w:val="clear" w:color="auto" w:fill="auto"/>
            <w:vAlign w:val="center"/>
          </w:tcPr>
          <w:p w14:paraId="09E8388C" w14:textId="3F0F7D1A" w:rsidR="00566C20" w:rsidRPr="000B725B" w:rsidRDefault="00566C20" w:rsidP="005C70FC">
            <w:pPr>
              <w:pStyle w:val="TableText0"/>
              <w:keepLines/>
              <w:jc w:val="center"/>
            </w:pPr>
            <w:r w:rsidRPr="000B725B">
              <w:t>TAL: $</w:t>
            </w:r>
            <w:r w:rsidR="00D62519" w:rsidRPr="00D62519">
              <w:rPr>
                <w:color w:val="000000"/>
                <w:shd w:val="solid" w:color="000000" w:fill="000000"/>
                <w14:textFill>
                  <w14:solidFill>
                    <w14:srgbClr w14:val="000000">
                      <w14:alpha w14:val="100000"/>
                    </w14:srgbClr>
                  </w14:solidFill>
                </w14:textFill>
              </w:rPr>
              <w:t>|</w:t>
            </w:r>
          </w:p>
          <w:p w14:paraId="2CCE0C7B" w14:textId="535BC5B5" w:rsidR="00566C20" w:rsidRPr="000B725B" w:rsidRDefault="00566C20" w:rsidP="005C70FC">
            <w:pPr>
              <w:pStyle w:val="TableText0"/>
              <w:keepLines/>
              <w:jc w:val="center"/>
            </w:pPr>
            <w:r w:rsidRPr="000B725B">
              <w:t>ENZ: $</w:t>
            </w:r>
            <w:r w:rsidR="00D62519" w:rsidRPr="00CD40AA">
              <w:rPr>
                <w:rFonts w:hint="eastAsia"/>
                <w:color w:val="000000"/>
                <w:w w:val="15"/>
                <w:shd w:val="solid" w:color="000000" w:fill="000000"/>
                <w:fitText w:val="15" w:id="-961822208"/>
                <w14:textFill>
                  <w14:solidFill>
                    <w14:srgbClr w14:val="000000">
                      <w14:alpha w14:val="100000"/>
                    </w14:srgbClr>
                  </w14:solidFill>
                </w14:textFill>
              </w:rPr>
              <w:t xml:space="preserve">　</w:t>
            </w:r>
            <w:r w:rsidR="00D62519" w:rsidRPr="00CD40AA">
              <w:rPr>
                <w:color w:val="000000"/>
                <w:w w:val="15"/>
                <w:shd w:val="solid" w:color="000000" w:fill="000000"/>
                <w:fitText w:val="15" w:id="-961822208"/>
                <w14:textFill>
                  <w14:solidFill>
                    <w14:srgbClr w14:val="000000">
                      <w14:alpha w14:val="100000"/>
                    </w14:srgbClr>
                  </w14:solidFill>
                </w14:textFill>
              </w:rPr>
              <w:t>|</w:t>
            </w:r>
            <w:r w:rsidR="00D62519" w:rsidRPr="00CD40AA">
              <w:rPr>
                <w:rFonts w:hint="eastAsia"/>
                <w:color w:val="000000"/>
                <w:spacing w:val="-50"/>
                <w:w w:val="15"/>
                <w:shd w:val="solid" w:color="000000" w:fill="000000"/>
                <w:fitText w:val="15" w:id="-961822208"/>
                <w14:textFill>
                  <w14:solidFill>
                    <w14:srgbClr w14:val="000000">
                      <w14:alpha w14:val="100000"/>
                    </w14:srgbClr>
                  </w14:solidFill>
                </w14:textFill>
              </w:rPr>
              <w:t xml:space="preserve">　</w:t>
            </w:r>
            <w:r w:rsidR="00EC2FC5">
              <w:t>*</w:t>
            </w:r>
          </w:p>
          <w:p w14:paraId="77C1984E" w14:textId="00276ED0" w:rsidR="00566C20" w:rsidRPr="000B725B" w:rsidRDefault="00566C20" w:rsidP="005C70FC">
            <w:pPr>
              <w:pStyle w:val="TableText0"/>
              <w:keepLines/>
              <w:jc w:val="center"/>
            </w:pPr>
            <w:r w:rsidRPr="000B725B">
              <w:t>Total: $</w:t>
            </w:r>
            <w:r w:rsidR="00D62519" w:rsidRPr="00CD40AA">
              <w:rPr>
                <w:rFonts w:hint="eastAsia"/>
                <w:color w:val="000000"/>
                <w:w w:val="15"/>
                <w:shd w:val="solid" w:color="000000" w:fill="000000"/>
                <w:fitText w:val="15" w:id="-961822207"/>
                <w14:textFill>
                  <w14:solidFill>
                    <w14:srgbClr w14:val="000000">
                      <w14:alpha w14:val="100000"/>
                    </w14:srgbClr>
                  </w14:solidFill>
                </w14:textFill>
              </w:rPr>
              <w:t xml:space="preserve">　</w:t>
            </w:r>
            <w:r w:rsidR="00D62519" w:rsidRPr="00CD40AA">
              <w:rPr>
                <w:color w:val="000000"/>
                <w:w w:val="15"/>
                <w:shd w:val="solid" w:color="000000" w:fill="000000"/>
                <w:fitText w:val="15" w:id="-961822207"/>
                <w14:textFill>
                  <w14:solidFill>
                    <w14:srgbClr w14:val="000000">
                      <w14:alpha w14:val="100000"/>
                    </w14:srgbClr>
                  </w14:solidFill>
                </w14:textFill>
              </w:rPr>
              <w:t>|</w:t>
            </w:r>
            <w:r w:rsidR="00D62519" w:rsidRPr="00CD40AA">
              <w:rPr>
                <w:rFonts w:hint="eastAsia"/>
                <w:color w:val="000000"/>
                <w:spacing w:val="-50"/>
                <w:w w:val="15"/>
                <w:shd w:val="solid" w:color="000000" w:fill="000000"/>
                <w:fitText w:val="15" w:id="-961822207"/>
                <w14:textFill>
                  <w14:solidFill>
                    <w14:srgbClr w14:val="000000">
                      <w14:alpha w14:val="100000"/>
                    </w14:srgbClr>
                  </w14:solidFill>
                </w14:textFill>
              </w:rPr>
              <w:t xml:space="preserve">　</w:t>
            </w:r>
          </w:p>
        </w:tc>
        <w:tc>
          <w:tcPr>
            <w:tcW w:w="815" w:type="pct"/>
            <w:shd w:val="clear" w:color="auto" w:fill="auto"/>
            <w:vAlign w:val="center"/>
          </w:tcPr>
          <w:p w14:paraId="0241EDB6" w14:textId="37691FC9" w:rsidR="00663401" w:rsidRPr="000B725B" w:rsidRDefault="00663401" w:rsidP="005C70FC">
            <w:pPr>
              <w:pStyle w:val="TableText0"/>
              <w:keepLines/>
              <w:jc w:val="center"/>
            </w:pPr>
            <w:r w:rsidRPr="000B725B">
              <w:t xml:space="preserve">TAL: </w:t>
            </w:r>
            <w:r w:rsidR="005744F4" w:rsidRPr="000B725B">
              <w:t>$</w:t>
            </w:r>
            <w:r w:rsidR="00D62519" w:rsidRPr="00D62519">
              <w:rPr>
                <w:color w:val="000000"/>
                <w:shd w:val="solid" w:color="000000" w:fill="000000"/>
                <w14:textFill>
                  <w14:solidFill>
                    <w14:srgbClr w14:val="000000">
                      <w14:alpha w14:val="100000"/>
                    </w14:srgbClr>
                  </w14:solidFill>
                </w14:textFill>
              </w:rPr>
              <w:t>|</w:t>
            </w:r>
          </w:p>
          <w:p w14:paraId="58FCEF6E" w14:textId="36490D46" w:rsidR="00566C20" w:rsidRPr="000B725B" w:rsidRDefault="00663401" w:rsidP="005C70FC">
            <w:pPr>
              <w:pStyle w:val="TableText0"/>
              <w:keepLines/>
              <w:jc w:val="center"/>
            </w:pPr>
            <w:r w:rsidRPr="000B725B">
              <w:t>ENZ: not included</w:t>
            </w:r>
          </w:p>
        </w:tc>
        <w:tc>
          <w:tcPr>
            <w:tcW w:w="558" w:type="pct"/>
            <w:shd w:val="clear" w:color="auto" w:fill="auto"/>
            <w:vAlign w:val="center"/>
          </w:tcPr>
          <w:p w14:paraId="7A7A3BFA" w14:textId="77777777" w:rsidR="00566C20" w:rsidRPr="000B725B" w:rsidRDefault="00566C20" w:rsidP="005C70FC">
            <w:pPr>
              <w:pStyle w:val="TableText0"/>
              <w:keepLines/>
              <w:jc w:val="center"/>
            </w:pPr>
            <w:r w:rsidRPr="000B725B">
              <w:t>NR</w:t>
            </w:r>
          </w:p>
        </w:tc>
        <w:tc>
          <w:tcPr>
            <w:tcW w:w="785" w:type="pct"/>
            <w:shd w:val="clear" w:color="auto" w:fill="auto"/>
            <w:vAlign w:val="center"/>
          </w:tcPr>
          <w:p w14:paraId="33BD2341" w14:textId="3E6AF5F9" w:rsidR="00566C20" w:rsidRPr="000B725B" w:rsidRDefault="00DB3E4B" w:rsidP="005C70FC">
            <w:pPr>
              <w:pStyle w:val="TableText0"/>
              <w:keepLines/>
              <w:jc w:val="center"/>
            </w:pPr>
            <w:r w:rsidRPr="000B725B">
              <w:t>ENZ: $</w:t>
            </w:r>
            <w:r w:rsidR="00D62519" w:rsidRPr="00D62519">
              <w:rPr>
                <w:color w:val="000000"/>
                <w:shd w:val="solid" w:color="000000" w:fill="000000"/>
                <w14:textFill>
                  <w14:solidFill>
                    <w14:srgbClr w14:val="000000">
                      <w14:alpha w14:val="100000"/>
                    </w14:srgbClr>
                  </w14:solidFill>
                </w14:textFill>
              </w:rPr>
              <w:t>|</w:t>
            </w:r>
          </w:p>
        </w:tc>
        <w:tc>
          <w:tcPr>
            <w:tcW w:w="754" w:type="pct"/>
            <w:vMerge/>
            <w:vAlign w:val="center"/>
          </w:tcPr>
          <w:p w14:paraId="79FE4B4D" w14:textId="157B80F0" w:rsidR="00566C20" w:rsidRPr="000B725B" w:rsidRDefault="00566C20" w:rsidP="005C70FC">
            <w:pPr>
              <w:pStyle w:val="TableText0"/>
              <w:keepLines/>
              <w:jc w:val="center"/>
            </w:pPr>
          </w:p>
        </w:tc>
      </w:tr>
      <w:tr w:rsidR="00566C20" w:rsidRPr="000B725B" w14:paraId="6C6CCEB7" w14:textId="77777777" w:rsidTr="00E97B08">
        <w:trPr>
          <w:cantSplit/>
          <w:trHeight w:val="249"/>
          <w:jc w:val="center"/>
        </w:trPr>
        <w:tc>
          <w:tcPr>
            <w:tcW w:w="784" w:type="pct"/>
            <w:shd w:val="clear" w:color="auto" w:fill="auto"/>
            <w:vAlign w:val="center"/>
          </w:tcPr>
          <w:p w14:paraId="136A6A8C" w14:textId="77C67A8D" w:rsidR="00566C20" w:rsidRPr="000B725B" w:rsidRDefault="00566C20" w:rsidP="005C70FC">
            <w:pPr>
              <w:pStyle w:val="TableText0"/>
              <w:keepLines/>
              <w:jc w:val="both"/>
              <w:rPr>
                <w:szCs w:val="20"/>
              </w:rPr>
            </w:pPr>
            <w:r w:rsidRPr="000B725B">
              <w:rPr>
                <w:szCs w:val="20"/>
              </w:rPr>
              <w:t>Cost/patient/</w:t>
            </w:r>
            <w:r w:rsidRPr="000B725B">
              <w:rPr>
                <w:szCs w:val="20"/>
              </w:rPr>
              <w:br/>
              <w:t>course</w:t>
            </w:r>
          </w:p>
        </w:tc>
        <w:tc>
          <w:tcPr>
            <w:tcW w:w="551" w:type="pct"/>
            <w:shd w:val="clear" w:color="auto" w:fill="auto"/>
            <w:vAlign w:val="center"/>
          </w:tcPr>
          <w:p w14:paraId="74863B59" w14:textId="77777777" w:rsidR="00566C20" w:rsidRPr="000B725B" w:rsidRDefault="00566C20" w:rsidP="005C70FC">
            <w:pPr>
              <w:pStyle w:val="TableText0"/>
              <w:keepLines/>
              <w:jc w:val="center"/>
            </w:pPr>
            <w:r w:rsidRPr="000B725B">
              <w:t>NR</w:t>
            </w:r>
          </w:p>
        </w:tc>
        <w:tc>
          <w:tcPr>
            <w:tcW w:w="753" w:type="pct"/>
            <w:shd w:val="clear" w:color="auto" w:fill="auto"/>
            <w:vAlign w:val="center"/>
          </w:tcPr>
          <w:p w14:paraId="5C9FB1E7" w14:textId="7074BD6A" w:rsidR="00566C20" w:rsidRPr="000B725B" w:rsidRDefault="00566C20" w:rsidP="005C70FC">
            <w:pPr>
              <w:pStyle w:val="TableText0"/>
              <w:keepLines/>
              <w:jc w:val="center"/>
            </w:pPr>
            <w:r w:rsidRPr="000B725B">
              <w:t>$</w:t>
            </w:r>
            <w:r w:rsidR="00D62519" w:rsidRPr="00D62519">
              <w:rPr>
                <w:color w:val="000000"/>
                <w:shd w:val="solid" w:color="000000" w:fill="000000"/>
                <w14:textFill>
                  <w14:solidFill>
                    <w14:srgbClr w14:val="000000">
                      <w14:alpha w14:val="100000"/>
                    </w14:srgbClr>
                  </w14:solidFill>
                </w14:textFill>
              </w:rPr>
              <w:t>|</w:t>
            </w:r>
            <w:r w:rsidR="00565C8B" w:rsidRPr="00565C8B">
              <w:rPr>
                <w:vertAlign w:val="superscript"/>
              </w:rPr>
              <w:t xml:space="preserve"> </w:t>
            </w:r>
            <w:r w:rsidR="005E379C" w:rsidRPr="000B725B">
              <w:rPr>
                <w:vertAlign w:val="superscript"/>
              </w:rPr>
              <w:t>e</w:t>
            </w:r>
          </w:p>
        </w:tc>
        <w:tc>
          <w:tcPr>
            <w:tcW w:w="815" w:type="pct"/>
            <w:shd w:val="clear" w:color="auto" w:fill="auto"/>
            <w:vAlign w:val="center"/>
          </w:tcPr>
          <w:p w14:paraId="7578CC66" w14:textId="6B362992" w:rsidR="00566C20" w:rsidRPr="000B725B" w:rsidRDefault="00566C20" w:rsidP="005C70FC">
            <w:pPr>
              <w:pStyle w:val="TableText0"/>
              <w:keepLines/>
              <w:jc w:val="center"/>
            </w:pPr>
            <w:r w:rsidRPr="000B725B">
              <w:t>$</w:t>
            </w:r>
            <w:r w:rsidR="00D62519" w:rsidRPr="00D62519">
              <w:rPr>
                <w:color w:val="000000"/>
                <w:shd w:val="solid" w:color="000000" w:fill="000000"/>
                <w14:textFill>
                  <w14:solidFill>
                    <w14:srgbClr w14:val="000000">
                      <w14:alpha w14:val="100000"/>
                    </w14:srgbClr>
                  </w14:solidFill>
                </w14:textFill>
              </w:rPr>
              <w:t>|</w:t>
            </w:r>
            <w:r w:rsidR="00565C8B" w:rsidRPr="00565C8B">
              <w:t xml:space="preserve"> </w:t>
            </w:r>
            <w:r w:rsidR="005E379C" w:rsidRPr="000B725B">
              <w:rPr>
                <w:vertAlign w:val="superscript"/>
              </w:rPr>
              <w:t>f, g</w:t>
            </w:r>
          </w:p>
        </w:tc>
        <w:tc>
          <w:tcPr>
            <w:tcW w:w="558" w:type="pct"/>
            <w:shd w:val="clear" w:color="auto" w:fill="auto"/>
            <w:vAlign w:val="center"/>
          </w:tcPr>
          <w:p w14:paraId="36464AF5" w14:textId="77777777" w:rsidR="00566C20" w:rsidRPr="000B725B" w:rsidRDefault="00566C20" w:rsidP="005C70FC">
            <w:pPr>
              <w:pStyle w:val="TableText0"/>
              <w:keepLines/>
              <w:jc w:val="center"/>
            </w:pPr>
            <w:r w:rsidRPr="000B725B">
              <w:t>NR</w:t>
            </w:r>
          </w:p>
        </w:tc>
        <w:tc>
          <w:tcPr>
            <w:tcW w:w="785" w:type="pct"/>
            <w:shd w:val="clear" w:color="auto" w:fill="auto"/>
            <w:vAlign w:val="center"/>
          </w:tcPr>
          <w:p w14:paraId="41B6740B" w14:textId="526EC833" w:rsidR="00566C20" w:rsidRPr="000B725B" w:rsidRDefault="00DB3E4B" w:rsidP="005C70FC">
            <w:pPr>
              <w:pStyle w:val="TableText0"/>
              <w:keepLines/>
              <w:jc w:val="center"/>
            </w:pPr>
            <w:r w:rsidRPr="000B725B">
              <w:t>$</w:t>
            </w:r>
            <w:r w:rsidR="00D62519" w:rsidRPr="00D62519">
              <w:rPr>
                <w:color w:val="000000"/>
                <w:shd w:val="solid" w:color="000000" w:fill="000000"/>
                <w14:textFill>
                  <w14:solidFill>
                    <w14:srgbClr w14:val="000000">
                      <w14:alpha w14:val="100000"/>
                    </w14:srgbClr>
                  </w14:solidFill>
                </w14:textFill>
              </w:rPr>
              <w:t>|</w:t>
            </w:r>
            <w:r w:rsidR="00565C8B" w:rsidRPr="00565C8B">
              <w:t xml:space="preserve"> </w:t>
            </w:r>
            <w:r w:rsidR="00663401" w:rsidRPr="000B725B">
              <w:rPr>
                <w:vertAlign w:val="superscript"/>
              </w:rPr>
              <w:t>e</w:t>
            </w:r>
          </w:p>
        </w:tc>
        <w:tc>
          <w:tcPr>
            <w:tcW w:w="754" w:type="pct"/>
            <w:vMerge/>
            <w:vAlign w:val="center"/>
          </w:tcPr>
          <w:p w14:paraId="0F8E9813" w14:textId="77777777" w:rsidR="00566C20" w:rsidRPr="000B725B" w:rsidRDefault="00566C20" w:rsidP="005C70FC">
            <w:pPr>
              <w:pStyle w:val="TableText0"/>
              <w:keepLines/>
              <w:jc w:val="both"/>
            </w:pPr>
          </w:p>
        </w:tc>
      </w:tr>
    </w:tbl>
    <w:p w14:paraId="25433D11" w14:textId="33EBFEB7" w:rsidR="009B1B01" w:rsidRPr="000B725B" w:rsidRDefault="009B1B01" w:rsidP="005C70FC">
      <w:pPr>
        <w:pStyle w:val="TableFooter"/>
        <w:keepNext/>
        <w:keepLines/>
        <w:jc w:val="both"/>
      </w:pPr>
      <w:r w:rsidRPr="000B725B">
        <w:t xml:space="preserve">Source: </w:t>
      </w:r>
      <w:r w:rsidR="00234B15" w:rsidRPr="000B725B">
        <w:t>Table 3.7-1, p164, Table 4.1-9, p195, and Table 4.1-12, p197</w:t>
      </w:r>
      <w:r w:rsidRPr="000B725B">
        <w:t xml:space="preserve"> of the submission and compiled during the evaluation</w:t>
      </w:r>
    </w:p>
    <w:p w14:paraId="1F8A6EF3" w14:textId="74E06C98" w:rsidR="009B1B01" w:rsidRDefault="009B1B01" w:rsidP="005C70FC">
      <w:pPr>
        <w:pStyle w:val="TableFooter"/>
        <w:keepNext/>
        <w:keepLines/>
        <w:jc w:val="both"/>
      </w:pPr>
      <w:r w:rsidRPr="000B725B">
        <w:t>ENZ=enzalutamide, NR=not reported</w:t>
      </w:r>
      <w:r w:rsidR="00234B15" w:rsidRPr="000B725B">
        <w:t>; TAL=talazoparib</w:t>
      </w:r>
      <w:r w:rsidRPr="000B725B">
        <w:t>.</w:t>
      </w:r>
    </w:p>
    <w:p w14:paraId="5E108EC7" w14:textId="6BCF0FFA" w:rsidR="00EC2FC5" w:rsidRPr="000B725B" w:rsidRDefault="00EC2FC5" w:rsidP="005C70FC">
      <w:pPr>
        <w:pStyle w:val="TableFooter"/>
        <w:keepNext/>
        <w:keepLines/>
        <w:jc w:val="both"/>
      </w:pPr>
      <w:r>
        <w:t>*   Cost per month of enzalutamide based on an assumed effective EMP of $</w:t>
      </w:r>
      <w:r w:rsidR="00D62519" w:rsidRPr="00D62519">
        <w:rPr>
          <w:color w:val="000000"/>
          <w:w w:val="74"/>
          <w:shd w:val="solid" w:color="000000" w:fill="000000"/>
          <w:fitText w:val="175" w:id="-961822206"/>
          <w14:textFill>
            <w14:solidFill>
              <w14:srgbClr w14:val="000000">
                <w14:alpha w14:val="100000"/>
              </w14:srgbClr>
            </w14:solidFill>
          </w14:textFill>
        </w:rPr>
        <w:t>||  |</w:t>
      </w:r>
      <w:r w:rsidR="00D62519" w:rsidRPr="00D62519">
        <w:rPr>
          <w:color w:val="000000"/>
          <w:spacing w:val="1"/>
          <w:w w:val="74"/>
          <w:shd w:val="solid" w:color="000000" w:fill="000000"/>
          <w:fitText w:val="175" w:id="-961822206"/>
          <w14:textFill>
            <w14:solidFill>
              <w14:srgbClr w14:val="000000">
                <w14:alpha w14:val="100000"/>
              </w14:srgbClr>
            </w14:solidFill>
          </w14:textFill>
        </w:rPr>
        <w:t>|</w:t>
      </w:r>
    </w:p>
    <w:p w14:paraId="1CCF157B" w14:textId="455E4F05" w:rsidR="009B1B01" w:rsidRPr="000B725B" w:rsidRDefault="009B1B01" w:rsidP="005C70FC">
      <w:pPr>
        <w:pStyle w:val="TableFooter"/>
        <w:keepNext/>
        <w:keepLines/>
        <w:jc w:val="both"/>
      </w:pPr>
      <w:r w:rsidRPr="000B725B">
        <w:rPr>
          <w:vertAlign w:val="superscript"/>
        </w:rPr>
        <w:t>a</w:t>
      </w:r>
      <w:r w:rsidR="00CF11CE" w:rsidRPr="000B725B">
        <w:rPr>
          <w:vertAlign w:val="superscript"/>
        </w:rPr>
        <w:tab/>
      </w:r>
      <w:r w:rsidRPr="000B725B">
        <w:t xml:space="preserve">The submission did not present treatment duration or discontinuations in the </w:t>
      </w:r>
      <w:r w:rsidR="006C3ED1" w:rsidRPr="000337F9">
        <w:rPr>
          <w:i/>
          <w:iCs/>
        </w:rPr>
        <w:t>BRCA1/2</w:t>
      </w:r>
      <w:r w:rsidRPr="000B725B">
        <w:t xml:space="preserve"> subgroup of</w:t>
      </w:r>
      <w:r w:rsidR="006D4531" w:rsidRPr="000B725B">
        <w:t xml:space="preserve"> the Cohort 2 of</w:t>
      </w:r>
      <w:r w:rsidRPr="000B725B">
        <w:t xml:space="preserve"> </w:t>
      </w:r>
      <w:r w:rsidR="006D4531" w:rsidRPr="000B725B">
        <w:t>TALAPRO-2</w:t>
      </w:r>
    </w:p>
    <w:p w14:paraId="1D70F484" w14:textId="54F10BC0" w:rsidR="00566C20" w:rsidRPr="000B725B" w:rsidRDefault="00566C20" w:rsidP="005C70FC">
      <w:pPr>
        <w:pStyle w:val="TableFooter"/>
        <w:keepNext/>
        <w:keepLines/>
        <w:ind w:left="165" w:hanging="165"/>
        <w:jc w:val="both"/>
      </w:pPr>
      <w:r w:rsidRPr="000B725B">
        <w:rPr>
          <w:vertAlign w:val="superscript"/>
        </w:rPr>
        <w:t>b</w:t>
      </w:r>
      <w:r w:rsidRPr="000B725B">
        <w:t xml:space="preserve"> </w:t>
      </w:r>
      <w:r w:rsidR="00CF11CE" w:rsidRPr="000B725B">
        <w:tab/>
      </w:r>
      <w:r w:rsidRPr="000B725B">
        <w:t>It was calculated as the sum of per cycle survival from cycle 1, from the TTD data for adjustment for crossing with the rPFS curve (‘TTD Calcs’ Worksheet, economic model).</w:t>
      </w:r>
    </w:p>
    <w:p w14:paraId="4D959B08" w14:textId="7F182578" w:rsidR="009B1B01" w:rsidRPr="000B725B" w:rsidRDefault="00566C20" w:rsidP="005C70FC">
      <w:pPr>
        <w:pStyle w:val="TableFooter"/>
        <w:keepNext/>
        <w:keepLines/>
        <w:ind w:left="165" w:hanging="165"/>
        <w:jc w:val="both"/>
      </w:pPr>
      <w:r w:rsidRPr="000B725B">
        <w:rPr>
          <w:vertAlign w:val="superscript"/>
        </w:rPr>
        <w:t>c</w:t>
      </w:r>
      <w:r w:rsidR="009B1B01" w:rsidRPr="000B725B">
        <w:rPr>
          <w:vertAlign w:val="superscript"/>
        </w:rPr>
        <w:t xml:space="preserve"> </w:t>
      </w:r>
      <w:r w:rsidR="009B1B01" w:rsidRPr="000B725B">
        <w:rPr>
          <w:vertAlign w:val="superscript"/>
        </w:rPr>
        <w:tab/>
      </w:r>
      <w:r w:rsidR="006D4531" w:rsidRPr="000B725B">
        <w:t>The submission</w:t>
      </w:r>
      <w:r w:rsidR="006D4531" w:rsidRPr="000B725B">
        <w:rPr>
          <w:vertAlign w:val="superscript"/>
        </w:rPr>
        <w:t xml:space="preserve"> </w:t>
      </w:r>
      <w:r w:rsidR="006D4531" w:rsidRPr="000B725B">
        <w:t>indicated (p165) that “relative dose intensity for TAL and ENZ was set at 100% in the base case. In TALAPRO-2 Cohort 2, the median ENZ relative dose intensity was 100%. For TAL, the median RDI was expressed in terms of the 0.5 mg dose and was 81.05%.  However, in the context of flat pricing across strengths, it is more appropriate to apply the ENZ RDI of 100% to TAL in the calculation of drug acquisition costs”</w:t>
      </w:r>
      <w:r w:rsidR="009B1B01" w:rsidRPr="000B725B">
        <w:t>.</w:t>
      </w:r>
      <w:r w:rsidR="006D4531" w:rsidRPr="000B725B">
        <w:t xml:space="preserve"> Therefore, the total mg administered in TAL arm was calculated using </w:t>
      </w:r>
      <w:r w:rsidR="007E11C0" w:rsidRPr="000B725B">
        <w:t>the following formula: (dose, TAL=0.5mg &amp; ENZ=160mg) × (dose intensity=100%, in both) × (</w:t>
      </w:r>
      <w:r w:rsidR="00DB3E4B" w:rsidRPr="000B725B">
        <w:t>median</w:t>
      </w:r>
      <w:r w:rsidR="007E11C0" w:rsidRPr="000B725B">
        <w:t xml:space="preserve"> treatment duration)</w:t>
      </w:r>
      <w:r w:rsidR="006D4531" w:rsidRPr="000B725B">
        <w:t>.</w:t>
      </w:r>
    </w:p>
    <w:p w14:paraId="752B8076" w14:textId="3D652473" w:rsidR="006D4531" w:rsidRPr="000B725B" w:rsidRDefault="00566C20" w:rsidP="005C70FC">
      <w:pPr>
        <w:pStyle w:val="TableFooter"/>
        <w:keepNext/>
        <w:keepLines/>
        <w:ind w:left="170" w:hanging="165"/>
        <w:jc w:val="both"/>
      </w:pPr>
      <w:r w:rsidRPr="000B725B">
        <w:rPr>
          <w:vertAlign w:val="superscript"/>
        </w:rPr>
        <w:t>d</w:t>
      </w:r>
      <w:r w:rsidR="00CF11CE" w:rsidRPr="000B725B">
        <w:rPr>
          <w:vertAlign w:val="superscript"/>
        </w:rPr>
        <w:tab/>
      </w:r>
      <w:r w:rsidR="006D4531" w:rsidRPr="000B725B">
        <w:t xml:space="preserve">The submission used relative dose intensities from the </w:t>
      </w:r>
      <w:r w:rsidR="006D4531" w:rsidRPr="000337F9">
        <w:rPr>
          <w:i/>
          <w:iCs/>
        </w:rPr>
        <w:t>BRCA1/2</w:t>
      </w:r>
      <w:r w:rsidR="006D4531" w:rsidRPr="000B725B">
        <w:t xml:space="preserve"> subgroup of TALAPRO-2 (Table 4.1-9, p195). The weighted mean dose based on the </w:t>
      </w:r>
      <w:r w:rsidR="00975051" w:rsidRPr="000B725B">
        <w:t xml:space="preserve">indicated relative dose intensities will be 0.38 mg/day; which will yield a total mg administered of </w:t>
      </w:r>
      <w:r w:rsidR="005744F4" w:rsidRPr="000B725B">
        <w:t xml:space="preserve">254mg </w:t>
      </w:r>
      <w:r w:rsidR="00975051" w:rsidRPr="000B725B">
        <w:t>in 669.63 days.</w:t>
      </w:r>
    </w:p>
    <w:p w14:paraId="17F83F2A" w14:textId="5A472BE1" w:rsidR="005E379C" w:rsidRPr="000B725B" w:rsidRDefault="00566C20" w:rsidP="005C70FC">
      <w:pPr>
        <w:pStyle w:val="TableFooter"/>
        <w:keepNext/>
        <w:keepLines/>
        <w:ind w:left="170" w:hanging="170"/>
        <w:jc w:val="both"/>
        <w:rPr>
          <w:vertAlign w:val="superscript"/>
        </w:rPr>
      </w:pPr>
      <w:r w:rsidRPr="000B725B">
        <w:rPr>
          <w:vertAlign w:val="superscript"/>
        </w:rPr>
        <w:t>e</w:t>
      </w:r>
      <w:r w:rsidR="00CF11CE" w:rsidRPr="000B725B">
        <w:rPr>
          <w:vertAlign w:val="superscript"/>
        </w:rPr>
        <w:tab/>
      </w:r>
      <w:r w:rsidR="007E11C0" w:rsidRPr="000B725B">
        <w:rPr>
          <w:vertAlign w:val="superscript"/>
        </w:rPr>
        <w:t xml:space="preserve"> </w:t>
      </w:r>
      <w:r w:rsidR="005E379C" w:rsidRPr="000B725B">
        <w:t xml:space="preserve">This was calculated based on </w:t>
      </w:r>
      <w:r w:rsidR="00663401" w:rsidRPr="000B725B">
        <w:t>treatment</w:t>
      </w:r>
      <w:r w:rsidR="005E379C" w:rsidRPr="000B725B">
        <w:t xml:space="preserve"> </w:t>
      </w:r>
      <w:r w:rsidR="005E379C" w:rsidRPr="000B725B">
        <w:rPr>
          <w:szCs w:val="20"/>
        </w:rPr>
        <w:t>cost/patient/ month</w:t>
      </w:r>
      <w:r w:rsidR="005E379C" w:rsidRPr="000B725B">
        <w:rPr>
          <w:vertAlign w:val="superscript"/>
        </w:rPr>
        <w:t xml:space="preserve"> </w:t>
      </w:r>
      <w:r w:rsidR="005E379C" w:rsidRPr="000B725B">
        <w:t>× median treatment duration</w:t>
      </w:r>
      <w:r w:rsidR="00DB3E4B" w:rsidRPr="000B725B">
        <w:t xml:space="preserve"> (22 months</w:t>
      </w:r>
      <w:r w:rsidR="005E379C" w:rsidRPr="000B725B">
        <w:t>).</w:t>
      </w:r>
    </w:p>
    <w:p w14:paraId="106D85F3" w14:textId="7BD77EAF" w:rsidR="005E379C" w:rsidRPr="000B725B" w:rsidRDefault="005E379C" w:rsidP="005C70FC">
      <w:pPr>
        <w:pStyle w:val="TableFooter"/>
        <w:keepNext/>
        <w:keepLines/>
        <w:ind w:left="170" w:hanging="170"/>
        <w:jc w:val="both"/>
      </w:pPr>
      <w:r w:rsidRPr="000B725B">
        <w:rPr>
          <w:vertAlign w:val="superscript"/>
        </w:rPr>
        <w:t xml:space="preserve">f </w:t>
      </w:r>
      <w:r w:rsidR="00CF11CE" w:rsidRPr="000B725B">
        <w:rPr>
          <w:vertAlign w:val="superscript"/>
        </w:rPr>
        <w:tab/>
      </w:r>
      <w:r w:rsidR="009B1B01" w:rsidRPr="000B725B">
        <w:t xml:space="preserve">This was calculated based </w:t>
      </w:r>
      <w:r w:rsidRPr="000B725B">
        <w:t xml:space="preserve">on </w:t>
      </w:r>
      <w:r w:rsidRPr="000B725B">
        <w:rPr>
          <w:u w:val="single"/>
        </w:rPr>
        <w:t>TAL</w:t>
      </w:r>
      <w:r w:rsidR="00663401" w:rsidRPr="000B725B">
        <w:rPr>
          <w:u w:val="single"/>
        </w:rPr>
        <w:t xml:space="preserve"> (only)</w:t>
      </w:r>
      <w:r w:rsidR="00975051" w:rsidRPr="000B725B">
        <w:t xml:space="preserve"> </w:t>
      </w:r>
      <w:r w:rsidRPr="000B725B">
        <w:t>cost/patient/</w:t>
      </w:r>
      <w:r w:rsidR="00663401" w:rsidRPr="000B725B">
        <w:t xml:space="preserve">30-day </w:t>
      </w:r>
      <w:r w:rsidRPr="000B725B">
        <w:t>month</w:t>
      </w:r>
      <w:r w:rsidR="00975051" w:rsidRPr="000B725B">
        <w:t xml:space="preserve"> </w:t>
      </w:r>
      <w:r w:rsidRPr="000B725B">
        <w:t>×</w:t>
      </w:r>
      <w:r w:rsidR="00975051" w:rsidRPr="000B725B">
        <w:t xml:space="preserve"> number of scripts (22.34</w:t>
      </w:r>
      <w:r w:rsidR="00DB3E4B" w:rsidRPr="000B725B">
        <w:t xml:space="preserve"> scripts</w:t>
      </w:r>
      <w:r w:rsidR="00975051" w:rsidRPr="000B725B">
        <w:t xml:space="preserve">, calculated through </w:t>
      </w:r>
      <w:r w:rsidR="007E11C0" w:rsidRPr="000B725B">
        <w:rPr>
          <w:u w:val="single"/>
        </w:rPr>
        <w:t>median</w:t>
      </w:r>
      <w:r w:rsidR="00975051" w:rsidRPr="000B725B">
        <w:t xml:space="preserve"> treatment duration</w:t>
      </w:r>
      <w:r w:rsidRPr="000B725B">
        <w:t xml:space="preserve"> in Section 4 of the submission</w:t>
      </w:r>
      <w:r w:rsidR="00975051" w:rsidRPr="000B725B">
        <w:t>)</w:t>
      </w:r>
      <w:r w:rsidR="007E11C0" w:rsidRPr="000B725B">
        <w:t xml:space="preserve">. </w:t>
      </w:r>
    </w:p>
    <w:p w14:paraId="69462DC7" w14:textId="5E8FF751" w:rsidR="00DB3E4B" w:rsidRPr="000B725B" w:rsidRDefault="005E379C" w:rsidP="005C70FC">
      <w:pPr>
        <w:pStyle w:val="TableFooter"/>
        <w:spacing w:after="120"/>
        <w:ind w:left="170" w:hanging="170"/>
        <w:jc w:val="both"/>
      </w:pPr>
      <w:r w:rsidRPr="000B725B">
        <w:rPr>
          <w:vertAlign w:val="superscript"/>
        </w:rPr>
        <w:t>g</w:t>
      </w:r>
      <w:r w:rsidRPr="000B725B">
        <w:t xml:space="preserve"> </w:t>
      </w:r>
      <w:r w:rsidR="00CF11CE" w:rsidRPr="000B725B">
        <w:tab/>
      </w:r>
      <w:r w:rsidR="00975051" w:rsidRPr="000B725B">
        <w:t>Enzalutamide cost</w:t>
      </w:r>
      <w:r w:rsidR="007E11C0" w:rsidRPr="000B725B">
        <w:t>, as a combination or monotherapy,</w:t>
      </w:r>
      <w:r w:rsidR="00975051" w:rsidRPr="000B725B">
        <w:t xml:space="preserve"> was not included in the financial analysis.</w:t>
      </w:r>
    </w:p>
    <w:p w14:paraId="24DB8C51" w14:textId="55B5ADC8" w:rsidR="00173F5B" w:rsidRDefault="00173F5B" w:rsidP="00173F5B">
      <w:pPr>
        <w:pStyle w:val="3-BodyText"/>
      </w:pPr>
      <w:r w:rsidRPr="000B725B">
        <w:t>T</w:t>
      </w:r>
      <w:r w:rsidR="00392F97" w:rsidRPr="000B725B">
        <w:t xml:space="preserve">he </w:t>
      </w:r>
      <w:r w:rsidRPr="000B725B">
        <w:t xml:space="preserve">cost per patient per course of treatment was derived from the </w:t>
      </w:r>
      <w:r w:rsidR="00663401" w:rsidRPr="000B725B">
        <w:t>cost/patient/month</w:t>
      </w:r>
      <w:r w:rsidRPr="000B725B">
        <w:t xml:space="preserve"> and </w:t>
      </w:r>
      <w:r w:rsidR="00663401" w:rsidRPr="000B725B">
        <w:t>median</w:t>
      </w:r>
      <w:r w:rsidRPr="000B725B">
        <w:t xml:space="preserve"> treatment duration</w:t>
      </w:r>
      <w:r w:rsidR="00392F97" w:rsidRPr="000B725B">
        <w:t xml:space="preserve"> </w:t>
      </w:r>
      <w:r w:rsidR="003F7A1D">
        <w:t xml:space="preserve">(22 months) </w:t>
      </w:r>
      <w:r w:rsidR="00392F97" w:rsidRPr="000B725B">
        <w:t xml:space="preserve">in the </w:t>
      </w:r>
      <w:r w:rsidR="00392F97" w:rsidRPr="000337F9">
        <w:rPr>
          <w:i/>
          <w:iCs/>
        </w:rPr>
        <w:t>BRCA1/2</w:t>
      </w:r>
      <w:r w:rsidR="00392F97" w:rsidRPr="000B725B">
        <w:t xml:space="preserve"> subgroup</w:t>
      </w:r>
      <w:r w:rsidRPr="000B725B">
        <w:t xml:space="preserve">. </w:t>
      </w:r>
      <w:r w:rsidR="00663401" w:rsidRPr="000B725B">
        <w:t xml:space="preserve">Median treatment duration was used in the calculations as the submission </w:t>
      </w:r>
      <w:r w:rsidR="00663401" w:rsidRPr="000B725B">
        <w:lastRenderedPageBreak/>
        <w:t>used this value for financial estimates; however, using the mean treatment duration would have been more reasonable</w:t>
      </w:r>
      <w:r w:rsidRPr="000B725B">
        <w:t xml:space="preserve">. </w:t>
      </w:r>
    </w:p>
    <w:p w14:paraId="685C077E" w14:textId="030B9BE3" w:rsidR="003F7A1D" w:rsidRPr="006E4BFC" w:rsidRDefault="003F7A1D" w:rsidP="003F7A1D">
      <w:pPr>
        <w:pStyle w:val="3-BodyText"/>
      </w:pPr>
      <w:r w:rsidRPr="006E4BFC">
        <w:t>The cost per patient per course differed between the economic model and the financial estimates as the submission did not include the cost of enzalutamide, either as combination therapy with talazoparib or monotherapy, in the in the financial estimates.</w:t>
      </w:r>
    </w:p>
    <w:p w14:paraId="515F2777" w14:textId="77777777" w:rsidR="00170BFC" w:rsidRPr="005A293B" w:rsidRDefault="00170BFC" w:rsidP="00170BFC">
      <w:pPr>
        <w:pStyle w:val="4-SubsectionHeading"/>
      </w:pPr>
      <w:bookmarkStart w:id="83" w:name="_Toc22897647"/>
      <w:bookmarkStart w:id="84" w:name="_Toc144911481"/>
      <w:bookmarkStart w:id="85" w:name="_Toc156833543"/>
      <w:r w:rsidRPr="005A293B">
        <w:t>Estimated PBS usage &amp; financial implications</w:t>
      </w:r>
      <w:bookmarkEnd w:id="83"/>
      <w:bookmarkEnd w:id="84"/>
      <w:bookmarkEnd w:id="85"/>
    </w:p>
    <w:p w14:paraId="1080C6C2" w14:textId="77CE8DB0" w:rsidR="00935AD9" w:rsidRPr="005A293B" w:rsidRDefault="00170BFC" w:rsidP="00246A89">
      <w:pPr>
        <w:pStyle w:val="3-BodyText"/>
      </w:pPr>
      <w:r w:rsidRPr="00D204CD">
        <w:rPr>
          <w:snapToGrid/>
        </w:rPr>
        <w:t xml:space="preserve">This submission </w:t>
      </w:r>
      <w:r w:rsidR="00F13554">
        <w:rPr>
          <w:snapToGrid/>
        </w:rPr>
        <w:t>was</w:t>
      </w:r>
      <w:r w:rsidR="00F13554" w:rsidRPr="00D204CD">
        <w:rPr>
          <w:snapToGrid/>
        </w:rPr>
        <w:t xml:space="preserve"> </w:t>
      </w:r>
      <w:r w:rsidRPr="00D204CD">
        <w:rPr>
          <w:snapToGrid/>
        </w:rPr>
        <w:t>not considered by DUSC.</w:t>
      </w:r>
      <w:r w:rsidR="005E1B84" w:rsidRPr="00D204CD">
        <w:rPr>
          <w:snapToGrid/>
        </w:rPr>
        <w:t xml:space="preserve"> </w:t>
      </w:r>
      <w:r w:rsidR="00234B15" w:rsidRPr="00D204CD">
        <w:rPr>
          <w:snapToGrid/>
        </w:rPr>
        <w:t>A</w:t>
      </w:r>
      <w:r w:rsidR="005E1B84" w:rsidRPr="00D204CD">
        <w:rPr>
          <w:snapToGrid/>
        </w:rPr>
        <w:t xml:space="preserve"> </w:t>
      </w:r>
      <w:r w:rsidR="00B562C0" w:rsidRPr="00D204CD">
        <w:rPr>
          <w:snapToGrid/>
        </w:rPr>
        <w:t>market share</w:t>
      </w:r>
      <w:r w:rsidR="005E1B84" w:rsidRPr="00D204CD">
        <w:rPr>
          <w:snapToGrid/>
        </w:rPr>
        <w:t xml:space="preserve"> approach was used to determine the number of </w:t>
      </w:r>
      <w:r w:rsidR="00B562C0" w:rsidRPr="00D204CD">
        <w:rPr>
          <w:snapToGrid/>
        </w:rPr>
        <w:t xml:space="preserve">NHA-naïve </w:t>
      </w:r>
      <w:r w:rsidR="005E1B84" w:rsidRPr="00D204CD">
        <w:rPr>
          <w:snapToGrid/>
        </w:rPr>
        <w:t>mCRPC patients</w:t>
      </w:r>
      <w:r w:rsidR="00B562C0" w:rsidRPr="00D204CD">
        <w:rPr>
          <w:snapToGrid/>
        </w:rPr>
        <w:t xml:space="preserve"> and an epidemiological approach was employed to estimate the number of incident</w:t>
      </w:r>
      <w:r w:rsidR="00B562C0" w:rsidRPr="00D204CD">
        <w:t xml:space="preserve"> </w:t>
      </w:r>
      <w:r w:rsidR="00B562C0" w:rsidRPr="00D204CD">
        <w:rPr>
          <w:snapToGrid/>
        </w:rPr>
        <w:t xml:space="preserve">mCRPC patients with </w:t>
      </w:r>
      <w:r w:rsidR="00B562C0" w:rsidRPr="001238DE">
        <w:rPr>
          <w:i/>
          <w:iCs/>
          <w:snapToGrid/>
        </w:rPr>
        <w:t>BRCA1/2</w:t>
      </w:r>
      <w:r w:rsidR="00B562C0" w:rsidRPr="00D204CD">
        <w:rPr>
          <w:snapToGrid/>
        </w:rPr>
        <w:t xml:space="preserve"> pathogenic variants eligible for treatment with talazoparib + enzalutamide</w:t>
      </w:r>
      <w:r w:rsidR="005E1B84" w:rsidRPr="00D204CD">
        <w:rPr>
          <w:snapToGrid/>
        </w:rPr>
        <w:t>.</w:t>
      </w:r>
      <w:r w:rsidR="00B562C0" w:rsidRPr="00D204CD">
        <w:t xml:space="preserve"> </w:t>
      </w:r>
      <w:r w:rsidRPr="005A293B">
        <w:rPr>
          <w:rFonts w:ascii="Arial Narrow" w:hAnsi="Arial Narrow"/>
          <w:snapToGrid/>
          <w:sz w:val="20"/>
          <w:szCs w:val="18"/>
        </w:rPr>
        <w:fldChar w:fldCharType="begin" w:fldLock="1"/>
      </w:r>
      <w:r w:rsidRPr="00D204CD">
        <w:instrText xml:space="preserve"> REF _Ref104805262 \h </w:instrText>
      </w:r>
      <w:r w:rsidRPr="005A293B">
        <w:rPr>
          <w:rFonts w:ascii="Arial Narrow" w:hAnsi="Arial Narrow"/>
          <w:snapToGrid/>
          <w:sz w:val="20"/>
          <w:szCs w:val="18"/>
        </w:rPr>
      </w:r>
      <w:r w:rsidRPr="005A293B">
        <w:rPr>
          <w:rFonts w:ascii="Arial Narrow" w:hAnsi="Arial Narrow"/>
          <w:snapToGrid/>
          <w:sz w:val="20"/>
          <w:szCs w:val="18"/>
        </w:rPr>
        <w:fldChar w:fldCharType="separate"/>
      </w:r>
    </w:p>
    <w:p w14:paraId="182BB074" w14:textId="1E9DD710" w:rsidR="006034A4" w:rsidRPr="005A293B" w:rsidRDefault="00935AD9" w:rsidP="00246A89">
      <w:pPr>
        <w:pStyle w:val="3-BodyText"/>
      </w:pPr>
      <w:r w:rsidRPr="005A293B">
        <w:t xml:space="preserve">Table </w:t>
      </w:r>
      <w:r>
        <w:rPr>
          <w:noProof/>
        </w:rPr>
        <w:t>15</w:t>
      </w:r>
      <w:r w:rsidR="00170BFC" w:rsidRPr="005A293B">
        <w:fldChar w:fldCharType="end"/>
      </w:r>
      <w:r w:rsidR="00170BFC" w:rsidRPr="005A293B">
        <w:t xml:space="preserve"> summarises the </w:t>
      </w:r>
      <w:r w:rsidR="00CF11CE">
        <w:t xml:space="preserve">key </w:t>
      </w:r>
      <w:r w:rsidR="00170BFC" w:rsidRPr="005A293B">
        <w:t xml:space="preserve">parameters and data sources applied in the financial analysis. </w:t>
      </w:r>
      <w:bookmarkStart w:id="86" w:name="_Ref104805262"/>
    </w:p>
    <w:p w14:paraId="3E5105FD" w14:textId="41BBAB83" w:rsidR="00170BFC" w:rsidRPr="005A293B" w:rsidRDefault="00170BFC" w:rsidP="00544B08">
      <w:pPr>
        <w:pStyle w:val="Caption"/>
        <w:keepNext w:val="0"/>
        <w:keepLines w:val="0"/>
        <w:widowControl w:val="0"/>
        <w:rPr>
          <w:rStyle w:val="CommentReference"/>
          <w:b/>
          <w:szCs w:val="24"/>
        </w:rPr>
      </w:pPr>
      <w:r w:rsidRPr="005A293B">
        <w:t xml:space="preserve">Table </w:t>
      </w:r>
      <w:fldSimple w:instr=" SEQ Table \* ARABIC " w:fldLock="1">
        <w:r w:rsidR="00A01609">
          <w:rPr>
            <w:noProof/>
          </w:rPr>
          <w:t>15</w:t>
        </w:r>
      </w:fldSimple>
      <w:bookmarkEnd w:id="86"/>
      <w:r w:rsidRPr="005A293B">
        <w:t>:</w:t>
      </w:r>
      <w:r w:rsidRPr="005A293B">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inputs for financial estimates"/>
      </w:tblPr>
      <w:tblGrid>
        <w:gridCol w:w="905"/>
        <w:gridCol w:w="4012"/>
        <w:gridCol w:w="4100"/>
      </w:tblGrid>
      <w:tr w:rsidR="00210C6E" w:rsidRPr="005A293B" w14:paraId="1C152B0A" w14:textId="77777777" w:rsidTr="00E97B08">
        <w:trPr>
          <w:cantSplit/>
          <w:trHeight w:val="20"/>
          <w:tblHeader/>
        </w:trPr>
        <w:tc>
          <w:tcPr>
            <w:tcW w:w="496" w:type="pct"/>
            <w:shd w:val="clear" w:color="auto" w:fill="auto"/>
            <w:vAlign w:val="center"/>
          </w:tcPr>
          <w:p w14:paraId="2737DC0F" w14:textId="77777777" w:rsidR="006034A4" w:rsidRPr="006E4BFC" w:rsidRDefault="006034A4" w:rsidP="00544B08">
            <w:pPr>
              <w:pStyle w:val="TableText0"/>
              <w:keepNext w:val="0"/>
              <w:widowControl w:val="0"/>
              <w:rPr>
                <w:b/>
                <w:bCs w:val="0"/>
              </w:rPr>
            </w:pPr>
            <w:r w:rsidRPr="006E4BFC">
              <w:rPr>
                <w:b/>
                <w:bCs w:val="0"/>
              </w:rPr>
              <w:t>Parameter</w:t>
            </w:r>
          </w:p>
        </w:tc>
        <w:tc>
          <w:tcPr>
            <w:tcW w:w="2228" w:type="pct"/>
            <w:shd w:val="clear" w:color="auto" w:fill="auto"/>
            <w:vAlign w:val="center"/>
          </w:tcPr>
          <w:p w14:paraId="2501E24C" w14:textId="77777777" w:rsidR="006034A4" w:rsidRPr="006E4BFC" w:rsidRDefault="006034A4" w:rsidP="00544B08">
            <w:pPr>
              <w:pStyle w:val="TableText0"/>
              <w:keepNext w:val="0"/>
              <w:widowControl w:val="0"/>
              <w:jc w:val="center"/>
              <w:rPr>
                <w:b/>
                <w:bCs w:val="0"/>
              </w:rPr>
            </w:pPr>
            <w:r w:rsidRPr="006E4BFC">
              <w:rPr>
                <w:b/>
                <w:bCs w:val="0"/>
              </w:rPr>
              <w:t>Value applied and source</w:t>
            </w:r>
          </w:p>
        </w:tc>
        <w:tc>
          <w:tcPr>
            <w:tcW w:w="2276" w:type="pct"/>
            <w:shd w:val="clear" w:color="auto" w:fill="auto"/>
            <w:vAlign w:val="center"/>
          </w:tcPr>
          <w:p w14:paraId="545355F3" w14:textId="77777777" w:rsidR="006034A4" w:rsidRPr="006E4BFC" w:rsidRDefault="006034A4" w:rsidP="00544B08">
            <w:pPr>
              <w:pStyle w:val="TableText0"/>
              <w:keepNext w:val="0"/>
              <w:widowControl w:val="0"/>
              <w:jc w:val="center"/>
              <w:rPr>
                <w:b/>
                <w:bCs w:val="0"/>
              </w:rPr>
            </w:pPr>
            <w:r w:rsidRPr="006E4BFC">
              <w:rPr>
                <w:b/>
                <w:bCs w:val="0"/>
              </w:rPr>
              <w:t>Comment</w:t>
            </w:r>
          </w:p>
        </w:tc>
      </w:tr>
      <w:tr w:rsidR="00BD4EAE" w:rsidRPr="005A293B" w14:paraId="4DF284CA" w14:textId="77777777" w:rsidTr="00E97B08">
        <w:trPr>
          <w:cantSplit/>
          <w:trHeight w:val="20"/>
        </w:trPr>
        <w:tc>
          <w:tcPr>
            <w:tcW w:w="5000" w:type="pct"/>
            <w:gridSpan w:val="3"/>
            <w:shd w:val="clear" w:color="auto" w:fill="auto"/>
            <w:vAlign w:val="center"/>
          </w:tcPr>
          <w:p w14:paraId="7320D75A" w14:textId="77777777" w:rsidR="006034A4" w:rsidRPr="006E4BFC" w:rsidRDefault="006034A4" w:rsidP="00544B08">
            <w:pPr>
              <w:pStyle w:val="TableText0"/>
              <w:keepNext w:val="0"/>
              <w:widowControl w:val="0"/>
              <w:rPr>
                <w:b/>
                <w:bCs w:val="0"/>
              </w:rPr>
            </w:pPr>
            <w:r w:rsidRPr="006E4BFC">
              <w:rPr>
                <w:b/>
                <w:bCs w:val="0"/>
              </w:rPr>
              <w:t>Eligible population</w:t>
            </w:r>
          </w:p>
        </w:tc>
      </w:tr>
      <w:tr w:rsidR="00210C6E" w:rsidRPr="005A293B" w14:paraId="0A6151D6" w14:textId="77777777" w:rsidTr="00E97B08">
        <w:trPr>
          <w:cantSplit/>
          <w:trHeight w:val="20"/>
        </w:trPr>
        <w:tc>
          <w:tcPr>
            <w:tcW w:w="496" w:type="pct"/>
            <w:shd w:val="clear" w:color="auto" w:fill="auto"/>
            <w:vAlign w:val="center"/>
          </w:tcPr>
          <w:p w14:paraId="6BDD2534" w14:textId="77777777" w:rsidR="006034A4" w:rsidRPr="006E4BFC" w:rsidRDefault="006034A4" w:rsidP="00544B08">
            <w:pPr>
              <w:pStyle w:val="TableText0"/>
              <w:keepNext w:val="0"/>
              <w:widowControl w:val="0"/>
            </w:pPr>
            <w:r w:rsidRPr="006E4BFC">
              <w:t>Incident patients</w:t>
            </w:r>
          </w:p>
          <w:p w14:paraId="1DE92458" w14:textId="708242C5" w:rsidR="006034A4" w:rsidRPr="006E4BFC" w:rsidRDefault="006034A4" w:rsidP="00544B08">
            <w:pPr>
              <w:pStyle w:val="TableText0"/>
              <w:keepNext w:val="0"/>
              <w:widowControl w:val="0"/>
            </w:pPr>
            <w:r w:rsidRPr="006E4BFC">
              <w:t xml:space="preserve">(based on total ENZ &amp; ABI initiations in 1L mCRPC </w:t>
            </w:r>
            <w:r w:rsidR="00BF4313">
              <w:t>i</w:t>
            </w:r>
            <w:r w:rsidR="00BF4313" w:rsidRPr="006E4BFC">
              <w:t xml:space="preserve">n </w:t>
            </w:r>
            <w:r w:rsidRPr="006E4BFC">
              <w:t>2023)</w:t>
            </w:r>
          </w:p>
        </w:tc>
        <w:tc>
          <w:tcPr>
            <w:tcW w:w="2228" w:type="pct"/>
            <w:shd w:val="clear" w:color="auto" w:fill="auto"/>
            <w:vAlign w:val="center"/>
          </w:tcPr>
          <w:tbl>
            <w:tblPr>
              <w:tblStyle w:val="TableGrid"/>
              <w:tblW w:w="0" w:type="auto"/>
              <w:tblCellMar>
                <w:left w:w="28" w:type="dxa"/>
                <w:right w:w="28" w:type="dxa"/>
              </w:tblCellMar>
              <w:tblLook w:val="04A0" w:firstRow="1" w:lastRow="0" w:firstColumn="1" w:lastColumn="0" w:noHBand="0" w:noVBand="1"/>
            </w:tblPr>
            <w:tblGrid>
              <w:gridCol w:w="860"/>
              <w:gridCol w:w="480"/>
              <w:gridCol w:w="480"/>
              <w:gridCol w:w="480"/>
              <w:gridCol w:w="480"/>
              <w:gridCol w:w="480"/>
              <w:gridCol w:w="515"/>
            </w:tblGrid>
            <w:tr w:rsidR="00210C6E" w:rsidRPr="006E4BFC" w14:paraId="3FDC9B74" w14:textId="77777777" w:rsidTr="00E97B08">
              <w:trPr>
                <w:trHeight w:val="20"/>
              </w:trPr>
              <w:tc>
                <w:tcPr>
                  <w:tcW w:w="860" w:type="dxa"/>
                  <w:vAlign w:val="center"/>
                </w:tcPr>
                <w:p w14:paraId="1423FF8A" w14:textId="77777777" w:rsidR="006034A4" w:rsidRPr="00565C8B" w:rsidRDefault="006034A4" w:rsidP="00544B08">
                  <w:pPr>
                    <w:pStyle w:val="TableText0"/>
                    <w:keepNext w:val="0"/>
                    <w:widowControl w:val="0"/>
                    <w:jc w:val="center"/>
                  </w:pPr>
                </w:p>
              </w:tc>
              <w:tc>
                <w:tcPr>
                  <w:tcW w:w="480" w:type="dxa"/>
                  <w:vAlign w:val="center"/>
                </w:tcPr>
                <w:p w14:paraId="440F141E" w14:textId="77777777" w:rsidR="006034A4" w:rsidRPr="00565C8B" w:rsidRDefault="006034A4" w:rsidP="00544B08">
                  <w:pPr>
                    <w:pStyle w:val="TableText0"/>
                    <w:keepNext w:val="0"/>
                    <w:widowControl w:val="0"/>
                    <w:jc w:val="center"/>
                  </w:pPr>
                  <w:r w:rsidRPr="00565C8B">
                    <w:t>2024</w:t>
                  </w:r>
                </w:p>
              </w:tc>
              <w:tc>
                <w:tcPr>
                  <w:tcW w:w="480" w:type="dxa"/>
                  <w:vAlign w:val="center"/>
                </w:tcPr>
                <w:p w14:paraId="1183AB94" w14:textId="77777777" w:rsidR="006034A4" w:rsidRPr="00565C8B" w:rsidRDefault="006034A4" w:rsidP="00544B08">
                  <w:pPr>
                    <w:pStyle w:val="TableText0"/>
                    <w:keepNext w:val="0"/>
                    <w:widowControl w:val="0"/>
                    <w:jc w:val="center"/>
                  </w:pPr>
                  <w:r w:rsidRPr="00565C8B">
                    <w:t>2025</w:t>
                  </w:r>
                </w:p>
              </w:tc>
              <w:tc>
                <w:tcPr>
                  <w:tcW w:w="480" w:type="dxa"/>
                  <w:vAlign w:val="center"/>
                </w:tcPr>
                <w:p w14:paraId="0359F6BB" w14:textId="77777777" w:rsidR="006034A4" w:rsidRPr="00565C8B" w:rsidRDefault="006034A4" w:rsidP="00544B08">
                  <w:pPr>
                    <w:pStyle w:val="TableText0"/>
                    <w:keepNext w:val="0"/>
                    <w:widowControl w:val="0"/>
                    <w:jc w:val="center"/>
                  </w:pPr>
                  <w:r w:rsidRPr="00565C8B">
                    <w:t>2026</w:t>
                  </w:r>
                </w:p>
              </w:tc>
              <w:tc>
                <w:tcPr>
                  <w:tcW w:w="480" w:type="dxa"/>
                  <w:vAlign w:val="center"/>
                </w:tcPr>
                <w:p w14:paraId="2D5B0C9F" w14:textId="77777777" w:rsidR="006034A4" w:rsidRPr="00565C8B" w:rsidRDefault="006034A4" w:rsidP="00544B08">
                  <w:pPr>
                    <w:pStyle w:val="TableText0"/>
                    <w:keepNext w:val="0"/>
                    <w:widowControl w:val="0"/>
                    <w:jc w:val="center"/>
                  </w:pPr>
                  <w:r w:rsidRPr="00565C8B">
                    <w:t>2027</w:t>
                  </w:r>
                </w:p>
              </w:tc>
              <w:tc>
                <w:tcPr>
                  <w:tcW w:w="480" w:type="dxa"/>
                  <w:vAlign w:val="center"/>
                </w:tcPr>
                <w:p w14:paraId="18FFFB71" w14:textId="77777777" w:rsidR="006034A4" w:rsidRPr="00565C8B" w:rsidRDefault="006034A4" w:rsidP="00544B08">
                  <w:pPr>
                    <w:pStyle w:val="TableText0"/>
                    <w:keepNext w:val="0"/>
                    <w:widowControl w:val="0"/>
                    <w:jc w:val="center"/>
                  </w:pPr>
                  <w:r w:rsidRPr="00565C8B">
                    <w:t>2028</w:t>
                  </w:r>
                </w:p>
              </w:tc>
              <w:tc>
                <w:tcPr>
                  <w:tcW w:w="515" w:type="dxa"/>
                  <w:vAlign w:val="center"/>
                </w:tcPr>
                <w:p w14:paraId="2F5DE310" w14:textId="77777777" w:rsidR="006034A4" w:rsidRPr="00565C8B" w:rsidRDefault="006034A4" w:rsidP="00544B08">
                  <w:pPr>
                    <w:pStyle w:val="TableText0"/>
                    <w:keepNext w:val="0"/>
                    <w:widowControl w:val="0"/>
                    <w:jc w:val="center"/>
                  </w:pPr>
                  <w:r w:rsidRPr="00565C8B">
                    <w:t>2029</w:t>
                  </w:r>
                </w:p>
              </w:tc>
            </w:tr>
            <w:tr w:rsidR="00210C6E" w:rsidRPr="006E4BFC" w14:paraId="6D94FC99" w14:textId="77777777" w:rsidTr="00E97B08">
              <w:trPr>
                <w:trHeight w:val="20"/>
              </w:trPr>
              <w:tc>
                <w:tcPr>
                  <w:tcW w:w="860" w:type="dxa"/>
                  <w:vAlign w:val="center"/>
                </w:tcPr>
                <w:p w14:paraId="0D44854A" w14:textId="77777777" w:rsidR="006034A4" w:rsidRPr="00565C8B" w:rsidRDefault="006034A4" w:rsidP="00544B08">
                  <w:pPr>
                    <w:pStyle w:val="TableText0"/>
                    <w:keepNext w:val="0"/>
                    <w:widowControl w:val="0"/>
                    <w:jc w:val="center"/>
                  </w:pPr>
                  <w:r w:rsidRPr="00565C8B">
                    <w:t>Growth (%)</w:t>
                  </w:r>
                </w:p>
              </w:tc>
              <w:tc>
                <w:tcPr>
                  <w:tcW w:w="480" w:type="dxa"/>
                  <w:vAlign w:val="center"/>
                </w:tcPr>
                <w:p w14:paraId="18BA1AB0" w14:textId="2C9FE758" w:rsidR="006034A4" w:rsidRPr="00565C8B" w:rsidRDefault="005744F4" w:rsidP="00544B08">
                  <w:pPr>
                    <w:pStyle w:val="TableText0"/>
                    <w:keepNext w:val="0"/>
                    <w:widowControl w:val="0"/>
                    <w:jc w:val="center"/>
                  </w:pPr>
                  <w:r w:rsidRPr="00565C8B">
                    <w:t>-</w:t>
                  </w:r>
                  <w:r w:rsidR="006034A4" w:rsidRPr="00565C8B">
                    <w:t>0.5*</w:t>
                  </w:r>
                </w:p>
              </w:tc>
              <w:tc>
                <w:tcPr>
                  <w:tcW w:w="480" w:type="dxa"/>
                  <w:vAlign w:val="center"/>
                </w:tcPr>
                <w:p w14:paraId="369E8B42" w14:textId="3DC720A2" w:rsidR="006034A4" w:rsidRPr="00565C8B" w:rsidRDefault="005744F4" w:rsidP="00544B08">
                  <w:pPr>
                    <w:pStyle w:val="TableText0"/>
                    <w:keepNext w:val="0"/>
                    <w:widowControl w:val="0"/>
                    <w:jc w:val="center"/>
                  </w:pPr>
                  <w:r w:rsidRPr="00565C8B">
                    <w:t>-</w:t>
                  </w:r>
                  <w:r w:rsidR="006034A4" w:rsidRPr="00565C8B">
                    <w:t>0.5</w:t>
                  </w:r>
                </w:p>
              </w:tc>
              <w:tc>
                <w:tcPr>
                  <w:tcW w:w="480" w:type="dxa"/>
                  <w:vAlign w:val="center"/>
                </w:tcPr>
                <w:p w14:paraId="7B513B17" w14:textId="6067406F" w:rsidR="006034A4" w:rsidRPr="00565C8B" w:rsidRDefault="005744F4" w:rsidP="00544B08">
                  <w:pPr>
                    <w:pStyle w:val="TableText0"/>
                    <w:keepNext w:val="0"/>
                    <w:widowControl w:val="0"/>
                    <w:jc w:val="center"/>
                  </w:pPr>
                  <w:r w:rsidRPr="00565C8B">
                    <w:t>-</w:t>
                  </w:r>
                  <w:r w:rsidR="006034A4" w:rsidRPr="00565C8B">
                    <w:t>1.0</w:t>
                  </w:r>
                </w:p>
              </w:tc>
              <w:tc>
                <w:tcPr>
                  <w:tcW w:w="480" w:type="dxa"/>
                  <w:vAlign w:val="center"/>
                </w:tcPr>
                <w:p w14:paraId="7654D292" w14:textId="03064BF7" w:rsidR="006034A4" w:rsidRPr="00565C8B" w:rsidRDefault="005744F4" w:rsidP="00544B08">
                  <w:pPr>
                    <w:pStyle w:val="TableText0"/>
                    <w:keepNext w:val="0"/>
                    <w:widowControl w:val="0"/>
                    <w:jc w:val="center"/>
                  </w:pPr>
                  <w:r w:rsidRPr="00565C8B">
                    <w:t>-</w:t>
                  </w:r>
                  <w:r w:rsidR="006034A4" w:rsidRPr="00565C8B">
                    <w:t>1.5</w:t>
                  </w:r>
                </w:p>
              </w:tc>
              <w:tc>
                <w:tcPr>
                  <w:tcW w:w="480" w:type="dxa"/>
                  <w:vAlign w:val="center"/>
                </w:tcPr>
                <w:p w14:paraId="2F1F1690" w14:textId="5736A595" w:rsidR="006034A4" w:rsidRPr="00565C8B" w:rsidRDefault="005744F4" w:rsidP="00544B08">
                  <w:pPr>
                    <w:pStyle w:val="TableText0"/>
                    <w:keepNext w:val="0"/>
                    <w:widowControl w:val="0"/>
                    <w:jc w:val="center"/>
                  </w:pPr>
                  <w:r w:rsidRPr="00565C8B">
                    <w:t>-</w:t>
                  </w:r>
                  <w:r w:rsidR="006034A4" w:rsidRPr="00565C8B">
                    <w:t>2.0</w:t>
                  </w:r>
                </w:p>
              </w:tc>
              <w:tc>
                <w:tcPr>
                  <w:tcW w:w="515" w:type="dxa"/>
                  <w:vAlign w:val="center"/>
                </w:tcPr>
                <w:p w14:paraId="56B15EF7" w14:textId="1EFDA3A3" w:rsidR="006034A4" w:rsidRPr="00565C8B" w:rsidRDefault="005744F4" w:rsidP="00544B08">
                  <w:pPr>
                    <w:pStyle w:val="TableText0"/>
                    <w:keepNext w:val="0"/>
                    <w:widowControl w:val="0"/>
                    <w:jc w:val="center"/>
                  </w:pPr>
                  <w:r w:rsidRPr="00565C8B">
                    <w:t>-</w:t>
                  </w:r>
                  <w:r w:rsidR="006034A4" w:rsidRPr="00565C8B">
                    <w:t>2.0</w:t>
                  </w:r>
                </w:p>
              </w:tc>
            </w:tr>
            <w:tr w:rsidR="00210C6E" w:rsidRPr="006E4BFC" w14:paraId="1272123E" w14:textId="77777777" w:rsidTr="00E97B08">
              <w:trPr>
                <w:trHeight w:val="20"/>
              </w:trPr>
              <w:tc>
                <w:tcPr>
                  <w:tcW w:w="860" w:type="dxa"/>
                  <w:vAlign w:val="center"/>
                </w:tcPr>
                <w:p w14:paraId="07AB75BE" w14:textId="77777777" w:rsidR="006034A4" w:rsidRPr="00565C8B" w:rsidRDefault="006034A4" w:rsidP="00544B08">
                  <w:pPr>
                    <w:pStyle w:val="TableText0"/>
                    <w:keepNext w:val="0"/>
                    <w:widowControl w:val="0"/>
                    <w:jc w:val="center"/>
                  </w:pPr>
                  <w:r w:rsidRPr="00565C8B">
                    <w:t>n</w:t>
                  </w:r>
                </w:p>
              </w:tc>
              <w:tc>
                <w:tcPr>
                  <w:tcW w:w="480" w:type="dxa"/>
                  <w:vAlign w:val="center"/>
                </w:tcPr>
                <w:p w14:paraId="57D0ACC0" w14:textId="2C93A7E8"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5"/>
                      <w14:textFill>
                        <w14:solidFill>
                          <w14:srgbClr w14:val="000000">
                            <w14:alpha w14:val="100000"/>
                          </w14:srgbClr>
                        </w14:solidFill>
                      </w14:textFill>
                    </w:rPr>
                    <w:t>|</w:t>
                  </w:r>
                  <w:r w:rsidRPr="00D62519">
                    <w:rPr>
                      <w:color w:val="000000"/>
                      <w:spacing w:val="1"/>
                      <w:shd w:val="solid" w:color="000000" w:fill="000000"/>
                      <w:fitText w:val="195" w:id="-961822205"/>
                      <w14:textFill>
                        <w14:solidFill>
                          <w14:srgbClr w14:val="000000">
                            <w14:alpha w14:val="100000"/>
                          </w14:srgbClr>
                        </w14:solidFill>
                      </w14:textFill>
                    </w:rPr>
                    <w:t>|</w:t>
                  </w:r>
                  <w:r w:rsidR="0001724B" w:rsidRPr="00565C8B">
                    <w:rPr>
                      <w:vertAlign w:val="superscript"/>
                    </w:rPr>
                    <w:t>1</w:t>
                  </w:r>
                </w:p>
              </w:tc>
              <w:tc>
                <w:tcPr>
                  <w:tcW w:w="480" w:type="dxa"/>
                  <w:vAlign w:val="center"/>
                </w:tcPr>
                <w:p w14:paraId="7B801A76" w14:textId="50C90616"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4"/>
                      <w14:textFill>
                        <w14:solidFill>
                          <w14:srgbClr w14:val="000000">
                            <w14:alpha w14:val="100000"/>
                          </w14:srgbClr>
                        </w14:solidFill>
                      </w14:textFill>
                    </w:rPr>
                    <w:t>|</w:t>
                  </w:r>
                  <w:r w:rsidRPr="00D62519">
                    <w:rPr>
                      <w:color w:val="000000"/>
                      <w:spacing w:val="1"/>
                      <w:shd w:val="solid" w:color="000000" w:fill="000000"/>
                      <w:fitText w:val="195" w:id="-961822204"/>
                      <w14:textFill>
                        <w14:solidFill>
                          <w14:srgbClr w14:val="000000">
                            <w14:alpha w14:val="100000"/>
                          </w14:srgbClr>
                        </w14:solidFill>
                      </w14:textFill>
                    </w:rPr>
                    <w:t>|</w:t>
                  </w:r>
                  <w:r w:rsidR="0001724B" w:rsidRPr="00565C8B">
                    <w:rPr>
                      <w:vertAlign w:val="superscript"/>
                    </w:rPr>
                    <w:t>1</w:t>
                  </w:r>
                </w:p>
              </w:tc>
              <w:tc>
                <w:tcPr>
                  <w:tcW w:w="480" w:type="dxa"/>
                  <w:vAlign w:val="center"/>
                </w:tcPr>
                <w:p w14:paraId="7C842377" w14:textId="3E8D9D1C"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3"/>
                      <w14:textFill>
                        <w14:solidFill>
                          <w14:srgbClr w14:val="000000">
                            <w14:alpha w14:val="100000"/>
                          </w14:srgbClr>
                        </w14:solidFill>
                      </w14:textFill>
                    </w:rPr>
                    <w:t>|</w:t>
                  </w:r>
                  <w:r w:rsidRPr="00D62519">
                    <w:rPr>
                      <w:color w:val="000000"/>
                      <w:spacing w:val="1"/>
                      <w:shd w:val="solid" w:color="000000" w:fill="000000"/>
                      <w:fitText w:val="195" w:id="-961822203"/>
                      <w14:textFill>
                        <w14:solidFill>
                          <w14:srgbClr w14:val="000000">
                            <w14:alpha w14:val="100000"/>
                          </w14:srgbClr>
                        </w14:solidFill>
                      </w14:textFill>
                    </w:rPr>
                    <w:t>|</w:t>
                  </w:r>
                  <w:r w:rsidR="0001724B" w:rsidRPr="00565C8B">
                    <w:rPr>
                      <w:vertAlign w:val="superscript"/>
                    </w:rPr>
                    <w:t>1</w:t>
                  </w:r>
                </w:p>
              </w:tc>
              <w:tc>
                <w:tcPr>
                  <w:tcW w:w="480" w:type="dxa"/>
                  <w:vAlign w:val="center"/>
                </w:tcPr>
                <w:p w14:paraId="74517D25" w14:textId="68732B9B"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2"/>
                      <w14:textFill>
                        <w14:solidFill>
                          <w14:srgbClr w14:val="000000">
                            <w14:alpha w14:val="100000"/>
                          </w14:srgbClr>
                        </w14:solidFill>
                      </w14:textFill>
                    </w:rPr>
                    <w:t>|</w:t>
                  </w:r>
                  <w:r w:rsidRPr="00D62519">
                    <w:rPr>
                      <w:color w:val="000000"/>
                      <w:spacing w:val="1"/>
                      <w:shd w:val="solid" w:color="000000" w:fill="000000"/>
                      <w:fitText w:val="195" w:id="-961822202"/>
                      <w14:textFill>
                        <w14:solidFill>
                          <w14:srgbClr w14:val="000000">
                            <w14:alpha w14:val="100000"/>
                          </w14:srgbClr>
                        </w14:solidFill>
                      </w14:textFill>
                    </w:rPr>
                    <w:t>|</w:t>
                  </w:r>
                  <w:r w:rsidR="0001724B" w:rsidRPr="00565C8B">
                    <w:rPr>
                      <w:vertAlign w:val="superscript"/>
                    </w:rPr>
                    <w:t>1</w:t>
                  </w:r>
                </w:p>
              </w:tc>
              <w:tc>
                <w:tcPr>
                  <w:tcW w:w="480" w:type="dxa"/>
                  <w:vAlign w:val="center"/>
                </w:tcPr>
                <w:p w14:paraId="753AEA73" w14:textId="01B42AB8"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1"/>
                      <w14:textFill>
                        <w14:solidFill>
                          <w14:srgbClr w14:val="000000">
                            <w14:alpha w14:val="100000"/>
                          </w14:srgbClr>
                        </w14:solidFill>
                      </w14:textFill>
                    </w:rPr>
                    <w:t>|</w:t>
                  </w:r>
                  <w:r w:rsidRPr="00D62519">
                    <w:rPr>
                      <w:color w:val="000000"/>
                      <w:spacing w:val="1"/>
                      <w:shd w:val="solid" w:color="000000" w:fill="000000"/>
                      <w:fitText w:val="195" w:id="-961822201"/>
                      <w14:textFill>
                        <w14:solidFill>
                          <w14:srgbClr w14:val="000000">
                            <w14:alpha w14:val="100000"/>
                          </w14:srgbClr>
                        </w14:solidFill>
                      </w14:textFill>
                    </w:rPr>
                    <w:t>|</w:t>
                  </w:r>
                  <w:r w:rsidR="0001724B" w:rsidRPr="00565C8B">
                    <w:rPr>
                      <w:vertAlign w:val="superscript"/>
                    </w:rPr>
                    <w:t>1</w:t>
                  </w:r>
                </w:p>
              </w:tc>
              <w:tc>
                <w:tcPr>
                  <w:tcW w:w="515" w:type="dxa"/>
                  <w:vAlign w:val="center"/>
                </w:tcPr>
                <w:p w14:paraId="70414146" w14:textId="6D70C1CC" w:rsidR="006034A4" w:rsidRPr="00565C8B" w:rsidRDefault="00D62519" w:rsidP="00544B08">
                  <w:pPr>
                    <w:pStyle w:val="TableText0"/>
                    <w:keepNext w:val="0"/>
                    <w:widowControl w:val="0"/>
                    <w:jc w:val="center"/>
                    <w:rPr>
                      <w:highlight w:val="lightGray"/>
                    </w:rPr>
                  </w:pPr>
                  <w:r w:rsidRPr="00D62519">
                    <w:rPr>
                      <w:color w:val="000000"/>
                      <w:spacing w:val="94"/>
                      <w:shd w:val="solid" w:color="000000" w:fill="000000"/>
                      <w:fitText w:val="180" w:id="-961822200"/>
                      <w14:textFill>
                        <w14:solidFill>
                          <w14:srgbClr w14:val="000000">
                            <w14:alpha w14:val="100000"/>
                          </w14:srgbClr>
                        </w14:solidFill>
                      </w14:textFill>
                    </w:rPr>
                    <w:t>|</w:t>
                  </w:r>
                  <w:r w:rsidRPr="00D62519">
                    <w:rPr>
                      <w:color w:val="000000"/>
                      <w:spacing w:val="1"/>
                      <w:shd w:val="solid" w:color="000000" w:fill="000000"/>
                      <w:fitText w:val="180" w:id="-961822200"/>
                      <w14:textFill>
                        <w14:solidFill>
                          <w14:srgbClr w14:val="000000">
                            <w14:alpha w14:val="100000"/>
                          </w14:srgbClr>
                        </w14:solidFill>
                      </w14:textFill>
                    </w:rPr>
                    <w:t>|</w:t>
                  </w:r>
                  <w:r w:rsidR="0001724B" w:rsidRPr="00565C8B">
                    <w:rPr>
                      <w:vertAlign w:val="superscript"/>
                    </w:rPr>
                    <w:t>1</w:t>
                  </w:r>
                </w:p>
              </w:tc>
            </w:tr>
          </w:tbl>
          <w:p w14:paraId="3D329915" w14:textId="1A867469" w:rsidR="006034A4" w:rsidRPr="006E4BFC" w:rsidRDefault="006034A4" w:rsidP="00544B08">
            <w:pPr>
              <w:pStyle w:val="TableText0"/>
              <w:keepNext w:val="0"/>
              <w:widowControl w:val="0"/>
              <w:rPr>
                <w:sz w:val="18"/>
                <w:szCs w:val="22"/>
              </w:rPr>
            </w:pPr>
            <w:r w:rsidRPr="006E4BFC">
              <w:rPr>
                <w:sz w:val="18"/>
                <w:szCs w:val="22"/>
              </w:rPr>
              <w:t xml:space="preserve">* From a base of </w:t>
            </w:r>
            <w:r w:rsidR="00D62519" w:rsidRPr="00D62519">
              <w:rPr>
                <w:color w:val="000000"/>
                <w:spacing w:val="118"/>
                <w:sz w:val="18"/>
                <w:szCs w:val="22"/>
                <w:shd w:val="solid" w:color="000000" w:fill="000000"/>
                <w:fitText w:val="195" w:id="-961822199"/>
                <w14:textFill>
                  <w14:solidFill>
                    <w14:srgbClr w14:val="000000">
                      <w14:alpha w14:val="100000"/>
                    </w14:srgbClr>
                  </w14:solidFill>
                </w14:textFill>
              </w:rPr>
              <w:t>|</w:t>
            </w:r>
            <w:r w:rsidR="00D62519" w:rsidRPr="00D62519">
              <w:rPr>
                <w:color w:val="000000"/>
                <w:spacing w:val="1"/>
                <w:sz w:val="18"/>
                <w:szCs w:val="22"/>
                <w:shd w:val="solid" w:color="000000" w:fill="000000"/>
                <w:fitText w:val="195" w:id="-961822199"/>
                <w14:textFill>
                  <w14:solidFill>
                    <w14:srgbClr w14:val="000000">
                      <w14:alpha w14:val="100000"/>
                    </w14:srgbClr>
                  </w14:solidFill>
                </w14:textFill>
              </w:rPr>
              <w:t>|</w:t>
            </w:r>
            <w:r w:rsidR="0001724B" w:rsidRPr="00015B49">
              <w:rPr>
                <w:sz w:val="18"/>
                <w:szCs w:val="22"/>
                <w:vertAlign w:val="superscript"/>
              </w:rPr>
              <w:t>1</w:t>
            </w:r>
            <w:r w:rsidRPr="006E4BFC">
              <w:rPr>
                <w:sz w:val="18"/>
                <w:szCs w:val="22"/>
              </w:rPr>
              <w:t xml:space="preserve"> in year 2023. </w:t>
            </w:r>
          </w:p>
          <w:p w14:paraId="289DB544" w14:textId="77777777" w:rsidR="007039AA" w:rsidRPr="006E4BFC" w:rsidRDefault="007039AA" w:rsidP="00544B08">
            <w:pPr>
              <w:pStyle w:val="TableText0"/>
              <w:keepNext w:val="0"/>
              <w:widowControl w:val="0"/>
            </w:pPr>
          </w:p>
          <w:p w14:paraId="59279C2F" w14:textId="7BACA0B2" w:rsidR="006034A4" w:rsidRPr="006E4BFC" w:rsidRDefault="006034A4" w:rsidP="00544B08">
            <w:pPr>
              <w:pStyle w:val="TableText0"/>
              <w:keepNext w:val="0"/>
              <w:widowControl w:val="0"/>
            </w:pPr>
            <w:r w:rsidRPr="006E4BFC">
              <w:t xml:space="preserve">Estimated using PBS-reported NHA initiations in 2023 (data were extrapolated from July), </w:t>
            </w:r>
            <w:r w:rsidR="00192F3A" w:rsidRPr="006E4BFC">
              <w:t>assuming a decline in utilisation over time from 0.5% to 2.0%,</w:t>
            </w:r>
            <w:r w:rsidRPr="006E4BFC">
              <w:t xml:space="preserve"> due to NHA listings for earlier stages of prostate cancer.</w:t>
            </w:r>
          </w:p>
        </w:tc>
        <w:tc>
          <w:tcPr>
            <w:tcW w:w="2276" w:type="pct"/>
            <w:shd w:val="clear" w:color="auto" w:fill="auto"/>
          </w:tcPr>
          <w:p w14:paraId="5F9FA3F2" w14:textId="281992B3" w:rsidR="006034A4" w:rsidRPr="006E4BFC" w:rsidRDefault="00155BCA" w:rsidP="00544B08">
            <w:pPr>
              <w:pStyle w:val="TableText0"/>
              <w:keepNext w:val="0"/>
              <w:widowControl w:val="0"/>
            </w:pPr>
            <w:r>
              <w:t>A</w:t>
            </w:r>
            <w:r w:rsidRPr="006E4BFC">
              <w:t xml:space="preserve"> </w:t>
            </w:r>
            <w:r w:rsidR="00192F3A" w:rsidRPr="006E4BFC">
              <w:t>decreasing growth rate was reasonable, given PBS listings of NHAs (darolutamide, apalutamide &amp; enzalutamide) in nmCRPC and in mHSPC</w:t>
            </w:r>
            <w:r>
              <w:t xml:space="preserve"> and</w:t>
            </w:r>
            <w:r w:rsidR="006940B9">
              <w:t xml:space="preserve"> </w:t>
            </w:r>
            <w:r w:rsidR="00192F3A" w:rsidRPr="006E4BFC">
              <w:t xml:space="preserve">use </w:t>
            </w:r>
            <w:r w:rsidR="005744F4" w:rsidRPr="006E4BFC">
              <w:t xml:space="preserve">of </w:t>
            </w:r>
            <w:r w:rsidR="00192F3A" w:rsidRPr="006E4BFC">
              <w:t xml:space="preserve">ENZ &amp; ABI </w:t>
            </w:r>
            <w:r w:rsidR="005744F4" w:rsidRPr="006E4BFC">
              <w:t xml:space="preserve">is </w:t>
            </w:r>
            <w:r w:rsidR="00192F3A" w:rsidRPr="006E4BFC">
              <w:t>likely to decrease in mCRPC over time</w:t>
            </w:r>
            <w:r w:rsidR="006034A4" w:rsidRPr="006E4BFC">
              <w:t>.</w:t>
            </w:r>
            <w:r w:rsidR="00AF6FAB" w:rsidRPr="006E4BFC">
              <w:t xml:space="preserve"> However, uncertainties surround the specific values for the growth rate. A sensitivity analysis conducted during the evaluation indicated that employing a -5% growth rate over the years would decrease the financial impact by 13%.</w:t>
            </w:r>
            <w:r w:rsidR="00F13554" w:rsidRPr="006E4BFC">
              <w:t xml:space="preserve"> The PSCR provided revised estimates which applied a decreasing growth rate of -5% to Years 2024-2026, -4% to Years 2027-2028 and -3% to Year 2029. </w:t>
            </w:r>
          </w:p>
        </w:tc>
      </w:tr>
      <w:tr w:rsidR="00210C6E" w:rsidRPr="005A293B" w14:paraId="0EE68047" w14:textId="77777777" w:rsidTr="00E97B08">
        <w:trPr>
          <w:cantSplit/>
          <w:trHeight w:val="20"/>
        </w:trPr>
        <w:tc>
          <w:tcPr>
            <w:tcW w:w="496" w:type="pct"/>
            <w:shd w:val="clear" w:color="auto" w:fill="auto"/>
            <w:vAlign w:val="center"/>
          </w:tcPr>
          <w:p w14:paraId="528D26D4" w14:textId="77777777" w:rsidR="006034A4" w:rsidRPr="006E4BFC" w:rsidRDefault="006034A4" w:rsidP="00544B08">
            <w:pPr>
              <w:pStyle w:val="TableText0"/>
              <w:keepNext w:val="0"/>
              <w:widowControl w:val="0"/>
            </w:pPr>
            <w:r w:rsidRPr="006E4BFC">
              <w:t>BRCA1/2 positive, mCRPC patients (Eligible)</w:t>
            </w:r>
          </w:p>
        </w:tc>
        <w:tc>
          <w:tcPr>
            <w:tcW w:w="2228" w:type="pct"/>
            <w:shd w:val="clear" w:color="auto" w:fill="auto"/>
            <w:vAlign w:val="center"/>
          </w:tcPr>
          <w:tbl>
            <w:tblPr>
              <w:tblStyle w:val="TableGrid"/>
              <w:tblW w:w="4681" w:type="pct"/>
              <w:tblCellMar>
                <w:left w:w="28" w:type="dxa"/>
                <w:right w:w="28" w:type="dxa"/>
              </w:tblCellMar>
              <w:tblLook w:val="04A0" w:firstRow="1" w:lastRow="0" w:firstColumn="1" w:lastColumn="0" w:noHBand="0" w:noVBand="1"/>
            </w:tblPr>
            <w:tblGrid>
              <w:gridCol w:w="877"/>
              <w:gridCol w:w="461"/>
              <w:gridCol w:w="461"/>
              <w:gridCol w:w="461"/>
              <w:gridCol w:w="461"/>
              <w:gridCol w:w="462"/>
              <w:gridCol w:w="511"/>
            </w:tblGrid>
            <w:tr w:rsidR="003F7A1D" w:rsidRPr="006E4BFC" w14:paraId="41862860" w14:textId="77777777" w:rsidTr="00E97B08">
              <w:trPr>
                <w:trHeight w:val="20"/>
              </w:trPr>
              <w:tc>
                <w:tcPr>
                  <w:tcW w:w="1068" w:type="pct"/>
                  <w:vAlign w:val="center"/>
                </w:tcPr>
                <w:p w14:paraId="0C1773AD" w14:textId="77777777" w:rsidR="006034A4" w:rsidRPr="00565C8B" w:rsidRDefault="006034A4" w:rsidP="00544B08">
                  <w:pPr>
                    <w:pStyle w:val="TableText0"/>
                    <w:keepNext w:val="0"/>
                    <w:widowControl w:val="0"/>
                    <w:jc w:val="center"/>
                  </w:pPr>
                </w:p>
              </w:tc>
              <w:tc>
                <w:tcPr>
                  <w:tcW w:w="644" w:type="pct"/>
                  <w:vAlign w:val="center"/>
                </w:tcPr>
                <w:p w14:paraId="7ABD7375" w14:textId="77777777" w:rsidR="006034A4" w:rsidRPr="00565C8B" w:rsidRDefault="006034A4" w:rsidP="00544B08">
                  <w:pPr>
                    <w:pStyle w:val="TableText0"/>
                    <w:keepNext w:val="0"/>
                    <w:widowControl w:val="0"/>
                    <w:jc w:val="center"/>
                  </w:pPr>
                  <w:r w:rsidRPr="00565C8B">
                    <w:t>2024</w:t>
                  </w:r>
                </w:p>
              </w:tc>
              <w:tc>
                <w:tcPr>
                  <w:tcW w:w="644" w:type="pct"/>
                  <w:vAlign w:val="center"/>
                </w:tcPr>
                <w:p w14:paraId="510357DF" w14:textId="77777777" w:rsidR="006034A4" w:rsidRPr="00565C8B" w:rsidRDefault="006034A4" w:rsidP="00544B08">
                  <w:pPr>
                    <w:pStyle w:val="TableText0"/>
                    <w:keepNext w:val="0"/>
                    <w:widowControl w:val="0"/>
                    <w:jc w:val="center"/>
                  </w:pPr>
                  <w:r w:rsidRPr="00565C8B">
                    <w:t>2025</w:t>
                  </w:r>
                </w:p>
              </w:tc>
              <w:tc>
                <w:tcPr>
                  <w:tcW w:w="644" w:type="pct"/>
                  <w:vAlign w:val="center"/>
                </w:tcPr>
                <w:p w14:paraId="084EF655" w14:textId="77777777" w:rsidR="006034A4" w:rsidRPr="00565C8B" w:rsidRDefault="006034A4" w:rsidP="00544B08">
                  <w:pPr>
                    <w:pStyle w:val="TableText0"/>
                    <w:keepNext w:val="0"/>
                    <w:widowControl w:val="0"/>
                    <w:jc w:val="center"/>
                  </w:pPr>
                  <w:r w:rsidRPr="00565C8B">
                    <w:t>2026</w:t>
                  </w:r>
                </w:p>
              </w:tc>
              <w:tc>
                <w:tcPr>
                  <w:tcW w:w="644" w:type="pct"/>
                  <w:vAlign w:val="center"/>
                </w:tcPr>
                <w:p w14:paraId="584CD911" w14:textId="77777777" w:rsidR="006034A4" w:rsidRPr="00565C8B" w:rsidRDefault="006034A4" w:rsidP="00544B08">
                  <w:pPr>
                    <w:pStyle w:val="TableText0"/>
                    <w:keepNext w:val="0"/>
                    <w:widowControl w:val="0"/>
                    <w:jc w:val="center"/>
                  </w:pPr>
                  <w:r w:rsidRPr="00565C8B">
                    <w:t>2027</w:t>
                  </w:r>
                </w:p>
              </w:tc>
              <w:tc>
                <w:tcPr>
                  <w:tcW w:w="644" w:type="pct"/>
                  <w:vAlign w:val="center"/>
                </w:tcPr>
                <w:p w14:paraId="1730583D" w14:textId="77777777" w:rsidR="006034A4" w:rsidRPr="00565C8B" w:rsidRDefault="006034A4" w:rsidP="00544B08">
                  <w:pPr>
                    <w:pStyle w:val="TableText0"/>
                    <w:keepNext w:val="0"/>
                    <w:widowControl w:val="0"/>
                    <w:jc w:val="center"/>
                  </w:pPr>
                  <w:r w:rsidRPr="00565C8B">
                    <w:t>2028</w:t>
                  </w:r>
                </w:p>
              </w:tc>
              <w:tc>
                <w:tcPr>
                  <w:tcW w:w="710" w:type="pct"/>
                  <w:vAlign w:val="center"/>
                </w:tcPr>
                <w:p w14:paraId="34B5E7B0" w14:textId="77777777" w:rsidR="006034A4" w:rsidRPr="00565C8B" w:rsidRDefault="006034A4" w:rsidP="00544B08">
                  <w:pPr>
                    <w:pStyle w:val="TableText0"/>
                    <w:keepNext w:val="0"/>
                    <w:widowControl w:val="0"/>
                    <w:jc w:val="center"/>
                  </w:pPr>
                  <w:r w:rsidRPr="00565C8B">
                    <w:t>2029</w:t>
                  </w:r>
                </w:p>
              </w:tc>
            </w:tr>
            <w:tr w:rsidR="003F7A1D" w:rsidRPr="006E4BFC" w14:paraId="2296B7A8" w14:textId="77777777" w:rsidTr="00E97B08">
              <w:trPr>
                <w:trHeight w:val="20"/>
              </w:trPr>
              <w:tc>
                <w:tcPr>
                  <w:tcW w:w="1068" w:type="pct"/>
                  <w:vAlign w:val="center"/>
                </w:tcPr>
                <w:p w14:paraId="52C7B1C2" w14:textId="4D9BE26E" w:rsidR="006034A4" w:rsidRPr="00565C8B" w:rsidRDefault="006034A4" w:rsidP="00544B08">
                  <w:pPr>
                    <w:pStyle w:val="TableText0"/>
                    <w:keepNext w:val="0"/>
                    <w:widowControl w:val="0"/>
                    <w:jc w:val="center"/>
                  </w:pPr>
                  <w:r w:rsidRPr="00565C8B">
                    <w:t>Prevalence</w:t>
                  </w:r>
                  <w:r w:rsidR="00825F49" w:rsidRPr="00565C8B">
                    <w:t xml:space="preserve"> (</w:t>
                  </w:r>
                  <w:r w:rsidRPr="00565C8B">
                    <w:t>%)</w:t>
                  </w:r>
                </w:p>
              </w:tc>
              <w:tc>
                <w:tcPr>
                  <w:tcW w:w="644" w:type="pct"/>
                  <w:vAlign w:val="center"/>
                </w:tcPr>
                <w:p w14:paraId="51FB32DF" w14:textId="77777777" w:rsidR="006034A4" w:rsidRPr="00565C8B" w:rsidRDefault="006034A4" w:rsidP="00544B08">
                  <w:pPr>
                    <w:pStyle w:val="TableText0"/>
                    <w:keepNext w:val="0"/>
                    <w:widowControl w:val="0"/>
                    <w:jc w:val="center"/>
                  </w:pPr>
                  <w:r w:rsidRPr="00565C8B">
                    <w:t>7.0</w:t>
                  </w:r>
                </w:p>
              </w:tc>
              <w:tc>
                <w:tcPr>
                  <w:tcW w:w="644" w:type="pct"/>
                  <w:vAlign w:val="center"/>
                </w:tcPr>
                <w:p w14:paraId="2CDB7539" w14:textId="77777777" w:rsidR="006034A4" w:rsidRPr="00565C8B" w:rsidRDefault="006034A4" w:rsidP="00544B08">
                  <w:pPr>
                    <w:pStyle w:val="TableText0"/>
                    <w:keepNext w:val="0"/>
                    <w:widowControl w:val="0"/>
                    <w:jc w:val="center"/>
                  </w:pPr>
                  <w:r w:rsidRPr="00565C8B">
                    <w:t>8.0</w:t>
                  </w:r>
                </w:p>
              </w:tc>
              <w:tc>
                <w:tcPr>
                  <w:tcW w:w="644" w:type="pct"/>
                  <w:vAlign w:val="center"/>
                </w:tcPr>
                <w:p w14:paraId="7A2CC7DF" w14:textId="77777777" w:rsidR="006034A4" w:rsidRPr="00565C8B" w:rsidRDefault="006034A4" w:rsidP="00544B08">
                  <w:pPr>
                    <w:pStyle w:val="TableText0"/>
                    <w:keepNext w:val="0"/>
                    <w:widowControl w:val="0"/>
                    <w:jc w:val="center"/>
                  </w:pPr>
                  <w:r w:rsidRPr="00565C8B">
                    <w:t>8.5</w:t>
                  </w:r>
                </w:p>
              </w:tc>
              <w:tc>
                <w:tcPr>
                  <w:tcW w:w="644" w:type="pct"/>
                  <w:vAlign w:val="center"/>
                </w:tcPr>
                <w:p w14:paraId="22FCB0BF" w14:textId="77777777" w:rsidR="006034A4" w:rsidRPr="00565C8B" w:rsidRDefault="006034A4" w:rsidP="00544B08">
                  <w:pPr>
                    <w:pStyle w:val="TableText0"/>
                    <w:keepNext w:val="0"/>
                    <w:widowControl w:val="0"/>
                    <w:jc w:val="center"/>
                  </w:pPr>
                  <w:r w:rsidRPr="00565C8B">
                    <w:t>9.0</w:t>
                  </w:r>
                </w:p>
              </w:tc>
              <w:tc>
                <w:tcPr>
                  <w:tcW w:w="644" w:type="pct"/>
                  <w:vAlign w:val="center"/>
                </w:tcPr>
                <w:p w14:paraId="5315573E" w14:textId="77777777" w:rsidR="006034A4" w:rsidRPr="00565C8B" w:rsidRDefault="006034A4" w:rsidP="00544B08">
                  <w:pPr>
                    <w:pStyle w:val="TableText0"/>
                    <w:keepNext w:val="0"/>
                    <w:widowControl w:val="0"/>
                    <w:jc w:val="center"/>
                  </w:pPr>
                  <w:r w:rsidRPr="00565C8B">
                    <w:t>10.0</w:t>
                  </w:r>
                </w:p>
              </w:tc>
              <w:tc>
                <w:tcPr>
                  <w:tcW w:w="710" w:type="pct"/>
                  <w:vAlign w:val="center"/>
                </w:tcPr>
                <w:p w14:paraId="74C0C6C7" w14:textId="77777777" w:rsidR="006034A4" w:rsidRPr="00565C8B" w:rsidRDefault="006034A4" w:rsidP="00544B08">
                  <w:pPr>
                    <w:pStyle w:val="TableText0"/>
                    <w:keepNext w:val="0"/>
                    <w:widowControl w:val="0"/>
                    <w:jc w:val="center"/>
                  </w:pPr>
                  <w:r w:rsidRPr="00565C8B">
                    <w:t>10.5</w:t>
                  </w:r>
                </w:p>
              </w:tc>
            </w:tr>
            <w:tr w:rsidR="003F7A1D" w:rsidRPr="006E4BFC" w14:paraId="3EA9BD13" w14:textId="77777777" w:rsidTr="00E97B08">
              <w:trPr>
                <w:trHeight w:val="20"/>
              </w:trPr>
              <w:tc>
                <w:tcPr>
                  <w:tcW w:w="1068" w:type="pct"/>
                  <w:vAlign w:val="center"/>
                </w:tcPr>
                <w:p w14:paraId="0B106926" w14:textId="77777777" w:rsidR="006034A4" w:rsidRPr="00565C8B" w:rsidRDefault="006034A4" w:rsidP="00544B08">
                  <w:pPr>
                    <w:pStyle w:val="TableText0"/>
                    <w:keepNext w:val="0"/>
                    <w:widowControl w:val="0"/>
                    <w:jc w:val="center"/>
                  </w:pPr>
                  <w:r w:rsidRPr="00565C8B">
                    <w:t>n</w:t>
                  </w:r>
                </w:p>
              </w:tc>
              <w:tc>
                <w:tcPr>
                  <w:tcW w:w="644" w:type="pct"/>
                  <w:vAlign w:val="center"/>
                </w:tcPr>
                <w:p w14:paraId="0F9E845D" w14:textId="5013F0A1"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8"/>
                      <w14:textFill>
                        <w14:solidFill>
                          <w14:srgbClr w14:val="000000">
                            <w14:alpha w14:val="100000"/>
                          </w14:srgbClr>
                        </w14:solidFill>
                      </w14:textFill>
                    </w:rPr>
                    <w:t>|</w:t>
                  </w:r>
                  <w:r w:rsidRPr="00D62519">
                    <w:rPr>
                      <w:color w:val="000000"/>
                      <w:spacing w:val="1"/>
                      <w:shd w:val="solid" w:color="000000" w:fill="000000"/>
                      <w:fitText w:val="195" w:id="-961822198"/>
                      <w14:textFill>
                        <w14:solidFill>
                          <w14:srgbClr w14:val="000000">
                            <w14:alpha w14:val="100000"/>
                          </w14:srgbClr>
                        </w14:solidFill>
                      </w14:textFill>
                    </w:rPr>
                    <w:t>|</w:t>
                  </w:r>
                  <w:r w:rsidR="0001724B" w:rsidRPr="00565C8B">
                    <w:rPr>
                      <w:vertAlign w:val="superscript"/>
                    </w:rPr>
                    <w:t>2</w:t>
                  </w:r>
                </w:p>
              </w:tc>
              <w:tc>
                <w:tcPr>
                  <w:tcW w:w="644" w:type="pct"/>
                  <w:vAlign w:val="center"/>
                </w:tcPr>
                <w:p w14:paraId="4F48A80B" w14:textId="23BC262F"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7"/>
                      <w14:textFill>
                        <w14:solidFill>
                          <w14:srgbClr w14:val="000000">
                            <w14:alpha w14:val="100000"/>
                          </w14:srgbClr>
                        </w14:solidFill>
                      </w14:textFill>
                    </w:rPr>
                    <w:t>|</w:t>
                  </w:r>
                  <w:r w:rsidRPr="00D62519">
                    <w:rPr>
                      <w:color w:val="000000"/>
                      <w:spacing w:val="1"/>
                      <w:shd w:val="solid" w:color="000000" w:fill="000000"/>
                      <w:fitText w:val="195" w:id="-961822197"/>
                      <w14:textFill>
                        <w14:solidFill>
                          <w14:srgbClr w14:val="000000">
                            <w14:alpha w14:val="100000"/>
                          </w14:srgbClr>
                        </w14:solidFill>
                      </w14:textFill>
                    </w:rPr>
                    <w:t>|</w:t>
                  </w:r>
                  <w:r w:rsidR="0001724B" w:rsidRPr="00565C8B">
                    <w:rPr>
                      <w:vertAlign w:val="superscript"/>
                    </w:rPr>
                    <w:t>2</w:t>
                  </w:r>
                </w:p>
              </w:tc>
              <w:tc>
                <w:tcPr>
                  <w:tcW w:w="644" w:type="pct"/>
                  <w:vAlign w:val="center"/>
                </w:tcPr>
                <w:p w14:paraId="31639A0B" w14:textId="0EFDBB66"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6"/>
                      <w14:textFill>
                        <w14:solidFill>
                          <w14:srgbClr w14:val="000000">
                            <w14:alpha w14:val="100000"/>
                          </w14:srgbClr>
                        </w14:solidFill>
                      </w14:textFill>
                    </w:rPr>
                    <w:t>|</w:t>
                  </w:r>
                  <w:r w:rsidRPr="00D62519">
                    <w:rPr>
                      <w:color w:val="000000"/>
                      <w:spacing w:val="1"/>
                      <w:shd w:val="solid" w:color="000000" w:fill="000000"/>
                      <w:fitText w:val="195" w:id="-961822196"/>
                      <w14:textFill>
                        <w14:solidFill>
                          <w14:srgbClr w14:val="000000">
                            <w14:alpha w14:val="100000"/>
                          </w14:srgbClr>
                        </w14:solidFill>
                      </w14:textFill>
                    </w:rPr>
                    <w:t>|</w:t>
                  </w:r>
                  <w:r w:rsidR="0001724B" w:rsidRPr="00565C8B">
                    <w:rPr>
                      <w:vertAlign w:val="superscript"/>
                    </w:rPr>
                    <w:t>2</w:t>
                  </w:r>
                </w:p>
              </w:tc>
              <w:tc>
                <w:tcPr>
                  <w:tcW w:w="644" w:type="pct"/>
                  <w:vAlign w:val="center"/>
                </w:tcPr>
                <w:p w14:paraId="55196EFD" w14:textId="6156F59D"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5"/>
                      <w14:textFill>
                        <w14:solidFill>
                          <w14:srgbClr w14:val="000000">
                            <w14:alpha w14:val="100000"/>
                          </w14:srgbClr>
                        </w14:solidFill>
                      </w14:textFill>
                    </w:rPr>
                    <w:t>|</w:t>
                  </w:r>
                  <w:r w:rsidRPr="00D62519">
                    <w:rPr>
                      <w:color w:val="000000"/>
                      <w:spacing w:val="1"/>
                      <w:shd w:val="solid" w:color="000000" w:fill="000000"/>
                      <w:fitText w:val="195" w:id="-961822195"/>
                      <w14:textFill>
                        <w14:solidFill>
                          <w14:srgbClr w14:val="000000">
                            <w14:alpha w14:val="100000"/>
                          </w14:srgbClr>
                        </w14:solidFill>
                      </w14:textFill>
                    </w:rPr>
                    <w:t>|</w:t>
                  </w:r>
                  <w:r w:rsidR="0001724B" w:rsidRPr="00565C8B">
                    <w:rPr>
                      <w:vertAlign w:val="superscript"/>
                    </w:rPr>
                    <w:t>2</w:t>
                  </w:r>
                </w:p>
              </w:tc>
              <w:tc>
                <w:tcPr>
                  <w:tcW w:w="644" w:type="pct"/>
                  <w:vAlign w:val="center"/>
                </w:tcPr>
                <w:p w14:paraId="4BC3B554" w14:textId="5CE3CE28"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4"/>
                      <w14:textFill>
                        <w14:solidFill>
                          <w14:srgbClr w14:val="000000">
                            <w14:alpha w14:val="100000"/>
                          </w14:srgbClr>
                        </w14:solidFill>
                      </w14:textFill>
                    </w:rPr>
                    <w:t>|</w:t>
                  </w:r>
                  <w:r w:rsidRPr="00D62519">
                    <w:rPr>
                      <w:color w:val="000000"/>
                      <w:spacing w:val="1"/>
                      <w:shd w:val="solid" w:color="000000" w:fill="000000"/>
                      <w:fitText w:val="195" w:id="-961822194"/>
                      <w14:textFill>
                        <w14:solidFill>
                          <w14:srgbClr w14:val="000000">
                            <w14:alpha w14:val="100000"/>
                          </w14:srgbClr>
                        </w14:solidFill>
                      </w14:textFill>
                    </w:rPr>
                    <w:t>|</w:t>
                  </w:r>
                  <w:r w:rsidR="0001724B" w:rsidRPr="00565C8B">
                    <w:rPr>
                      <w:vertAlign w:val="superscript"/>
                    </w:rPr>
                    <w:t>2</w:t>
                  </w:r>
                </w:p>
              </w:tc>
              <w:tc>
                <w:tcPr>
                  <w:tcW w:w="710" w:type="pct"/>
                  <w:vAlign w:val="center"/>
                </w:tcPr>
                <w:p w14:paraId="2E10340E" w14:textId="3711B277" w:rsidR="006034A4" w:rsidRPr="00565C8B" w:rsidRDefault="00D62519" w:rsidP="00544B08">
                  <w:pPr>
                    <w:pStyle w:val="TableText0"/>
                    <w:keepNext w:val="0"/>
                    <w:widowControl w:val="0"/>
                    <w:jc w:val="center"/>
                    <w:rPr>
                      <w:highlight w:val="lightGray"/>
                    </w:rPr>
                  </w:pPr>
                  <w:r w:rsidRPr="00D62519">
                    <w:rPr>
                      <w:color w:val="000000"/>
                      <w:spacing w:val="94"/>
                      <w:shd w:val="solid" w:color="000000" w:fill="000000"/>
                      <w:fitText w:val="180" w:id="-961822193"/>
                      <w14:textFill>
                        <w14:solidFill>
                          <w14:srgbClr w14:val="000000">
                            <w14:alpha w14:val="100000"/>
                          </w14:srgbClr>
                        </w14:solidFill>
                      </w14:textFill>
                    </w:rPr>
                    <w:t>|</w:t>
                  </w:r>
                  <w:r w:rsidRPr="00D62519">
                    <w:rPr>
                      <w:color w:val="000000"/>
                      <w:spacing w:val="1"/>
                      <w:shd w:val="solid" w:color="000000" w:fill="000000"/>
                      <w:fitText w:val="180" w:id="-961822193"/>
                      <w14:textFill>
                        <w14:solidFill>
                          <w14:srgbClr w14:val="000000">
                            <w14:alpha w14:val="100000"/>
                          </w14:srgbClr>
                        </w14:solidFill>
                      </w14:textFill>
                    </w:rPr>
                    <w:t>|</w:t>
                  </w:r>
                  <w:r w:rsidR="0001724B" w:rsidRPr="00565C8B">
                    <w:rPr>
                      <w:vertAlign w:val="superscript"/>
                    </w:rPr>
                    <w:t>2</w:t>
                  </w:r>
                </w:p>
              </w:tc>
            </w:tr>
          </w:tbl>
          <w:p w14:paraId="10C76064" w14:textId="7EF00610" w:rsidR="006034A4" w:rsidRPr="006E4BFC" w:rsidRDefault="006034A4" w:rsidP="00544B08">
            <w:pPr>
              <w:pStyle w:val="TableText0"/>
              <w:keepNext w:val="0"/>
              <w:widowControl w:val="0"/>
            </w:pPr>
            <w:r w:rsidRPr="006E4BFC">
              <w:rPr>
                <w:szCs w:val="20"/>
              </w:rPr>
              <w:t xml:space="preserve">The 7% prevalence rate was derived from the olaparib PSD (para 4.4, olaparib, PSD, November 2021). The submission argued that, given the influence of the availability of targeted treatments like OLA and TAL on PBS in driving genetic testing rates in mCRPC, it </w:t>
            </w:r>
            <w:r w:rsidR="00192F3A" w:rsidRPr="006E4BFC">
              <w:rPr>
                <w:szCs w:val="20"/>
              </w:rPr>
              <w:t xml:space="preserve">might be </w:t>
            </w:r>
            <w:r w:rsidRPr="006E4BFC">
              <w:rPr>
                <w:szCs w:val="20"/>
              </w:rPr>
              <w:t>reasonable to anticipate an increase in the prevalence estimate over the next six years.</w:t>
            </w:r>
          </w:p>
        </w:tc>
        <w:tc>
          <w:tcPr>
            <w:tcW w:w="2276" w:type="pct"/>
            <w:shd w:val="clear" w:color="auto" w:fill="auto"/>
          </w:tcPr>
          <w:p w14:paraId="4BC991AD" w14:textId="607A6DF6" w:rsidR="006034A4" w:rsidRPr="006E4BFC" w:rsidRDefault="00053FA7" w:rsidP="00544B08">
            <w:pPr>
              <w:pStyle w:val="TableText0"/>
              <w:keepNext w:val="0"/>
              <w:widowControl w:val="0"/>
            </w:pPr>
            <w:r w:rsidRPr="006E4BFC">
              <w:rPr>
                <w:szCs w:val="20"/>
              </w:rPr>
              <w:t xml:space="preserve">This was uncertain, increased testing is unlikely to increase true prevalence of patients with </w:t>
            </w:r>
            <w:r w:rsidRPr="006E4BFC">
              <w:rPr>
                <w:i/>
                <w:iCs/>
                <w:szCs w:val="20"/>
              </w:rPr>
              <w:t>BRCA1/2</w:t>
            </w:r>
            <w:r w:rsidRPr="006E4BFC">
              <w:rPr>
                <w:szCs w:val="20"/>
              </w:rPr>
              <w:t xml:space="preserve">. The estimated 7% prevalence rate from PROfound was based on everyone in the trial getting tested for </w:t>
            </w:r>
            <w:r w:rsidRPr="006E4BFC">
              <w:rPr>
                <w:i/>
                <w:iCs/>
                <w:szCs w:val="20"/>
              </w:rPr>
              <w:t>BRCA1/2</w:t>
            </w:r>
            <w:r w:rsidR="003771C6" w:rsidRPr="006E4BFC">
              <w:rPr>
                <w:szCs w:val="20"/>
              </w:rPr>
              <w:t xml:space="preserve">. </w:t>
            </w:r>
            <w:r w:rsidR="00F13554" w:rsidRPr="006E4BFC">
              <w:rPr>
                <w:szCs w:val="20"/>
              </w:rPr>
              <w:t xml:space="preserve">The PSCR provided revised estimates that applied a </w:t>
            </w:r>
            <w:r w:rsidRPr="006E4BFC">
              <w:rPr>
                <w:szCs w:val="20"/>
              </w:rPr>
              <w:t xml:space="preserve">constant </w:t>
            </w:r>
            <w:r w:rsidRPr="006E4BFC">
              <w:rPr>
                <w:i/>
                <w:iCs/>
                <w:szCs w:val="20"/>
              </w:rPr>
              <w:t>BRCA1/2</w:t>
            </w:r>
            <w:r w:rsidRPr="006E4BFC">
              <w:rPr>
                <w:szCs w:val="20"/>
              </w:rPr>
              <w:t xml:space="preserve"> prevalence of 7%</w:t>
            </w:r>
            <w:r w:rsidR="00F13554" w:rsidRPr="006E4BFC">
              <w:rPr>
                <w:szCs w:val="20"/>
              </w:rPr>
              <w:t>.</w:t>
            </w:r>
            <w:r w:rsidRPr="006E4BFC">
              <w:rPr>
                <w:szCs w:val="20"/>
              </w:rPr>
              <w:t xml:space="preserve"> </w:t>
            </w:r>
          </w:p>
        </w:tc>
      </w:tr>
      <w:tr w:rsidR="00BD4EAE" w:rsidRPr="005A293B" w14:paraId="4AB3CFB1" w14:textId="77777777" w:rsidTr="00E97B08">
        <w:trPr>
          <w:cantSplit/>
          <w:trHeight w:val="20"/>
        </w:trPr>
        <w:tc>
          <w:tcPr>
            <w:tcW w:w="5000" w:type="pct"/>
            <w:gridSpan w:val="3"/>
            <w:shd w:val="clear" w:color="auto" w:fill="auto"/>
            <w:vAlign w:val="center"/>
          </w:tcPr>
          <w:p w14:paraId="3BD3E2E2" w14:textId="77777777" w:rsidR="006034A4" w:rsidRPr="006E4BFC" w:rsidRDefault="006034A4" w:rsidP="00544B08">
            <w:pPr>
              <w:pStyle w:val="TableText0"/>
              <w:keepNext w:val="0"/>
              <w:widowControl w:val="0"/>
            </w:pPr>
            <w:r w:rsidRPr="006E4BFC">
              <w:rPr>
                <w:rFonts w:cs="Times New Roman"/>
                <w:b/>
                <w:lang w:eastAsia="en-GB"/>
              </w:rPr>
              <w:t>Treatment utilisation</w:t>
            </w:r>
          </w:p>
        </w:tc>
      </w:tr>
      <w:tr w:rsidR="00210C6E" w:rsidRPr="005A293B" w14:paraId="4F771B1D" w14:textId="77777777" w:rsidTr="00E97B08">
        <w:trPr>
          <w:cantSplit/>
          <w:trHeight w:val="20"/>
        </w:trPr>
        <w:tc>
          <w:tcPr>
            <w:tcW w:w="496" w:type="pct"/>
            <w:shd w:val="clear" w:color="auto" w:fill="auto"/>
            <w:vAlign w:val="center"/>
          </w:tcPr>
          <w:p w14:paraId="6F33A01A" w14:textId="77777777" w:rsidR="006034A4" w:rsidRPr="006E4BFC" w:rsidRDefault="006034A4" w:rsidP="00544B08">
            <w:pPr>
              <w:pStyle w:val="TableText0"/>
              <w:keepNext w:val="0"/>
              <w:widowControl w:val="0"/>
            </w:pPr>
            <w:r w:rsidRPr="006E4BFC">
              <w:t>Uptake rate</w:t>
            </w:r>
          </w:p>
        </w:tc>
        <w:tc>
          <w:tcPr>
            <w:tcW w:w="2228" w:type="pct"/>
            <w:shd w:val="clear" w:color="auto" w:fill="auto"/>
            <w:vAlign w:val="center"/>
          </w:tcPr>
          <w:tbl>
            <w:tblPr>
              <w:tblStyle w:val="TableGrid"/>
              <w:tblW w:w="0" w:type="auto"/>
              <w:tblCellMar>
                <w:left w:w="28" w:type="dxa"/>
                <w:right w:w="28" w:type="dxa"/>
              </w:tblCellMar>
              <w:tblLook w:val="04A0" w:firstRow="1" w:lastRow="0" w:firstColumn="1" w:lastColumn="0" w:noHBand="0" w:noVBand="1"/>
            </w:tblPr>
            <w:tblGrid>
              <w:gridCol w:w="645"/>
              <w:gridCol w:w="438"/>
              <w:gridCol w:w="425"/>
              <w:gridCol w:w="424"/>
              <w:gridCol w:w="421"/>
              <w:gridCol w:w="540"/>
              <w:gridCol w:w="693"/>
            </w:tblGrid>
            <w:tr w:rsidR="006034A4" w:rsidRPr="008C0BA8" w14:paraId="5A4D0972" w14:textId="77777777" w:rsidTr="00D62519">
              <w:trPr>
                <w:trHeight w:val="20"/>
              </w:trPr>
              <w:tc>
                <w:tcPr>
                  <w:tcW w:w="645" w:type="dxa"/>
                  <w:vAlign w:val="center"/>
                </w:tcPr>
                <w:p w14:paraId="2A91E761" w14:textId="77777777" w:rsidR="006034A4" w:rsidRPr="00565C8B" w:rsidRDefault="006034A4" w:rsidP="00544B08">
                  <w:pPr>
                    <w:pStyle w:val="TableText0"/>
                    <w:keepNext w:val="0"/>
                    <w:widowControl w:val="0"/>
                    <w:jc w:val="center"/>
                    <w:rPr>
                      <w:szCs w:val="20"/>
                    </w:rPr>
                  </w:pPr>
                </w:p>
              </w:tc>
              <w:tc>
                <w:tcPr>
                  <w:tcW w:w="438" w:type="dxa"/>
                  <w:vAlign w:val="center"/>
                </w:tcPr>
                <w:p w14:paraId="3A66374D" w14:textId="77777777" w:rsidR="006034A4" w:rsidRPr="00565C8B" w:rsidRDefault="006034A4" w:rsidP="00544B08">
                  <w:pPr>
                    <w:pStyle w:val="TableText0"/>
                    <w:keepNext w:val="0"/>
                    <w:widowControl w:val="0"/>
                    <w:jc w:val="center"/>
                    <w:rPr>
                      <w:szCs w:val="20"/>
                    </w:rPr>
                  </w:pPr>
                  <w:r w:rsidRPr="00565C8B">
                    <w:rPr>
                      <w:szCs w:val="20"/>
                    </w:rPr>
                    <w:t>2024</w:t>
                  </w:r>
                </w:p>
              </w:tc>
              <w:tc>
                <w:tcPr>
                  <w:tcW w:w="425" w:type="dxa"/>
                  <w:vAlign w:val="center"/>
                </w:tcPr>
                <w:p w14:paraId="7E644E40" w14:textId="77777777" w:rsidR="006034A4" w:rsidRPr="00565C8B" w:rsidRDefault="006034A4" w:rsidP="00544B08">
                  <w:pPr>
                    <w:pStyle w:val="TableText0"/>
                    <w:keepNext w:val="0"/>
                    <w:widowControl w:val="0"/>
                    <w:jc w:val="center"/>
                    <w:rPr>
                      <w:szCs w:val="20"/>
                    </w:rPr>
                  </w:pPr>
                  <w:r w:rsidRPr="00565C8B">
                    <w:rPr>
                      <w:szCs w:val="20"/>
                    </w:rPr>
                    <w:t>2025</w:t>
                  </w:r>
                </w:p>
              </w:tc>
              <w:tc>
                <w:tcPr>
                  <w:tcW w:w="424" w:type="dxa"/>
                  <w:vAlign w:val="center"/>
                </w:tcPr>
                <w:p w14:paraId="691ADFD0" w14:textId="77777777" w:rsidR="006034A4" w:rsidRPr="00565C8B" w:rsidRDefault="006034A4" w:rsidP="00544B08">
                  <w:pPr>
                    <w:pStyle w:val="TableText0"/>
                    <w:keepNext w:val="0"/>
                    <w:widowControl w:val="0"/>
                    <w:jc w:val="center"/>
                    <w:rPr>
                      <w:szCs w:val="20"/>
                    </w:rPr>
                  </w:pPr>
                  <w:r w:rsidRPr="00565C8B">
                    <w:rPr>
                      <w:szCs w:val="20"/>
                    </w:rPr>
                    <w:t>2026</w:t>
                  </w:r>
                </w:p>
              </w:tc>
              <w:tc>
                <w:tcPr>
                  <w:tcW w:w="421" w:type="dxa"/>
                  <w:vAlign w:val="center"/>
                </w:tcPr>
                <w:p w14:paraId="4709246D" w14:textId="77777777" w:rsidR="006034A4" w:rsidRPr="00565C8B" w:rsidRDefault="006034A4" w:rsidP="00544B08">
                  <w:pPr>
                    <w:pStyle w:val="TableText0"/>
                    <w:keepNext w:val="0"/>
                    <w:widowControl w:val="0"/>
                    <w:jc w:val="center"/>
                    <w:rPr>
                      <w:szCs w:val="20"/>
                    </w:rPr>
                  </w:pPr>
                  <w:r w:rsidRPr="00565C8B">
                    <w:rPr>
                      <w:szCs w:val="20"/>
                    </w:rPr>
                    <w:t>2027</w:t>
                  </w:r>
                </w:p>
              </w:tc>
              <w:tc>
                <w:tcPr>
                  <w:tcW w:w="540" w:type="dxa"/>
                  <w:vAlign w:val="center"/>
                </w:tcPr>
                <w:p w14:paraId="44C738B9" w14:textId="77777777" w:rsidR="006034A4" w:rsidRPr="00565C8B" w:rsidRDefault="006034A4" w:rsidP="00544B08">
                  <w:pPr>
                    <w:pStyle w:val="TableText0"/>
                    <w:keepNext w:val="0"/>
                    <w:widowControl w:val="0"/>
                    <w:jc w:val="center"/>
                    <w:rPr>
                      <w:szCs w:val="20"/>
                    </w:rPr>
                  </w:pPr>
                  <w:r w:rsidRPr="00565C8B">
                    <w:rPr>
                      <w:szCs w:val="20"/>
                    </w:rPr>
                    <w:t>2028</w:t>
                  </w:r>
                </w:p>
              </w:tc>
              <w:tc>
                <w:tcPr>
                  <w:tcW w:w="693" w:type="dxa"/>
                  <w:vAlign w:val="center"/>
                </w:tcPr>
                <w:p w14:paraId="29D7E3DB" w14:textId="77777777" w:rsidR="006034A4" w:rsidRPr="00565C8B" w:rsidRDefault="006034A4" w:rsidP="00544B08">
                  <w:pPr>
                    <w:pStyle w:val="TableText0"/>
                    <w:keepNext w:val="0"/>
                    <w:widowControl w:val="0"/>
                    <w:jc w:val="center"/>
                    <w:rPr>
                      <w:szCs w:val="20"/>
                    </w:rPr>
                  </w:pPr>
                  <w:r w:rsidRPr="00565C8B">
                    <w:rPr>
                      <w:szCs w:val="20"/>
                    </w:rPr>
                    <w:t>2029</w:t>
                  </w:r>
                </w:p>
              </w:tc>
            </w:tr>
            <w:tr w:rsidR="006034A4" w:rsidRPr="008C0BA8" w14:paraId="6C328BE5" w14:textId="77777777" w:rsidTr="00D62519">
              <w:trPr>
                <w:trHeight w:val="20"/>
              </w:trPr>
              <w:tc>
                <w:tcPr>
                  <w:tcW w:w="645" w:type="dxa"/>
                  <w:vAlign w:val="center"/>
                </w:tcPr>
                <w:p w14:paraId="58703FCA" w14:textId="77777777" w:rsidR="006034A4" w:rsidRPr="00565C8B" w:rsidRDefault="006034A4" w:rsidP="00544B08">
                  <w:pPr>
                    <w:pStyle w:val="TableText0"/>
                    <w:keepNext w:val="0"/>
                    <w:widowControl w:val="0"/>
                    <w:jc w:val="center"/>
                    <w:rPr>
                      <w:szCs w:val="20"/>
                    </w:rPr>
                  </w:pPr>
                  <w:r w:rsidRPr="00565C8B">
                    <w:rPr>
                      <w:szCs w:val="20"/>
                    </w:rPr>
                    <w:t>Uptake (%)</w:t>
                  </w:r>
                </w:p>
              </w:tc>
              <w:tc>
                <w:tcPr>
                  <w:tcW w:w="438" w:type="dxa"/>
                  <w:vAlign w:val="center"/>
                </w:tcPr>
                <w:p w14:paraId="654C1F5E" w14:textId="6D0CE91F" w:rsidR="006034A4" w:rsidRPr="00565C8B" w:rsidRDefault="00565C8B" w:rsidP="00544B08">
                  <w:pPr>
                    <w:pStyle w:val="TableText0"/>
                    <w:keepNext w:val="0"/>
                    <w:widowControl w:val="0"/>
                    <w:jc w:val="center"/>
                    <w:rPr>
                      <w:szCs w:val="20"/>
                      <w:highlight w:val="darkGray"/>
                    </w:rPr>
                  </w:pPr>
                  <w:r w:rsidRPr="00565C8B">
                    <w:rPr>
                      <w:szCs w:val="20"/>
                    </w:rPr>
                    <w:t xml:space="preserve">  </w:t>
                  </w:r>
                  <w:r w:rsidR="00D62519" w:rsidRPr="00D62519">
                    <w:rPr>
                      <w:color w:val="000000"/>
                      <w:spacing w:val="109"/>
                      <w:szCs w:val="20"/>
                      <w:shd w:val="solid" w:color="000000" w:fill="000000"/>
                      <w:fitText w:val="195" w:id="-961822192"/>
                      <w14:textFill>
                        <w14:solidFill>
                          <w14:srgbClr w14:val="000000">
                            <w14:alpha w14:val="100000"/>
                          </w14:srgbClr>
                        </w14:solidFill>
                      </w14:textFill>
                    </w:rPr>
                    <w:t>|</w:t>
                  </w:r>
                  <w:r w:rsidR="00D62519" w:rsidRPr="00D62519">
                    <w:rPr>
                      <w:color w:val="000000"/>
                      <w:spacing w:val="1"/>
                      <w:szCs w:val="20"/>
                      <w:shd w:val="solid" w:color="000000" w:fill="000000"/>
                      <w:fitText w:val="195" w:id="-961822192"/>
                      <w14:textFill>
                        <w14:solidFill>
                          <w14:srgbClr w14:val="000000">
                            <w14:alpha w14:val="100000"/>
                          </w14:srgbClr>
                        </w14:solidFill>
                      </w14:textFill>
                    </w:rPr>
                    <w:t>|</w:t>
                  </w:r>
                </w:p>
              </w:tc>
              <w:tc>
                <w:tcPr>
                  <w:tcW w:w="425" w:type="dxa"/>
                  <w:vAlign w:val="center"/>
                </w:tcPr>
                <w:p w14:paraId="345C4412" w14:textId="5AA6E9DC" w:rsidR="006034A4" w:rsidRPr="00565C8B" w:rsidRDefault="00565C8B" w:rsidP="00544B08">
                  <w:pPr>
                    <w:pStyle w:val="TableText0"/>
                    <w:keepNext w:val="0"/>
                    <w:widowControl w:val="0"/>
                    <w:jc w:val="center"/>
                    <w:rPr>
                      <w:szCs w:val="20"/>
                      <w:highlight w:val="darkGray"/>
                    </w:rPr>
                  </w:pPr>
                  <w:r w:rsidRPr="00565C8B">
                    <w:rPr>
                      <w:szCs w:val="20"/>
                    </w:rPr>
                    <w:t xml:space="preserve">  </w:t>
                  </w:r>
                  <w:r w:rsidR="00D62519" w:rsidRPr="00D62519">
                    <w:rPr>
                      <w:color w:val="000000"/>
                      <w:spacing w:val="109"/>
                      <w:szCs w:val="20"/>
                      <w:shd w:val="solid" w:color="000000" w:fill="000000"/>
                      <w:fitText w:val="195" w:id="-961822208"/>
                      <w14:textFill>
                        <w14:solidFill>
                          <w14:srgbClr w14:val="000000">
                            <w14:alpha w14:val="100000"/>
                          </w14:srgbClr>
                        </w14:solidFill>
                      </w14:textFill>
                    </w:rPr>
                    <w:t>|</w:t>
                  </w:r>
                  <w:r w:rsidR="00D62519" w:rsidRPr="00D62519">
                    <w:rPr>
                      <w:color w:val="000000"/>
                      <w:spacing w:val="1"/>
                      <w:szCs w:val="20"/>
                      <w:shd w:val="solid" w:color="000000" w:fill="000000"/>
                      <w:fitText w:val="195" w:id="-961822208"/>
                      <w14:textFill>
                        <w14:solidFill>
                          <w14:srgbClr w14:val="000000">
                            <w14:alpha w14:val="100000"/>
                          </w14:srgbClr>
                        </w14:solidFill>
                      </w14:textFill>
                    </w:rPr>
                    <w:t>|</w:t>
                  </w:r>
                </w:p>
              </w:tc>
              <w:tc>
                <w:tcPr>
                  <w:tcW w:w="424" w:type="dxa"/>
                  <w:vAlign w:val="center"/>
                </w:tcPr>
                <w:p w14:paraId="52AC4818" w14:textId="1BB39B2F" w:rsidR="006034A4" w:rsidRPr="00565C8B" w:rsidRDefault="00565C8B" w:rsidP="00544B08">
                  <w:pPr>
                    <w:pStyle w:val="TableText0"/>
                    <w:keepNext w:val="0"/>
                    <w:widowControl w:val="0"/>
                    <w:jc w:val="center"/>
                    <w:rPr>
                      <w:szCs w:val="20"/>
                      <w:highlight w:val="darkGray"/>
                    </w:rPr>
                  </w:pPr>
                  <w:r w:rsidRPr="00565C8B">
                    <w:rPr>
                      <w:szCs w:val="20"/>
                    </w:rPr>
                    <w:t xml:space="preserve">  </w:t>
                  </w:r>
                  <w:r w:rsidR="00D62519" w:rsidRPr="00D62519">
                    <w:rPr>
                      <w:color w:val="000000"/>
                      <w:spacing w:val="109"/>
                      <w:szCs w:val="20"/>
                      <w:shd w:val="solid" w:color="000000" w:fill="000000"/>
                      <w:fitText w:val="195" w:id="-961822207"/>
                      <w14:textFill>
                        <w14:solidFill>
                          <w14:srgbClr w14:val="000000">
                            <w14:alpha w14:val="100000"/>
                          </w14:srgbClr>
                        </w14:solidFill>
                      </w14:textFill>
                    </w:rPr>
                    <w:t>|</w:t>
                  </w:r>
                  <w:r w:rsidR="00D62519" w:rsidRPr="00D62519">
                    <w:rPr>
                      <w:color w:val="000000"/>
                      <w:spacing w:val="1"/>
                      <w:szCs w:val="20"/>
                      <w:shd w:val="solid" w:color="000000" w:fill="000000"/>
                      <w:fitText w:val="195" w:id="-961822207"/>
                      <w14:textFill>
                        <w14:solidFill>
                          <w14:srgbClr w14:val="000000">
                            <w14:alpha w14:val="100000"/>
                          </w14:srgbClr>
                        </w14:solidFill>
                      </w14:textFill>
                    </w:rPr>
                    <w:t>|</w:t>
                  </w:r>
                </w:p>
              </w:tc>
              <w:tc>
                <w:tcPr>
                  <w:tcW w:w="421" w:type="dxa"/>
                  <w:vAlign w:val="center"/>
                </w:tcPr>
                <w:p w14:paraId="3656AD97" w14:textId="79833469" w:rsidR="006034A4" w:rsidRPr="00565C8B" w:rsidRDefault="00565C8B" w:rsidP="00544B08">
                  <w:pPr>
                    <w:pStyle w:val="TableText0"/>
                    <w:keepNext w:val="0"/>
                    <w:widowControl w:val="0"/>
                    <w:jc w:val="center"/>
                    <w:rPr>
                      <w:szCs w:val="20"/>
                      <w:highlight w:val="darkGray"/>
                    </w:rPr>
                  </w:pPr>
                  <w:r w:rsidRPr="00565C8B">
                    <w:rPr>
                      <w:szCs w:val="20"/>
                    </w:rPr>
                    <w:t xml:space="preserve">  </w:t>
                  </w:r>
                  <w:r w:rsidR="00D62519" w:rsidRPr="00D62519">
                    <w:rPr>
                      <w:color w:val="000000"/>
                      <w:spacing w:val="109"/>
                      <w:szCs w:val="20"/>
                      <w:shd w:val="solid" w:color="000000" w:fill="000000"/>
                      <w:fitText w:val="195" w:id="-961822206"/>
                      <w14:textFill>
                        <w14:solidFill>
                          <w14:srgbClr w14:val="000000">
                            <w14:alpha w14:val="100000"/>
                          </w14:srgbClr>
                        </w14:solidFill>
                      </w14:textFill>
                    </w:rPr>
                    <w:t>|</w:t>
                  </w:r>
                  <w:r w:rsidR="00D62519" w:rsidRPr="00D62519">
                    <w:rPr>
                      <w:color w:val="000000"/>
                      <w:spacing w:val="1"/>
                      <w:szCs w:val="20"/>
                      <w:shd w:val="solid" w:color="000000" w:fill="000000"/>
                      <w:fitText w:val="195" w:id="-961822206"/>
                      <w14:textFill>
                        <w14:solidFill>
                          <w14:srgbClr w14:val="000000">
                            <w14:alpha w14:val="100000"/>
                          </w14:srgbClr>
                        </w14:solidFill>
                      </w14:textFill>
                    </w:rPr>
                    <w:t>|</w:t>
                  </w:r>
                  <w:r w:rsidRPr="00565C8B">
                    <w:rPr>
                      <w:szCs w:val="20"/>
                    </w:rPr>
                    <w:t xml:space="preserve"> </w:t>
                  </w:r>
                </w:p>
              </w:tc>
              <w:tc>
                <w:tcPr>
                  <w:tcW w:w="540" w:type="dxa"/>
                  <w:vAlign w:val="center"/>
                </w:tcPr>
                <w:p w14:paraId="364E50C6" w14:textId="1E4A0F43" w:rsidR="006034A4" w:rsidRPr="00565C8B" w:rsidRDefault="00565C8B" w:rsidP="00544B08">
                  <w:pPr>
                    <w:pStyle w:val="TableText0"/>
                    <w:keepNext w:val="0"/>
                    <w:widowControl w:val="0"/>
                    <w:jc w:val="center"/>
                    <w:rPr>
                      <w:szCs w:val="20"/>
                      <w:highlight w:val="darkGray"/>
                    </w:rPr>
                  </w:pPr>
                  <w:r w:rsidRPr="00565C8B">
                    <w:rPr>
                      <w:szCs w:val="20"/>
                    </w:rPr>
                    <w:t xml:space="preserve"> </w:t>
                  </w:r>
                  <w:r w:rsidR="00D62519" w:rsidRPr="00D62519">
                    <w:rPr>
                      <w:color w:val="000000"/>
                      <w:spacing w:val="79"/>
                      <w:szCs w:val="20"/>
                      <w:shd w:val="solid" w:color="000000" w:fill="000000"/>
                      <w:fitText w:val="165" w:id="-961822205"/>
                      <w14:textFill>
                        <w14:solidFill>
                          <w14:srgbClr w14:val="000000">
                            <w14:alpha w14:val="100000"/>
                          </w14:srgbClr>
                        </w14:solidFill>
                      </w14:textFill>
                    </w:rPr>
                    <w:t>|</w:t>
                  </w:r>
                  <w:r w:rsidR="00D62519" w:rsidRPr="00D62519">
                    <w:rPr>
                      <w:color w:val="000000"/>
                      <w:spacing w:val="1"/>
                      <w:szCs w:val="20"/>
                      <w:shd w:val="solid" w:color="000000" w:fill="000000"/>
                      <w:fitText w:val="165" w:id="-961822205"/>
                      <w14:textFill>
                        <w14:solidFill>
                          <w14:srgbClr w14:val="000000">
                            <w14:alpha w14:val="100000"/>
                          </w14:srgbClr>
                        </w14:solidFill>
                      </w14:textFill>
                    </w:rPr>
                    <w:t>|</w:t>
                  </w:r>
                  <w:r w:rsidRPr="00565C8B">
                    <w:rPr>
                      <w:szCs w:val="20"/>
                    </w:rPr>
                    <w:t xml:space="preserve"> </w:t>
                  </w:r>
                </w:p>
              </w:tc>
              <w:tc>
                <w:tcPr>
                  <w:tcW w:w="693" w:type="dxa"/>
                  <w:vAlign w:val="center"/>
                </w:tcPr>
                <w:p w14:paraId="757D8A60" w14:textId="7C3324FD" w:rsidR="006034A4" w:rsidRPr="00565C8B" w:rsidRDefault="00565C8B" w:rsidP="00544B08">
                  <w:pPr>
                    <w:pStyle w:val="TableText0"/>
                    <w:keepNext w:val="0"/>
                    <w:widowControl w:val="0"/>
                    <w:jc w:val="center"/>
                    <w:rPr>
                      <w:szCs w:val="20"/>
                      <w:highlight w:val="darkGray"/>
                    </w:rPr>
                  </w:pPr>
                  <w:r w:rsidRPr="00565C8B">
                    <w:rPr>
                      <w:szCs w:val="20"/>
                    </w:rPr>
                    <w:t xml:space="preserve"> </w:t>
                  </w:r>
                  <w:r w:rsidR="00D62519" w:rsidRPr="00D62519">
                    <w:rPr>
                      <w:color w:val="000000"/>
                      <w:szCs w:val="20"/>
                      <w:shd w:val="solid" w:color="000000" w:fill="000000"/>
                      <w14:textFill>
                        <w14:solidFill>
                          <w14:srgbClr w14:val="000000">
                            <w14:alpha w14:val="100000"/>
                          </w14:srgbClr>
                        </w14:solidFill>
                      </w14:textFill>
                    </w:rPr>
                    <w:t>|</w:t>
                  </w:r>
                  <w:r w:rsidRPr="00565C8B">
                    <w:rPr>
                      <w:szCs w:val="20"/>
                    </w:rPr>
                    <w:t xml:space="preserve"> </w:t>
                  </w:r>
                </w:p>
              </w:tc>
            </w:tr>
            <w:tr w:rsidR="006034A4" w:rsidRPr="008C0BA8" w14:paraId="118BAE38" w14:textId="77777777" w:rsidTr="00D62519">
              <w:trPr>
                <w:trHeight w:val="20"/>
              </w:trPr>
              <w:tc>
                <w:tcPr>
                  <w:tcW w:w="645" w:type="dxa"/>
                  <w:vAlign w:val="center"/>
                </w:tcPr>
                <w:p w14:paraId="6A2DB651" w14:textId="77777777" w:rsidR="006034A4" w:rsidRPr="00565C8B" w:rsidRDefault="006034A4" w:rsidP="00544B08">
                  <w:pPr>
                    <w:pStyle w:val="TableText0"/>
                    <w:keepNext w:val="0"/>
                    <w:widowControl w:val="0"/>
                    <w:jc w:val="center"/>
                    <w:rPr>
                      <w:szCs w:val="20"/>
                    </w:rPr>
                  </w:pPr>
                  <w:r w:rsidRPr="00565C8B">
                    <w:rPr>
                      <w:szCs w:val="20"/>
                    </w:rPr>
                    <w:t>n</w:t>
                  </w:r>
                </w:p>
              </w:tc>
              <w:tc>
                <w:tcPr>
                  <w:tcW w:w="438" w:type="dxa"/>
                  <w:vAlign w:val="center"/>
                </w:tcPr>
                <w:p w14:paraId="76B83171" w14:textId="63A550BC" w:rsidR="006034A4" w:rsidRPr="00565C8B" w:rsidRDefault="00D62519" w:rsidP="00544B08">
                  <w:pPr>
                    <w:pStyle w:val="TableText0"/>
                    <w:keepNext w:val="0"/>
                    <w:widowControl w:val="0"/>
                    <w:jc w:val="center"/>
                    <w:rPr>
                      <w:szCs w:val="20"/>
                      <w:highlight w:val="lightGray"/>
                    </w:rPr>
                  </w:pPr>
                  <w:r w:rsidRPr="00D62519">
                    <w:rPr>
                      <w:color w:val="000000"/>
                      <w:spacing w:val="41"/>
                      <w:szCs w:val="20"/>
                      <w:shd w:val="solid" w:color="000000" w:fill="000000"/>
                      <w:fitText w:val="210" w:id="-961822204"/>
                      <w14:textFill>
                        <w14:solidFill>
                          <w14:srgbClr w14:val="000000">
                            <w14:alpha w14:val="100000"/>
                          </w14:srgbClr>
                        </w14:solidFill>
                      </w14:textFill>
                    </w:rPr>
                    <w:t>||</w:t>
                  </w:r>
                  <w:r w:rsidRPr="00D62519">
                    <w:rPr>
                      <w:color w:val="000000"/>
                      <w:spacing w:val="1"/>
                      <w:szCs w:val="20"/>
                      <w:shd w:val="solid" w:color="000000" w:fill="000000"/>
                      <w:fitText w:val="210" w:id="-961822204"/>
                      <w14:textFill>
                        <w14:solidFill>
                          <w14:srgbClr w14:val="000000">
                            <w14:alpha w14:val="100000"/>
                          </w14:srgbClr>
                        </w14:solidFill>
                      </w14:textFill>
                    </w:rPr>
                    <w:t>|</w:t>
                  </w:r>
                  <w:r w:rsidR="0001724B" w:rsidRPr="00565C8B">
                    <w:rPr>
                      <w:szCs w:val="20"/>
                      <w:vertAlign w:val="superscript"/>
                    </w:rPr>
                    <w:t>2</w:t>
                  </w:r>
                </w:p>
              </w:tc>
              <w:tc>
                <w:tcPr>
                  <w:tcW w:w="425" w:type="dxa"/>
                  <w:vAlign w:val="center"/>
                </w:tcPr>
                <w:p w14:paraId="134DAB19" w14:textId="422ECD40" w:rsidR="006034A4" w:rsidRPr="00565C8B" w:rsidRDefault="00D62519" w:rsidP="00544B08">
                  <w:pPr>
                    <w:pStyle w:val="TableText0"/>
                    <w:keepNext w:val="0"/>
                    <w:widowControl w:val="0"/>
                    <w:jc w:val="center"/>
                    <w:rPr>
                      <w:szCs w:val="20"/>
                      <w:highlight w:val="lightGray"/>
                    </w:rPr>
                  </w:pPr>
                  <w:r w:rsidRPr="00D62519">
                    <w:rPr>
                      <w:color w:val="000000"/>
                      <w:spacing w:val="41"/>
                      <w:szCs w:val="20"/>
                      <w:shd w:val="solid" w:color="000000" w:fill="000000"/>
                      <w:fitText w:val="210" w:id="-961822203"/>
                      <w14:textFill>
                        <w14:solidFill>
                          <w14:srgbClr w14:val="000000">
                            <w14:alpha w14:val="100000"/>
                          </w14:srgbClr>
                        </w14:solidFill>
                      </w14:textFill>
                    </w:rPr>
                    <w:t>||</w:t>
                  </w:r>
                  <w:r w:rsidRPr="00D62519">
                    <w:rPr>
                      <w:color w:val="000000"/>
                      <w:spacing w:val="1"/>
                      <w:szCs w:val="20"/>
                      <w:shd w:val="solid" w:color="000000" w:fill="000000"/>
                      <w:fitText w:val="210" w:id="-961822203"/>
                      <w14:textFill>
                        <w14:solidFill>
                          <w14:srgbClr w14:val="000000">
                            <w14:alpha w14:val="100000"/>
                          </w14:srgbClr>
                        </w14:solidFill>
                      </w14:textFill>
                    </w:rPr>
                    <w:t>|</w:t>
                  </w:r>
                  <w:r w:rsidR="0001724B" w:rsidRPr="00565C8B">
                    <w:rPr>
                      <w:szCs w:val="20"/>
                      <w:vertAlign w:val="superscript"/>
                    </w:rPr>
                    <w:t>2</w:t>
                  </w:r>
                </w:p>
              </w:tc>
              <w:tc>
                <w:tcPr>
                  <w:tcW w:w="424" w:type="dxa"/>
                  <w:vAlign w:val="center"/>
                </w:tcPr>
                <w:p w14:paraId="25A9990D" w14:textId="129F538F" w:rsidR="006034A4" w:rsidRPr="00565C8B" w:rsidRDefault="00D62519" w:rsidP="00544B08">
                  <w:pPr>
                    <w:pStyle w:val="TableText0"/>
                    <w:keepNext w:val="0"/>
                    <w:widowControl w:val="0"/>
                    <w:jc w:val="center"/>
                    <w:rPr>
                      <w:szCs w:val="20"/>
                      <w:highlight w:val="lightGray"/>
                    </w:rPr>
                  </w:pPr>
                  <w:r w:rsidRPr="00D62519">
                    <w:rPr>
                      <w:color w:val="000000"/>
                      <w:spacing w:val="41"/>
                      <w:szCs w:val="20"/>
                      <w:shd w:val="solid" w:color="000000" w:fill="000000"/>
                      <w:fitText w:val="210" w:id="-961822202"/>
                      <w14:textFill>
                        <w14:solidFill>
                          <w14:srgbClr w14:val="000000">
                            <w14:alpha w14:val="100000"/>
                          </w14:srgbClr>
                        </w14:solidFill>
                      </w14:textFill>
                    </w:rPr>
                    <w:t>||</w:t>
                  </w:r>
                  <w:r w:rsidRPr="00D62519">
                    <w:rPr>
                      <w:color w:val="000000"/>
                      <w:spacing w:val="1"/>
                      <w:szCs w:val="20"/>
                      <w:shd w:val="solid" w:color="000000" w:fill="000000"/>
                      <w:fitText w:val="210" w:id="-961822202"/>
                      <w14:textFill>
                        <w14:solidFill>
                          <w14:srgbClr w14:val="000000">
                            <w14:alpha w14:val="100000"/>
                          </w14:srgbClr>
                        </w14:solidFill>
                      </w14:textFill>
                    </w:rPr>
                    <w:t>|</w:t>
                  </w:r>
                  <w:r w:rsidR="0001724B" w:rsidRPr="00565C8B">
                    <w:rPr>
                      <w:szCs w:val="20"/>
                      <w:vertAlign w:val="superscript"/>
                    </w:rPr>
                    <w:t>2</w:t>
                  </w:r>
                </w:p>
              </w:tc>
              <w:tc>
                <w:tcPr>
                  <w:tcW w:w="421" w:type="dxa"/>
                  <w:vAlign w:val="center"/>
                </w:tcPr>
                <w:p w14:paraId="76615FAF" w14:textId="020B9144" w:rsidR="006034A4" w:rsidRPr="00565C8B" w:rsidRDefault="00D62519" w:rsidP="00544B08">
                  <w:pPr>
                    <w:pStyle w:val="TableText0"/>
                    <w:keepNext w:val="0"/>
                    <w:widowControl w:val="0"/>
                    <w:jc w:val="center"/>
                    <w:rPr>
                      <w:szCs w:val="20"/>
                      <w:highlight w:val="lightGray"/>
                    </w:rPr>
                  </w:pPr>
                  <w:r w:rsidRPr="00D62519">
                    <w:rPr>
                      <w:color w:val="000000"/>
                      <w:spacing w:val="41"/>
                      <w:szCs w:val="20"/>
                      <w:shd w:val="solid" w:color="000000" w:fill="000000"/>
                      <w:fitText w:val="210" w:id="-961822201"/>
                      <w14:textFill>
                        <w14:solidFill>
                          <w14:srgbClr w14:val="000000">
                            <w14:alpha w14:val="100000"/>
                          </w14:srgbClr>
                        </w14:solidFill>
                      </w14:textFill>
                    </w:rPr>
                    <w:t>||</w:t>
                  </w:r>
                  <w:r w:rsidRPr="00D62519">
                    <w:rPr>
                      <w:color w:val="000000"/>
                      <w:spacing w:val="1"/>
                      <w:szCs w:val="20"/>
                      <w:shd w:val="solid" w:color="000000" w:fill="000000"/>
                      <w:fitText w:val="210" w:id="-961822201"/>
                      <w14:textFill>
                        <w14:solidFill>
                          <w14:srgbClr w14:val="000000">
                            <w14:alpha w14:val="100000"/>
                          </w14:srgbClr>
                        </w14:solidFill>
                      </w14:textFill>
                    </w:rPr>
                    <w:t>|</w:t>
                  </w:r>
                  <w:r w:rsidR="0001724B" w:rsidRPr="00565C8B">
                    <w:rPr>
                      <w:szCs w:val="20"/>
                      <w:vertAlign w:val="superscript"/>
                    </w:rPr>
                    <w:t>2</w:t>
                  </w:r>
                </w:p>
              </w:tc>
              <w:tc>
                <w:tcPr>
                  <w:tcW w:w="540" w:type="dxa"/>
                  <w:vAlign w:val="center"/>
                </w:tcPr>
                <w:p w14:paraId="10A0C639" w14:textId="372EA423" w:rsidR="006034A4" w:rsidRPr="00565C8B" w:rsidRDefault="00D62519" w:rsidP="00544B08">
                  <w:pPr>
                    <w:pStyle w:val="TableText0"/>
                    <w:keepNext w:val="0"/>
                    <w:widowControl w:val="0"/>
                    <w:jc w:val="center"/>
                    <w:rPr>
                      <w:szCs w:val="20"/>
                      <w:highlight w:val="lightGray"/>
                    </w:rPr>
                  </w:pPr>
                  <w:r w:rsidRPr="00D62519">
                    <w:rPr>
                      <w:color w:val="000000"/>
                      <w:spacing w:val="79"/>
                      <w:szCs w:val="20"/>
                      <w:shd w:val="solid" w:color="000000" w:fill="000000"/>
                      <w:fitText w:val="165" w:id="-961822200"/>
                      <w14:textFill>
                        <w14:solidFill>
                          <w14:srgbClr w14:val="000000">
                            <w14:alpha w14:val="100000"/>
                          </w14:srgbClr>
                        </w14:solidFill>
                      </w14:textFill>
                    </w:rPr>
                    <w:t>|</w:t>
                  </w:r>
                  <w:r w:rsidRPr="00D62519">
                    <w:rPr>
                      <w:color w:val="000000"/>
                      <w:spacing w:val="1"/>
                      <w:szCs w:val="20"/>
                      <w:shd w:val="solid" w:color="000000" w:fill="000000"/>
                      <w:fitText w:val="165" w:id="-961822200"/>
                      <w14:textFill>
                        <w14:solidFill>
                          <w14:srgbClr w14:val="000000">
                            <w14:alpha w14:val="100000"/>
                          </w14:srgbClr>
                        </w14:solidFill>
                      </w14:textFill>
                    </w:rPr>
                    <w:t>|</w:t>
                  </w:r>
                  <w:r w:rsidR="0001724B" w:rsidRPr="00565C8B">
                    <w:rPr>
                      <w:szCs w:val="20"/>
                      <w:vertAlign w:val="superscript"/>
                    </w:rPr>
                    <w:t>2</w:t>
                  </w:r>
                </w:p>
              </w:tc>
              <w:tc>
                <w:tcPr>
                  <w:tcW w:w="693" w:type="dxa"/>
                  <w:vAlign w:val="center"/>
                </w:tcPr>
                <w:p w14:paraId="02E11FC0" w14:textId="3074E810" w:rsidR="006034A4" w:rsidRPr="00565C8B" w:rsidRDefault="00D62519" w:rsidP="00544B08">
                  <w:pPr>
                    <w:pStyle w:val="TableText0"/>
                    <w:keepNext w:val="0"/>
                    <w:widowControl w:val="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01724B" w:rsidRPr="00565C8B">
                    <w:rPr>
                      <w:szCs w:val="20"/>
                      <w:vertAlign w:val="superscript"/>
                    </w:rPr>
                    <w:t>2</w:t>
                  </w:r>
                </w:p>
              </w:tc>
            </w:tr>
          </w:tbl>
          <w:p w14:paraId="36A746EE" w14:textId="29B866CF" w:rsidR="006034A4" w:rsidRPr="006E4BFC" w:rsidRDefault="006034A4" w:rsidP="00544B08">
            <w:pPr>
              <w:widowControl w:val="0"/>
              <w:rPr>
                <w:rFonts w:ascii="Arial Narrow" w:hAnsi="Arial Narrow"/>
                <w:sz w:val="20"/>
                <w:szCs w:val="20"/>
              </w:rPr>
            </w:pPr>
            <w:r w:rsidRPr="006E4BFC">
              <w:rPr>
                <w:rFonts w:ascii="Arial Narrow" w:hAnsi="Arial Narrow"/>
                <w:sz w:val="20"/>
                <w:szCs w:val="20"/>
              </w:rPr>
              <w:t>Assumption. This was made assuming no PBS listing for olaparib in 1L mCRPC</w:t>
            </w:r>
            <w:r w:rsidR="00053FA7" w:rsidRPr="006E4BFC">
              <w:rPr>
                <w:rFonts w:ascii="Arial Narrow" w:hAnsi="Arial Narrow"/>
                <w:sz w:val="20"/>
                <w:szCs w:val="20"/>
              </w:rPr>
              <w:t xml:space="preserve"> setting</w:t>
            </w:r>
            <w:r w:rsidRPr="006E4BFC">
              <w:rPr>
                <w:rFonts w:ascii="Arial Narrow" w:hAnsi="Arial Narrow"/>
                <w:sz w:val="20"/>
                <w:szCs w:val="20"/>
              </w:rPr>
              <w:t>.</w:t>
            </w:r>
          </w:p>
        </w:tc>
        <w:tc>
          <w:tcPr>
            <w:tcW w:w="2276" w:type="pct"/>
            <w:shd w:val="clear" w:color="auto" w:fill="auto"/>
            <w:vAlign w:val="center"/>
          </w:tcPr>
          <w:p w14:paraId="4A58E5DD" w14:textId="5B64A056" w:rsidR="006034A4" w:rsidRPr="006E4BFC" w:rsidRDefault="00F13554" w:rsidP="00544B08">
            <w:pPr>
              <w:pStyle w:val="TableText0"/>
              <w:keepNext w:val="0"/>
              <w:widowControl w:val="0"/>
            </w:pPr>
            <w:r w:rsidRPr="006E4BFC">
              <w:rPr>
                <w:szCs w:val="20"/>
              </w:rPr>
              <w:t xml:space="preserve">The PSCR provided revised estimates in which the uptake rates were increased to </w:t>
            </w:r>
            <w:r w:rsidR="00D62519" w:rsidRPr="00D62519">
              <w:rPr>
                <w:color w:val="000000"/>
                <w:spacing w:val="41"/>
                <w:szCs w:val="20"/>
                <w:shd w:val="solid" w:color="000000" w:fill="000000"/>
                <w:fitText w:val="210" w:id="-961822199"/>
                <w14:textFill>
                  <w14:solidFill>
                    <w14:srgbClr w14:val="000000">
                      <w14:alpha w14:val="100000"/>
                    </w14:srgbClr>
                  </w14:solidFill>
                </w14:textFill>
              </w:rPr>
              <w:t>||</w:t>
            </w:r>
            <w:r w:rsidR="00D62519" w:rsidRPr="00D62519">
              <w:rPr>
                <w:color w:val="000000"/>
                <w:spacing w:val="1"/>
                <w:szCs w:val="20"/>
                <w:shd w:val="solid" w:color="000000" w:fill="000000"/>
                <w:fitText w:val="210" w:id="-961822199"/>
                <w14:textFill>
                  <w14:solidFill>
                    <w14:srgbClr w14:val="000000">
                      <w14:alpha w14:val="100000"/>
                    </w14:srgbClr>
                  </w14:solidFill>
                </w14:textFill>
              </w:rPr>
              <w:t>|</w:t>
            </w:r>
            <w:r w:rsidRPr="006E4BFC">
              <w:rPr>
                <w:szCs w:val="20"/>
              </w:rPr>
              <w:t xml:space="preserve">% in 2025, </w:t>
            </w:r>
            <w:r w:rsidR="00D62519" w:rsidRPr="00D62519">
              <w:rPr>
                <w:color w:val="000000"/>
                <w:spacing w:val="41"/>
                <w:szCs w:val="20"/>
                <w:shd w:val="solid" w:color="000000" w:fill="000000"/>
                <w:fitText w:val="210" w:id="-961822198"/>
                <w14:textFill>
                  <w14:solidFill>
                    <w14:srgbClr w14:val="000000">
                      <w14:alpha w14:val="100000"/>
                    </w14:srgbClr>
                  </w14:solidFill>
                </w14:textFill>
              </w:rPr>
              <w:t>||</w:t>
            </w:r>
            <w:r w:rsidR="00D62519" w:rsidRPr="00D62519">
              <w:rPr>
                <w:color w:val="000000"/>
                <w:spacing w:val="1"/>
                <w:szCs w:val="20"/>
                <w:shd w:val="solid" w:color="000000" w:fill="000000"/>
                <w:fitText w:val="210" w:id="-961822198"/>
                <w14:textFill>
                  <w14:solidFill>
                    <w14:srgbClr w14:val="000000">
                      <w14:alpha w14:val="100000"/>
                    </w14:srgbClr>
                  </w14:solidFill>
                </w14:textFill>
              </w:rPr>
              <w:t>|</w:t>
            </w:r>
            <w:r w:rsidRPr="006E4BFC">
              <w:rPr>
                <w:szCs w:val="20"/>
              </w:rPr>
              <w:t xml:space="preserve">% in 2026 and </w:t>
            </w:r>
            <w:r w:rsidR="00D62519" w:rsidRPr="00D62519">
              <w:rPr>
                <w:color w:val="000000"/>
                <w:spacing w:val="48"/>
                <w:szCs w:val="20"/>
                <w:shd w:val="solid" w:color="000000" w:fill="000000"/>
                <w:fitText w:val="225" w:id="-961822197"/>
                <w14:textFill>
                  <w14:solidFill>
                    <w14:srgbClr w14:val="000000">
                      <w14:alpha w14:val="100000"/>
                    </w14:srgbClr>
                  </w14:solidFill>
                </w14:textFill>
              </w:rPr>
              <w:t>||</w:t>
            </w:r>
            <w:r w:rsidR="00D62519" w:rsidRPr="00D62519">
              <w:rPr>
                <w:color w:val="000000"/>
                <w:spacing w:val="2"/>
                <w:szCs w:val="20"/>
                <w:shd w:val="solid" w:color="000000" w:fill="000000"/>
                <w:fitText w:val="225" w:id="-961822197"/>
                <w14:textFill>
                  <w14:solidFill>
                    <w14:srgbClr w14:val="000000">
                      <w14:alpha w14:val="100000"/>
                    </w14:srgbClr>
                  </w14:solidFill>
                </w14:textFill>
              </w:rPr>
              <w:t>|</w:t>
            </w:r>
            <w:r w:rsidRPr="006E4BFC">
              <w:rPr>
                <w:szCs w:val="20"/>
              </w:rPr>
              <w:t>% in Years 2027 to 2029. The ESC considered that the assumed uptake rates were high considering the lack of evidence versus sequential treatment</w:t>
            </w:r>
            <w:r w:rsidR="003F7A1D" w:rsidRPr="006E4BFC">
              <w:rPr>
                <w:szCs w:val="20"/>
              </w:rPr>
              <w:t xml:space="preserve">. </w:t>
            </w:r>
            <w:r w:rsidRPr="006E4BFC">
              <w:rPr>
                <w:szCs w:val="20"/>
              </w:rPr>
              <w:t xml:space="preserve"> </w:t>
            </w:r>
            <w:r w:rsidR="003F7A1D" w:rsidRPr="006E4BFC">
              <w:t>Further, the ESC noted that that age of the population meant that the use of combination therapy, with its increased toxicity, may not be desirable.</w:t>
            </w:r>
          </w:p>
        </w:tc>
      </w:tr>
      <w:tr w:rsidR="00210C6E" w:rsidRPr="005A293B" w14:paraId="4B39B198" w14:textId="77777777" w:rsidTr="00E97B08">
        <w:trPr>
          <w:cantSplit/>
          <w:trHeight w:val="20"/>
        </w:trPr>
        <w:tc>
          <w:tcPr>
            <w:tcW w:w="496" w:type="pct"/>
            <w:shd w:val="clear" w:color="auto" w:fill="auto"/>
            <w:vAlign w:val="center"/>
          </w:tcPr>
          <w:p w14:paraId="2757FA7C" w14:textId="77777777" w:rsidR="006034A4" w:rsidRPr="006E4BFC" w:rsidRDefault="006034A4" w:rsidP="00544B08">
            <w:pPr>
              <w:pStyle w:val="TableText0"/>
              <w:keepNext w:val="0"/>
              <w:widowControl w:val="0"/>
            </w:pPr>
            <w:r w:rsidRPr="006E4BFC">
              <w:rPr>
                <w:szCs w:val="20"/>
              </w:rPr>
              <w:lastRenderedPageBreak/>
              <w:t>Number initiating &amp; continuing treatment</w:t>
            </w:r>
          </w:p>
        </w:tc>
        <w:tc>
          <w:tcPr>
            <w:tcW w:w="2228" w:type="pct"/>
            <w:shd w:val="clear" w:color="auto" w:fill="auto"/>
            <w:vAlign w:val="center"/>
          </w:tcPr>
          <w:tbl>
            <w:tblPr>
              <w:tblStyle w:val="TableGrid"/>
              <w:tblW w:w="3740" w:type="dxa"/>
              <w:tblCellMar>
                <w:left w:w="28" w:type="dxa"/>
                <w:right w:w="28" w:type="dxa"/>
              </w:tblCellMar>
              <w:tblLook w:val="04A0" w:firstRow="1" w:lastRow="0" w:firstColumn="1" w:lastColumn="0" w:noHBand="0" w:noVBand="1"/>
            </w:tblPr>
            <w:tblGrid>
              <w:gridCol w:w="786"/>
              <w:gridCol w:w="468"/>
              <w:gridCol w:w="517"/>
              <w:gridCol w:w="547"/>
              <w:gridCol w:w="474"/>
              <w:gridCol w:w="474"/>
              <w:gridCol w:w="474"/>
            </w:tblGrid>
            <w:tr w:rsidR="00F13554" w:rsidRPr="006E4BFC" w14:paraId="159126D4" w14:textId="77777777" w:rsidTr="00E97B08">
              <w:trPr>
                <w:trHeight w:val="20"/>
              </w:trPr>
              <w:tc>
                <w:tcPr>
                  <w:tcW w:w="737" w:type="dxa"/>
                  <w:vAlign w:val="center"/>
                </w:tcPr>
                <w:p w14:paraId="75311D71" w14:textId="77777777" w:rsidR="006034A4" w:rsidRPr="00565C8B" w:rsidRDefault="006034A4" w:rsidP="00544B08">
                  <w:pPr>
                    <w:pStyle w:val="TableText0"/>
                    <w:keepNext w:val="0"/>
                    <w:widowControl w:val="0"/>
                    <w:jc w:val="center"/>
                  </w:pPr>
                </w:p>
              </w:tc>
              <w:tc>
                <w:tcPr>
                  <w:tcW w:w="474" w:type="dxa"/>
                  <w:vAlign w:val="center"/>
                </w:tcPr>
                <w:p w14:paraId="7843734E" w14:textId="77777777" w:rsidR="006034A4" w:rsidRPr="00565C8B" w:rsidRDefault="006034A4" w:rsidP="00544B08">
                  <w:pPr>
                    <w:pStyle w:val="TableText0"/>
                    <w:keepNext w:val="0"/>
                    <w:widowControl w:val="0"/>
                    <w:jc w:val="center"/>
                  </w:pPr>
                  <w:r w:rsidRPr="00565C8B">
                    <w:t>2024</w:t>
                  </w:r>
                </w:p>
              </w:tc>
              <w:tc>
                <w:tcPr>
                  <w:tcW w:w="528" w:type="dxa"/>
                  <w:vAlign w:val="center"/>
                </w:tcPr>
                <w:p w14:paraId="4EAB6FE5" w14:textId="77777777" w:rsidR="006034A4" w:rsidRPr="00565C8B" w:rsidRDefault="006034A4" w:rsidP="00544B08">
                  <w:pPr>
                    <w:pStyle w:val="TableText0"/>
                    <w:keepNext w:val="0"/>
                    <w:widowControl w:val="0"/>
                    <w:jc w:val="center"/>
                  </w:pPr>
                  <w:r w:rsidRPr="00565C8B">
                    <w:t>2025</w:t>
                  </w:r>
                </w:p>
              </w:tc>
              <w:tc>
                <w:tcPr>
                  <w:tcW w:w="561" w:type="dxa"/>
                  <w:vAlign w:val="center"/>
                </w:tcPr>
                <w:p w14:paraId="21F08813" w14:textId="77777777" w:rsidR="006034A4" w:rsidRPr="00565C8B" w:rsidRDefault="006034A4" w:rsidP="00544B08">
                  <w:pPr>
                    <w:pStyle w:val="TableText0"/>
                    <w:keepNext w:val="0"/>
                    <w:widowControl w:val="0"/>
                    <w:jc w:val="center"/>
                  </w:pPr>
                  <w:r w:rsidRPr="00565C8B">
                    <w:t>2026</w:t>
                  </w:r>
                </w:p>
              </w:tc>
              <w:tc>
                <w:tcPr>
                  <w:tcW w:w="480" w:type="dxa"/>
                  <w:vAlign w:val="center"/>
                </w:tcPr>
                <w:p w14:paraId="23A0F940" w14:textId="77777777" w:rsidR="006034A4" w:rsidRPr="00565C8B" w:rsidRDefault="006034A4" w:rsidP="00544B08">
                  <w:pPr>
                    <w:pStyle w:val="TableText0"/>
                    <w:keepNext w:val="0"/>
                    <w:widowControl w:val="0"/>
                    <w:jc w:val="center"/>
                  </w:pPr>
                  <w:r w:rsidRPr="00565C8B">
                    <w:t>2027</w:t>
                  </w:r>
                </w:p>
              </w:tc>
              <w:tc>
                <w:tcPr>
                  <w:tcW w:w="480" w:type="dxa"/>
                  <w:vAlign w:val="center"/>
                </w:tcPr>
                <w:p w14:paraId="7186D680" w14:textId="77777777" w:rsidR="006034A4" w:rsidRPr="00565C8B" w:rsidRDefault="006034A4" w:rsidP="00544B08">
                  <w:pPr>
                    <w:pStyle w:val="TableText0"/>
                    <w:keepNext w:val="0"/>
                    <w:widowControl w:val="0"/>
                    <w:jc w:val="center"/>
                  </w:pPr>
                  <w:r w:rsidRPr="00565C8B">
                    <w:t>2028</w:t>
                  </w:r>
                </w:p>
              </w:tc>
              <w:tc>
                <w:tcPr>
                  <w:tcW w:w="480" w:type="dxa"/>
                  <w:vAlign w:val="center"/>
                </w:tcPr>
                <w:p w14:paraId="5CDFECED" w14:textId="77777777" w:rsidR="006034A4" w:rsidRPr="00565C8B" w:rsidRDefault="006034A4" w:rsidP="00544B08">
                  <w:pPr>
                    <w:pStyle w:val="TableText0"/>
                    <w:keepNext w:val="0"/>
                    <w:widowControl w:val="0"/>
                    <w:jc w:val="center"/>
                  </w:pPr>
                  <w:r w:rsidRPr="00565C8B">
                    <w:t>2029</w:t>
                  </w:r>
                </w:p>
              </w:tc>
            </w:tr>
            <w:tr w:rsidR="00F13554" w:rsidRPr="006E4BFC" w14:paraId="276F3C7F" w14:textId="77777777" w:rsidTr="00E97B08">
              <w:trPr>
                <w:trHeight w:val="20"/>
              </w:trPr>
              <w:tc>
                <w:tcPr>
                  <w:tcW w:w="737" w:type="dxa"/>
                  <w:vAlign w:val="center"/>
                </w:tcPr>
                <w:p w14:paraId="7C8B479D" w14:textId="77777777" w:rsidR="006034A4" w:rsidRPr="00565C8B" w:rsidRDefault="006034A4" w:rsidP="00544B08">
                  <w:pPr>
                    <w:pStyle w:val="TableText0"/>
                    <w:keepNext w:val="0"/>
                    <w:widowControl w:val="0"/>
                  </w:pPr>
                  <w:r w:rsidRPr="00565C8B">
                    <w:t>Initiating (100%)</w:t>
                  </w:r>
                </w:p>
              </w:tc>
              <w:tc>
                <w:tcPr>
                  <w:tcW w:w="474" w:type="dxa"/>
                  <w:vAlign w:val="center"/>
                </w:tcPr>
                <w:p w14:paraId="06473F82" w14:textId="27330D46"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196"/>
                      <w14:textFill>
                        <w14:solidFill>
                          <w14:srgbClr w14:val="000000">
                            <w14:alpha w14:val="100000"/>
                          </w14:srgbClr>
                        </w14:solidFill>
                      </w14:textFill>
                    </w:rPr>
                    <w:t>||</w:t>
                  </w:r>
                  <w:r w:rsidRPr="00D62519">
                    <w:rPr>
                      <w:color w:val="000000"/>
                      <w:spacing w:val="1"/>
                      <w:shd w:val="solid" w:color="000000" w:fill="000000"/>
                      <w:fitText w:val="210" w:id="-961822196"/>
                      <w14:textFill>
                        <w14:solidFill>
                          <w14:srgbClr w14:val="000000">
                            <w14:alpha w14:val="100000"/>
                          </w14:srgbClr>
                        </w14:solidFill>
                      </w14:textFill>
                    </w:rPr>
                    <w:t>|</w:t>
                  </w:r>
                  <w:r w:rsidR="006034A4" w:rsidRPr="00565C8B">
                    <w:t>*</w:t>
                  </w:r>
                  <w:r w:rsidR="0001724B" w:rsidRPr="00565C8B">
                    <w:rPr>
                      <w:vertAlign w:val="superscript"/>
                    </w:rPr>
                    <w:t>2</w:t>
                  </w:r>
                </w:p>
              </w:tc>
              <w:tc>
                <w:tcPr>
                  <w:tcW w:w="528" w:type="dxa"/>
                  <w:vAlign w:val="center"/>
                </w:tcPr>
                <w:p w14:paraId="765C203C" w14:textId="509C0060" w:rsidR="006034A4" w:rsidRPr="00565C8B" w:rsidRDefault="00D62519" w:rsidP="00544B08">
                  <w:pPr>
                    <w:pStyle w:val="TableText0"/>
                    <w:keepNext w:val="0"/>
                    <w:widowControl w:val="0"/>
                    <w:jc w:val="center"/>
                    <w:rPr>
                      <w:highlight w:val="lightGray"/>
                    </w:rPr>
                  </w:pPr>
                  <w:r w:rsidRPr="00D62519">
                    <w:rPr>
                      <w:color w:val="000000"/>
                      <w:spacing w:val="94"/>
                      <w:shd w:val="solid" w:color="000000" w:fill="000000"/>
                      <w:fitText w:val="180" w:id="-961822195"/>
                      <w14:textFill>
                        <w14:solidFill>
                          <w14:srgbClr w14:val="000000">
                            <w14:alpha w14:val="100000"/>
                          </w14:srgbClr>
                        </w14:solidFill>
                      </w14:textFill>
                    </w:rPr>
                    <w:t>|</w:t>
                  </w:r>
                  <w:r w:rsidRPr="00D62519">
                    <w:rPr>
                      <w:color w:val="000000"/>
                      <w:spacing w:val="1"/>
                      <w:shd w:val="solid" w:color="000000" w:fill="000000"/>
                      <w:fitText w:val="180" w:id="-961822195"/>
                      <w14:textFill>
                        <w14:solidFill>
                          <w14:srgbClr w14:val="000000">
                            <w14:alpha w14:val="100000"/>
                          </w14:srgbClr>
                        </w14:solidFill>
                      </w14:textFill>
                    </w:rPr>
                    <w:t>|</w:t>
                  </w:r>
                  <w:r w:rsidR="0001724B" w:rsidRPr="00565C8B">
                    <w:rPr>
                      <w:vertAlign w:val="superscript"/>
                    </w:rPr>
                    <w:t>2</w:t>
                  </w:r>
                </w:p>
              </w:tc>
              <w:tc>
                <w:tcPr>
                  <w:tcW w:w="561" w:type="dxa"/>
                  <w:vAlign w:val="center"/>
                </w:tcPr>
                <w:p w14:paraId="474D9EF9" w14:textId="5B5EFB3F" w:rsidR="006034A4" w:rsidRPr="00565C8B" w:rsidRDefault="00D62519" w:rsidP="00544B08">
                  <w:pPr>
                    <w:pStyle w:val="TableText0"/>
                    <w:keepNext w:val="0"/>
                    <w:widowControl w:val="0"/>
                    <w:jc w:val="center"/>
                    <w:rPr>
                      <w:highlight w:val="lightGray"/>
                    </w:rPr>
                  </w:pPr>
                  <w:r w:rsidRPr="00D62519">
                    <w:rPr>
                      <w:rFonts w:hint="eastAsia"/>
                      <w:color w:val="000000"/>
                      <w:w w:val="33"/>
                      <w:shd w:val="solid" w:color="000000" w:fill="000000"/>
                      <w:fitText w:val="150" w:id="-961822194"/>
                      <w14:textFill>
                        <w14:solidFill>
                          <w14:srgbClr w14:val="000000">
                            <w14:alpha w14:val="100000"/>
                          </w14:srgbClr>
                        </w14:solidFill>
                      </w14:textFill>
                    </w:rPr>
                    <w:t xml:space="preserve">　</w:t>
                  </w:r>
                  <w:r w:rsidRPr="00D62519">
                    <w:rPr>
                      <w:color w:val="000000"/>
                      <w:w w:val="33"/>
                      <w:shd w:val="solid" w:color="000000" w:fill="000000"/>
                      <w:fitText w:val="150" w:id="-961822194"/>
                      <w14:textFill>
                        <w14:solidFill>
                          <w14:srgbClr w14:val="000000">
                            <w14:alpha w14:val="100000"/>
                          </w14:srgbClr>
                        </w14:solidFill>
                      </w14:textFill>
                    </w:rPr>
                    <w:t>|</w:t>
                  </w:r>
                  <w:r w:rsidRPr="00D62519">
                    <w:rPr>
                      <w:rFonts w:hint="eastAsia"/>
                      <w:color w:val="000000"/>
                      <w:spacing w:val="4"/>
                      <w:w w:val="33"/>
                      <w:shd w:val="solid" w:color="000000" w:fill="000000"/>
                      <w:fitText w:val="150" w:id="-961822194"/>
                      <w14:textFill>
                        <w14:solidFill>
                          <w14:srgbClr w14:val="000000">
                            <w14:alpha w14:val="100000"/>
                          </w14:srgbClr>
                        </w14:solidFill>
                      </w14:textFill>
                    </w:rPr>
                    <w:t xml:space="preserve">　</w:t>
                  </w:r>
                  <w:r w:rsidR="0001724B" w:rsidRPr="00565C8B">
                    <w:rPr>
                      <w:vertAlign w:val="superscript"/>
                    </w:rPr>
                    <w:t>2</w:t>
                  </w:r>
                </w:p>
              </w:tc>
              <w:tc>
                <w:tcPr>
                  <w:tcW w:w="480" w:type="dxa"/>
                  <w:vAlign w:val="center"/>
                </w:tcPr>
                <w:p w14:paraId="07D895FF" w14:textId="5EEE3A6B"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193"/>
                      <w14:textFill>
                        <w14:solidFill>
                          <w14:srgbClr w14:val="000000">
                            <w14:alpha w14:val="100000"/>
                          </w14:srgbClr>
                        </w14:solidFill>
                      </w14:textFill>
                    </w:rPr>
                    <w:t>||</w:t>
                  </w:r>
                  <w:r w:rsidRPr="00D62519">
                    <w:rPr>
                      <w:color w:val="000000"/>
                      <w:spacing w:val="1"/>
                      <w:shd w:val="solid" w:color="000000" w:fill="000000"/>
                      <w:fitText w:val="210" w:id="-961822193"/>
                      <w14:textFill>
                        <w14:solidFill>
                          <w14:srgbClr w14:val="000000">
                            <w14:alpha w14:val="100000"/>
                          </w14:srgbClr>
                        </w14:solidFill>
                      </w14:textFill>
                    </w:rPr>
                    <w:t>|</w:t>
                  </w:r>
                  <w:r w:rsidR="0001724B" w:rsidRPr="00565C8B">
                    <w:rPr>
                      <w:vertAlign w:val="superscript"/>
                    </w:rPr>
                    <w:t>2</w:t>
                  </w:r>
                </w:p>
              </w:tc>
              <w:tc>
                <w:tcPr>
                  <w:tcW w:w="480" w:type="dxa"/>
                  <w:vAlign w:val="center"/>
                </w:tcPr>
                <w:p w14:paraId="1AFEFB74" w14:textId="4DFD14B5"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192"/>
                      <w14:textFill>
                        <w14:solidFill>
                          <w14:srgbClr w14:val="000000">
                            <w14:alpha w14:val="100000"/>
                          </w14:srgbClr>
                        </w14:solidFill>
                      </w14:textFill>
                    </w:rPr>
                    <w:t>||</w:t>
                  </w:r>
                  <w:r w:rsidRPr="00D62519">
                    <w:rPr>
                      <w:color w:val="000000"/>
                      <w:spacing w:val="1"/>
                      <w:shd w:val="solid" w:color="000000" w:fill="000000"/>
                      <w:fitText w:val="210" w:id="-961822192"/>
                      <w14:textFill>
                        <w14:solidFill>
                          <w14:srgbClr w14:val="000000">
                            <w14:alpha w14:val="100000"/>
                          </w14:srgbClr>
                        </w14:solidFill>
                      </w14:textFill>
                    </w:rPr>
                    <w:t>|</w:t>
                  </w:r>
                  <w:r w:rsidR="0001724B" w:rsidRPr="00565C8B">
                    <w:rPr>
                      <w:vertAlign w:val="superscript"/>
                    </w:rPr>
                    <w:t>2</w:t>
                  </w:r>
                </w:p>
              </w:tc>
              <w:tc>
                <w:tcPr>
                  <w:tcW w:w="480" w:type="dxa"/>
                  <w:vAlign w:val="center"/>
                </w:tcPr>
                <w:p w14:paraId="4301643C" w14:textId="79F06691"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208"/>
                      <w14:textFill>
                        <w14:solidFill>
                          <w14:srgbClr w14:val="000000">
                            <w14:alpha w14:val="100000"/>
                          </w14:srgbClr>
                        </w14:solidFill>
                      </w14:textFill>
                    </w:rPr>
                    <w:t>||</w:t>
                  </w:r>
                  <w:r w:rsidRPr="00D62519">
                    <w:rPr>
                      <w:color w:val="000000"/>
                      <w:spacing w:val="1"/>
                      <w:shd w:val="solid" w:color="000000" w:fill="000000"/>
                      <w:fitText w:val="210" w:id="-961822208"/>
                      <w14:textFill>
                        <w14:solidFill>
                          <w14:srgbClr w14:val="000000">
                            <w14:alpha w14:val="100000"/>
                          </w14:srgbClr>
                        </w14:solidFill>
                      </w14:textFill>
                    </w:rPr>
                    <w:t>|</w:t>
                  </w:r>
                  <w:r w:rsidR="0001724B" w:rsidRPr="00565C8B">
                    <w:rPr>
                      <w:vertAlign w:val="superscript"/>
                    </w:rPr>
                    <w:t>2</w:t>
                  </w:r>
                </w:p>
              </w:tc>
            </w:tr>
            <w:tr w:rsidR="00F13554" w:rsidRPr="006E4BFC" w14:paraId="5FC3468E" w14:textId="77777777" w:rsidTr="00E97B08">
              <w:trPr>
                <w:trHeight w:val="20"/>
              </w:trPr>
              <w:tc>
                <w:tcPr>
                  <w:tcW w:w="737" w:type="dxa"/>
                  <w:vAlign w:val="center"/>
                </w:tcPr>
                <w:p w14:paraId="7170A0C9" w14:textId="77777777" w:rsidR="006034A4" w:rsidRPr="00565C8B" w:rsidRDefault="006034A4" w:rsidP="00544B08">
                  <w:pPr>
                    <w:pStyle w:val="TableText0"/>
                    <w:keepNext w:val="0"/>
                    <w:widowControl w:val="0"/>
                    <w:jc w:val="center"/>
                  </w:pPr>
                  <w:r w:rsidRPr="00565C8B">
                    <w:t>Persistent</w:t>
                  </w:r>
                </w:p>
              </w:tc>
              <w:tc>
                <w:tcPr>
                  <w:tcW w:w="474" w:type="dxa"/>
                  <w:vAlign w:val="center"/>
                </w:tcPr>
                <w:p w14:paraId="08D53842" w14:textId="69CC183C"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207"/>
                      <w14:textFill>
                        <w14:solidFill>
                          <w14:srgbClr w14:val="000000">
                            <w14:alpha w14:val="100000"/>
                          </w14:srgbClr>
                        </w14:solidFill>
                      </w14:textFill>
                    </w:rPr>
                    <w:t>||</w:t>
                  </w:r>
                  <w:r w:rsidRPr="00D62519">
                    <w:rPr>
                      <w:color w:val="000000"/>
                      <w:spacing w:val="1"/>
                      <w:shd w:val="solid" w:color="000000" w:fill="000000"/>
                      <w:fitText w:val="210" w:id="-961822207"/>
                      <w14:textFill>
                        <w14:solidFill>
                          <w14:srgbClr w14:val="000000">
                            <w14:alpha w14:val="100000"/>
                          </w14:srgbClr>
                        </w14:solidFill>
                      </w14:textFill>
                    </w:rPr>
                    <w:t>|</w:t>
                  </w:r>
                  <w:r w:rsidR="0001724B" w:rsidRPr="00565C8B">
                    <w:rPr>
                      <w:vertAlign w:val="superscript"/>
                    </w:rPr>
                    <w:t>2</w:t>
                  </w:r>
                </w:p>
              </w:tc>
              <w:tc>
                <w:tcPr>
                  <w:tcW w:w="528" w:type="dxa"/>
                  <w:vAlign w:val="center"/>
                </w:tcPr>
                <w:p w14:paraId="76DBEB8E" w14:textId="1F578A64"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6"/>
                      <w14:textFill>
                        <w14:solidFill>
                          <w14:srgbClr w14:val="000000">
                            <w14:alpha w14:val="100000"/>
                          </w14:srgbClr>
                        </w14:solidFill>
                      </w14:textFill>
                    </w:rPr>
                    <w:t>|</w:t>
                  </w:r>
                  <w:r w:rsidRPr="00D62519">
                    <w:rPr>
                      <w:color w:val="000000"/>
                      <w:spacing w:val="1"/>
                      <w:shd w:val="solid" w:color="000000" w:fill="000000"/>
                      <w:fitText w:val="195" w:id="-961822206"/>
                      <w14:textFill>
                        <w14:solidFill>
                          <w14:srgbClr w14:val="000000">
                            <w14:alpha w14:val="100000"/>
                          </w14:srgbClr>
                        </w14:solidFill>
                      </w14:textFill>
                    </w:rPr>
                    <w:t>|</w:t>
                  </w:r>
                  <w:r w:rsidR="006034A4" w:rsidRPr="00565C8B">
                    <w:t>*</w:t>
                  </w:r>
                  <w:r w:rsidR="0001724B" w:rsidRPr="00565C8B">
                    <w:rPr>
                      <w:vertAlign w:val="superscript"/>
                    </w:rPr>
                    <w:t>2</w:t>
                  </w:r>
                </w:p>
              </w:tc>
              <w:tc>
                <w:tcPr>
                  <w:tcW w:w="561" w:type="dxa"/>
                  <w:vAlign w:val="center"/>
                </w:tcPr>
                <w:p w14:paraId="6DE88D89" w14:textId="20CEC6CF" w:rsidR="006034A4" w:rsidRPr="00565C8B" w:rsidRDefault="00D62519" w:rsidP="00544B08">
                  <w:pPr>
                    <w:pStyle w:val="TableText0"/>
                    <w:keepNext w:val="0"/>
                    <w:widowControl w:val="0"/>
                    <w:jc w:val="center"/>
                    <w:rPr>
                      <w:highlight w:val="lightGray"/>
                    </w:rPr>
                  </w:pPr>
                  <w:r w:rsidRPr="00D62519">
                    <w:rPr>
                      <w:color w:val="000000"/>
                      <w:spacing w:val="94"/>
                      <w:shd w:val="solid" w:color="000000" w:fill="000000"/>
                      <w:fitText w:val="180" w:id="-961822205"/>
                      <w14:textFill>
                        <w14:solidFill>
                          <w14:srgbClr w14:val="000000">
                            <w14:alpha w14:val="100000"/>
                          </w14:srgbClr>
                        </w14:solidFill>
                      </w14:textFill>
                    </w:rPr>
                    <w:t>|</w:t>
                  </w:r>
                  <w:r w:rsidRPr="00D62519">
                    <w:rPr>
                      <w:color w:val="000000"/>
                      <w:spacing w:val="1"/>
                      <w:shd w:val="solid" w:color="000000" w:fill="000000"/>
                      <w:fitText w:val="180" w:id="-961822205"/>
                      <w14:textFill>
                        <w14:solidFill>
                          <w14:srgbClr w14:val="000000">
                            <w14:alpha w14:val="100000"/>
                          </w14:srgbClr>
                        </w14:solidFill>
                      </w14:textFill>
                    </w:rPr>
                    <w:t>|</w:t>
                  </w:r>
                  <w:r w:rsidR="006034A4" w:rsidRPr="00565C8B">
                    <w:t>*</w:t>
                  </w:r>
                  <w:r w:rsidR="0001724B" w:rsidRPr="00565C8B">
                    <w:rPr>
                      <w:vertAlign w:val="superscript"/>
                    </w:rPr>
                    <w:t>2</w:t>
                  </w:r>
                </w:p>
              </w:tc>
              <w:tc>
                <w:tcPr>
                  <w:tcW w:w="480" w:type="dxa"/>
                  <w:vAlign w:val="center"/>
                </w:tcPr>
                <w:p w14:paraId="0D8AB0CA" w14:textId="6DE213F1"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204"/>
                      <w14:textFill>
                        <w14:solidFill>
                          <w14:srgbClr w14:val="000000">
                            <w14:alpha w14:val="100000"/>
                          </w14:srgbClr>
                        </w14:solidFill>
                      </w14:textFill>
                    </w:rPr>
                    <w:t>||</w:t>
                  </w:r>
                  <w:r w:rsidRPr="00D62519">
                    <w:rPr>
                      <w:color w:val="000000"/>
                      <w:spacing w:val="1"/>
                      <w:shd w:val="solid" w:color="000000" w:fill="000000"/>
                      <w:fitText w:val="210" w:id="-961822204"/>
                      <w14:textFill>
                        <w14:solidFill>
                          <w14:srgbClr w14:val="000000">
                            <w14:alpha w14:val="100000"/>
                          </w14:srgbClr>
                        </w14:solidFill>
                      </w14:textFill>
                    </w:rPr>
                    <w:t>|</w:t>
                  </w:r>
                  <w:r w:rsidR="0001724B" w:rsidRPr="00565C8B">
                    <w:rPr>
                      <w:vertAlign w:val="superscript"/>
                    </w:rPr>
                    <w:t>2</w:t>
                  </w:r>
                </w:p>
              </w:tc>
              <w:tc>
                <w:tcPr>
                  <w:tcW w:w="480" w:type="dxa"/>
                  <w:vAlign w:val="center"/>
                </w:tcPr>
                <w:p w14:paraId="1CACFE24" w14:textId="4AAAC980"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203"/>
                      <w14:textFill>
                        <w14:solidFill>
                          <w14:srgbClr w14:val="000000">
                            <w14:alpha w14:val="100000"/>
                          </w14:srgbClr>
                        </w14:solidFill>
                      </w14:textFill>
                    </w:rPr>
                    <w:t>||</w:t>
                  </w:r>
                  <w:r w:rsidRPr="00D62519">
                    <w:rPr>
                      <w:color w:val="000000"/>
                      <w:spacing w:val="1"/>
                      <w:shd w:val="solid" w:color="000000" w:fill="000000"/>
                      <w:fitText w:val="210" w:id="-961822203"/>
                      <w14:textFill>
                        <w14:solidFill>
                          <w14:srgbClr w14:val="000000">
                            <w14:alpha w14:val="100000"/>
                          </w14:srgbClr>
                        </w14:solidFill>
                      </w14:textFill>
                    </w:rPr>
                    <w:t>|</w:t>
                  </w:r>
                  <w:r w:rsidR="0001724B" w:rsidRPr="00565C8B">
                    <w:rPr>
                      <w:vertAlign w:val="superscript"/>
                    </w:rPr>
                    <w:t>2</w:t>
                  </w:r>
                </w:p>
              </w:tc>
              <w:tc>
                <w:tcPr>
                  <w:tcW w:w="480" w:type="dxa"/>
                  <w:vAlign w:val="center"/>
                </w:tcPr>
                <w:p w14:paraId="339E6CDE" w14:textId="681492A2" w:rsidR="006034A4" w:rsidRPr="00565C8B" w:rsidRDefault="00D62519" w:rsidP="00544B08">
                  <w:pPr>
                    <w:pStyle w:val="TableText0"/>
                    <w:keepNext w:val="0"/>
                    <w:widowControl w:val="0"/>
                    <w:jc w:val="center"/>
                    <w:rPr>
                      <w:highlight w:val="lightGray"/>
                    </w:rPr>
                  </w:pPr>
                  <w:r w:rsidRPr="00D62519">
                    <w:rPr>
                      <w:color w:val="000000"/>
                      <w:spacing w:val="41"/>
                      <w:shd w:val="solid" w:color="000000" w:fill="000000"/>
                      <w:fitText w:val="210" w:id="-961822202"/>
                      <w14:textFill>
                        <w14:solidFill>
                          <w14:srgbClr w14:val="000000">
                            <w14:alpha w14:val="100000"/>
                          </w14:srgbClr>
                        </w14:solidFill>
                      </w14:textFill>
                    </w:rPr>
                    <w:t>||</w:t>
                  </w:r>
                  <w:r w:rsidRPr="00D62519">
                    <w:rPr>
                      <w:color w:val="000000"/>
                      <w:spacing w:val="1"/>
                      <w:shd w:val="solid" w:color="000000" w:fill="000000"/>
                      <w:fitText w:val="210" w:id="-961822202"/>
                      <w14:textFill>
                        <w14:solidFill>
                          <w14:srgbClr w14:val="000000">
                            <w14:alpha w14:val="100000"/>
                          </w14:srgbClr>
                        </w14:solidFill>
                      </w14:textFill>
                    </w:rPr>
                    <w:t>|</w:t>
                  </w:r>
                  <w:r w:rsidR="0001724B" w:rsidRPr="00565C8B">
                    <w:rPr>
                      <w:vertAlign w:val="superscript"/>
                    </w:rPr>
                    <w:t>2</w:t>
                  </w:r>
                </w:p>
              </w:tc>
            </w:tr>
          </w:tbl>
          <w:p w14:paraId="6176A17B" w14:textId="77777777" w:rsidR="006034A4" w:rsidRPr="006E4BFC" w:rsidRDefault="006034A4" w:rsidP="00544B08">
            <w:pPr>
              <w:pStyle w:val="TableText0"/>
              <w:keepNext w:val="0"/>
              <w:widowControl w:val="0"/>
              <w:rPr>
                <w:sz w:val="18"/>
                <w:szCs w:val="18"/>
              </w:rPr>
            </w:pPr>
            <w:r w:rsidRPr="006E4BFC">
              <w:rPr>
                <w:sz w:val="18"/>
                <w:szCs w:val="18"/>
              </w:rPr>
              <w:t>*Grandfathered patients.</w:t>
            </w:r>
          </w:p>
          <w:p w14:paraId="1F1DDB1B" w14:textId="467CCA7A" w:rsidR="006034A4" w:rsidRPr="006E4BFC" w:rsidRDefault="006034A4" w:rsidP="00544B08">
            <w:pPr>
              <w:pStyle w:val="TableText0"/>
              <w:keepNext w:val="0"/>
              <w:widowControl w:val="0"/>
            </w:pPr>
            <w:r w:rsidRPr="006E4BFC">
              <w:rPr>
                <w:szCs w:val="20"/>
              </w:rPr>
              <w:t>Assuming 100% of patients will continue treatment based on time on treatment</w:t>
            </w:r>
            <w:r w:rsidR="00053FA7" w:rsidRPr="006E4BFC">
              <w:rPr>
                <w:szCs w:val="20"/>
              </w:rPr>
              <w:t>.</w:t>
            </w:r>
            <w:r w:rsidRPr="006E4BFC">
              <w:rPr>
                <w:szCs w:val="20"/>
              </w:rPr>
              <w:t xml:space="preserve"> </w:t>
            </w:r>
            <w:r w:rsidR="00053FA7" w:rsidRPr="006E4BFC">
              <w:rPr>
                <w:szCs w:val="20"/>
              </w:rPr>
              <w:t>Time on treatment</w:t>
            </w:r>
            <w:r w:rsidRPr="006E4BFC">
              <w:rPr>
                <w:szCs w:val="20"/>
              </w:rPr>
              <w:t xml:space="preserve"> was informed by TTD Kaplan-Meier curves </w:t>
            </w:r>
            <w:r w:rsidR="00053FA7" w:rsidRPr="006E4BFC">
              <w:rPr>
                <w:szCs w:val="20"/>
              </w:rPr>
              <w:t xml:space="preserve">from </w:t>
            </w:r>
            <w:r w:rsidRPr="006E4BFC">
              <w:rPr>
                <w:szCs w:val="20"/>
              </w:rPr>
              <w:t xml:space="preserve">the economic </w:t>
            </w:r>
            <w:r w:rsidR="00053FA7" w:rsidRPr="006E4BFC">
              <w:rPr>
                <w:szCs w:val="20"/>
              </w:rPr>
              <w:t>evaluation</w:t>
            </w:r>
            <w:r w:rsidRPr="006E4BFC">
              <w:rPr>
                <w:szCs w:val="20"/>
              </w:rPr>
              <w:t>.</w:t>
            </w:r>
          </w:p>
        </w:tc>
        <w:tc>
          <w:tcPr>
            <w:tcW w:w="2276" w:type="pct"/>
            <w:shd w:val="clear" w:color="auto" w:fill="auto"/>
            <w:vAlign w:val="center"/>
          </w:tcPr>
          <w:p w14:paraId="576B521B" w14:textId="3A277C3F" w:rsidR="006034A4" w:rsidRPr="006E4BFC" w:rsidRDefault="006034A4" w:rsidP="00544B08">
            <w:pPr>
              <w:pStyle w:val="TableText0"/>
              <w:keepNext w:val="0"/>
              <w:widowControl w:val="0"/>
            </w:pPr>
            <w:r w:rsidRPr="006E4BFC">
              <w:t xml:space="preserve">A 100% treatment </w:t>
            </w:r>
            <w:r w:rsidR="00053FA7" w:rsidRPr="006E4BFC">
              <w:t>persistence rate was</w:t>
            </w:r>
            <w:r w:rsidRPr="006E4BFC">
              <w:t xml:space="preserve"> justified because discontinuations were already accounted for in the TTD. However, </w:t>
            </w:r>
            <w:r w:rsidR="00053FA7" w:rsidRPr="006E4BFC">
              <w:t>as discussed</w:t>
            </w:r>
            <w:r w:rsidR="00F13554" w:rsidRPr="006E4BFC">
              <w:t xml:space="preserve"> below</w:t>
            </w:r>
            <w:r w:rsidR="00053FA7" w:rsidRPr="006E4BFC">
              <w:t xml:space="preserve">, TTD </w:t>
            </w:r>
            <w:r w:rsidR="00F13554" w:rsidRPr="006E4BFC">
              <w:t xml:space="preserve">applied </w:t>
            </w:r>
            <w:r w:rsidR="00053FA7" w:rsidRPr="006E4BFC">
              <w:t>in the model was uncertain</w:t>
            </w:r>
            <w:r w:rsidRPr="006E4BFC">
              <w:t>.</w:t>
            </w:r>
          </w:p>
        </w:tc>
      </w:tr>
      <w:tr w:rsidR="00210C6E" w:rsidRPr="005A293B" w14:paraId="38989DAD" w14:textId="77777777" w:rsidTr="00E97B08">
        <w:trPr>
          <w:cantSplit/>
          <w:trHeight w:val="20"/>
        </w:trPr>
        <w:tc>
          <w:tcPr>
            <w:tcW w:w="496" w:type="pct"/>
            <w:shd w:val="clear" w:color="auto" w:fill="auto"/>
            <w:vAlign w:val="center"/>
          </w:tcPr>
          <w:p w14:paraId="7F5F019C" w14:textId="77777777" w:rsidR="006034A4" w:rsidRPr="006E4BFC" w:rsidRDefault="006034A4" w:rsidP="00544B08">
            <w:pPr>
              <w:pStyle w:val="TableText0"/>
              <w:keepNext w:val="0"/>
              <w:widowControl w:val="0"/>
            </w:pPr>
            <w:r w:rsidRPr="006E4BFC">
              <w:t>Scripts dispensed</w:t>
            </w:r>
          </w:p>
          <w:p w14:paraId="7ACDC55D" w14:textId="77777777" w:rsidR="006034A4" w:rsidRPr="006E4BFC" w:rsidRDefault="006034A4" w:rsidP="00544B08">
            <w:pPr>
              <w:pStyle w:val="TableText0"/>
              <w:keepNext w:val="0"/>
              <w:widowControl w:val="0"/>
            </w:pPr>
            <w:r w:rsidRPr="006E4BFC">
              <w:t>(TAL, all strengths)</w:t>
            </w:r>
          </w:p>
        </w:tc>
        <w:tc>
          <w:tcPr>
            <w:tcW w:w="2228" w:type="pct"/>
            <w:shd w:val="clear" w:color="auto" w:fill="auto"/>
            <w:vAlign w:val="center"/>
          </w:tcPr>
          <w:tbl>
            <w:tblPr>
              <w:tblStyle w:val="TableGrid"/>
              <w:tblW w:w="3796" w:type="dxa"/>
              <w:tblCellMar>
                <w:left w:w="28" w:type="dxa"/>
                <w:right w:w="28" w:type="dxa"/>
              </w:tblCellMar>
              <w:tblLook w:val="04A0" w:firstRow="1" w:lastRow="0" w:firstColumn="1" w:lastColumn="0" w:noHBand="0" w:noVBand="1"/>
            </w:tblPr>
            <w:tblGrid>
              <w:gridCol w:w="558"/>
              <w:gridCol w:w="483"/>
              <w:gridCol w:w="581"/>
              <w:gridCol w:w="544"/>
              <w:gridCol w:w="563"/>
              <w:gridCol w:w="563"/>
              <w:gridCol w:w="504"/>
            </w:tblGrid>
            <w:tr w:rsidR="006034A4" w:rsidRPr="006E4BFC" w14:paraId="2EF25F29" w14:textId="77777777" w:rsidTr="00E97B08">
              <w:trPr>
                <w:trHeight w:val="20"/>
              </w:trPr>
              <w:tc>
                <w:tcPr>
                  <w:tcW w:w="536" w:type="dxa"/>
                  <w:vAlign w:val="center"/>
                </w:tcPr>
                <w:p w14:paraId="43197F30" w14:textId="77777777" w:rsidR="006034A4" w:rsidRPr="00565C8B" w:rsidRDefault="006034A4" w:rsidP="00544B08">
                  <w:pPr>
                    <w:pStyle w:val="TableText0"/>
                    <w:keepNext w:val="0"/>
                    <w:widowControl w:val="0"/>
                    <w:jc w:val="center"/>
                  </w:pPr>
                </w:p>
              </w:tc>
              <w:tc>
                <w:tcPr>
                  <w:tcW w:w="485" w:type="dxa"/>
                  <w:vAlign w:val="center"/>
                </w:tcPr>
                <w:p w14:paraId="44313EC3" w14:textId="77777777" w:rsidR="006034A4" w:rsidRPr="00565C8B" w:rsidRDefault="006034A4" w:rsidP="00544B08">
                  <w:pPr>
                    <w:pStyle w:val="TableText0"/>
                    <w:keepNext w:val="0"/>
                    <w:widowControl w:val="0"/>
                    <w:jc w:val="center"/>
                  </w:pPr>
                  <w:r w:rsidRPr="00565C8B">
                    <w:t>2024</w:t>
                  </w:r>
                </w:p>
              </w:tc>
              <w:tc>
                <w:tcPr>
                  <w:tcW w:w="586" w:type="dxa"/>
                  <w:vAlign w:val="center"/>
                </w:tcPr>
                <w:p w14:paraId="30418F04" w14:textId="77777777" w:rsidR="006034A4" w:rsidRPr="00565C8B" w:rsidRDefault="006034A4" w:rsidP="00544B08">
                  <w:pPr>
                    <w:pStyle w:val="TableText0"/>
                    <w:keepNext w:val="0"/>
                    <w:widowControl w:val="0"/>
                    <w:jc w:val="center"/>
                  </w:pPr>
                  <w:r w:rsidRPr="00565C8B">
                    <w:t>2025</w:t>
                  </w:r>
                </w:p>
              </w:tc>
              <w:tc>
                <w:tcPr>
                  <w:tcW w:w="548" w:type="dxa"/>
                  <w:vAlign w:val="center"/>
                </w:tcPr>
                <w:p w14:paraId="5E184D90" w14:textId="77777777" w:rsidR="006034A4" w:rsidRPr="00565C8B" w:rsidRDefault="006034A4" w:rsidP="00544B08">
                  <w:pPr>
                    <w:pStyle w:val="TableText0"/>
                    <w:keepNext w:val="0"/>
                    <w:widowControl w:val="0"/>
                    <w:jc w:val="center"/>
                  </w:pPr>
                  <w:r w:rsidRPr="00565C8B">
                    <w:t>2026</w:t>
                  </w:r>
                </w:p>
              </w:tc>
              <w:tc>
                <w:tcPr>
                  <w:tcW w:w="567" w:type="dxa"/>
                  <w:vAlign w:val="center"/>
                </w:tcPr>
                <w:p w14:paraId="65648798" w14:textId="77777777" w:rsidR="006034A4" w:rsidRPr="00565C8B" w:rsidRDefault="006034A4" w:rsidP="00544B08">
                  <w:pPr>
                    <w:pStyle w:val="TableText0"/>
                    <w:keepNext w:val="0"/>
                    <w:widowControl w:val="0"/>
                    <w:jc w:val="center"/>
                  </w:pPr>
                  <w:r w:rsidRPr="00565C8B">
                    <w:t>2027</w:t>
                  </w:r>
                </w:p>
              </w:tc>
              <w:tc>
                <w:tcPr>
                  <w:tcW w:w="567" w:type="dxa"/>
                  <w:vAlign w:val="center"/>
                </w:tcPr>
                <w:p w14:paraId="5CB2BCD7" w14:textId="77777777" w:rsidR="006034A4" w:rsidRPr="00565C8B" w:rsidRDefault="006034A4" w:rsidP="00544B08">
                  <w:pPr>
                    <w:pStyle w:val="TableText0"/>
                    <w:keepNext w:val="0"/>
                    <w:widowControl w:val="0"/>
                    <w:jc w:val="center"/>
                  </w:pPr>
                  <w:r w:rsidRPr="00565C8B">
                    <w:t>2028</w:t>
                  </w:r>
                </w:p>
              </w:tc>
              <w:tc>
                <w:tcPr>
                  <w:tcW w:w="507" w:type="dxa"/>
                  <w:vAlign w:val="center"/>
                </w:tcPr>
                <w:p w14:paraId="50037027" w14:textId="77777777" w:rsidR="006034A4" w:rsidRPr="00565C8B" w:rsidRDefault="006034A4" w:rsidP="00544B08">
                  <w:pPr>
                    <w:pStyle w:val="TableText0"/>
                    <w:keepNext w:val="0"/>
                    <w:widowControl w:val="0"/>
                    <w:jc w:val="center"/>
                  </w:pPr>
                  <w:r w:rsidRPr="00565C8B">
                    <w:t>2029</w:t>
                  </w:r>
                </w:p>
              </w:tc>
            </w:tr>
            <w:tr w:rsidR="006034A4" w:rsidRPr="006E4BFC" w14:paraId="28E86433" w14:textId="77777777" w:rsidTr="00E97B08">
              <w:trPr>
                <w:trHeight w:val="20"/>
              </w:trPr>
              <w:tc>
                <w:tcPr>
                  <w:tcW w:w="536" w:type="dxa"/>
                  <w:vAlign w:val="center"/>
                </w:tcPr>
                <w:p w14:paraId="23397D51" w14:textId="77777777" w:rsidR="006034A4" w:rsidRPr="00565C8B" w:rsidRDefault="006034A4" w:rsidP="00544B08">
                  <w:pPr>
                    <w:pStyle w:val="TableText0"/>
                    <w:keepNext w:val="0"/>
                    <w:widowControl w:val="0"/>
                    <w:jc w:val="center"/>
                  </w:pPr>
                  <w:r w:rsidRPr="00565C8B">
                    <w:t>PBS</w:t>
                  </w:r>
                </w:p>
              </w:tc>
              <w:tc>
                <w:tcPr>
                  <w:tcW w:w="485" w:type="dxa"/>
                </w:tcPr>
                <w:p w14:paraId="6F894299" w14:textId="07045AA9"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1"/>
                      <w14:textFill>
                        <w14:solidFill>
                          <w14:srgbClr w14:val="000000">
                            <w14:alpha w14:val="100000"/>
                          </w14:srgbClr>
                        </w14:solidFill>
                      </w14:textFill>
                    </w:rPr>
                    <w:t>|</w:t>
                  </w:r>
                  <w:r w:rsidRPr="00D62519">
                    <w:rPr>
                      <w:color w:val="000000"/>
                      <w:spacing w:val="1"/>
                      <w:shd w:val="solid" w:color="000000" w:fill="000000"/>
                      <w:fitText w:val="195" w:id="-961822201"/>
                      <w14:textFill>
                        <w14:solidFill>
                          <w14:srgbClr w14:val="000000">
                            <w14:alpha w14:val="100000"/>
                          </w14:srgbClr>
                        </w14:solidFill>
                      </w14:textFill>
                    </w:rPr>
                    <w:t>|</w:t>
                  </w:r>
                  <w:r w:rsidR="00015B49" w:rsidRPr="00565C8B">
                    <w:rPr>
                      <w:vertAlign w:val="superscript"/>
                    </w:rPr>
                    <w:t>1</w:t>
                  </w:r>
                  <w:r w:rsidR="00565C8B" w:rsidRPr="00565C8B">
                    <w:t xml:space="preserve"> </w:t>
                  </w:r>
                </w:p>
              </w:tc>
              <w:tc>
                <w:tcPr>
                  <w:tcW w:w="586" w:type="dxa"/>
                </w:tcPr>
                <w:p w14:paraId="7FCCCDEE" w14:textId="2D7BAC41" w:rsidR="006034A4" w:rsidRPr="00565C8B" w:rsidRDefault="00D62519" w:rsidP="00544B08">
                  <w:pPr>
                    <w:pStyle w:val="TableText0"/>
                    <w:keepNext w:val="0"/>
                    <w:widowControl w:val="0"/>
                    <w:jc w:val="center"/>
                    <w:rPr>
                      <w:highlight w:val="lightGray"/>
                    </w:rPr>
                  </w:pPr>
                  <w:r w:rsidRPr="00D62519">
                    <w:rPr>
                      <w:rFonts w:hint="eastAsia"/>
                      <w:color w:val="000000"/>
                      <w:w w:val="30"/>
                      <w:shd w:val="solid" w:color="000000" w:fill="000000"/>
                      <w:fitText w:val="135" w:id="-961822200"/>
                      <w14:textFill>
                        <w14:solidFill>
                          <w14:srgbClr w14:val="000000">
                            <w14:alpha w14:val="100000"/>
                          </w14:srgbClr>
                        </w14:solidFill>
                      </w14:textFill>
                    </w:rPr>
                    <w:t xml:space="preserve">　</w:t>
                  </w:r>
                  <w:r w:rsidRPr="00D62519">
                    <w:rPr>
                      <w:color w:val="000000"/>
                      <w:w w:val="30"/>
                      <w:shd w:val="solid" w:color="000000" w:fill="000000"/>
                      <w:fitText w:val="135" w:id="-961822200"/>
                      <w14:textFill>
                        <w14:solidFill>
                          <w14:srgbClr w14:val="000000">
                            <w14:alpha w14:val="100000"/>
                          </w14:srgbClr>
                        </w14:solidFill>
                      </w14:textFill>
                    </w:rPr>
                    <w:t>|</w:t>
                  </w:r>
                  <w:r w:rsidRPr="00D62519">
                    <w:rPr>
                      <w:rFonts w:hint="eastAsia"/>
                      <w:color w:val="000000"/>
                      <w:spacing w:val="3"/>
                      <w:w w:val="30"/>
                      <w:shd w:val="solid" w:color="000000" w:fill="000000"/>
                      <w:fitText w:val="135" w:id="-961822200"/>
                      <w14:textFill>
                        <w14:solidFill>
                          <w14:srgbClr w14:val="000000">
                            <w14:alpha w14:val="100000"/>
                          </w14:srgbClr>
                        </w14:solidFill>
                      </w14:textFill>
                    </w:rPr>
                    <w:t xml:space="preserve">　</w:t>
                  </w:r>
                  <w:r w:rsidR="00015B49" w:rsidRPr="00565C8B">
                    <w:rPr>
                      <w:vertAlign w:val="superscript"/>
                    </w:rPr>
                    <w:t>1</w:t>
                  </w:r>
                  <w:r w:rsidR="00565C8B" w:rsidRPr="00565C8B">
                    <w:t xml:space="preserve"> </w:t>
                  </w:r>
                </w:p>
              </w:tc>
              <w:tc>
                <w:tcPr>
                  <w:tcW w:w="548" w:type="dxa"/>
                </w:tcPr>
                <w:p w14:paraId="6F052875" w14:textId="456D6DA4"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9"/>
                      <w14:textFill>
                        <w14:solidFill>
                          <w14:srgbClr w14:val="000000">
                            <w14:alpha w14:val="100000"/>
                          </w14:srgbClr>
                        </w14:solidFill>
                      </w14:textFill>
                    </w:rPr>
                    <w:t>|</w:t>
                  </w:r>
                  <w:r w:rsidRPr="00D62519">
                    <w:rPr>
                      <w:color w:val="000000"/>
                      <w:spacing w:val="1"/>
                      <w:shd w:val="solid" w:color="000000" w:fill="000000"/>
                      <w:fitText w:val="165" w:id="-961822199"/>
                      <w14:textFill>
                        <w14:solidFill>
                          <w14:srgbClr w14:val="000000">
                            <w14:alpha w14:val="100000"/>
                          </w14:srgbClr>
                        </w14:solidFill>
                      </w14:textFill>
                    </w:rPr>
                    <w:t>|</w:t>
                  </w:r>
                  <w:r w:rsidR="00015B49" w:rsidRPr="00565C8B">
                    <w:rPr>
                      <w:vertAlign w:val="superscript"/>
                    </w:rPr>
                    <w:t>1</w:t>
                  </w:r>
                  <w:r w:rsidR="00565C8B" w:rsidRPr="00565C8B">
                    <w:t xml:space="preserve"> </w:t>
                  </w:r>
                </w:p>
              </w:tc>
              <w:tc>
                <w:tcPr>
                  <w:tcW w:w="567" w:type="dxa"/>
                </w:tcPr>
                <w:p w14:paraId="33EDFA3B" w14:textId="4185CB72"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8"/>
                      <w14:textFill>
                        <w14:solidFill>
                          <w14:srgbClr w14:val="000000">
                            <w14:alpha w14:val="100000"/>
                          </w14:srgbClr>
                        </w14:solidFill>
                      </w14:textFill>
                    </w:rPr>
                    <w:t>|</w:t>
                  </w:r>
                  <w:r w:rsidRPr="00D62519">
                    <w:rPr>
                      <w:color w:val="000000"/>
                      <w:spacing w:val="1"/>
                      <w:shd w:val="solid" w:color="000000" w:fill="000000"/>
                      <w:fitText w:val="165" w:id="-961822198"/>
                      <w14:textFill>
                        <w14:solidFill>
                          <w14:srgbClr w14:val="000000">
                            <w14:alpha w14:val="100000"/>
                          </w14:srgbClr>
                        </w14:solidFill>
                      </w14:textFill>
                    </w:rPr>
                    <w:t>|</w:t>
                  </w:r>
                  <w:r w:rsidR="00015B49" w:rsidRPr="00565C8B">
                    <w:rPr>
                      <w:vertAlign w:val="superscript"/>
                    </w:rPr>
                    <w:t>3</w:t>
                  </w:r>
                </w:p>
              </w:tc>
              <w:tc>
                <w:tcPr>
                  <w:tcW w:w="567" w:type="dxa"/>
                </w:tcPr>
                <w:p w14:paraId="4BA5684C" w14:textId="65C714BC"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7"/>
                      <w14:textFill>
                        <w14:solidFill>
                          <w14:srgbClr w14:val="000000">
                            <w14:alpha w14:val="100000"/>
                          </w14:srgbClr>
                        </w14:solidFill>
                      </w14:textFill>
                    </w:rPr>
                    <w:t>|</w:t>
                  </w:r>
                  <w:r w:rsidRPr="00D62519">
                    <w:rPr>
                      <w:color w:val="000000"/>
                      <w:spacing w:val="1"/>
                      <w:shd w:val="solid" w:color="000000" w:fill="000000"/>
                      <w:fitText w:val="165" w:id="-961822197"/>
                      <w14:textFill>
                        <w14:solidFill>
                          <w14:srgbClr w14:val="000000">
                            <w14:alpha w14:val="100000"/>
                          </w14:srgbClr>
                        </w14:solidFill>
                      </w14:textFill>
                    </w:rPr>
                    <w:t>|</w:t>
                  </w:r>
                  <w:r w:rsidR="00015B49" w:rsidRPr="00565C8B">
                    <w:rPr>
                      <w:vertAlign w:val="superscript"/>
                    </w:rPr>
                    <w:t>3</w:t>
                  </w:r>
                  <w:r w:rsidR="00565C8B" w:rsidRPr="00565C8B">
                    <w:t xml:space="preserve"> </w:t>
                  </w:r>
                </w:p>
              </w:tc>
              <w:tc>
                <w:tcPr>
                  <w:tcW w:w="507" w:type="dxa"/>
                </w:tcPr>
                <w:p w14:paraId="239F14A9" w14:textId="496F33C4"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6"/>
                      <w14:textFill>
                        <w14:solidFill>
                          <w14:srgbClr w14:val="000000">
                            <w14:alpha w14:val="100000"/>
                          </w14:srgbClr>
                        </w14:solidFill>
                      </w14:textFill>
                    </w:rPr>
                    <w:t>|</w:t>
                  </w:r>
                  <w:r w:rsidRPr="00D62519">
                    <w:rPr>
                      <w:color w:val="000000"/>
                      <w:spacing w:val="1"/>
                      <w:shd w:val="solid" w:color="000000" w:fill="000000"/>
                      <w:fitText w:val="195" w:id="-961822196"/>
                      <w14:textFill>
                        <w14:solidFill>
                          <w14:srgbClr w14:val="000000">
                            <w14:alpha w14:val="100000"/>
                          </w14:srgbClr>
                        </w14:solidFill>
                      </w14:textFill>
                    </w:rPr>
                    <w:t>|</w:t>
                  </w:r>
                  <w:r w:rsidR="00015B49" w:rsidRPr="00565C8B">
                    <w:rPr>
                      <w:vertAlign w:val="superscript"/>
                    </w:rPr>
                    <w:t>3</w:t>
                  </w:r>
                  <w:r w:rsidR="00565C8B" w:rsidRPr="00565C8B">
                    <w:t xml:space="preserve"> </w:t>
                  </w:r>
                </w:p>
              </w:tc>
            </w:tr>
            <w:tr w:rsidR="006034A4" w:rsidRPr="006E4BFC" w14:paraId="11291723" w14:textId="77777777" w:rsidTr="00E97B08">
              <w:trPr>
                <w:trHeight w:val="20"/>
              </w:trPr>
              <w:tc>
                <w:tcPr>
                  <w:tcW w:w="536" w:type="dxa"/>
                  <w:vAlign w:val="center"/>
                </w:tcPr>
                <w:p w14:paraId="7658B2F8" w14:textId="77777777" w:rsidR="006034A4" w:rsidRPr="00565C8B" w:rsidRDefault="006034A4" w:rsidP="00544B08">
                  <w:pPr>
                    <w:pStyle w:val="TableText0"/>
                    <w:keepNext w:val="0"/>
                    <w:widowControl w:val="0"/>
                    <w:jc w:val="center"/>
                  </w:pPr>
                  <w:r w:rsidRPr="00565C8B">
                    <w:t>RPBS</w:t>
                  </w:r>
                </w:p>
              </w:tc>
              <w:tc>
                <w:tcPr>
                  <w:tcW w:w="485" w:type="dxa"/>
                </w:tcPr>
                <w:p w14:paraId="43D6C802" w14:textId="19D510DE"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5"/>
                      <w14:textFill>
                        <w14:solidFill>
                          <w14:srgbClr w14:val="000000">
                            <w14:alpha w14:val="100000"/>
                          </w14:srgbClr>
                        </w14:solidFill>
                      </w14:textFill>
                    </w:rPr>
                    <w:t>|</w:t>
                  </w:r>
                  <w:r w:rsidRPr="00D62519">
                    <w:rPr>
                      <w:color w:val="000000"/>
                      <w:spacing w:val="1"/>
                      <w:shd w:val="solid" w:color="000000" w:fill="000000"/>
                      <w:fitText w:val="195" w:id="-961822195"/>
                      <w14:textFill>
                        <w14:solidFill>
                          <w14:srgbClr w14:val="000000">
                            <w14:alpha w14:val="100000"/>
                          </w14:srgbClr>
                        </w14:solidFill>
                      </w14:textFill>
                    </w:rPr>
                    <w:t>|</w:t>
                  </w:r>
                  <w:r w:rsidR="005678D6" w:rsidRPr="00565C8B">
                    <w:rPr>
                      <w:vertAlign w:val="superscript"/>
                    </w:rPr>
                    <w:t>2</w:t>
                  </w:r>
                  <w:r w:rsidR="00565C8B" w:rsidRPr="00565C8B">
                    <w:t xml:space="preserve"> </w:t>
                  </w:r>
                </w:p>
              </w:tc>
              <w:tc>
                <w:tcPr>
                  <w:tcW w:w="586" w:type="dxa"/>
                </w:tcPr>
                <w:p w14:paraId="21C3CE91" w14:textId="78153D92" w:rsidR="006034A4" w:rsidRPr="00565C8B" w:rsidRDefault="00D62519" w:rsidP="00544B08">
                  <w:pPr>
                    <w:pStyle w:val="TableText0"/>
                    <w:keepNext w:val="0"/>
                    <w:widowControl w:val="0"/>
                    <w:jc w:val="center"/>
                    <w:rPr>
                      <w:highlight w:val="lightGray"/>
                    </w:rPr>
                  </w:pPr>
                  <w:r w:rsidRPr="00D62519">
                    <w:rPr>
                      <w:rFonts w:hint="eastAsia"/>
                      <w:color w:val="000000"/>
                      <w:w w:val="30"/>
                      <w:shd w:val="solid" w:color="000000" w:fill="000000"/>
                      <w:fitText w:val="135" w:id="-961822194"/>
                      <w14:textFill>
                        <w14:solidFill>
                          <w14:srgbClr w14:val="000000">
                            <w14:alpha w14:val="100000"/>
                          </w14:srgbClr>
                        </w14:solidFill>
                      </w14:textFill>
                    </w:rPr>
                    <w:t xml:space="preserve">　</w:t>
                  </w:r>
                  <w:r w:rsidRPr="00D62519">
                    <w:rPr>
                      <w:color w:val="000000"/>
                      <w:w w:val="30"/>
                      <w:shd w:val="solid" w:color="000000" w:fill="000000"/>
                      <w:fitText w:val="135" w:id="-961822194"/>
                      <w14:textFill>
                        <w14:solidFill>
                          <w14:srgbClr w14:val="000000">
                            <w14:alpha w14:val="100000"/>
                          </w14:srgbClr>
                        </w14:solidFill>
                      </w14:textFill>
                    </w:rPr>
                    <w:t>|</w:t>
                  </w:r>
                  <w:r w:rsidRPr="00D62519">
                    <w:rPr>
                      <w:rFonts w:hint="eastAsia"/>
                      <w:color w:val="000000"/>
                      <w:spacing w:val="3"/>
                      <w:w w:val="30"/>
                      <w:shd w:val="solid" w:color="000000" w:fill="000000"/>
                      <w:fitText w:val="135" w:id="-961822194"/>
                      <w14:textFill>
                        <w14:solidFill>
                          <w14:srgbClr w14:val="000000">
                            <w14:alpha w14:val="100000"/>
                          </w14:srgbClr>
                        </w14:solidFill>
                      </w14:textFill>
                    </w:rPr>
                    <w:t xml:space="preserve">　</w:t>
                  </w:r>
                  <w:r w:rsidR="005678D6" w:rsidRPr="00565C8B">
                    <w:rPr>
                      <w:vertAlign w:val="superscript"/>
                    </w:rPr>
                    <w:t>2</w:t>
                  </w:r>
                  <w:r w:rsidR="00565C8B" w:rsidRPr="00565C8B">
                    <w:t xml:space="preserve"> </w:t>
                  </w:r>
                </w:p>
              </w:tc>
              <w:tc>
                <w:tcPr>
                  <w:tcW w:w="548" w:type="dxa"/>
                </w:tcPr>
                <w:p w14:paraId="6FD86258" w14:textId="786CA6B0"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3"/>
                      <w14:textFill>
                        <w14:solidFill>
                          <w14:srgbClr w14:val="000000">
                            <w14:alpha w14:val="100000"/>
                          </w14:srgbClr>
                        </w14:solidFill>
                      </w14:textFill>
                    </w:rPr>
                    <w:t>|</w:t>
                  </w:r>
                  <w:r w:rsidRPr="00D62519">
                    <w:rPr>
                      <w:color w:val="000000"/>
                      <w:spacing w:val="1"/>
                      <w:shd w:val="solid" w:color="000000" w:fill="000000"/>
                      <w:fitText w:val="165" w:id="-961822193"/>
                      <w14:textFill>
                        <w14:solidFill>
                          <w14:srgbClr w14:val="000000">
                            <w14:alpha w14:val="100000"/>
                          </w14:srgbClr>
                        </w14:solidFill>
                      </w14:textFill>
                    </w:rPr>
                    <w:t>|</w:t>
                  </w:r>
                  <w:r w:rsidR="005678D6" w:rsidRPr="00565C8B">
                    <w:rPr>
                      <w:vertAlign w:val="superscript"/>
                    </w:rPr>
                    <w:t>2</w:t>
                  </w:r>
                  <w:r w:rsidR="00565C8B" w:rsidRPr="00565C8B">
                    <w:t xml:space="preserve"> </w:t>
                  </w:r>
                </w:p>
              </w:tc>
              <w:tc>
                <w:tcPr>
                  <w:tcW w:w="567" w:type="dxa"/>
                </w:tcPr>
                <w:p w14:paraId="5B41C9B8" w14:textId="142E2AE5"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2"/>
                      <w14:textFill>
                        <w14:solidFill>
                          <w14:srgbClr w14:val="000000">
                            <w14:alpha w14:val="100000"/>
                          </w14:srgbClr>
                        </w14:solidFill>
                      </w14:textFill>
                    </w:rPr>
                    <w:t>|</w:t>
                  </w:r>
                  <w:r w:rsidRPr="00D62519">
                    <w:rPr>
                      <w:color w:val="000000"/>
                      <w:spacing w:val="1"/>
                      <w:shd w:val="solid" w:color="000000" w:fill="000000"/>
                      <w:fitText w:val="165" w:id="-961822192"/>
                      <w14:textFill>
                        <w14:solidFill>
                          <w14:srgbClr w14:val="000000">
                            <w14:alpha w14:val="100000"/>
                          </w14:srgbClr>
                        </w14:solidFill>
                      </w14:textFill>
                    </w:rPr>
                    <w:t>|</w:t>
                  </w:r>
                  <w:r w:rsidR="005678D6" w:rsidRPr="00565C8B">
                    <w:rPr>
                      <w:vertAlign w:val="superscript"/>
                    </w:rPr>
                    <w:t>2</w:t>
                  </w:r>
                </w:p>
              </w:tc>
              <w:tc>
                <w:tcPr>
                  <w:tcW w:w="567" w:type="dxa"/>
                </w:tcPr>
                <w:p w14:paraId="05E48C83" w14:textId="453FACF2"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8"/>
                      <w14:textFill>
                        <w14:solidFill>
                          <w14:srgbClr w14:val="000000">
                            <w14:alpha w14:val="100000"/>
                          </w14:srgbClr>
                        </w14:solidFill>
                      </w14:textFill>
                    </w:rPr>
                    <w:t>|</w:t>
                  </w:r>
                  <w:r w:rsidRPr="00D62519">
                    <w:rPr>
                      <w:color w:val="000000"/>
                      <w:spacing w:val="1"/>
                      <w:shd w:val="solid" w:color="000000" w:fill="000000"/>
                      <w:fitText w:val="165" w:id="-961822208"/>
                      <w14:textFill>
                        <w14:solidFill>
                          <w14:srgbClr w14:val="000000">
                            <w14:alpha w14:val="100000"/>
                          </w14:srgbClr>
                        </w14:solidFill>
                      </w14:textFill>
                    </w:rPr>
                    <w:t>|</w:t>
                  </w:r>
                  <w:r w:rsidR="005678D6" w:rsidRPr="00565C8B">
                    <w:rPr>
                      <w:vertAlign w:val="superscript"/>
                    </w:rPr>
                    <w:t>2</w:t>
                  </w:r>
                </w:p>
              </w:tc>
              <w:tc>
                <w:tcPr>
                  <w:tcW w:w="507" w:type="dxa"/>
                </w:tcPr>
                <w:p w14:paraId="2BEF29F3" w14:textId="1557693D"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7"/>
                      <w14:textFill>
                        <w14:solidFill>
                          <w14:srgbClr w14:val="000000">
                            <w14:alpha w14:val="100000"/>
                          </w14:srgbClr>
                        </w14:solidFill>
                      </w14:textFill>
                    </w:rPr>
                    <w:t>|</w:t>
                  </w:r>
                  <w:r w:rsidRPr="00D62519">
                    <w:rPr>
                      <w:color w:val="000000"/>
                      <w:spacing w:val="1"/>
                      <w:shd w:val="solid" w:color="000000" w:fill="000000"/>
                      <w:fitText w:val="195" w:id="-961822207"/>
                      <w14:textFill>
                        <w14:solidFill>
                          <w14:srgbClr w14:val="000000">
                            <w14:alpha w14:val="100000"/>
                          </w14:srgbClr>
                        </w14:solidFill>
                      </w14:textFill>
                    </w:rPr>
                    <w:t>|</w:t>
                  </w:r>
                  <w:r w:rsidR="00015B49" w:rsidRPr="00565C8B">
                    <w:rPr>
                      <w:vertAlign w:val="superscript"/>
                    </w:rPr>
                    <w:t>2</w:t>
                  </w:r>
                </w:p>
              </w:tc>
            </w:tr>
            <w:tr w:rsidR="006034A4" w:rsidRPr="006E4BFC" w14:paraId="40A22D9C" w14:textId="77777777" w:rsidTr="00E97B08">
              <w:trPr>
                <w:trHeight w:val="20"/>
              </w:trPr>
              <w:tc>
                <w:tcPr>
                  <w:tcW w:w="536" w:type="dxa"/>
                  <w:vAlign w:val="center"/>
                </w:tcPr>
                <w:p w14:paraId="7069549B" w14:textId="77777777" w:rsidR="006034A4" w:rsidRPr="00565C8B" w:rsidRDefault="006034A4" w:rsidP="00544B08">
                  <w:pPr>
                    <w:pStyle w:val="TableText0"/>
                    <w:keepNext w:val="0"/>
                    <w:widowControl w:val="0"/>
                    <w:jc w:val="center"/>
                  </w:pPr>
                  <w:r w:rsidRPr="00565C8B">
                    <w:t>Total</w:t>
                  </w:r>
                </w:p>
              </w:tc>
              <w:tc>
                <w:tcPr>
                  <w:tcW w:w="485" w:type="dxa"/>
                </w:tcPr>
                <w:p w14:paraId="13DFB5AC" w14:textId="7A2EABEF"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6"/>
                      <w14:textFill>
                        <w14:solidFill>
                          <w14:srgbClr w14:val="000000">
                            <w14:alpha w14:val="100000"/>
                          </w14:srgbClr>
                        </w14:solidFill>
                      </w14:textFill>
                    </w:rPr>
                    <w:t>|</w:t>
                  </w:r>
                  <w:r w:rsidRPr="00D62519">
                    <w:rPr>
                      <w:color w:val="000000"/>
                      <w:spacing w:val="1"/>
                      <w:shd w:val="solid" w:color="000000" w:fill="000000"/>
                      <w:fitText w:val="195" w:id="-961822206"/>
                      <w14:textFill>
                        <w14:solidFill>
                          <w14:srgbClr w14:val="000000">
                            <w14:alpha w14:val="100000"/>
                          </w14:srgbClr>
                        </w14:solidFill>
                      </w14:textFill>
                    </w:rPr>
                    <w:t>|</w:t>
                  </w:r>
                  <w:r w:rsidR="00015B49" w:rsidRPr="00565C8B">
                    <w:rPr>
                      <w:vertAlign w:val="superscript"/>
                    </w:rPr>
                    <w:t>1</w:t>
                  </w:r>
                  <w:r w:rsidR="00565C8B" w:rsidRPr="00565C8B">
                    <w:t xml:space="preserve"> </w:t>
                  </w:r>
                </w:p>
              </w:tc>
              <w:tc>
                <w:tcPr>
                  <w:tcW w:w="586" w:type="dxa"/>
                </w:tcPr>
                <w:p w14:paraId="0849489A" w14:textId="1F0E871E" w:rsidR="006034A4" w:rsidRPr="00565C8B" w:rsidRDefault="00D62519" w:rsidP="00544B08">
                  <w:pPr>
                    <w:pStyle w:val="TableText0"/>
                    <w:keepNext w:val="0"/>
                    <w:widowControl w:val="0"/>
                    <w:jc w:val="center"/>
                    <w:rPr>
                      <w:highlight w:val="lightGray"/>
                    </w:rPr>
                  </w:pPr>
                  <w:r w:rsidRPr="00D62519">
                    <w:rPr>
                      <w:rFonts w:hint="eastAsia"/>
                      <w:color w:val="000000"/>
                      <w:w w:val="30"/>
                      <w:shd w:val="solid" w:color="000000" w:fill="000000"/>
                      <w:fitText w:val="135" w:id="-961822205"/>
                      <w14:textFill>
                        <w14:solidFill>
                          <w14:srgbClr w14:val="000000">
                            <w14:alpha w14:val="100000"/>
                          </w14:srgbClr>
                        </w14:solidFill>
                      </w14:textFill>
                    </w:rPr>
                    <w:t xml:space="preserve">　</w:t>
                  </w:r>
                  <w:r w:rsidRPr="00D62519">
                    <w:rPr>
                      <w:color w:val="000000"/>
                      <w:w w:val="30"/>
                      <w:shd w:val="solid" w:color="000000" w:fill="000000"/>
                      <w:fitText w:val="135" w:id="-961822205"/>
                      <w14:textFill>
                        <w14:solidFill>
                          <w14:srgbClr w14:val="000000">
                            <w14:alpha w14:val="100000"/>
                          </w14:srgbClr>
                        </w14:solidFill>
                      </w14:textFill>
                    </w:rPr>
                    <w:t>|</w:t>
                  </w:r>
                  <w:r w:rsidRPr="00D62519">
                    <w:rPr>
                      <w:rFonts w:hint="eastAsia"/>
                      <w:color w:val="000000"/>
                      <w:spacing w:val="3"/>
                      <w:w w:val="30"/>
                      <w:shd w:val="solid" w:color="000000" w:fill="000000"/>
                      <w:fitText w:val="135" w:id="-961822205"/>
                      <w14:textFill>
                        <w14:solidFill>
                          <w14:srgbClr w14:val="000000">
                            <w14:alpha w14:val="100000"/>
                          </w14:srgbClr>
                        </w14:solidFill>
                      </w14:textFill>
                    </w:rPr>
                    <w:t xml:space="preserve">　</w:t>
                  </w:r>
                  <w:r w:rsidR="00015B49" w:rsidRPr="00565C8B">
                    <w:rPr>
                      <w:vertAlign w:val="superscript"/>
                    </w:rPr>
                    <w:t>1</w:t>
                  </w:r>
                  <w:r w:rsidR="00565C8B" w:rsidRPr="00565C8B">
                    <w:t xml:space="preserve"> </w:t>
                  </w:r>
                </w:p>
              </w:tc>
              <w:tc>
                <w:tcPr>
                  <w:tcW w:w="548" w:type="dxa"/>
                </w:tcPr>
                <w:p w14:paraId="7E72E980" w14:textId="693363D3"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4"/>
                      <w14:textFill>
                        <w14:solidFill>
                          <w14:srgbClr w14:val="000000">
                            <w14:alpha w14:val="100000"/>
                          </w14:srgbClr>
                        </w14:solidFill>
                      </w14:textFill>
                    </w:rPr>
                    <w:t>|</w:t>
                  </w:r>
                  <w:r w:rsidRPr="00D62519">
                    <w:rPr>
                      <w:color w:val="000000"/>
                      <w:spacing w:val="1"/>
                      <w:shd w:val="solid" w:color="000000" w:fill="000000"/>
                      <w:fitText w:val="165" w:id="-961822204"/>
                      <w14:textFill>
                        <w14:solidFill>
                          <w14:srgbClr w14:val="000000">
                            <w14:alpha w14:val="100000"/>
                          </w14:srgbClr>
                        </w14:solidFill>
                      </w14:textFill>
                    </w:rPr>
                    <w:t>|</w:t>
                  </w:r>
                  <w:r w:rsidR="00015B49" w:rsidRPr="00565C8B">
                    <w:rPr>
                      <w:vertAlign w:val="superscript"/>
                    </w:rPr>
                    <w:t>1</w:t>
                  </w:r>
                  <w:r w:rsidR="00565C8B" w:rsidRPr="00565C8B">
                    <w:t xml:space="preserve"> </w:t>
                  </w:r>
                </w:p>
              </w:tc>
              <w:tc>
                <w:tcPr>
                  <w:tcW w:w="567" w:type="dxa"/>
                </w:tcPr>
                <w:p w14:paraId="1974BE20" w14:textId="43C183A8"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3"/>
                      <w14:textFill>
                        <w14:solidFill>
                          <w14:srgbClr w14:val="000000">
                            <w14:alpha w14:val="100000"/>
                          </w14:srgbClr>
                        </w14:solidFill>
                      </w14:textFill>
                    </w:rPr>
                    <w:t>|</w:t>
                  </w:r>
                  <w:r w:rsidRPr="00D62519">
                    <w:rPr>
                      <w:color w:val="000000"/>
                      <w:spacing w:val="1"/>
                      <w:shd w:val="solid" w:color="000000" w:fill="000000"/>
                      <w:fitText w:val="165" w:id="-961822203"/>
                      <w14:textFill>
                        <w14:solidFill>
                          <w14:srgbClr w14:val="000000">
                            <w14:alpha w14:val="100000"/>
                          </w14:srgbClr>
                        </w14:solidFill>
                      </w14:textFill>
                    </w:rPr>
                    <w:t>|</w:t>
                  </w:r>
                  <w:r w:rsidR="00015B49" w:rsidRPr="00565C8B">
                    <w:rPr>
                      <w:vertAlign w:val="superscript"/>
                    </w:rPr>
                    <w:t>3</w:t>
                  </w:r>
                  <w:r w:rsidR="00565C8B" w:rsidRPr="00565C8B">
                    <w:t xml:space="preserve"> </w:t>
                  </w:r>
                </w:p>
              </w:tc>
              <w:tc>
                <w:tcPr>
                  <w:tcW w:w="567" w:type="dxa"/>
                </w:tcPr>
                <w:p w14:paraId="2EAE9762" w14:textId="0C3F9579"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2"/>
                      <w14:textFill>
                        <w14:solidFill>
                          <w14:srgbClr w14:val="000000">
                            <w14:alpha w14:val="100000"/>
                          </w14:srgbClr>
                        </w14:solidFill>
                      </w14:textFill>
                    </w:rPr>
                    <w:t>|</w:t>
                  </w:r>
                  <w:r w:rsidRPr="00D62519">
                    <w:rPr>
                      <w:color w:val="000000"/>
                      <w:spacing w:val="1"/>
                      <w:shd w:val="solid" w:color="000000" w:fill="000000"/>
                      <w:fitText w:val="165" w:id="-961822202"/>
                      <w14:textFill>
                        <w14:solidFill>
                          <w14:srgbClr w14:val="000000">
                            <w14:alpha w14:val="100000"/>
                          </w14:srgbClr>
                        </w14:solidFill>
                      </w14:textFill>
                    </w:rPr>
                    <w:t>|</w:t>
                  </w:r>
                  <w:r w:rsidR="00015B49" w:rsidRPr="00565C8B">
                    <w:rPr>
                      <w:vertAlign w:val="superscript"/>
                    </w:rPr>
                    <w:t>3</w:t>
                  </w:r>
                  <w:r w:rsidR="00565C8B" w:rsidRPr="00565C8B">
                    <w:t xml:space="preserve"> </w:t>
                  </w:r>
                </w:p>
              </w:tc>
              <w:tc>
                <w:tcPr>
                  <w:tcW w:w="507" w:type="dxa"/>
                </w:tcPr>
                <w:p w14:paraId="7AF2688F" w14:textId="0C21FDAF"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1"/>
                      <w14:textFill>
                        <w14:solidFill>
                          <w14:srgbClr w14:val="000000">
                            <w14:alpha w14:val="100000"/>
                          </w14:srgbClr>
                        </w14:solidFill>
                      </w14:textFill>
                    </w:rPr>
                    <w:t>|</w:t>
                  </w:r>
                  <w:r w:rsidRPr="00D62519">
                    <w:rPr>
                      <w:color w:val="000000"/>
                      <w:spacing w:val="1"/>
                      <w:shd w:val="solid" w:color="000000" w:fill="000000"/>
                      <w:fitText w:val="195" w:id="-961822201"/>
                      <w14:textFill>
                        <w14:solidFill>
                          <w14:srgbClr w14:val="000000">
                            <w14:alpha w14:val="100000"/>
                          </w14:srgbClr>
                        </w14:solidFill>
                      </w14:textFill>
                    </w:rPr>
                    <w:t>|</w:t>
                  </w:r>
                  <w:r w:rsidR="00015B49" w:rsidRPr="00565C8B">
                    <w:rPr>
                      <w:vertAlign w:val="superscript"/>
                    </w:rPr>
                    <w:t>3</w:t>
                  </w:r>
                  <w:r w:rsidR="00565C8B" w:rsidRPr="00565C8B">
                    <w:t xml:space="preserve"> </w:t>
                  </w:r>
                </w:p>
              </w:tc>
            </w:tr>
            <w:tr w:rsidR="009F761E" w:rsidRPr="006E4BFC" w14:paraId="64B7A660" w14:textId="77777777" w:rsidTr="00E97B08">
              <w:trPr>
                <w:trHeight w:val="20"/>
              </w:trPr>
              <w:tc>
                <w:tcPr>
                  <w:tcW w:w="536" w:type="dxa"/>
                  <w:vAlign w:val="center"/>
                </w:tcPr>
                <w:p w14:paraId="34640129" w14:textId="1339FB15" w:rsidR="009F761E" w:rsidRPr="00565C8B" w:rsidRDefault="009F761E" w:rsidP="00544B08">
                  <w:pPr>
                    <w:pStyle w:val="TableText0"/>
                    <w:keepNext w:val="0"/>
                    <w:widowControl w:val="0"/>
                    <w:jc w:val="center"/>
                  </w:pPr>
                  <w:r w:rsidRPr="00565C8B">
                    <w:t>Total 12.2/yr</w:t>
                  </w:r>
                </w:p>
              </w:tc>
              <w:tc>
                <w:tcPr>
                  <w:tcW w:w="485" w:type="dxa"/>
                  <w:vAlign w:val="center"/>
                </w:tcPr>
                <w:p w14:paraId="7B8D50F1" w14:textId="31C62AED" w:rsidR="009F761E"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0"/>
                      <w14:textFill>
                        <w14:solidFill>
                          <w14:srgbClr w14:val="000000">
                            <w14:alpha w14:val="100000"/>
                          </w14:srgbClr>
                        </w14:solidFill>
                      </w14:textFill>
                    </w:rPr>
                    <w:t>|</w:t>
                  </w:r>
                  <w:r w:rsidRPr="00D62519">
                    <w:rPr>
                      <w:color w:val="000000"/>
                      <w:spacing w:val="1"/>
                      <w:shd w:val="solid" w:color="000000" w:fill="000000"/>
                      <w:fitText w:val="195" w:id="-961822200"/>
                      <w14:textFill>
                        <w14:solidFill>
                          <w14:srgbClr w14:val="000000">
                            <w14:alpha w14:val="100000"/>
                          </w14:srgbClr>
                        </w14:solidFill>
                      </w14:textFill>
                    </w:rPr>
                    <w:t>|</w:t>
                  </w:r>
                  <w:r w:rsidR="00015B49" w:rsidRPr="00565C8B">
                    <w:rPr>
                      <w:vertAlign w:val="superscript"/>
                    </w:rPr>
                    <w:t>1</w:t>
                  </w:r>
                </w:p>
              </w:tc>
              <w:tc>
                <w:tcPr>
                  <w:tcW w:w="586" w:type="dxa"/>
                  <w:vAlign w:val="center"/>
                </w:tcPr>
                <w:p w14:paraId="77671F97" w14:textId="3E045864" w:rsidR="009F761E" w:rsidRPr="00565C8B" w:rsidRDefault="00D62519" w:rsidP="00544B08">
                  <w:pPr>
                    <w:pStyle w:val="TableText0"/>
                    <w:keepNext w:val="0"/>
                    <w:widowControl w:val="0"/>
                    <w:jc w:val="center"/>
                    <w:rPr>
                      <w:highlight w:val="lightGray"/>
                    </w:rPr>
                  </w:pPr>
                  <w:r w:rsidRPr="00D62519">
                    <w:rPr>
                      <w:rFonts w:hint="eastAsia"/>
                      <w:color w:val="000000"/>
                      <w:w w:val="30"/>
                      <w:shd w:val="solid" w:color="000000" w:fill="000000"/>
                      <w:fitText w:val="135" w:id="-961822199"/>
                      <w14:textFill>
                        <w14:solidFill>
                          <w14:srgbClr w14:val="000000">
                            <w14:alpha w14:val="100000"/>
                          </w14:srgbClr>
                        </w14:solidFill>
                      </w14:textFill>
                    </w:rPr>
                    <w:t xml:space="preserve">　</w:t>
                  </w:r>
                  <w:r w:rsidRPr="00D62519">
                    <w:rPr>
                      <w:color w:val="000000"/>
                      <w:w w:val="30"/>
                      <w:shd w:val="solid" w:color="000000" w:fill="000000"/>
                      <w:fitText w:val="135" w:id="-961822199"/>
                      <w14:textFill>
                        <w14:solidFill>
                          <w14:srgbClr w14:val="000000">
                            <w14:alpha w14:val="100000"/>
                          </w14:srgbClr>
                        </w14:solidFill>
                      </w14:textFill>
                    </w:rPr>
                    <w:t>|</w:t>
                  </w:r>
                  <w:r w:rsidRPr="00D62519">
                    <w:rPr>
                      <w:rFonts w:hint="eastAsia"/>
                      <w:color w:val="000000"/>
                      <w:spacing w:val="3"/>
                      <w:w w:val="30"/>
                      <w:shd w:val="solid" w:color="000000" w:fill="000000"/>
                      <w:fitText w:val="135" w:id="-961822199"/>
                      <w14:textFill>
                        <w14:solidFill>
                          <w14:srgbClr w14:val="000000">
                            <w14:alpha w14:val="100000"/>
                          </w14:srgbClr>
                        </w14:solidFill>
                      </w14:textFill>
                    </w:rPr>
                    <w:t xml:space="preserve">　</w:t>
                  </w:r>
                  <w:r w:rsidR="00015B49" w:rsidRPr="00565C8B">
                    <w:rPr>
                      <w:vertAlign w:val="superscript"/>
                    </w:rPr>
                    <w:t>1</w:t>
                  </w:r>
                </w:p>
              </w:tc>
              <w:tc>
                <w:tcPr>
                  <w:tcW w:w="548" w:type="dxa"/>
                  <w:vAlign w:val="center"/>
                </w:tcPr>
                <w:p w14:paraId="4A33CF61" w14:textId="197671FA" w:rsidR="009F761E"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8"/>
                      <w14:textFill>
                        <w14:solidFill>
                          <w14:srgbClr w14:val="000000">
                            <w14:alpha w14:val="100000"/>
                          </w14:srgbClr>
                        </w14:solidFill>
                      </w14:textFill>
                    </w:rPr>
                    <w:t>|</w:t>
                  </w:r>
                  <w:r w:rsidRPr="00D62519">
                    <w:rPr>
                      <w:color w:val="000000"/>
                      <w:spacing w:val="1"/>
                      <w:shd w:val="solid" w:color="000000" w:fill="000000"/>
                      <w:fitText w:val="165" w:id="-961822198"/>
                      <w14:textFill>
                        <w14:solidFill>
                          <w14:srgbClr w14:val="000000">
                            <w14:alpha w14:val="100000"/>
                          </w14:srgbClr>
                        </w14:solidFill>
                      </w14:textFill>
                    </w:rPr>
                    <w:t>|</w:t>
                  </w:r>
                  <w:r w:rsidR="00015B49" w:rsidRPr="00565C8B">
                    <w:rPr>
                      <w:vertAlign w:val="superscript"/>
                    </w:rPr>
                    <w:t>3</w:t>
                  </w:r>
                </w:p>
              </w:tc>
              <w:tc>
                <w:tcPr>
                  <w:tcW w:w="567" w:type="dxa"/>
                  <w:vAlign w:val="center"/>
                </w:tcPr>
                <w:p w14:paraId="40A788E4" w14:textId="7CB373E4" w:rsidR="009F761E"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7"/>
                      <w14:textFill>
                        <w14:solidFill>
                          <w14:srgbClr w14:val="000000">
                            <w14:alpha w14:val="100000"/>
                          </w14:srgbClr>
                        </w14:solidFill>
                      </w14:textFill>
                    </w:rPr>
                    <w:t>|</w:t>
                  </w:r>
                  <w:r w:rsidRPr="00D62519">
                    <w:rPr>
                      <w:color w:val="000000"/>
                      <w:spacing w:val="1"/>
                      <w:shd w:val="solid" w:color="000000" w:fill="000000"/>
                      <w:fitText w:val="165" w:id="-961822197"/>
                      <w14:textFill>
                        <w14:solidFill>
                          <w14:srgbClr w14:val="000000">
                            <w14:alpha w14:val="100000"/>
                          </w14:srgbClr>
                        </w14:solidFill>
                      </w14:textFill>
                    </w:rPr>
                    <w:t>|</w:t>
                  </w:r>
                  <w:r w:rsidR="00015B49" w:rsidRPr="00565C8B">
                    <w:rPr>
                      <w:vertAlign w:val="superscript"/>
                    </w:rPr>
                    <w:t>3</w:t>
                  </w:r>
                </w:p>
              </w:tc>
              <w:tc>
                <w:tcPr>
                  <w:tcW w:w="567" w:type="dxa"/>
                  <w:vAlign w:val="center"/>
                </w:tcPr>
                <w:p w14:paraId="763B65B2" w14:textId="5BD435B8" w:rsidR="009F761E"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6"/>
                      <w14:textFill>
                        <w14:solidFill>
                          <w14:srgbClr w14:val="000000">
                            <w14:alpha w14:val="100000"/>
                          </w14:srgbClr>
                        </w14:solidFill>
                      </w14:textFill>
                    </w:rPr>
                    <w:t>|</w:t>
                  </w:r>
                  <w:r w:rsidRPr="00D62519">
                    <w:rPr>
                      <w:color w:val="000000"/>
                      <w:spacing w:val="1"/>
                      <w:shd w:val="solid" w:color="000000" w:fill="000000"/>
                      <w:fitText w:val="165" w:id="-961822196"/>
                      <w14:textFill>
                        <w14:solidFill>
                          <w14:srgbClr w14:val="000000">
                            <w14:alpha w14:val="100000"/>
                          </w14:srgbClr>
                        </w14:solidFill>
                      </w14:textFill>
                    </w:rPr>
                    <w:t>|</w:t>
                  </w:r>
                  <w:r w:rsidR="00015B49" w:rsidRPr="00565C8B">
                    <w:rPr>
                      <w:vertAlign w:val="superscript"/>
                    </w:rPr>
                    <w:t>3</w:t>
                  </w:r>
                </w:p>
              </w:tc>
              <w:tc>
                <w:tcPr>
                  <w:tcW w:w="507" w:type="dxa"/>
                  <w:vAlign w:val="center"/>
                </w:tcPr>
                <w:p w14:paraId="5FB959D2" w14:textId="6AE42DCF" w:rsidR="009F761E"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195"/>
                      <w14:textFill>
                        <w14:solidFill>
                          <w14:srgbClr w14:val="000000">
                            <w14:alpha w14:val="100000"/>
                          </w14:srgbClr>
                        </w14:solidFill>
                      </w14:textFill>
                    </w:rPr>
                    <w:t>|</w:t>
                  </w:r>
                  <w:r w:rsidRPr="00D62519">
                    <w:rPr>
                      <w:color w:val="000000"/>
                      <w:spacing w:val="1"/>
                      <w:shd w:val="solid" w:color="000000" w:fill="000000"/>
                      <w:fitText w:val="195" w:id="-961822195"/>
                      <w14:textFill>
                        <w14:solidFill>
                          <w14:srgbClr w14:val="000000">
                            <w14:alpha w14:val="100000"/>
                          </w14:srgbClr>
                        </w14:solidFill>
                      </w14:textFill>
                    </w:rPr>
                    <w:t>|</w:t>
                  </w:r>
                  <w:r w:rsidR="00015B49" w:rsidRPr="00565C8B">
                    <w:rPr>
                      <w:vertAlign w:val="superscript"/>
                    </w:rPr>
                    <w:t>3</w:t>
                  </w:r>
                </w:p>
              </w:tc>
            </w:tr>
          </w:tbl>
          <w:p w14:paraId="28BC96A9" w14:textId="755F0903" w:rsidR="006034A4" w:rsidRPr="006E4BFC" w:rsidRDefault="006034A4" w:rsidP="00544B08">
            <w:pPr>
              <w:pStyle w:val="TableText0"/>
              <w:keepNext w:val="0"/>
              <w:widowControl w:val="0"/>
            </w:pPr>
            <w:r w:rsidRPr="006E4BFC">
              <w:rPr>
                <w:szCs w:val="20"/>
              </w:rPr>
              <w:t xml:space="preserve">The median treatment duration for TAL was </w:t>
            </w:r>
            <w:r w:rsidR="00053FA7" w:rsidRPr="006E4BFC">
              <w:rPr>
                <w:szCs w:val="20"/>
              </w:rPr>
              <w:t xml:space="preserve">estimated </w:t>
            </w:r>
            <w:r w:rsidRPr="006E4BFC">
              <w:rPr>
                <w:szCs w:val="20"/>
              </w:rPr>
              <w:t xml:space="preserve">from extrapolated TTD curves reported in the economic </w:t>
            </w:r>
            <w:r w:rsidR="00053FA7" w:rsidRPr="006E4BFC">
              <w:rPr>
                <w:szCs w:val="20"/>
              </w:rPr>
              <w:t xml:space="preserve">evaluation </w:t>
            </w:r>
            <w:r w:rsidRPr="006E4BFC">
              <w:rPr>
                <w:szCs w:val="20"/>
              </w:rPr>
              <w:t>(median TTD: 669.63 days or 22</w:t>
            </w:r>
            <w:r w:rsidR="009E51BF" w:rsidRPr="006E4BFC">
              <w:rPr>
                <w:szCs w:val="20"/>
              </w:rPr>
              <w:t xml:space="preserve"> </w:t>
            </w:r>
            <w:r w:rsidRPr="006E4BFC">
              <w:rPr>
                <w:szCs w:val="20"/>
              </w:rPr>
              <w:t>months)</w:t>
            </w:r>
            <w:r w:rsidR="009575E7" w:rsidRPr="006E4BFC">
              <w:rPr>
                <w:szCs w:val="20"/>
              </w:rPr>
              <w:t>, assuming 22.32 scripts</w:t>
            </w:r>
            <w:r w:rsidRPr="006E4BFC">
              <w:rPr>
                <w:szCs w:val="20"/>
              </w:rPr>
              <w:t xml:space="preserve">. </w:t>
            </w:r>
            <w:r w:rsidR="009575E7" w:rsidRPr="006E4BFC">
              <w:rPr>
                <w:szCs w:val="20"/>
              </w:rPr>
              <w:t xml:space="preserve">This was then split into </w:t>
            </w:r>
            <w:r w:rsidRPr="006E4BFC">
              <w:rPr>
                <w:szCs w:val="20"/>
              </w:rPr>
              <w:t xml:space="preserve">initiation and continuing scripts based on </w:t>
            </w:r>
            <w:r w:rsidR="00053FA7" w:rsidRPr="006E4BFC">
              <w:rPr>
                <w:szCs w:val="20"/>
              </w:rPr>
              <w:t xml:space="preserve">the split of </w:t>
            </w:r>
            <w:r w:rsidRPr="006E4BFC">
              <w:rPr>
                <w:szCs w:val="20"/>
              </w:rPr>
              <w:t xml:space="preserve">OLA initiating </w:t>
            </w:r>
            <w:r w:rsidR="00053FA7" w:rsidRPr="006E4BFC">
              <w:rPr>
                <w:szCs w:val="20"/>
              </w:rPr>
              <w:t xml:space="preserve">to </w:t>
            </w:r>
            <w:r w:rsidRPr="006E4BFC">
              <w:rPr>
                <w:szCs w:val="20"/>
              </w:rPr>
              <w:t xml:space="preserve">continuing </w:t>
            </w:r>
            <w:r w:rsidR="00053FA7" w:rsidRPr="006E4BFC">
              <w:rPr>
                <w:szCs w:val="20"/>
              </w:rPr>
              <w:t>scripts</w:t>
            </w:r>
            <w:r w:rsidR="009575E7" w:rsidRPr="006E4BFC">
              <w:rPr>
                <w:szCs w:val="20"/>
              </w:rPr>
              <w:t xml:space="preserve"> on PBS</w:t>
            </w:r>
            <w:r w:rsidR="00053FA7" w:rsidRPr="006E4BFC">
              <w:rPr>
                <w:szCs w:val="20"/>
              </w:rPr>
              <w:t xml:space="preserve"> </w:t>
            </w:r>
            <w:r w:rsidR="009575E7" w:rsidRPr="006E4BFC">
              <w:rPr>
                <w:szCs w:val="20"/>
              </w:rPr>
              <w:t>in</w:t>
            </w:r>
            <w:r w:rsidR="00053FA7" w:rsidRPr="006E4BFC">
              <w:rPr>
                <w:szCs w:val="20"/>
              </w:rPr>
              <w:t xml:space="preserve"> 2L </w:t>
            </w:r>
            <w:r w:rsidRPr="006E4BFC">
              <w:rPr>
                <w:szCs w:val="20"/>
              </w:rPr>
              <w:t>mCRPC (33.9:</w:t>
            </w:r>
            <w:r w:rsidR="009575E7" w:rsidRPr="006E4BFC">
              <w:rPr>
                <w:szCs w:val="20"/>
              </w:rPr>
              <w:t xml:space="preserve"> </w:t>
            </w:r>
            <w:r w:rsidRPr="006E4BFC">
              <w:rPr>
                <w:szCs w:val="20"/>
              </w:rPr>
              <w:t xml:space="preserve">66.1 based on service volumes </w:t>
            </w:r>
            <w:r w:rsidR="009575E7" w:rsidRPr="006E4BFC">
              <w:rPr>
                <w:szCs w:val="20"/>
              </w:rPr>
              <w:t xml:space="preserve">in </w:t>
            </w:r>
            <w:r w:rsidRPr="006E4BFC">
              <w:rPr>
                <w:szCs w:val="20"/>
              </w:rPr>
              <w:t>2023 year).</w:t>
            </w:r>
            <w:r w:rsidR="009575E7" w:rsidRPr="006E4BFC">
              <w:rPr>
                <w:szCs w:val="20"/>
              </w:rPr>
              <w:t xml:space="preserve"> Dose intensity was assumed to be 100%.</w:t>
            </w:r>
          </w:p>
        </w:tc>
        <w:tc>
          <w:tcPr>
            <w:tcW w:w="2276" w:type="pct"/>
            <w:shd w:val="clear" w:color="auto" w:fill="auto"/>
            <w:vAlign w:val="center"/>
          </w:tcPr>
          <w:p w14:paraId="40167523" w14:textId="05D17229" w:rsidR="006034A4" w:rsidRPr="006E4BFC" w:rsidRDefault="006034A4" w:rsidP="00544B08">
            <w:pPr>
              <w:pStyle w:val="TableText0"/>
              <w:keepNext w:val="0"/>
              <w:widowControl w:val="0"/>
            </w:pPr>
            <w:r w:rsidRPr="006E4BFC">
              <w:t xml:space="preserve">TTD extrapolated data were used to estimate </w:t>
            </w:r>
            <w:r w:rsidR="00F13554" w:rsidRPr="006E4BFC">
              <w:t xml:space="preserve">median </w:t>
            </w:r>
            <w:r w:rsidRPr="006E4BFC">
              <w:t>treatment duration of TAL</w:t>
            </w:r>
            <w:r w:rsidR="00F13554" w:rsidRPr="006E4BFC">
              <w:t xml:space="preserve"> (22 months)</w:t>
            </w:r>
            <w:r w:rsidRPr="006E4BFC">
              <w:t xml:space="preserve">. </w:t>
            </w:r>
            <w:r w:rsidR="00053FA7" w:rsidRPr="006E4BFC">
              <w:t xml:space="preserve">As discussed </w:t>
            </w:r>
            <w:r w:rsidR="00F13554" w:rsidRPr="006E4BFC">
              <w:t>above</w:t>
            </w:r>
            <w:r w:rsidR="00053FA7" w:rsidRPr="006E4BFC">
              <w:t>, t</w:t>
            </w:r>
            <w:r w:rsidRPr="006E4BFC">
              <w:t>he source of TTD in the BRCA1/2 subgroup could not be verified. Using the median rPFS (33 m</w:t>
            </w:r>
            <w:r w:rsidR="005744F4" w:rsidRPr="006E4BFC">
              <w:t>on</w:t>
            </w:r>
            <w:r w:rsidRPr="006E4BFC">
              <w:t>ths) increased the financial impact by 67.5%.</w:t>
            </w:r>
            <w:r w:rsidR="00F13554" w:rsidRPr="006E4BFC">
              <w:t xml:space="preserve"> The PSCR provided revised estimates in which the mean TTD of</w:t>
            </w:r>
            <w:r w:rsidR="00877FA7" w:rsidRPr="006E4BFC">
              <w:t xml:space="preserve"> </w:t>
            </w:r>
            <w:r w:rsidR="00F13554" w:rsidRPr="006E4BFC">
              <w:t>27.5 months</w:t>
            </w:r>
            <w:r w:rsidR="00EC2FC5">
              <w:t xml:space="preserve"> from the economic model,</w:t>
            </w:r>
            <w:r w:rsidR="00F13554" w:rsidRPr="006E4BFC">
              <w:t xml:space="preserve"> plus waning assumptions</w:t>
            </w:r>
            <w:r w:rsidR="00EC2FC5">
              <w:t>,</w:t>
            </w:r>
            <w:r w:rsidR="00F13554" w:rsidRPr="006E4BFC">
              <w:t xml:space="preserve"> was applied. </w:t>
            </w:r>
            <w:r w:rsidRPr="006E4BFC">
              <w:t xml:space="preserve"> </w:t>
            </w:r>
          </w:p>
        </w:tc>
      </w:tr>
      <w:tr w:rsidR="00210C6E" w:rsidRPr="005A293B" w14:paraId="6496EDD7" w14:textId="77777777" w:rsidTr="00565C8B">
        <w:trPr>
          <w:cantSplit/>
          <w:trHeight w:val="20"/>
        </w:trPr>
        <w:tc>
          <w:tcPr>
            <w:tcW w:w="496" w:type="pct"/>
            <w:shd w:val="clear" w:color="auto" w:fill="auto"/>
            <w:vAlign w:val="center"/>
          </w:tcPr>
          <w:p w14:paraId="51E5C725" w14:textId="77777777" w:rsidR="006034A4" w:rsidRPr="006E4BFC" w:rsidRDefault="006034A4" w:rsidP="00544B08">
            <w:pPr>
              <w:pStyle w:val="TableText0"/>
              <w:keepNext w:val="0"/>
              <w:widowControl w:val="0"/>
            </w:pPr>
            <w:r w:rsidRPr="006E4BFC">
              <w:t>Patients starting subsequent treatment (n)</w:t>
            </w:r>
          </w:p>
        </w:tc>
        <w:tc>
          <w:tcPr>
            <w:tcW w:w="2228" w:type="pct"/>
            <w:shd w:val="clear" w:color="auto" w:fill="auto"/>
            <w:vAlign w:val="center"/>
          </w:tcPr>
          <w:tbl>
            <w:tblPr>
              <w:tblStyle w:val="TableGrid"/>
              <w:tblW w:w="3586" w:type="dxa"/>
              <w:tblCellMar>
                <w:left w:w="28" w:type="dxa"/>
                <w:right w:w="28" w:type="dxa"/>
              </w:tblCellMar>
              <w:tblLook w:val="04A0" w:firstRow="1" w:lastRow="0" w:firstColumn="1" w:lastColumn="0" w:noHBand="0" w:noVBand="1"/>
            </w:tblPr>
            <w:tblGrid>
              <w:gridCol w:w="385"/>
              <w:gridCol w:w="451"/>
              <w:gridCol w:w="451"/>
              <w:gridCol w:w="481"/>
              <w:gridCol w:w="481"/>
              <w:gridCol w:w="629"/>
              <w:gridCol w:w="708"/>
            </w:tblGrid>
            <w:tr w:rsidR="006034A4" w:rsidRPr="006E4BFC" w14:paraId="50A53036" w14:textId="77777777" w:rsidTr="00D62519">
              <w:trPr>
                <w:trHeight w:val="20"/>
              </w:trPr>
              <w:tc>
                <w:tcPr>
                  <w:tcW w:w="385" w:type="dxa"/>
                  <w:vAlign w:val="center"/>
                </w:tcPr>
                <w:p w14:paraId="7715B359" w14:textId="77777777" w:rsidR="006034A4" w:rsidRPr="00565C8B" w:rsidRDefault="006034A4" w:rsidP="00565C8B">
                  <w:pPr>
                    <w:pStyle w:val="TableText0"/>
                    <w:keepNext w:val="0"/>
                    <w:widowControl w:val="0"/>
                  </w:pPr>
                </w:p>
              </w:tc>
              <w:tc>
                <w:tcPr>
                  <w:tcW w:w="451" w:type="dxa"/>
                  <w:vAlign w:val="center"/>
                </w:tcPr>
                <w:p w14:paraId="168E6687" w14:textId="77777777" w:rsidR="006034A4" w:rsidRPr="00565C8B" w:rsidRDefault="006034A4" w:rsidP="00565C8B">
                  <w:pPr>
                    <w:pStyle w:val="TableText0"/>
                    <w:keepNext w:val="0"/>
                    <w:widowControl w:val="0"/>
                  </w:pPr>
                  <w:r w:rsidRPr="00565C8B">
                    <w:t>2024</w:t>
                  </w:r>
                </w:p>
              </w:tc>
              <w:tc>
                <w:tcPr>
                  <w:tcW w:w="451" w:type="dxa"/>
                  <w:vAlign w:val="center"/>
                </w:tcPr>
                <w:p w14:paraId="700012FF" w14:textId="77777777" w:rsidR="006034A4" w:rsidRPr="00565C8B" w:rsidRDefault="006034A4" w:rsidP="00565C8B">
                  <w:pPr>
                    <w:pStyle w:val="TableText0"/>
                    <w:keepNext w:val="0"/>
                    <w:widowControl w:val="0"/>
                  </w:pPr>
                  <w:r w:rsidRPr="00565C8B">
                    <w:t>2025</w:t>
                  </w:r>
                </w:p>
              </w:tc>
              <w:tc>
                <w:tcPr>
                  <w:tcW w:w="481" w:type="dxa"/>
                  <w:vAlign w:val="center"/>
                </w:tcPr>
                <w:p w14:paraId="4DE5A531" w14:textId="77777777" w:rsidR="006034A4" w:rsidRPr="00565C8B" w:rsidRDefault="006034A4" w:rsidP="00565C8B">
                  <w:pPr>
                    <w:pStyle w:val="TableText0"/>
                    <w:keepNext w:val="0"/>
                    <w:widowControl w:val="0"/>
                  </w:pPr>
                  <w:r w:rsidRPr="00565C8B">
                    <w:t>2026</w:t>
                  </w:r>
                </w:p>
              </w:tc>
              <w:tc>
                <w:tcPr>
                  <w:tcW w:w="481" w:type="dxa"/>
                  <w:vAlign w:val="center"/>
                </w:tcPr>
                <w:p w14:paraId="7DFF19A5" w14:textId="77777777" w:rsidR="006034A4" w:rsidRPr="00565C8B" w:rsidRDefault="006034A4" w:rsidP="00565C8B">
                  <w:pPr>
                    <w:pStyle w:val="TableText0"/>
                    <w:keepNext w:val="0"/>
                    <w:widowControl w:val="0"/>
                  </w:pPr>
                  <w:r w:rsidRPr="00565C8B">
                    <w:t>2027</w:t>
                  </w:r>
                </w:p>
              </w:tc>
              <w:tc>
                <w:tcPr>
                  <w:tcW w:w="629" w:type="dxa"/>
                  <w:vAlign w:val="center"/>
                </w:tcPr>
                <w:p w14:paraId="3E87CEC5" w14:textId="77777777" w:rsidR="006034A4" w:rsidRPr="00565C8B" w:rsidRDefault="006034A4" w:rsidP="00565C8B">
                  <w:pPr>
                    <w:pStyle w:val="TableText0"/>
                    <w:keepNext w:val="0"/>
                    <w:widowControl w:val="0"/>
                  </w:pPr>
                  <w:r w:rsidRPr="00565C8B">
                    <w:t>2028</w:t>
                  </w:r>
                </w:p>
              </w:tc>
              <w:tc>
                <w:tcPr>
                  <w:tcW w:w="708" w:type="dxa"/>
                  <w:vAlign w:val="center"/>
                </w:tcPr>
                <w:p w14:paraId="7B1430E8" w14:textId="77777777" w:rsidR="006034A4" w:rsidRPr="00565C8B" w:rsidRDefault="006034A4" w:rsidP="00565C8B">
                  <w:pPr>
                    <w:pStyle w:val="TableText0"/>
                    <w:keepNext w:val="0"/>
                    <w:widowControl w:val="0"/>
                  </w:pPr>
                  <w:r w:rsidRPr="00565C8B">
                    <w:t>2029</w:t>
                  </w:r>
                </w:p>
              </w:tc>
            </w:tr>
            <w:tr w:rsidR="006034A4" w:rsidRPr="006E4BFC" w14:paraId="07921B98" w14:textId="77777777" w:rsidTr="00D62519">
              <w:trPr>
                <w:trHeight w:val="20"/>
              </w:trPr>
              <w:tc>
                <w:tcPr>
                  <w:tcW w:w="385" w:type="dxa"/>
                  <w:vAlign w:val="center"/>
                </w:tcPr>
                <w:p w14:paraId="6C37723D" w14:textId="77777777" w:rsidR="006034A4" w:rsidRPr="00565C8B" w:rsidRDefault="006034A4" w:rsidP="00565C8B">
                  <w:pPr>
                    <w:pStyle w:val="TableText0"/>
                    <w:keepNext w:val="0"/>
                    <w:widowControl w:val="0"/>
                  </w:pPr>
                  <w:r w:rsidRPr="00565C8B">
                    <w:t>DTX</w:t>
                  </w:r>
                </w:p>
              </w:tc>
              <w:tc>
                <w:tcPr>
                  <w:tcW w:w="451" w:type="dxa"/>
                </w:tcPr>
                <w:p w14:paraId="26267A35" w14:textId="23788494"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194"/>
                      <w14:textFill>
                        <w14:solidFill>
                          <w14:srgbClr w14:val="000000">
                            <w14:alpha w14:val="100000"/>
                          </w14:srgbClr>
                        </w14:solidFill>
                      </w14:textFill>
                    </w:rPr>
                    <w:t>||</w:t>
                  </w:r>
                  <w:r w:rsidRPr="00D62519">
                    <w:rPr>
                      <w:color w:val="000000"/>
                      <w:spacing w:val="2"/>
                      <w:shd w:val="solid" w:color="000000" w:fill="000000"/>
                      <w:fitText w:val="225" w:id="-961822194"/>
                      <w14:textFill>
                        <w14:solidFill>
                          <w14:srgbClr w14:val="000000">
                            <w14:alpha w14:val="100000"/>
                          </w14:srgbClr>
                        </w14:solidFill>
                      </w14:textFill>
                    </w:rPr>
                    <w:t>|</w:t>
                  </w:r>
                  <w:r w:rsidR="00015B49" w:rsidRPr="00565C8B">
                    <w:rPr>
                      <w:vertAlign w:val="superscript"/>
                    </w:rPr>
                    <w:t>2</w:t>
                  </w:r>
                </w:p>
              </w:tc>
              <w:tc>
                <w:tcPr>
                  <w:tcW w:w="451" w:type="dxa"/>
                </w:tcPr>
                <w:p w14:paraId="2D2B1A66" w14:textId="09188A7E"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193"/>
                      <w14:textFill>
                        <w14:solidFill>
                          <w14:srgbClr w14:val="000000">
                            <w14:alpha w14:val="100000"/>
                          </w14:srgbClr>
                        </w14:solidFill>
                      </w14:textFill>
                    </w:rPr>
                    <w:t>||</w:t>
                  </w:r>
                  <w:r w:rsidRPr="00D62519">
                    <w:rPr>
                      <w:color w:val="000000"/>
                      <w:spacing w:val="2"/>
                      <w:shd w:val="solid" w:color="000000" w:fill="000000"/>
                      <w:fitText w:val="225" w:id="-961822193"/>
                      <w14:textFill>
                        <w14:solidFill>
                          <w14:srgbClr w14:val="000000">
                            <w14:alpha w14:val="100000"/>
                          </w14:srgbClr>
                        </w14:solidFill>
                      </w14:textFill>
                    </w:rPr>
                    <w:t>|</w:t>
                  </w:r>
                  <w:r w:rsidR="00015B49" w:rsidRPr="00565C8B">
                    <w:rPr>
                      <w:vertAlign w:val="superscript"/>
                    </w:rPr>
                    <w:t>1</w:t>
                  </w:r>
                </w:p>
              </w:tc>
              <w:tc>
                <w:tcPr>
                  <w:tcW w:w="481" w:type="dxa"/>
                </w:tcPr>
                <w:p w14:paraId="69A0780B" w14:textId="23564F15"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192"/>
                      <w14:textFill>
                        <w14:solidFill>
                          <w14:srgbClr w14:val="000000">
                            <w14:alpha w14:val="100000"/>
                          </w14:srgbClr>
                        </w14:solidFill>
                      </w14:textFill>
                    </w:rPr>
                    <w:t>||</w:t>
                  </w:r>
                  <w:r w:rsidRPr="00D62519">
                    <w:rPr>
                      <w:color w:val="000000"/>
                      <w:spacing w:val="2"/>
                      <w:shd w:val="solid" w:color="000000" w:fill="000000"/>
                      <w:fitText w:val="225" w:id="-961822192"/>
                      <w14:textFill>
                        <w14:solidFill>
                          <w14:srgbClr w14:val="000000">
                            <w14:alpha w14:val="100000"/>
                          </w14:srgbClr>
                        </w14:solidFill>
                      </w14:textFill>
                    </w:rPr>
                    <w:t>|</w:t>
                  </w:r>
                  <w:r w:rsidR="00015B49" w:rsidRPr="00565C8B">
                    <w:rPr>
                      <w:vertAlign w:val="superscript"/>
                    </w:rPr>
                    <w:t>1</w:t>
                  </w:r>
                </w:p>
              </w:tc>
              <w:tc>
                <w:tcPr>
                  <w:tcW w:w="481" w:type="dxa"/>
                </w:tcPr>
                <w:p w14:paraId="4C2A38A7" w14:textId="17FB5DBE"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8"/>
                      <w14:textFill>
                        <w14:solidFill>
                          <w14:srgbClr w14:val="000000">
                            <w14:alpha w14:val="100000"/>
                          </w14:srgbClr>
                        </w14:solidFill>
                      </w14:textFill>
                    </w:rPr>
                    <w:t>||</w:t>
                  </w:r>
                  <w:r w:rsidRPr="00D62519">
                    <w:rPr>
                      <w:color w:val="000000"/>
                      <w:spacing w:val="2"/>
                      <w:shd w:val="solid" w:color="000000" w:fill="000000"/>
                      <w:fitText w:val="225" w:id="-961822208"/>
                      <w14:textFill>
                        <w14:solidFill>
                          <w14:srgbClr w14:val="000000">
                            <w14:alpha w14:val="100000"/>
                          </w14:srgbClr>
                        </w14:solidFill>
                      </w14:textFill>
                    </w:rPr>
                    <w:t>|</w:t>
                  </w:r>
                  <w:r w:rsidR="00015B49" w:rsidRPr="00565C8B">
                    <w:rPr>
                      <w:vertAlign w:val="superscript"/>
                    </w:rPr>
                    <w:t>1</w:t>
                  </w:r>
                </w:p>
              </w:tc>
              <w:tc>
                <w:tcPr>
                  <w:tcW w:w="629" w:type="dxa"/>
                </w:tcPr>
                <w:p w14:paraId="0ACC45C6" w14:textId="6DDC96A9"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7"/>
                      <w14:textFill>
                        <w14:solidFill>
                          <w14:srgbClr w14:val="000000">
                            <w14:alpha w14:val="100000"/>
                          </w14:srgbClr>
                        </w14:solidFill>
                      </w14:textFill>
                    </w:rPr>
                    <w:t>||</w:t>
                  </w:r>
                  <w:r w:rsidRPr="00D62519">
                    <w:rPr>
                      <w:color w:val="000000"/>
                      <w:spacing w:val="2"/>
                      <w:shd w:val="solid" w:color="000000" w:fill="000000"/>
                      <w:fitText w:val="225" w:id="-961822207"/>
                      <w14:textFill>
                        <w14:solidFill>
                          <w14:srgbClr w14:val="000000">
                            <w14:alpha w14:val="100000"/>
                          </w14:srgbClr>
                        </w14:solidFill>
                      </w14:textFill>
                    </w:rPr>
                    <w:t>|</w:t>
                  </w:r>
                  <w:r w:rsidR="00015B49" w:rsidRPr="00565C8B">
                    <w:rPr>
                      <w:vertAlign w:val="superscript"/>
                    </w:rPr>
                    <w:t>1</w:t>
                  </w:r>
                </w:p>
              </w:tc>
              <w:tc>
                <w:tcPr>
                  <w:tcW w:w="708" w:type="dxa"/>
                </w:tcPr>
                <w:p w14:paraId="599D6E02" w14:textId="6C9304FB"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6"/>
                      <w14:textFill>
                        <w14:solidFill>
                          <w14:srgbClr w14:val="000000">
                            <w14:alpha w14:val="100000"/>
                          </w14:srgbClr>
                        </w14:solidFill>
                      </w14:textFill>
                    </w:rPr>
                    <w:t>||</w:t>
                  </w:r>
                  <w:r w:rsidRPr="00D62519">
                    <w:rPr>
                      <w:color w:val="000000"/>
                      <w:spacing w:val="2"/>
                      <w:shd w:val="solid" w:color="000000" w:fill="000000"/>
                      <w:fitText w:val="225" w:id="-961822206"/>
                      <w14:textFill>
                        <w14:solidFill>
                          <w14:srgbClr w14:val="000000">
                            <w14:alpha w14:val="100000"/>
                          </w14:srgbClr>
                        </w14:solidFill>
                      </w14:textFill>
                    </w:rPr>
                    <w:t>|</w:t>
                  </w:r>
                  <w:r w:rsidR="00015B49" w:rsidRPr="00565C8B">
                    <w:rPr>
                      <w:vertAlign w:val="superscript"/>
                    </w:rPr>
                    <w:t>1</w:t>
                  </w:r>
                </w:p>
              </w:tc>
            </w:tr>
            <w:tr w:rsidR="006034A4" w:rsidRPr="006E4BFC" w14:paraId="39BA683F" w14:textId="77777777" w:rsidTr="00D62519">
              <w:trPr>
                <w:trHeight w:val="20"/>
              </w:trPr>
              <w:tc>
                <w:tcPr>
                  <w:tcW w:w="385" w:type="dxa"/>
                  <w:vAlign w:val="center"/>
                </w:tcPr>
                <w:p w14:paraId="0B395A08" w14:textId="77777777" w:rsidR="006034A4" w:rsidRPr="00565C8B" w:rsidRDefault="006034A4" w:rsidP="00565C8B">
                  <w:pPr>
                    <w:pStyle w:val="TableText0"/>
                    <w:keepNext w:val="0"/>
                    <w:widowControl w:val="0"/>
                  </w:pPr>
                  <w:r w:rsidRPr="00565C8B">
                    <w:t>CBZ</w:t>
                  </w:r>
                </w:p>
              </w:tc>
              <w:tc>
                <w:tcPr>
                  <w:tcW w:w="451" w:type="dxa"/>
                </w:tcPr>
                <w:p w14:paraId="323FA725" w14:textId="46BC3FB3"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5"/>
                      <w14:textFill>
                        <w14:solidFill>
                          <w14:srgbClr w14:val="000000">
                            <w14:alpha w14:val="100000"/>
                          </w14:srgbClr>
                        </w14:solidFill>
                      </w14:textFill>
                    </w:rPr>
                    <w:t>||</w:t>
                  </w:r>
                  <w:r w:rsidRPr="00D62519">
                    <w:rPr>
                      <w:color w:val="000000"/>
                      <w:spacing w:val="2"/>
                      <w:shd w:val="solid" w:color="000000" w:fill="000000"/>
                      <w:fitText w:val="225" w:id="-961822205"/>
                      <w14:textFill>
                        <w14:solidFill>
                          <w14:srgbClr w14:val="000000">
                            <w14:alpha w14:val="100000"/>
                          </w14:srgbClr>
                        </w14:solidFill>
                      </w14:textFill>
                    </w:rPr>
                    <w:t>|</w:t>
                  </w:r>
                  <w:r w:rsidR="00015B49" w:rsidRPr="00565C8B">
                    <w:rPr>
                      <w:vertAlign w:val="superscript"/>
                    </w:rPr>
                    <w:t>2</w:t>
                  </w:r>
                </w:p>
              </w:tc>
              <w:tc>
                <w:tcPr>
                  <w:tcW w:w="451" w:type="dxa"/>
                </w:tcPr>
                <w:p w14:paraId="4EFBFFCC" w14:textId="64325B90"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4"/>
                      <w14:textFill>
                        <w14:solidFill>
                          <w14:srgbClr w14:val="000000">
                            <w14:alpha w14:val="100000"/>
                          </w14:srgbClr>
                        </w14:solidFill>
                      </w14:textFill>
                    </w:rPr>
                    <w:t>||</w:t>
                  </w:r>
                  <w:r w:rsidRPr="00D62519">
                    <w:rPr>
                      <w:color w:val="000000"/>
                      <w:spacing w:val="2"/>
                      <w:shd w:val="solid" w:color="000000" w:fill="000000"/>
                      <w:fitText w:val="225" w:id="-961822204"/>
                      <w14:textFill>
                        <w14:solidFill>
                          <w14:srgbClr w14:val="000000">
                            <w14:alpha w14:val="100000"/>
                          </w14:srgbClr>
                        </w14:solidFill>
                      </w14:textFill>
                    </w:rPr>
                    <w:t>|</w:t>
                  </w:r>
                  <w:r w:rsidR="00015B49" w:rsidRPr="00565C8B">
                    <w:rPr>
                      <w:vertAlign w:val="superscript"/>
                    </w:rPr>
                    <w:t>2</w:t>
                  </w:r>
                </w:p>
              </w:tc>
              <w:tc>
                <w:tcPr>
                  <w:tcW w:w="481" w:type="dxa"/>
                </w:tcPr>
                <w:p w14:paraId="34910848" w14:textId="66BC40D9"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3"/>
                      <w14:textFill>
                        <w14:solidFill>
                          <w14:srgbClr w14:val="000000">
                            <w14:alpha w14:val="100000"/>
                          </w14:srgbClr>
                        </w14:solidFill>
                      </w14:textFill>
                    </w:rPr>
                    <w:t>||</w:t>
                  </w:r>
                  <w:r w:rsidRPr="00D62519">
                    <w:rPr>
                      <w:color w:val="000000"/>
                      <w:spacing w:val="2"/>
                      <w:shd w:val="solid" w:color="000000" w:fill="000000"/>
                      <w:fitText w:val="225" w:id="-961822203"/>
                      <w14:textFill>
                        <w14:solidFill>
                          <w14:srgbClr w14:val="000000">
                            <w14:alpha w14:val="100000"/>
                          </w14:srgbClr>
                        </w14:solidFill>
                      </w14:textFill>
                    </w:rPr>
                    <w:t>|</w:t>
                  </w:r>
                  <w:r w:rsidR="00015B49" w:rsidRPr="00565C8B">
                    <w:rPr>
                      <w:vertAlign w:val="superscript"/>
                    </w:rPr>
                    <w:t>1</w:t>
                  </w:r>
                </w:p>
              </w:tc>
              <w:tc>
                <w:tcPr>
                  <w:tcW w:w="481" w:type="dxa"/>
                </w:tcPr>
                <w:p w14:paraId="3AF77D76" w14:textId="58344779"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2"/>
                      <w14:textFill>
                        <w14:solidFill>
                          <w14:srgbClr w14:val="000000">
                            <w14:alpha w14:val="100000"/>
                          </w14:srgbClr>
                        </w14:solidFill>
                      </w14:textFill>
                    </w:rPr>
                    <w:t>||</w:t>
                  </w:r>
                  <w:r w:rsidRPr="00D62519">
                    <w:rPr>
                      <w:color w:val="000000"/>
                      <w:spacing w:val="2"/>
                      <w:shd w:val="solid" w:color="000000" w:fill="000000"/>
                      <w:fitText w:val="225" w:id="-961822202"/>
                      <w14:textFill>
                        <w14:solidFill>
                          <w14:srgbClr w14:val="000000">
                            <w14:alpha w14:val="100000"/>
                          </w14:srgbClr>
                        </w14:solidFill>
                      </w14:textFill>
                    </w:rPr>
                    <w:t>|</w:t>
                  </w:r>
                  <w:r w:rsidR="00015B49" w:rsidRPr="00565C8B">
                    <w:rPr>
                      <w:vertAlign w:val="superscript"/>
                    </w:rPr>
                    <w:t>1</w:t>
                  </w:r>
                </w:p>
              </w:tc>
              <w:tc>
                <w:tcPr>
                  <w:tcW w:w="629" w:type="dxa"/>
                </w:tcPr>
                <w:p w14:paraId="4394E066" w14:textId="51251562"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1"/>
                      <w14:textFill>
                        <w14:solidFill>
                          <w14:srgbClr w14:val="000000">
                            <w14:alpha w14:val="100000"/>
                          </w14:srgbClr>
                        </w14:solidFill>
                      </w14:textFill>
                    </w:rPr>
                    <w:t>||</w:t>
                  </w:r>
                  <w:r w:rsidRPr="00D62519">
                    <w:rPr>
                      <w:color w:val="000000"/>
                      <w:spacing w:val="2"/>
                      <w:shd w:val="solid" w:color="000000" w:fill="000000"/>
                      <w:fitText w:val="225" w:id="-961822201"/>
                      <w14:textFill>
                        <w14:solidFill>
                          <w14:srgbClr w14:val="000000">
                            <w14:alpha w14:val="100000"/>
                          </w14:srgbClr>
                        </w14:solidFill>
                      </w14:textFill>
                    </w:rPr>
                    <w:t>|</w:t>
                  </w:r>
                  <w:r w:rsidR="00015B49" w:rsidRPr="00565C8B">
                    <w:rPr>
                      <w:vertAlign w:val="superscript"/>
                    </w:rPr>
                    <w:t>1</w:t>
                  </w:r>
                </w:p>
              </w:tc>
              <w:tc>
                <w:tcPr>
                  <w:tcW w:w="708" w:type="dxa"/>
                </w:tcPr>
                <w:p w14:paraId="41717C4D" w14:textId="477E0C2F" w:rsidR="006034A4" w:rsidRPr="00565C8B" w:rsidRDefault="00D62519" w:rsidP="00565C8B">
                  <w:pPr>
                    <w:pStyle w:val="TableText0"/>
                    <w:keepNext w:val="0"/>
                    <w:widowControl w:val="0"/>
                    <w:rPr>
                      <w:highlight w:val="lightGray"/>
                    </w:rPr>
                  </w:pPr>
                  <w:r w:rsidRPr="00D62519">
                    <w:rPr>
                      <w:color w:val="000000"/>
                      <w:spacing w:val="48"/>
                      <w:shd w:val="solid" w:color="000000" w:fill="000000"/>
                      <w:fitText w:val="225" w:id="-961822200"/>
                      <w14:textFill>
                        <w14:solidFill>
                          <w14:srgbClr w14:val="000000">
                            <w14:alpha w14:val="100000"/>
                          </w14:srgbClr>
                        </w14:solidFill>
                      </w14:textFill>
                    </w:rPr>
                    <w:t>||</w:t>
                  </w:r>
                  <w:r w:rsidRPr="00D62519">
                    <w:rPr>
                      <w:color w:val="000000"/>
                      <w:spacing w:val="2"/>
                      <w:shd w:val="solid" w:color="000000" w:fill="000000"/>
                      <w:fitText w:val="225" w:id="-961822200"/>
                      <w14:textFill>
                        <w14:solidFill>
                          <w14:srgbClr w14:val="000000">
                            <w14:alpha w14:val="100000"/>
                          </w14:srgbClr>
                        </w14:solidFill>
                      </w14:textFill>
                    </w:rPr>
                    <w:t>|</w:t>
                  </w:r>
                  <w:r w:rsidR="00015B49" w:rsidRPr="00565C8B">
                    <w:rPr>
                      <w:vertAlign w:val="superscript"/>
                    </w:rPr>
                    <w:t>1</w:t>
                  </w:r>
                </w:p>
              </w:tc>
            </w:tr>
            <w:tr w:rsidR="006034A4" w:rsidRPr="006E4BFC" w14:paraId="7D4BECA7" w14:textId="77777777" w:rsidTr="00D62519">
              <w:trPr>
                <w:trHeight w:val="20"/>
              </w:trPr>
              <w:tc>
                <w:tcPr>
                  <w:tcW w:w="385" w:type="dxa"/>
                  <w:vAlign w:val="center"/>
                </w:tcPr>
                <w:p w14:paraId="3F3DFD4C" w14:textId="77777777" w:rsidR="006034A4" w:rsidRPr="00565C8B" w:rsidRDefault="006034A4" w:rsidP="00565C8B">
                  <w:pPr>
                    <w:pStyle w:val="TableText0"/>
                    <w:keepNext w:val="0"/>
                    <w:widowControl w:val="0"/>
                  </w:pPr>
                  <w:r w:rsidRPr="00565C8B">
                    <w:t>OLA</w:t>
                  </w:r>
                </w:p>
              </w:tc>
              <w:tc>
                <w:tcPr>
                  <w:tcW w:w="451" w:type="dxa"/>
                </w:tcPr>
                <w:p w14:paraId="482B203B" w14:textId="4920C31A" w:rsidR="006034A4" w:rsidRPr="00565C8B" w:rsidRDefault="006034A4" w:rsidP="00565C8B">
                  <w:pPr>
                    <w:pStyle w:val="TableText0"/>
                    <w:keepNext w:val="0"/>
                    <w:widowControl w:val="0"/>
                    <w:rPr>
                      <w:highlight w:val="lightGray"/>
                    </w:rPr>
                  </w:pPr>
                  <w:r w:rsidRPr="00565C8B">
                    <w:t>(</w:t>
                  </w:r>
                  <w:r w:rsidR="00D62519" w:rsidRPr="00D62519">
                    <w:rPr>
                      <w:color w:val="000000"/>
                      <w:spacing w:val="48"/>
                      <w:shd w:val="solid" w:color="000000" w:fill="000000"/>
                      <w:fitText w:val="225" w:id="-961822199"/>
                      <w14:textFill>
                        <w14:solidFill>
                          <w14:srgbClr w14:val="000000">
                            <w14:alpha w14:val="100000"/>
                          </w14:srgbClr>
                        </w14:solidFill>
                      </w14:textFill>
                    </w:rPr>
                    <w:t>||</w:t>
                  </w:r>
                  <w:r w:rsidR="00D62519" w:rsidRPr="00D62519">
                    <w:rPr>
                      <w:color w:val="000000"/>
                      <w:spacing w:val="2"/>
                      <w:shd w:val="solid" w:color="000000" w:fill="000000"/>
                      <w:fitText w:val="225" w:id="-961822199"/>
                      <w14:textFill>
                        <w14:solidFill>
                          <w14:srgbClr w14:val="000000">
                            <w14:alpha w14:val="100000"/>
                          </w14:srgbClr>
                        </w14:solidFill>
                      </w14:textFill>
                    </w:rPr>
                    <w:t>|</w:t>
                  </w:r>
                  <w:r w:rsidR="000306CB" w:rsidRPr="00565C8B">
                    <w:rPr>
                      <w:vertAlign w:val="superscript"/>
                    </w:rPr>
                    <w:t>2</w:t>
                  </w:r>
                  <w:r w:rsidRPr="00565C8B">
                    <w:t>)</w:t>
                  </w:r>
                </w:p>
              </w:tc>
              <w:tc>
                <w:tcPr>
                  <w:tcW w:w="451" w:type="dxa"/>
                </w:tcPr>
                <w:p w14:paraId="3980462F" w14:textId="596BEF8C" w:rsidR="006034A4" w:rsidRPr="00565C8B" w:rsidRDefault="006034A4" w:rsidP="00565C8B">
                  <w:pPr>
                    <w:pStyle w:val="TableText0"/>
                    <w:keepNext w:val="0"/>
                    <w:widowControl w:val="0"/>
                    <w:rPr>
                      <w:highlight w:val="lightGray"/>
                    </w:rPr>
                  </w:pPr>
                  <w:r w:rsidRPr="00565C8B">
                    <w:t>(</w:t>
                  </w:r>
                  <w:r w:rsidR="00D62519" w:rsidRPr="00D62519">
                    <w:rPr>
                      <w:color w:val="000000"/>
                      <w:spacing w:val="48"/>
                      <w:shd w:val="solid" w:color="000000" w:fill="000000"/>
                      <w:fitText w:val="225" w:id="-961822198"/>
                      <w14:textFill>
                        <w14:solidFill>
                          <w14:srgbClr w14:val="000000">
                            <w14:alpha w14:val="100000"/>
                          </w14:srgbClr>
                        </w14:solidFill>
                      </w14:textFill>
                    </w:rPr>
                    <w:t>||</w:t>
                  </w:r>
                  <w:r w:rsidR="00D62519" w:rsidRPr="00D62519">
                    <w:rPr>
                      <w:color w:val="000000"/>
                      <w:spacing w:val="2"/>
                      <w:shd w:val="solid" w:color="000000" w:fill="000000"/>
                      <w:fitText w:val="225" w:id="-961822198"/>
                      <w14:textFill>
                        <w14:solidFill>
                          <w14:srgbClr w14:val="000000">
                            <w14:alpha w14:val="100000"/>
                          </w14:srgbClr>
                        </w14:solidFill>
                      </w14:textFill>
                    </w:rPr>
                    <w:t>|</w:t>
                  </w:r>
                  <w:r w:rsidR="000306CB" w:rsidRPr="00565C8B">
                    <w:rPr>
                      <w:vertAlign w:val="superscript"/>
                    </w:rPr>
                    <w:t>1</w:t>
                  </w:r>
                  <w:r w:rsidRPr="00565C8B">
                    <w:t>)</w:t>
                  </w:r>
                </w:p>
              </w:tc>
              <w:tc>
                <w:tcPr>
                  <w:tcW w:w="481" w:type="dxa"/>
                </w:tcPr>
                <w:p w14:paraId="09114F3F" w14:textId="7AC5C080" w:rsidR="006034A4" w:rsidRPr="00565C8B" w:rsidRDefault="006034A4" w:rsidP="00565C8B">
                  <w:pPr>
                    <w:pStyle w:val="TableText0"/>
                    <w:keepNext w:val="0"/>
                    <w:widowControl w:val="0"/>
                    <w:rPr>
                      <w:highlight w:val="lightGray"/>
                    </w:rPr>
                  </w:pPr>
                  <w:r w:rsidRPr="00565C8B">
                    <w:t>(</w:t>
                  </w:r>
                  <w:r w:rsidR="00D62519" w:rsidRPr="00D62519">
                    <w:rPr>
                      <w:color w:val="000000"/>
                      <w:spacing w:val="48"/>
                      <w:shd w:val="solid" w:color="000000" w:fill="000000"/>
                      <w:fitText w:val="225" w:id="-961822197"/>
                      <w14:textFill>
                        <w14:solidFill>
                          <w14:srgbClr w14:val="000000">
                            <w14:alpha w14:val="100000"/>
                          </w14:srgbClr>
                        </w14:solidFill>
                      </w14:textFill>
                    </w:rPr>
                    <w:t>||</w:t>
                  </w:r>
                  <w:r w:rsidR="00D62519" w:rsidRPr="00D62519">
                    <w:rPr>
                      <w:color w:val="000000"/>
                      <w:spacing w:val="2"/>
                      <w:shd w:val="solid" w:color="000000" w:fill="000000"/>
                      <w:fitText w:val="225" w:id="-961822197"/>
                      <w14:textFill>
                        <w14:solidFill>
                          <w14:srgbClr w14:val="000000">
                            <w14:alpha w14:val="100000"/>
                          </w14:srgbClr>
                        </w14:solidFill>
                      </w14:textFill>
                    </w:rPr>
                    <w:t>|</w:t>
                  </w:r>
                  <w:r w:rsidR="000306CB" w:rsidRPr="00565C8B">
                    <w:rPr>
                      <w:vertAlign w:val="superscript"/>
                    </w:rPr>
                    <w:t>1</w:t>
                  </w:r>
                  <w:r w:rsidRPr="00565C8B">
                    <w:t>)</w:t>
                  </w:r>
                </w:p>
              </w:tc>
              <w:tc>
                <w:tcPr>
                  <w:tcW w:w="481" w:type="dxa"/>
                </w:tcPr>
                <w:p w14:paraId="7819D303" w14:textId="511952D7" w:rsidR="006034A4" w:rsidRPr="00565C8B" w:rsidRDefault="006034A4" w:rsidP="00565C8B">
                  <w:pPr>
                    <w:pStyle w:val="TableText0"/>
                    <w:keepNext w:val="0"/>
                    <w:widowControl w:val="0"/>
                    <w:rPr>
                      <w:highlight w:val="lightGray"/>
                    </w:rPr>
                  </w:pPr>
                  <w:r w:rsidRPr="00565C8B">
                    <w:t>(</w:t>
                  </w:r>
                  <w:r w:rsidR="00D62519" w:rsidRPr="00D62519">
                    <w:rPr>
                      <w:color w:val="000000"/>
                      <w:spacing w:val="48"/>
                      <w:shd w:val="solid" w:color="000000" w:fill="000000"/>
                      <w:fitText w:val="225" w:id="-961822196"/>
                      <w14:textFill>
                        <w14:solidFill>
                          <w14:srgbClr w14:val="000000">
                            <w14:alpha w14:val="100000"/>
                          </w14:srgbClr>
                        </w14:solidFill>
                      </w14:textFill>
                    </w:rPr>
                    <w:t>||</w:t>
                  </w:r>
                  <w:r w:rsidR="00D62519" w:rsidRPr="00D62519">
                    <w:rPr>
                      <w:color w:val="000000"/>
                      <w:spacing w:val="2"/>
                      <w:shd w:val="solid" w:color="000000" w:fill="000000"/>
                      <w:fitText w:val="225" w:id="-961822196"/>
                      <w14:textFill>
                        <w14:solidFill>
                          <w14:srgbClr w14:val="000000">
                            <w14:alpha w14:val="100000"/>
                          </w14:srgbClr>
                        </w14:solidFill>
                      </w14:textFill>
                    </w:rPr>
                    <w:t>|</w:t>
                  </w:r>
                  <w:r w:rsidR="000306CB" w:rsidRPr="00565C8B">
                    <w:rPr>
                      <w:vertAlign w:val="superscript"/>
                    </w:rPr>
                    <w:t>1</w:t>
                  </w:r>
                  <w:r w:rsidRPr="00565C8B">
                    <w:t>)</w:t>
                  </w:r>
                </w:p>
              </w:tc>
              <w:tc>
                <w:tcPr>
                  <w:tcW w:w="629" w:type="dxa"/>
                </w:tcPr>
                <w:p w14:paraId="11C123F6" w14:textId="76514694" w:rsidR="006034A4" w:rsidRPr="00565C8B" w:rsidRDefault="006034A4" w:rsidP="00565C8B">
                  <w:pPr>
                    <w:pStyle w:val="TableText0"/>
                    <w:keepNext w:val="0"/>
                    <w:widowControl w:val="0"/>
                    <w:rPr>
                      <w:highlight w:val="lightGray"/>
                    </w:rPr>
                  </w:pPr>
                  <w:r w:rsidRPr="00565C8B">
                    <w:t>(</w:t>
                  </w:r>
                  <w:r w:rsidR="00D62519" w:rsidRPr="00D62519">
                    <w:rPr>
                      <w:color w:val="000000"/>
                      <w:spacing w:val="48"/>
                      <w:shd w:val="solid" w:color="000000" w:fill="000000"/>
                      <w:fitText w:val="225" w:id="-961822195"/>
                      <w14:textFill>
                        <w14:solidFill>
                          <w14:srgbClr w14:val="000000">
                            <w14:alpha w14:val="100000"/>
                          </w14:srgbClr>
                        </w14:solidFill>
                      </w14:textFill>
                    </w:rPr>
                    <w:t>||</w:t>
                  </w:r>
                  <w:r w:rsidR="00D62519" w:rsidRPr="00D62519">
                    <w:rPr>
                      <w:color w:val="000000"/>
                      <w:spacing w:val="2"/>
                      <w:shd w:val="solid" w:color="000000" w:fill="000000"/>
                      <w:fitText w:val="225" w:id="-961822195"/>
                      <w14:textFill>
                        <w14:solidFill>
                          <w14:srgbClr w14:val="000000">
                            <w14:alpha w14:val="100000"/>
                          </w14:srgbClr>
                        </w14:solidFill>
                      </w14:textFill>
                    </w:rPr>
                    <w:t>|</w:t>
                  </w:r>
                  <w:r w:rsidR="000306CB" w:rsidRPr="00565C8B">
                    <w:rPr>
                      <w:vertAlign w:val="superscript"/>
                    </w:rPr>
                    <w:t>1</w:t>
                  </w:r>
                  <w:r w:rsidRPr="00565C8B">
                    <w:t>)</w:t>
                  </w:r>
                </w:p>
              </w:tc>
              <w:tc>
                <w:tcPr>
                  <w:tcW w:w="708" w:type="dxa"/>
                </w:tcPr>
                <w:p w14:paraId="398D503C" w14:textId="7B331A20" w:rsidR="006034A4" w:rsidRPr="00565C8B" w:rsidRDefault="006034A4" w:rsidP="00565C8B">
                  <w:pPr>
                    <w:pStyle w:val="TableText0"/>
                    <w:keepNext w:val="0"/>
                    <w:widowControl w:val="0"/>
                    <w:rPr>
                      <w:highlight w:val="lightGray"/>
                    </w:rPr>
                  </w:pPr>
                  <w:r w:rsidRPr="00565C8B">
                    <w:t>(</w:t>
                  </w:r>
                  <w:r w:rsidR="00D62519" w:rsidRPr="00D62519">
                    <w:rPr>
                      <w:color w:val="000000"/>
                      <w:spacing w:val="48"/>
                      <w:shd w:val="solid" w:color="000000" w:fill="000000"/>
                      <w:fitText w:val="225" w:id="-961822194"/>
                      <w14:textFill>
                        <w14:solidFill>
                          <w14:srgbClr w14:val="000000">
                            <w14:alpha w14:val="100000"/>
                          </w14:srgbClr>
                        </w14:solidFill>
                      </w14:textFill>
                    </w:rPr>
                    <w:t>||</w:t>
                  </w:r>
                  <w:r w:rsidR="00D62519" w:rsidRPr="00D62519">
                    <w:rPr>
                      <w:color w:val="000000"/>
                      <w:spacing w:val="2"/>
                      <w:shd w:val="solid" w:color="000000" w:fill="000000"/>
                      <w:fitText w:val="225" w:id="-961822194"/>
                      <w14:textFill>
                        <w14:solidFill>
                          <w14:srgbClr w14:val="000000">
                            <w14:alpha w14:val="100000"/>
                          </w14:srgbClr>
                        </w14:solidFill>
                      </w14:textFill>
                    </w:rPr>
                    <w:t>|</w:t>
                  </w:r>
                  <w:r w:rsidR="000306CB" w:rsidRPr="00565C8B">
                    <w:rPr>
                      <w:vertAlign w:val="superscript"/>
                    </w:rPr>
                    <w:t>1</w:t>
                  </w:r>
                  <w:r w:rsidRPr="00565C8B">
                    <w:t>)</w:t>
                  </w:r>
                </w:p>
              </w:tc>
            </w:tr>
          </w:tbl>
          <w:p w14:paraId="1E7B799B" w14:textId="17D14481" w:rsidR="006034A4" w:rsidRPr="006E4BFC" w:rsidRDefault="006034A4" w:rsidP="00544B08">
            <w:pPr>
              <w:pStyle w:val="TableText0"/>
              <w:keepNext w:val="0"/>
              <w:widowControl w:val="0"/>
              <w:rPr>
                <w:szCs w:val="20"/>
              </w:rPr>
            </w:pPr>
            <w:r w:rsidRPr="006E4BFC">
              <w:rPr>
                <w:szCs w:val="20"/>
              </w:rPr>
              <w:t xml:space="preserve">Progressed patients were sourced from the extrapolated rPFS curves </w:t>
            </w:r>
            <w:r w:rsidR="00F13554" w:rsidRPr="006E4BFC">
              <w:rPr>
                <w:szCs w:val="20"/>
              </w:rPr>
              <w:t>from the economic model</w:t>
            </w:r>
            <w:r w:rsidRPr="006E4BFC">
              <w:rPr>
                <w:szCs w:val="20"/>
              </w:rPr>
              <w:t xml:space="preserve">. It was assumed 71.3% of the progressed patients will start on 2L subsequent treatments (source: ePAD). </w:t>
            </w:r>
            <w:r w:rsidR="00973355" w:rsidRPr="006E4BFC">
              <w:rPr>
                <w:szCs w:val="20"/>
              </w:rPr>
              <w:t xml:space="preserve">The submission </w:t>
            </w:r>
            <w:r w:rsidR="00973355" w:rsidRPr="006E4BFC">
              <w:t>a</w:t>
            </w:r>
            <w:r w:rsidRPr="006E4BFC">
              <w:t>ssum</w:t>
            </w:r>
            <w:r w:rsidR="00973355" w:rsidRPr="006E4BFC">
              <w:t>ed</w:t>
            </w:r>
            <w:r w:rsidRPr="006E4BFC">
              <w:t xml:space="preserve"> that </w:t>
            </w:r>
            <w:r w:rsidR="00F13554" w:rsidRPr="006E4BFC">
              <w:t xml:space="preserve">71.3% </w:t>
            </w:r>
            <w:r w:rsidRPr="006E4BFC">
              <w:t>patients in the current scenario</w:t>
            </w:r>
            <w:r w:rsidR="005744F4" w:rsidRPr="006E4BFC">
              <w:t xml:space="preserve"> (i.e. ENZ)</w:t>
            </w:r>
            <w:r w:rsidRPr="006E4BFC">
              <w:t xml:space="preserve"> </w:t>
            </w:r>
            <w:r w:rsidR="005744F4" w:rsidRPr="006E4BFC">
              <w:t>would receive</w:t>
            </w:r>
            <w:r w:rsidRPr="006E4BFC">
              <w:t xml:space="preserve"> </w:t>
            </w:r>
            <w:r w:rsidR="00F13554" w:rsidRPr="006E4BFC">
              <w:t xml:space="preserve">subsequent therapy with </w:t>
            </w:r>
            <w:r w:rsidRPr="006E4BFC">
              <w:t>OLA (7.4</w:t>
            </w:r>
            <w:r w:rsidR="005744F4" w:rsidRPr="006E4BFC">
              <w:t xml:space="preserve"> </w:t>
            </w:r>
            <w:r w:rsidRPr="006E4BFC">
              <w:t>m</w:t>
            </w:r>
            <w:r w:rsidR="00C57222" w:rsidRPr="006E4BFC">
              <w:t>on</w:t>
            </w:r>
            <w:r w:rsidRPr="006E4BFC">
              <w:t xml:space="preserve">ths) and patients in the proposed scenario </w:t>
            </w:r>
            <w:r w:rsidR="005744F4" w:rsidRPr="006E4BFC">
              <w:t>(i.e. TAL + ENZA) would receive</w:t>
            </w:r>
            <w:r w:rsidRPr="006E4BFC">
              <w:t xml:space="preserve"> DTX (70%, 5.9</w:t>
            </w:r>
            <w:r w:rsidR="005744F4" w:rsidRPr="006E4BFC">
              <w:t xml:space="preserve"> </w:t>
            </w:r>
            <w:r w:rsidRPr="006E4BFC">
              <w:t>m</w:t>
            </w:r>
            <w:r w:rsidR="00C57222" w:rsidRPr="006E4BFC">
              <w:t>on</w:t>
            </w:r>
            <w:r w:rsidRPr="006E4BFC">
              <w:t>ths) and CBZ (30%, 5.1</w:t>
            </w:r>
            <w:r w:rsidR="005744F4" w:rsidRPr="006E4BFC">
              <w:t xml:space="preserve"> </w:t>
            </w:r>
            <w:r w:rsidRPr="006E4BFC">
              <w:t>m</w:t>
            </w:r>
            <w:r w:rsidR="00C57222" w:rsidRPr="006E4BFC">
              <w:t>on</w:t>
            </w:r>
            <w:r w:rsidRPr="006E4BFC">
              <w:t>ths), respectively</w:t>
            </w:r>
            <w:r w:rsidR="00680287" w:rsidRPr="006E4BFC">
              <w:t xml:space="preserve">, </w:t>
            </w:r>
            <w:r w:rsidR="00973355" w:rsidRPr="006E4BFC">
              <w:rPr>
                <w:rFonts w:cs="Times New Roman"/>
                <w:lang w:eastAsia="en-GB"/>
              </w:rPr>
              <w:t>based on OLA PSD March 2021, p7 DUSC analysis</w:t>
            </w:r>
            <w:r w:rsidRPr="006E4BFC">
              <w:t xml:space="preserve">. </w:t>
            </w:r>
            <w:r w:rsidR="00A558FF" w:rsidRPr="006E4BFC">
              <w:t>Median treatment durations</w:t>
            </w:r>
            <w:r w:rsidRPr="006E4BFC">
              <w:t xml:space="preserve"> were sourced from the PROfound, de Wit et al. (2019) and CARD trials.</w:t>
            </w:r>
          </w:p>
        </w:tc>
        <w:tc>
          <w:tcPr>
            <w:tcW w:w="2276" w:type="pct"/>
            <w:shd w:val="clear" w:color="auto" w:fill="auto"/>
            <w:vAlign w:val="center"/>
          </w:tcPr>
          <w:p w14:paraId="3EB6183D" w14:textId="47828AC3" w:rsidR="005B71A1" w:rsidRPr="006E4BFC" w:rsidRDefault="00313966" w:rsidP="00544B08">
            <w:pPr>
              <w:pStyle w:val="TableText0"/>
              <w:keepNext w:val="0"/>
              <w:widowControl w:val="0"/>
            </w:pPr>
            <w:r w:rsidRPr="006E4BFC">
              <w:t xml:space="preserve">- </w:t>
            </w:r>
            <w:r w:rsidR="00444670" w:rsidRPr="006E4BFC">
              <w:t xml:space="preserve">TAL </w:t>
            </w:r>
            <w:r w:rsidR="006034A4" w:rsidRPr="006E4BFC">
              <w:t xml:space="preserve">treatment duration data </w:t>
            </w:r>
            <w:r w:rsidR="00444670" w:rsidRPr="006E4BFC">
              <w:t>were</w:t>
            </w:r>
            <w:r w:rsidR="00857A3E" w:rsidRPr="006E4BFC">
              <w:t xml:space="preserve"> sourced from TTD curves</w:t>
            </w:r>
            <w:r w:rsidR="005B71A1" w:rsidRPr="006E4BFC">
              <w:t xml:space="preserve"> (median=22</w:t>
            </w:r>
            <w:r w:rsidR="00935AD9" w:rsidRPr="006E4BFC">
              <w:t xml:space="preserve"> </w:t>
            </w:r>
            <w:r w:rsidR="005B71A1" w:rsidRPr="006E4BFC">
              <w:t>months</w:t>
            </w:r>
            <w:r w:rsidR="00F13554" w:rsidRPr="006E4BFC">
              <w:t xml:space="preserve">; revised to </w:t>
            </w:r>
            <w:r w:rsidR="00EC2FC5">
              <w:t>mean=</w:t>
            </w:r>
            <w:r w:rsidR="00F13554" w:rsidRPr="006E4BFC">
              <w:t>27.5 months in the PSCR</w:t>
            </w:r>
            <w:r w:rsidR="005B71A1" w:rsidRPr="006E4BFC">
              <w:t>)</w:t>
            </w:r>
            <w:r w:rsidR="00935AD9" w:rsidRPr="006E4BFC">
              <w:t xml:space="preserve">; </w:t>
            </w:r>
            <w:r w:rsidR="003F7A1D" w:rsidRPr="006E4BFC">
              <w:t>whereas</w:t>
            </w:r>
            <w:r w:rsidR="00935AD9" w:rsidRPr="006E4BFC">
              <w:t xml:space="preserve"> </w:t>
            </w:r>
            <w:r w:rsidR="00857A3E" w:rsidRPr="006E4BFC">
              <w:t xml:space="preserve">the </w:t>
            </w:r>
            <w:r w:rsidR="005B71A1" w:rsidRPr="006E4BFC">
              <w:t xml:space="preserve">initiation of </w:t>
            </w:r>
            <w:r w:rsidR="00857A3E" w:rsidRPr="006E4BFC">
              <w:t>subsequent treatment</w:t>
            </w:r>
            <w:r w:rsidR="005B71A1" w:rsidRPr="006E4BFC">
              <w:t xml:space="preserve">s </w:t>
            </w:r>
            <w:r w:rsidR="00857A3E" w:rsidRPr="006E4BFC">
              <w:t xml:space="preserve">was </w:t>
            </w:r>
            <w:r w:rsidR="005B71A1" w:rsidRPr="006E4BFC">
              <w:t>based on</w:t>
            </w:r>
            <w:r w:rsidR="00857A3E" w:rsidRPr="006E4BFC">
              <w:t xml:space="preserve"> the extrapolated rPFS curv</w:t>
            </w:r>
            <w:r w:rsidR="00444670" w:rsidRPr="006E4BFC">
              <w:t>es</w:t>
            </w:r>
            <w:r w:rsidRPr="006E4BFC">
              <w:t xml:space="preserve"> </w:t>
            </w:r>
            <w:r w:rsidR="005B71A1" w:rsidRPr="006E4BFC">
              <w:t>(median=33</w:t>
            </w:r>
            <w:r w:rsidR="00935AD9" w:rsidRPr="006E4BFC">
              <w:t xml:space="preserve"> </w:t>
            </w:r>
            <w:r w:rsidR="005B71A1" w:rsidRPr="006E4BFC">
              <w:t>months).</w:t>
            </w:r>
          </w:p>
          <w:p w14:paraId="01A33575" w14:textId="14CBF069" w:rsidR="00A02BA0" w:rsidRPr="006E4BFC" w:rsidRDefault="00A02BA0" w:rsidP="00544B08">
            <w:pPr>
              <w:pStyle w:val="TableText0"/>
              <w:keepNext w:val="0"/>
              <w:widowControl w:val="0"/>
            </w:pPr>
            <w:r w:rsidRPr="006E4BFC">
              <w:t xml:space="preserve">- </w:t>
            </w:r>
            <w:r w:rsidR="00BD2852" w:rsidRPr="006E4BFC">
              <w:t xml:space="preserve">The submission used median treatment durations from various trials to determine the time on 2L treatment, departing from the methodology </w:t>
            </w:r>
            <w:r w:rsidR="00F13554" w:rsidRPr="006E4BFC">
              <w:t>used in the economic model</w:t>
            </w:r>
            <w:r w:rsidR="00BD2852" w:rsidRPr="006E4BFC">
              <w:t>, which assumed a calculation based on the treatment-specific weighted average duration of second-line treatment relative to the difference between the treatment-specific median rPFS and OS.</w:t>
            </w:r>
          </w:p>
          <w:p w14:paraId="0FB8A62A" w14:textId="30B7FC89" w:rsidR="005B71A1" w:rsidRPr="006E4BFC" w:rsidRDefault="00A02BA0" w:rsidP="00544B08">
            <w:pPr>
              <w:pStyle w:val="TableText0"/>
              <w:keepNext w:val="0"/>
              <w:widowControl w:val="0"/>
            </w:pPr>
            <w:r w:rsidRPr="006E4BFC">
              <w:rPr>
                <w:bCs w:val="0"/>
              </w:rPr>
              <w:t>-</w:t>
            </w:r>
            <w:r w:rsidRPr="006E4BFC">
              <w:t xml:space="preserve"> </w:t>
            </w:r>
            <w:r w:rsidR="00935AD9" w:rsidRPr="006E4BFC">
              <w:t>A</w:t>
            </w:r>
            <w:r w:rsidR="005B71A1" w:rsidRPr="006E4BFC">
              <w:t xml:space="preserve">lthough 2L treatment mix was aligned with </w:t>
            </w:r>
            <w:r w:rsidR="00F13554" w:rsidRPr="006E4BFC">
              <w:t>the economic model,</w:t>
            </w:r>
            <w:r w:rsidR="005B71A1" w:rsidRPr="006E4BFC">
              <w:t xml:space="preserve"> assuming </w:t>
            </w:r>
            <w:r w:rsidR="00F13554" w:rsidRPr="006E4BFC">
              <w:t xml:space="preserve">that all patients electing to receive subsequent therapy following </w:t>
            </w:r>
            <w:r w:rsidRPr="006E4BFC">
              <w:t xml:space="preserve">ENZ monotherapy </w:t>
            </w:r>
            <w:r w:rsidR="00F13554" w:rsidRPr="006E4BFC">
              <w:t xml:space="preserve">would receive olaparib </w:t>
            </w:r>
            <w:r w:rsidRPr="006E4BFC">
              <w:t>may not completely reflect the real-world practice.</w:t>
            </w:r>
            <w:r w:rsidR="005B71A1" w:rsidRPr="006E4BFC">
              <w:t xml:space="preserve"> </w:t>
            </w:r>
          </w:p>
          <w:p w14:paraId="2834F246" w14:textId="0EAC8027" w:rsidR="00973355" w:rsidRPr="006E4BFC" w:rsidRDefault="00A02BA0" w:rsidP="00544B08">
            <w:pPr>
              <w:pStyle w:val="TableText0"/>
              <w:keepNext w:val="0"/>
              <w:widowControl w:val="0"/>
            </w:pPr>
            <w:r w:rsidRPr="006E4BFC">
              <w:t xml:space="preserve">- Additionally, the </w:t>
            </w:r>
            <w:r w:rsidR="00973355" w:rsidRPr="006E4BFC">
              <w:t>reference</w:t>
            </w:r>
            <w:r w:rsidRPr="006E4BFC">
              <w:t xml:space="preserve"> cited</w:t>
            </w:r>
            <w:r w:rsidR="00973355" w:rsidRPr="006E4BFC">
              <w:t xml:space="preserve"> in the submission (i</w:t>
            </w:r>
            <w:r w:rsidR="005744F4" w:rsidRPr="006E4BFC">
              <w:t>.</w:t>
            </w:r>
            <w:r w:rsidR="00973355" w:rsidRPr="006E4BFC">
              <w:t xml:space="preserve">e., Table 2, olaparib PSD, March 2021) </w:t>
            </w:r>
            <w:r w:rsidR="00935AD9" w:rsidRPr="006E4BFC">
              <w:t xml:space="preserve">for </w:t>
            </w:r>
            <w:r w:rsidRPr="006E4BFC">
              <w:t>the</w:t>
            </w:r>
            <w:r w:rsidR="00973355" w:rsidRPr="006E4BFC">
              <w:t xml:space="preserve"> proportional use of CBZ and DTX could not be </w:t>
            </w:r>
            <w:r w:rsidRPr="006E4BFC">
              <w:t>verified. I</w:t>
            </w:r>
            <w:r w:rsidR="00973355" w:rsidRPr="006E4BFC">
              <w:t>nstead</w:t>
            </w:r>
            <w:r w:rsidR="00935AD9" w:rsidRPr="006E4BFC">
              <w:t>,</w:t>
            </w:r>
            <w:r w:rsidR="00973355" w:rsidRPr="006E4BFC">
              <w:t xml:space="preserve"> the reference </w:t>
            </w:r>
            <w:r w:rsidRPr="006E4BFC">
              <w:t xml:space="preserve">indicated </w:t>
            </w:r>
            <w:r w:rsidR="00973355" w:rsidRPr="006E4BFC">
              <w:t xml:space="preserve">that ESC </w:t>
            </w:r>
            <w:r w:rsidRPr="006E4BFC">
              <w:t>relied on</w:t>
            </w:r>
            <w:r w:rsidR="00973355" w:rsidRPr="006E4BFC">
              <w:t xml:space="preserve"> the data from DUSC (Table 2) </w:t>
            </w:r>
            <w:r w:rsidR="00935AD9" w:rsidRPr="006E4BFC">
              <w:t xml:space="preserve">which indicated that </w:t>
            </w:r>
            <w:r w:rsidR="00973355" w:rsidRPr="006E4BFC">
              <w:t>a large proportion of patient</w:t>
            </w:r>
            <w:r w:rsidR="00935AD9" w:rsidRPr="006E4BFC">
              <w:t>s</w:t>
            </w:r>
            <w:r w:rsidR="00973355" w:rsidRPr="006E4BFC">
              <w:t xml:space="preserve"> </w:t>
            </w:r>
            <w:r w:rsidR="00935AD9" w:rsidRPr="006E4BFC">
              <w:t xml:space="preserve">did </w:t>
            </w:r>
            <w:r w:rsidR="00973355" w:rsidRPr="006E4BFC">
              <w:t xml:space="preserve">not </w:t>
            </w:r>
            <w:r w:rsidRPr="006E4BFC">
              <w:t>receiv</w:t>
            </w:r>
            <w:r w:rsidR="00935AD9" w:rsidRPr="006E4BFC">
              <w:t>e</w:t>
            </w:r>
            <w:r w:rsidRPr="006E4BFC">
              <w:t xml:space="preserve"> </w:t>
            </w:r>
            <w:r w:rsidR="00973355" w:rsidRPr="006E4BFC">
              <w:t>any subsequent treatment post progression with 1L mCRPC</w:t>
            </w:r>
            <w:r w:rsidR="00935AD9" w:rsidRPr="006E4BFC">
              <w:t xml:space="preserve"> therapy</w:t>
            </w:r>
            <w:r w:rsidRPr="006E4BFC">
              <w:t>.</w:t>
            </w:r>
            <w:r w:rsidR="00973355" w:rsidRPr="006E4BFC">
              <w:t xml:space="preserve"> </w:t>
            </w:r>
            <w:r w:rsidRPr="006E4BFC">
              <w:t xml:space="preserve"> Considering this, ESC deemed a distribution of </w:t>
            </w:r>
            <w:r w:rsidR="00973355" w:rsidRPr="006E4BFC">
              <w:t>75% best supportive care, 15% docetaxel and 10% cabazitaxel to be more appropriate (paragraphs 5.2-5.3, olaparib, PSD, March 2021 PBAC meeting).</w:t>
            </w:r>
          </w:p>
          <w:p w14:paraId="2DBDC763" w14:textId="643A89FF" w:rsidR="006034A4" w:rsidRPr="006E4BFC" w:rsidRDefault="00A02BA0" w:rsidP="00544B08">
            <w:pPr>
              <w:pStyle w:val="TableText0"/>
              <w:keepNext w:val="0"/>
              <w:widowControl w:val="0"/>
            </w:pPr>
            <w:r w:rsidRPr="006E4BFC">
              <w:t xml:space="preserve">- </w:t>
            </w:r>
            <w:r w:rsidR="00973355" w:rsidRPr="006E4BFC">
              <w:t xml:space="preserve">Moreover, the submission did not discuss any change </w:t>
            </w:r>
            <w:r w:rsidR="005744F4" w:rsidRPr="006E4BFC">
              <w:t xml:space="preserve">to the use of </w:t>
            </w:r>
            <w:r w:rsidR="00973355" w:rsidRPr="006E4BFC">
              <w:t xml:space="preserve">ABI and ENZ monotherapy, following the </w:t>
            </w:r>
            <w:r w:rsidR="005744F4" w:rsidRPr="006E4BFC">
              <w:t xml:space="preserve">introduction </w:t>
            </w:r>
            <w:r w:rsidR="00973355" w:rsidRPr="006E4BFC">
              <w:t>of TAL+ENZ.</w:t>
            </w:r>
          </w:p>
        </w:tc>
      </w:tr>
      <w:tr w:rsidR="00210C6E" w:rsidRPr="005A293B" w14:paraId="4AF66817" w14:textId="77777777" w:rsidTr="00E97B08">
        <w:trPr>
          <w:cantSplit/>
          <w:trHeight w:val="20"/>
        </w:trPr>
        <w:tc>
          <w:tcPr>
            <w:tcW w:w="496" w:type="pct"/>
            <w:shd w:val="clear" w:color="auto" w:fill="auto"/>
            <w:vAlign w:val="center"/>
          </w:tcPr>
          <w:p w14:paraId="0D2F4FE3" w14:textId="77777777" w:rsidR="006034A4" w:rsidRPr="006E4BFC" w:rsidRDefault="006034A4" w:rsidP="00544B08">
            <w:pPr>
              <w:pStyle w:val="TableText0"/>
              <w:keepNext w:val="0"/>
              <w:widowControl w:val="0"/>
            </w:pPr>
            <w:r w:rsidRPr="006E4BFC">
              <w:lastRenderedPageBreak/>
              <w:t>Changes in MBS services</w:t>
            </w:r>
          </w:p>
        </w:tc>
        <w:tc>
          <w:tcPr>
            <w:tcW w:w="2228" w:type="pct"/>
            <w:shd w:val="clear" w:color="auto" w:fill="auto"/>
            <w:vAlign w:val="center"/>
          </w:tcPr>
          <w:tbl>
            <w:tblPr>
              <w:tblStyle w:val="TableGrid"/>
              <w:tblW w:w="3860" w:type="dxa"/>
              <w:tblCellMar>
                <w:left w:w="28" w:type="dxa"/>
                <w:right w:w="28" w:type="dxa"/>
              </w:tblCellMar>
              <w:tblLook w:val="04A0" w:firstRow="1" w:lastRow="0" w:firstColumn="1" w:lastColumn="0" w:noHBand="0" w:noVBand="1"/>
            </w:tblPr>
            <w:tblGrid>
              <w:gridCol w:w="494"/>
              <w:gridCol w:w="564"/>
              <w:gridCol w:w="564"/>
              <w:gridCol w:w="564"/>
              <w:gridCol w:w="564"/>
              <w:gridCol w:w="564"/>
              <w:gridCol w:w="546"/>
            </w:tblGrid>
            <w:tr w:rsidR="006034A4" w:rsidRPr="008C0BA8" w14:paraId="3CC606D6" w14:textId="77777777" w:rsidTr="00E97B08">
              <w:trPr>
                <w:trHeight w:val="20"/>
              </w:trPr>
              <w:tc>
                <w:tcPr>
                  <w:tcW w:w="476" w:type="dxa"/>
                  <w:vAlign w:val="center"/>
                </w:tcPr>
                <w:p w14:paraId="6B1877D3" w14:textId="77777777" w:rsidR="006034A4" w:rsidRPr="00565C8B" w:rsidRDefault="006034A4" w:rsidP="00544B08">
                  <w:pPr>
                    <w:pStyle w:val="TableText0"/>
                    <w:keepNext w:val="0"/>
                    <w:widowControl w:val="0"/>
                    <w:jc w:val="center"/>
                  </w:pPr>
                </w:p>
              </w:tc>
              <w:tc>
                <w:tcPr>
                  <w:tcW w:w="567" w:type="dxa"/>
                  <w:vAlign w:val="center"/>
                </w:tcPr>
                <w:p w14:paraId="24B9DAFB" w14:textId="77777777" w:rsidR="006034A4" w:rsidRPr="00565C8B" w:rsidRDefault="006034A4" w:rsidP="00544B08">
                  <w:pPr>
                    <w:pStyle w:val="TableText0"/>
                    <w:keepNext w:val="0"/>
                    <w:widowControl w:val="0"/>
                    <w:jc w:val="center"/>
                  </w:pPr>
                  <w:r w:rsidRPr="00565C8B">
                    <w:t>2024</w:t>
                  </w:r>
                </w:p>
              </w:tc>
              <w:tc>
                <w:tcPr>
                  <w:tcW w:w="567" w:type="dxa"/>
                  <w:vAlign w:val="center"/>
                </w:tcPr>
                <w:p w14:paraId="09129672" w14:textId="77777777" w:rsidR="006034A4" w:rsidRPr="00565C8B" w:rsidRDefault="006034A4" w:rsidP="00544B08">
                  <w:pPr>
                    <w:pStyle w:val="TableText0"/>
                    <w:keepNext w:val="0"/>
                    <w:widowControl w:val="0"/>
                    <w:jc w:val="center"/>
                  </w:pPr>
                  <w:r w:rsidRPr="00565C8B">
                    <w:t>2025</w:t>
                  </w:r>
                </w:p>
              </w:tc>
              <w:tc>
                <w:tcPr>
                  <w:tcW w:w="567" w:type="dxa"/>
                  <w:vAlign w:val="center"/>
                </w:tcPr>
                <w:p w14:paraId="29223CED" w14:textId="77777777" w:rsidR="006034A4" w:rsidRPr="00565C8B" w:rsidRDefault="006034A4" w:rsidP="00544B08">
                  <w:pPr>
                    <w:pStyle w:val="TableText0"/>
                    <w:keepNext w:val="0"/>
                    <w:widowControl w:val="0"/>
                    <w:jc w:val="center"/>
                  </w:pPr>
                  <w:r w:rsidRPr="00565C8B">
                    <w:t>2026</w:t>
                  </w:r>
                </w:p>
              </w:tc>
              <w:tc>
                <w:tcPr>
                  <w:tcW w:w="567" w:type="dxa"/>
                  <w:vAlign w:val="center"/>
                </w:tcPr>
                <w:p w14:paraId="21881BB4" w14:textId="77777777" w:rsidR="006034A4" w:rsidRPr="00565C8B" w:rsidRDefault="006034A4" w:rsidP="00544B08">
                  <w:pPr>
                    <w:pStyle w:val="TableText0"/>
                    <w:keepNext w:val="0"/>
                    <w:widowControl w:val="0"/>
                    <w:jc w:val="center"/>
                  </w:pPr>
                  <w:r w:rsidRPr="00565C8B">
                    <w:t>2027</w:t>
                  </w:r>
                </w:p>
              </w:tc>
              <w:tc>
                <w:tcPr>
                  <w:tcW w:w="567" w:type="dxa"/>
                  <w:vAlign w:val="center"/>
                </w:tcPr>
                <w:p w14:paraId="7D9B866E" w14:textId="77777777" w:rsidR="006034A4" w:rsidRPr="00565C8B" w:rsidRDefault="006034A4" w:rsidP="00544B08">
                  <w:pPr>
                    <w:pStyle w:val="TableText0"/>
                    <w:keepNext w:val="0"/>
                    <w:widowControl w:val="0"/>
                    <w:jc w:val="center"/>
                  </w:pPr>
                  <w:r w:rsidRPr="00565C8B">
                    <w:t>2028</w:t>
                  </w:r>
                </w:p>
              </w:tc>
              <w:tc>
                <w:tcPr>
                  <w:tcW w:w="549" w:type="dxa"/>
                  <w:vAlign w:val="center"/>
                </w:tcPr>
                <w:p w14:paraId="52811316" w14:textId="77777777" w:rsidR="006034A4" w:rsidRPr="00565C8B" w:rsidRDefault="006034A4" w:rsidP="00544B08">
                  <w:pPr>
                    <w:pStyle w:val="TableText0"/>
                    <w:keepNext w:val="0"/>
                    <w:widowControl w:val="0"/>
                    <w:jc w:val="center"/>
                  </w:pPr>
                  <w:r w:rsidRPr="00565C8B">
                    <w:t>2029</w:t>
                  </w:r>
                </w:p>
              </w:tc>
            </w:tr>
            <w:tr w:rsidR="006034A4" w:rsidRPr="008C0BA8" w14:paraId="6571BE8E" w14:textId="77777777" w:rsidTr="00E97B08">
              <w:trPr>
                <w:trHeight w:val="20"/>
              </w:trPr>
              <w:tc>
                <w:tcPr>
                  <w:tcW w:w="476" w:type="dxa"/>
                  <w:vAlign w:val="center"/>
                </w:tcPr>
                <w:p w14:paraId="14012366" w14:textId="77777777" w:rsidR="006034A4" w:rsidRPr="00565C8B" w:rsidRDefault="006034A4" w:rsidP="00544B08">
                  <w:pPr>
                    <w:pStyle w:val="TableText0"/>
                    <w:keepNext w:val="0"/>
                    <w:widowControl w:val="0"/>
                    <w:jc w:val="center"/>
                  </w:pPr>
                  <w:r w:rsidRPr="00565C8B">
                    <w:t>FBE (TAL)</w:t>
                  </w:r>
                </w:p>
              </w:tc>
              <w:tc>
                <w:tcPr>
                  <w:tcW w:w="567" w:type="dxa"/>
                  <w:vAlign w:val="center"/>
                </w:tcPr>
                <w:p w14:paraId="0AB7C9DD" w14:textId="7E6A4E23" w:rsidR="006034A4" w:rsidRPr="00565C8B" w:rsidRDefault="006034A4" w:rsidP="00544B08">
                  <w:pPr>
                    <w:pStyle w:val="TableText0"/>
                    <w:keepNext w:val="0"/>
                    <w:widowControl w:val="0"/>
                    <w:jc w:val="center"/>
                    <w:rPr>
                      <w:highlight w:val="lightGray"/>
                    </w:rPr>
                  </w:pPr>
                  <w:r w:rsidRPr="00565C8B">
                    <w:t>(</w:t>
                  </w:r>
                  <w:r w:rsidR="00D62519" w:rsidRPr="00D62519">
                    <w:rPr>
                      <w:color w:val="000000"/>
                      <w:spacing w:val="41"/>
                      <w:shd w:val="solid" w:color="000000" w:fill="000000"/>
                      <w:fitText w:val="210" w:id="-961822193"/>
                      <w14:textFill>
                        <w14:solidFill>
                          <w14:srgbClr w14:val="000000">
                            <w14:alpha w14:val="100000"/>
                          </w14:srgbClr>
                        </w14:solidFill>
                      </w14:textFill>
                    </w:rPr>
                    <w:t>||</w:t>
                  </w:r>
                  <w:r w:rsidR="00D62519" w:rsidRPr="00D62519">
                    <w:rPr>
                      <w:color w:val="000000"/>
                      <w:spacing w:val="1"/>
                      <w:shd w:val="solid" w:color="000000" w:fill="000000"/>
                      <w:fitText w:val="210" w:id="-961822193"/>
                      <w14:textFill>
                        <w14:solidFill>
                          <w14:srgbClr w14:val="000000">
                            <w14:alpha w14:val="100000"/>
                          </w14:srgbClr>
                        </w14:solidFill>
                      </w14:textFill>
                    </w:rPr>
                    <w:t>|</w:t>
                  </w:r>
                  <w:r w:rsidR="000306CB" w:rsidRPr="00565C8B">
                    <w:rPr>
                      <w:vertAlign w:val="superscript"/>
                    </w:rPr>
                    <w:t>1</w:t>
                  </w:r>
                  <w:r w:rsidRPr="00565C8B">
                    <w:t>)</w:t>
                  </w:r>
                </w:p>
              </w:tc>
              <w:tc>
                <w:tcPr>
                  <w:tcW w:w="567" w:type="dxa"/>
                  <w:vAlign w:val="center"/>
                </w:tcPr>
                <w:p w14:paraId="47C7D38A" w14:textId="15009DEC" w:rsidR="006034A4" w:rsidRPr="00565C8B" w:rsidRDefault="006034A4" w:rsidP="00544B08">
                  <w:pPr>
                    <w:pStyle w:val="TableText0"/>
                    <w:keepNext w:val="0"/>
                    <w:widowControl w:val="0"/>
                    <w:jc w:val="center"/>
                    <w:rPr>
                      <w:highlight w:val="lightGray"/>
                    </w:rPr>
                  </w:pPr>
                  <w:r w:rsidRPr="00565C8B">
                    <w:t>(</w:t>
                  </w:r>
                  <w:r w:rsidR="00D62519" w:rsidRPr="00D62519">
                    <w:rPr>
                      <w:color w:val="000000"/>
                      <w:spacing w:val="41"/>
                      <w:shd w:val="solid" w:color="000000" w:fill="000000"/>
                      <w:fitText w:val="210" w:id="-961822192"/>
                      <w14:textFill>
                        <w14:solidFill>
                          <w14:srgbClr w14:val="000000">
                            <w14:alpha w14:val="100000"/>
                          </w14:srgbClr>
                        </w14:solidFill>
                      </w14:textFill>
                    </w:rPr>
                    <w:t>||</w:t>
                  </w:r>
                  <w:r w:rsidR="00D62519" w:rsidRPr="00D62519">
                    <w:rPr>
                      <w:color w:val="000000"/>
                      <w:spacing w:val="1"/>
                      <w:shd w:val="solid" w:color="000000" w:fill="000000"/>
                      <w:fitText w:val="210" w:id="-961822192"/>
                      <w14:textFill>
                        <w14:solidFill>
                          <w14:srgbClr w14:val="000000">
                            <w14:alpha w14:val="100000"/>
                          </w14:srgbClr>
                        </w14:solidFill>
                      </w14:textFill>
                    </w:rPr>
                    <w:t>|</w:t>
                  </w:r>
                  <w:r w:rsidR="000306CB" w:rsidRPr="00565C8B">
                    <w:rPr>
                      <w:vertAlign w:val="superscript"/>
                    </w:rPr>
                    <w:t>1</w:t>
                  </w:r>
                  <w:r w:rsidRPr="00565C8B">
                    <w:t>)</w:t>
                  </w:r>
                </w:p>
              </w:tc>
              <w:tc>
                <w:tcPr>
                  <w:tcW w:w="567" w:type="dxa"/>
                  <w:vAlign w:val="center"/>
                </w:tcPr>
                <w:p w14:paraId="580B2E12" w14:textId="6BB73D49" w:rsidR="006034A4" w:rsidRPr="00565C8B" w:rsidRDefault="006034A4" w:rsidP="00544B08">
                  <w:pPr>
                    <w:pStyle w:val="TableText0"/>
                    <w:keepNext w:val="0"/>
                    <w:widowControl w:val="0"/>
                    <w:jc w:val="center"/>
                    <w:rPr>
                      <w:highlight w:val="lightGray"/>
                    </w:rPr>
                  </w:pPr>
                  <w:r w:rsidRPr="00565C8B">
                    <w:t>(</w:t>
                  </w:r>
                  <w:r w:rsidR="00D62519" w:rsidRPr="00D62519">
                    <w:rPr>
                      <w:color w:val="000000"/>
                      <w:spacing w:val="41"/>
                      <w:shd w:val="solid" w:color="000000" w:fill="000000"/>
                      <w:fitText w:val="210" w:id="-961822208"/>
                      <w14:textFill>
                        <w14:solidFill>
                          <w14:srgbClr w14:val="000000">
                            <w14:alpha w14:val="100000"/>
                          </w14:srgbClr>
                        </w14:solidFill>
                      </w14:textFill>
                    </w:rPr>
                    <w:t>||</w:t>
                  </w:r>
                  <w:r w:rsidR="00D62519" w:rsidRPr="00D62519">
                    <w:rPr>
                      <w:color w:val="000000"/>
                      <w:spacing w:val="1"/>
                      <w:shd w:val="solid" w:color="000000" w:fill="000000"/>
                      <w:fitText w:val="210" w:id="-961822208"/>
                      <w14:textFill>
                        <w14:solidFill>
                          <w14:srgbClr w14:val="000000">
                            <w14:alpha w14:val="100000"/>
                          </w14:srgbClr>
                        </w14:solidFill>
                      </w14:textFill>
                    </w:rPr>
                    <w:t>|</w:t>
                  </w:r>
                  <w:r w:rsidR="000306CB" w:rsidRPr="00565C8B">
                    <w:rPr>
                      <w:vertAlign w:val="superscript"/>
                    </w:rPr>
                    <w:t>1</w:t>
                  </w:r>
                  <w:r w:rsidRPr="00565C8B">
                    <w:t>)</w:t>
                  </w:r>
                </w:p>
              </w:tc>
              <w:tc>
                <w:tcPr>
                  <w:tcW w:w="567" w:type="dxa"/>
                  <w:vAlign w:val="center"/>
                </w:tcPr>
                <w:p w14:paraId="3FF359AE" w14:textId="2614863B" w:rsidR="006034A4" w:rsidRPr="00565C8B" w:rsidRDefault="006034A4" w:rsidP="00544B08">
                  <w:pPr>
                    <w:pStyle w:val="TableText0"/>
                    <w:keepNext w:val="0"/>
                    <w:widowControl w:val="0"/>
                    <w:jc w:val="center"/>
                    <w:rPr>
                      <w:highlight w:val="lightGray"/>
                    </w:rPr>
                  </w:pPr>
                  <w:r w:rsidRPr="00565C8B">
                    <w:t>(</w:t>
                  </w:r>
                  <w:r w:rsidR="00D62519" w:rsidRPr="00D62519">
                    <w:rPr>
                      <w:color w:val="000000"/>
                      <w:spacing w:val="41"/>
                      <w:shd w:val="solid" w:color="000000" w:fill="000000"/>
                      <w:fitText w:val="210" w:id="-961822207"/>
                      <w14:textFill>
                        <w14:solidFill>
                          <w14:srgbClr w14:val="000000">
                            <w14:alpha w14:val="100000"/>
                          </w14:srgbClr>
                        </w14:solidFill>
                      </w14:textFill>
                    </w:rPr>
                    <w:t>||</w:t>
                  </w:r>
                  <w:r w:rsidR="00D62519" w:rsidRPr="00D62519">
                    <w:rPr>
                      <w:color w:val="000000"/>
                      <w:spacing w:val="1"/>
                      <w:shd w:val="solid" w:color="000000" w:fill="000000"/>
                      <w:fitText w:val="210" w:id="-961822207"/>
                      <w14:textFill>
                        <w14:solidFill>
                          <w14:srgbClr w14:val="000000">
                            <w14:alpha w14:val="100000"/>
                          </w14:srgbClr>
                        </w14:solidFill>
                      </w14:textFill>
                    </w:rPr>
                    <w:t>|</w:t>
                  </w:r>
                  <w:r w:rsidR="000306CB" w:rsidRPr="00565C8B">
                    <w:rPr>
                      <w:vertAlign w:val="superscript"/>
                    </w:rPr>
                    <w:t>1</w:t>
                  </w:r>
                  <w:r w:rsidRPr="00565C8B">
                    <w:t>)</w:t>
                  </w:r>
                </w:p>
              </w:tc>
              <w:tc>
                <w:tcPr>
                  <w:tcW w:w="567" w:type="dxa"/>
                  <w:vAlign w:val="center"/>
                </w:tcPr>
                <w:p w14:paraId="75C44CB0" w14:textId="3A1AB155" w:rsidR="006034A4" w:rsidRPr="00565C8B" w:rsidRDefault="00D62519" w:rsidP="00544B08">
                  <w:pPr>
                    <w:pStyle w:val="TableText0"/>
                    <w:keepNext w:val="0"/>
                    <w:widowControl w:val="0"/>
                    <w:jc w:val="center"/>
                    <w:rPr>
                      <w:highlight w:val="lightGray"/>
                    </w:rPr>
                  </w:pPr>
                  <w:r w:rsidRPr="00D62519">
                    <w:rPr>
                      <w:color w:val="000000"/>
                      <w:spacing w:val="109"/>
                      <w:shd w:val="solid" w:color="000000" w:fill="000000"/>
                      <w:fitText w:val="195" w:id="-961822206"/>
                      <w14:textFill>
                        <w14:solidFill>
                          <w14:srgbClr w14:val="000000">
                            <w14:alpha w14:val="100000"/>
                          </w14:srgbClr>
                        </w14:solidFill>
                      </w14:textFill>
                    </w:rPr>
                    <w:t>|</w:t>
                  </w:r>
                  <w:r w:rsidRPr="00D62519">
                    <w:rPr>
                      <w:color w:val="000000"/>
                      <w:spacing w:val="1"/>
                      <w:shd w:val="solid" w:color="000000" w:fill="000000"/>
                      <w:fitText w:val="195" w:id="-961822206"/>
                      <w14:textFill>
                        <w14:solidFill>
                          <w14:srgbClr w14:val="000000">
                            <w14:alpha w14:val="100000"/>
                          </w14:srgbClr>
                        </w14:solidFill>
                      </w14:textFill>
                    </w:rPr>
                    <w:t>|</w:t>
                  </w:r>
                  <w:r w:rsidR="000306CB" w:rsidRPr="00565C8B">
                    <w:rPr>
                      <w:vertAlign w:val="superscript"/>
                    </w:rPr>
                    <w:t>1</w:t>
                  </w:r>
                  <w:r w:rsidR="006034A4" w:rsidRPr="00565C8B">
                    <w:t>)</w:t>
                  </w:r>
                </w:p>
              </w:tc>
              <w:tc>
                <w:tcPr>
                  <w:tcW w:w="549" w:type="dxa"/>
                  <w:vAlign w:val="center"/>
                </w:tcPr>
                <w:p w14:paraId="06BEEC09" w14:textId="3ADB0976" w:rsidR="006034A4" w:rsidRPr="00565C8B" w:rsidRDefault="006034A4" w:rsidP="00544B08">
                  <w:pPr>
                    <w:pStyle w:val="TableText0"/>
                    <w:keepNext w:val="0"/>
                    <w:widowControl w:val="0"/>
                    <w:jc w:val="center"/>
                    <w:rPr>
                      <w:highlight w:val="lightGray"/>
                    </w:rPr>
                  </w:pPr>
                  <w:r w:rsidRPr="00565C8B">
                    <w:t>(</w:t>
                  </w:r>
                  <w:r w:rsidR="00D62519" w:rsidRPr="00D62519">
                    <w:rPr>
                      <w:color w:val="000000"/>
                      <w:spacing w:val="41"/>
                      <w:shd w:val="solid" w:color="000000" w:fill="000000"/>
                      <w:fitText w:val="210" w:id="-961822205"/>
                      <w14:textFill>
                        <w14:solidFill>
                          <w14:srgbClr w14:val="000000">
                            <w14:alpha w14:val="100000"/>
                          </w14:srgbClr>
                        </w14:solidFill>
                      </w14:textFill>
                    </w:rPr>
                    <w:t>||</w:t>
                  </w:r>
                  <w:r w:rsidR="00D62519" w:rsidRPr="00D62519">
                    <w:rPr>
                      <w:color w:val="000000"/>
                      <w:spacing w:val="1"/>
                      <w:shd w:val="solid" w:color="000000" w:fill="000000"/>
                      <w:fitText w:val="210" w:id="-961822205"/>
                      <w14:textFill>
                        <w14:solidFill>
                          <w14:srgbClr w14:val="000000">
                            <w14:alpha w14:val="100000"/>
                          </w14:srgbClr>
                        </w14:solidFill>
                      </w14:textFill>
                    </w:rPr>
                    <w:t>|</w:t>
                  </w:r>
                  <w:r w:rsidR="000306CB" w:rsidRPr="00565C8B">
                    <w:rPr>
                      <w:vertAlign w:val="superscript"/>
                    </w:rPr>
                    <w:t>1</w:t>
                  </w:r>
                  <w:r w:rsidRPr="00565C8B">
                    <w:t>)</w:t>
                  </w:r>
                </w:p>
              </w:tc>
            </w:tr>
            <w:tr w:rsidR="006034A4" w:rsidRPr="008C0BA8" w14:paraId="3608180B" w14:textId="77777777" w:rsidTr="00E97B08">
              <w:trPr>
                <w:trHeight w:val="20"/>
              </w:trPr>
              <w:tc>
                <w:tcPr>
                  <w:tcW w:w="476" w:type="dxa"/>
                  <w:vAlign w:val="center"/>
                </w:tcPr>
                <w:p w14:paraId="57A82AA5" w14:textId="77777777" w:rsidR="006034A4" w:rsidRPr="00565C8B" w:rsidRDefault="006034A4" w:rsidP="00544B08">
                  <w:pPr>
                    <w:pStyle w:val="TableText0"/>
                    <w:keepNext w:val="0"/>
                    <w:widowControl w:val="0"/>
                    <w:jc w:val="center"/>
                  </w:pPr>
                  <w:r w:rsidRPr="00565C8B">
                    <w:t>FBE (OLA)</w:t>
                  </w:r>
                </w:p>
              </w:tc>
              <w:tc>
                <w:tcPr>
                  <w:tcW w:w="567" w:type="dxa"/>
                  <w:vAlign w:val="center"/>
                </w:tcPr>
                <w:p w14:paraId="6978ECB5" w14:textId="32F408EF"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4"/>
                      <w14:textFill>
                        <w14:solidFill>
                          <w14:srgbClr w14:val="000000">
                            <w14:alpha w14:val="100000"/>
                          </w14:srgbClr>
                        </w14:solidFill>
                      </w14:textFill>
                    </w:rPr>
                    <w:t>|</w:t>
                  </w:r>
                  <w:r w:rsidRPr="00D62519">
                    <w:rPr>
                      <w:color w:val="000000"/>
                      <w:spacing w:val="1"/>
                      <w:shd w:val="solid" w:color="000000" w:fill="000000"/>
                      <w:fitText w:val="165" w:id="-961822204"/>
                      <w14:textFill>
                        <w14:solidFill>
                          <w14:srgbClr w14:val="000000">
                            <w14:alpha w14:val="100000"/>
                          </w14:srgbClr>
                        </w14:solidFill>
                      </w14:textFill>
                    </w:rPr>
                    <w:t>|</w:t>
                  </w:r>
                  <w:r w:rsidR="00015B49" w:rsidRPr="00565C8B">
                    <w:rPr>
                      <w:vertAlign w:val="superscript"/>
                    </w:rPr>
                    <w:t>1</w:t>
                  </w:r>
                </w:p>
              </w:tc>
              <w:tc>
                <w:tcPr>
                  <w:tcW w:w="567" w:type="dxa"/>
                  <w:vAlign w:val="center"/>
                </w:tcPr>
                <w:p w14:paraId="5F1DC3C1" w14:textId="2BE24EDE"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3"/>
                      <w14:textFill>
                        <w14:solidFill>
                          <w14:srgbClr w14:val="000000">
                            <w14:alpha w14:val="100000"/>
                          </w14:srgbClr>
                        </w14:solidFill>
                      </w14:textFill>
                    </w:rPr>
                    <w:t>|</w:t>
                  </w:r>
                  <w:r w:rsidRPr="00D62519">
                    <w:rPr>
                      <w:color w:val="000000"/>
                      <w:spacing w:val="1"/>
                      <w:shd w:val="solid" w:color="000000" w:fill="000000"/>
                      <w:fitText w:val="165" w:id="-961822203"/>
                      <w14:textFill>
                        <w14:solidFill>
                          <w14:srgbClr w14:val="000000">
                            <w14:alpha w14:val="100000"/>
                          </w14:srgbClr>
                        </w14:solidFill>
                      </w14:textFill>
                    </w:rPr>
                    <w:t>|</w:t>
                  </w:r>
                  <w:r w:rsidR="00015B49" w:rsidRPr="00565C8B">
                    <w:rPr>
                      <w:vertAlign w:val="superscript"/>
                    </w:rPr>
                    <w:t>1</w:t>
                  </w:r>
                </w:p>
              </w:tc>
              <w:tc>
                <w:tcPr>
                  <w:tcW w:w="567" w:type="dxa"/>
                  <w:vAlign w:val="center"/>
                </w:tcPr>
                <w:p w14:paraId="13EBA173" w14:textId="505BF633"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2"/>
                      <w14:textFill>
                        <w14:solidFill>
                          <w14:srgbClr w14:val="000000">
                            <w14:alpha w14:val="100000"/>
                          </w14:srgbClr>
                        </w14:solidFill>
                      </w14:textFill>
                    </w:rPr>
                    <w:t>|</w:t>
                  </w:r>
                  <w:r w:rsidRPr="00D62519">
                    <w:rPr>
                      <w:color w:val="000000"/>
                      <w:spacing w:val="1"/>
                      <w:shd w:val="solid" w:color="000000" w:fill="000000"/>
                      <w:fitText w:val="165" w:id="-961822202"/>
                      <w14:textFill>
                        <w14:solidFill>
                          <w14:srgbClr w14:val="000000">
                            <w14:alpha w14:val="100000"/>
                          </w14:srgbClr>
                        </w14:solidFill>
                      </w14:textFill>
                    </w:rPr>
                    <w:t>|</w:t>
                  </w:r>
                  <w:r w:rsidR="00015B49" w:rsidRPr="00565C8B">
                    <w:rPr>
                      <w:vertAlign w:val="superscript"/>
                    </w:rPr>
                    <w:t>1</w:t>
                  </w:r>
                </w:p>
              </w:tc>
              <w:tc>
                <w:tcPr>
                  <w:tcW w:w="567" w:type="dxa"/>
                  <w:vAlign w:val="center"/>
                </w:tcPr>
                <w:p w14:paraId="519D868D" w14:textId="2C0962BB"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1"/>
                      <w14:textFill>
                        <w14:solidFill>
                          <w14:srgbClr w14:val="000000">
                            <w14:alpha w14:val="100000"/>
                          </w14:srgbClr>
                        </w14:solidFill>
                      </w14:textFill>
                    </w:rPr>
                    <w:t>|</w:t>
                  </w:r>
                  <w:r w:rsidRPr="00D62519">
                    <w:rPr>
                      <w:color w:val="000000"/>
                      <w:spacing w:val="1"/>
                      <w:shd w:val="solid" w:color="000000" w:fill="000000"/>
                      <w:fitText w:val="165" w:id="-961822201"/>
                      <w14:textFill>
                        <w14:solidFill>
                          <w14:srgbClr w14:val="000000">
                            <w14:alpha w14:val="100000"/>
                          </w14:srgbClr>
                        </w14:solidFill>
                      </w14:textFill>
                    </w:rPr>
                    <w:t>|</w:t>
                  </w:r>
                  <w:r w:rsidR="00015B49" w:rsidRPr="00565C8B">
                    <w:rPr>
                      <w:vertAlign w:val="superscript"/>
                    </w:rPr>
                    <w:t>3</w:t>
                  </w:r>
                </w:p>
              </w:tc>
              <w:tc>
                <w:tcPr>
                  <w:tcW w:w="567" w:type="dxa"/>
                  <w:vAlign w:val="center"/>
                </w:tcPr>
                <w:p w14:paraId="233FBDE5" w14:textId="20A6AE2B"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200"/>
                      <w14:textFill>
                        <w14:solidFill>
                          <w14:srgbClr w14:val="000000">
                            <w14:alpha w14:val="100000"/>
                          </w14:srgbClr>
                        </w14:solidFill>
                      </w14:textFill>
                    </w:rPr>
                    <w:t>|</w:t>
                  </w:r>
                  <w:r w:rsidRPr="00D62519">
                    <w:rPr>
                      <w:color w:val="000000"/>
                      <w:spacing w:val="1"/>
                      <w:shd w:val="solid" w:color="000000" w:fill="000000"/>
                      <w:fitText w:val="165" w:id="-961822200"/>
                      <w14:textFill>
                        <w14:solidFill>
                          <w14:srgbClr w14:val="000000">
                            <w14:alpha w14:val="100000"/>
                          </w14:srgbClr>
                        </w14:solidFill>
                      </w14:textFill>
                    </w:rPr>
                    <w:t>|</w:t>
                  </w:r>
                  <w:r w:rsidR="00015B49" w:rsidRPr="00565C8B">
                    <w:rPr>
                      <w:vertAlign w:val="superscript"/>
                    </w:rPr>
                    <w:t>3</w:t>
                  </w:r>
                </w:p>
              </w:tc>
              <w:tc>
                <w:tcPr>
                  <w:tcW w:w="549" w:type="dxa"/>
                  <w:vAlign w:val="center"/>
                </w:tcPr>
                <w:p w14:paraId="5F64B888" w14:textId="162CD2CF"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2199"/>
                      <w14:textFill>
                        <w14:solidFill>
                          <w14:srgbClr w14:val="000000">
                            <w14:alpha w14:val="100000"/>
                          </w14:srgbClr>
                        </w14:solidFill>
                      </w14:textFill>
                    </w:rPr>
                    <w:t>|</w:t>
                  </w:r>
                  <w:r w:rsidRPr="00D62519">
                    <w:rPr>
                      <w:color w:val="000000"/>
                      <w:spacing w:val="1"/>
                      <w:shd w:val="solid" w:color="000000" w:fill="000000"/>
                      <w:fitText w:val="165" w:id="-961822199"/>
                      <w14:textFill>
                        <w14:solidFill>
                          <w14:srgbClr w14:val="000000">
                            <w14:alpha w14:val="100000"/>
                          </w14:srgbClr>
                        </w14:solidFill>
                      </w14:textFill>
                    </w:rPr>
                    <w:t>|</w:t>
                  </w:r>
                  <w:r w:rsidR="00015B49" w:rsidRPr="00565C8B">
                    <w:rPr>
                      <w:vertAlign w:val="superscript"/>
                    </w:rPr>
                    <w:t>3</w:t>
                  </w:r>
                </w:p>
              </w:tc>
            </w:tr>
            <w:tr w:rsidR="006034A4" w:rsidRPr="008C0BA8" w14:paraId="6AE87CD4" w14:textId="77777777" w:rsidTr="00E97B08">
              <w:trPr>
                <w:trHeight w:val="20"/>
              </w:trPr>
              <w:tc>
                <w:tcPr>
                  <w:tcW w:w="476" w:type="dxa"/>
                  <w:vAlign w:val="center"/>
                </w:tcPr>
                <w:p w14:paraId="6F8F2147" w14:textId="77777777" w:rsidR="006034A4" w:rsidRPr="00565C8B" w:rsidRDefault="006034A4" w:rsidP="00544B08">
                  <w:pPr>
                    <w:pStyle w:val="TableText0"/>
                    <w:keepNext w:val="0"/>
                    <w:widowControl w:val="0"/>
                    <w:jc w:val="center"/>
                  </w:pPr>
                  <w:r w:rsidRPr="00565C8B">
                    <w:t>IV Adm.</w:t>
                  </w:r>
                </w:p>
              </w:tc>
              <w:tc>
                <w:tcPr>
                  <w:tcW w:w="567" w:type="dxa"/>
                  <w:vAlign w:val="center"/>
                </w:tcPr>
                <w:p w14:paraId="60FCA557" w14:textId="59B04FBE"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1952"/>
                      <w14:textFill>
                        <w14:solidFill>
                          <w14:srgbClr w14:val="000000">
                            <w14:alpha w14:val="100000"/>
                          </w14:srgbClr>
                        </w14:solidFill>
                      </w14:textFill>
                    </w:rPr>
                    <w:t>|</w:t>
                  </w:r>
                  <w:r w:rsidRPr="00D62519">
                    <w:rPr>
                      <w:color w:val="000000"/>
                      <w:spacing w:val="1"/>
                      <w:shd w:val="solid" w:color="000000" w:fill="000000"/>
                      <w:fitText w:val="165" w:id="-961821952"/>
                      <w14:textFill>
                        <w14:solidFill>
                          <w14:srgbClr w14:val="000000">
                            <w14:alpha w14:val="100000"/>
                          </w14:srgbClr>
                        </w14:solidFill>
                      </w14:textFill>
                    </w:rPr>
                    <w:t>|</w:t>
                  </w:r>
                  <w:r w:rsidR="00015B49" w:rsidRPr="00565C8B">
                    <w:rPr>
                      <w:vertAlign w:val="superscript"/>
                    </w:rPr>
                    <w:t>1</w:t>
                  </w:r>
                </w:p>
              </w:tc>
              <w:tc>
                <w:tcPr>
                  <w:tcW w:w="567" w:type="dxa"/>
                  <w:vAlign w:val="center"/>
                </w:tcPr>
                <w:p w14:paraId="575FE0E2" w14:textId="6ED242A7"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1951"/>
                      <w14:textFill>
                        <w14:solidFill>
                          <w14:srgbClr w14:val="000000">
                            <w14:alpha w14:val="100000"/>
                          </w14:srgbClr>
                        </w14:solidFill>
                      </w14:textFill>
                    </w:rPr>
                    <w:t>|</w:t>
                  </w:r>
                  <w:r w:rsidRPr="00D62519">
                    <w:rPr>
                      <w:color w:val="000000"/>
                      <w:spacing w:val="1"/>
                      <w:shd w:val="solid" w:color="000000" w:fill="000000"/>
                      <w:fitText w:val="165" w:id="-961821951"/>
                      <w14:textFill>
                        <w14:solidFill>
                          <w14:srgbClr w14:val="000000">
                            <w14:alpha w14:val="100000"/>
                          </w14:srgbClr>
                        </w14:solidFill>
                      </w14:textFill>
                    </w:rPr>
                    <w:t>|</w:t>
                  </w:r>
                  <w:r w:rsidR="00015B49" w:rsidRPr="00565C8B">
                    <w:rPr>
                      <w:vertAlign w:val="superscript"/>
                    </w:rPr>
                    <w:t>1</w:t>
                  </w:r>
                </w:p>
              </w:tc>
              <w:tc>
                <w:tcPr>
                  <w:tcW w:w="567" w:type="dxa"/>
                  <w:vAlign w:val="center"/>
                </w:tcPr>
                <w:p w14:paraId="1443159F" w14:textId="396C5C27"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1950"/>
                      <w14:textFill>
                        <w14:solidFill>
                          <w14:srgbClr w14:val="000000">
                            <w14:alpha w14:val="100000"/>
                          </w14:srgbClr>
                        </w14:solidFill>
                      </w14:textFill>
                    </w:rPr>
                    <w:t>|</w:t>
                  </w:r>
                  <w:r w:rsidRPr="00D62519">
                    <w:rPr>
                      <w:color w:val="000000"/>
                      <w:spacing w:val="1"/>
                      <w:shd w:val="solid" w:color="000000" w:fill="000000"/>
                      <w:fitText w:val="165" w:id="-961821950"/>
                      <w14:textFill>
                        <w14:solidFill>
                          <w14:srgbClr w14:val="000000">
                            <w14:alpha w14:val="100000"/>
                          </w14:srgbClr>
                        </w14:solidFill>
                      </w14:textFill>
                    </w:rPr>
                    <w:t>|</w:t>
                  </w:r>
                  <w:r w:rsidR="00015B49" w:rsidRPr="00565C8B">
                    <w:rPr>
                      <w:vertAlign w:val="superscript"/>
                    </w:rPr>
                    <w:t>1</w:t>
                  </w:r>
                </w:p>
              </w:tc>
              <w:tc>
                <w:tcPr>
                  <w:tcW w:w="567" w:type="dxa"/>
                  <w:vAlign w:val="center"/>
                </w:tcPr>
                <w:p w14:paraId="6CA12E3B" w14:textId="50372CC7"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1949"/>
                      <w14:textFill>
                        <w14:solidFill>
                          <w14:srgbClr w14:val="000000">
                            <w14:alpha w14:val="100000"/>
                          </w14:srgbClr>
                        </w14:solidFill>
                      </w14:textFill>
                    </w:rPr>
                    <w:t>|</w:t>
                  </w:r>
                  <w:r w:rsidRPr="00D62519">
                    <w:rPr>
                      <w:color w:val="000000"/>
                      <w:spacing w:val="1"/>
                      <w:shd w:val="solid" w:color="000000" w:fill="000000"/>
                      <w:fitText w:val="165" w:id="-961821949"/>
                      <w14:textFill>
                        <w14:solidFill>
                          <w14:srgbClr w14:val="000000">
                            <w14:alpha w14:val="100000"/>
                          </w14:srgbClr>
                        </w14:solidFill>
                      </w14:textFill>
                    </w:rPr>
                    <w:t>|</w:t>
                  </w:r>
                  <w:r w:rsidR="00015B49" w:rsidRPr="00565C8B">
                    <w:rPr>
                      <w:vertAlign w:val="superscript"/>
                    </w:rPr>
                    <w:t>3</w:t>
                  </w:r>
                </w:p>
              </w:tc>
              <w:tc>
                <w:tcPr>
                  <w:tcW w:w="567" w:type="dxa"/>
                  <w:vAlign w:val="center"/>
                </w:tcPr>
                <w:p w14:paraId="7E77737C" w14:textId="78F56D1C"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1948"/>
                      <w14:textFill>
                        <w14:solidFill>
                          <w14:srgbClr w14:val="000000">
                            <w14:alpha w14:val="100000"/>
                          </w14:srgbClr>
                        </w14:solidFill>
                      </w14:textFill>
                    </w:rPr>
                    <w:t>|</w:t>
                  </w:r>
                  <w:r w:rsidRPr="00D62519">
                    <w:rPr>
                      <w:color w:val="000000"/>
                      <w:spacing w:val="1"/>
                      <w:shd w:val="solid" w:color="000000" w:fill="000000"/>
                      <w:fitText w:val="165" w:id="-961821948"/>
                      <w14:textFill>
                        <w14:solidFill>
                          <w14:srgbClr w14:val="000000">
                            <w14:alpha w14:val="100000"/>
                          </w14:srgbClr>
                        </w14:solidFill>
                      </w14:textFill>
                    </w:rPr>
                    <w:t>|</w:t>
                  </w:r>
                  <w:r w:rsidR="00015B49" w:rsidRPr="00565C8B">
                    <w:rPr>
                      <w:vertAlign w:val="superscript"/>
                    </w:rPr>
                    <w:t>3</w:t>
                  </w:r>
                </w:p>
              </w:tc>
              <w:tc>
                <w:tcPr>
                  <w:tcW w:w="549" w:type="dxa"/>
                  <w:vAlign w:val="center"/>
                </w:tcPr>
                <w:p w14:paraId="4796452C" w14:textId="6C5D090D" w:rsidR="006034A4" w:rsidRPr="00565C8B" w:rsidRDefault="00D62519" w:rsidP="00544B08">
                  <w:pPr>
                    <w:pStyle w:val="TableText0"/>
                    <w:keepNext w:val="0"/>
                    <w:widowControl w:val="0"/>
                    <w:jc w:val="center"/>
                    <w:rPr>
                      <w:highlight w:val="lightGray"/>
                    </w:rPr>
                  </w:pPr>
                  <w:r w:rsidRPr="00D62519">
                    <w:rPr>
                      <w:color w:val="000000"/>
                      <w:spacing w:val="79"/>
                      <w:shd w:val="solid" w:color="000000" w:fill="000000"/>
                      <w:fitText w:val="165" w:id="-961821947"/>
                      <w14:textFill>
                        <w14:solidFill>
                          <w14:srgbClr w14:val="000000">
                            <w14:alpha w14:val="100000"/>
                          </w14:srgbClr>
                        </w14:solidFill>
                      </w14:textFill>
                    </w:rPr>
                    <w:t>|</w:t>
                  </w:r>
                  <w:r w:rsidRPr="00D62519">
                    <w:rPr>
                      <w:color w:val="000000"/>
                      <w:spacing w:val="1"/>
                      <w:shd w:val="solid" w:color="000000" w:fill="000000"/>
                      <w:fitText w:val="165" w:id="-961821947"/>
                      <w14:textFill>
                        <w14:solidFill>
                          <w14:srgbClr w14:val="000000">
                            <w14:alpha w14:val="100000"/>
                          </w14:srgbClr>
                        </w14:solidFill>
                      </w14:textFill>
                    </w:rPr>
                    <w:t>|</w:t>
                  </w:r>
                  <w:r w:rsidR="00015B49" w:rsidRPr="00565C8B">
                    <w:rPr>
                      <w:vertAlign w:val="superscript"/>
                    </w:rPr>
                    <w:t>3</w:t>
                  </w:r>
                </w:p>
              </w:tc>
            </w:tr>
          </w:tbl>
          <w:p w14:paraId="7409B4AB" w14:textId="77777777" w:rsidR="006034A4" w:rsidRPr="006E4BFC" w:rsidRDefault="006034A4" w:rsidP="00544B08">
            <w:pPr>
              <w:pStyle w:val="TableText0"/>
              <w:keepNext w:val="0"/>
              <w:widowControl w:val="0"/>
            </w:pPr>
            <w:r w:rsidRPr="006E4BFC">
              <w:rPr>
                <w:rFonts w:cs="Times New Roman"/>
                <w:lang w:eastAsia="en-GB"/>
              </w:rPr>
              <w:t>Changes in the number of parenteral administrations of DTX and CBZ and number of the FBE required for TAL and 2L OLA initiation were included. 80% benefit was applied to costs in the model.</w:t>
            </w:r>
          </w:p>
        </w:tc>
        <w:tc>
          <w:tcPr>
            <w:tcW w:w="2276" w:type="pct"/>
            <w:shd w:val="clear" w:color="auto" w:fill="auto"/>
            <w:vAlign w:val="center"/>
          </w:tcPr>
          <w:p w14:paraId="43025151" w14:textId="5479CFF5" w:rsidR="006034A4" w:rsidRPr="006E4BFC" w:rsidRDefault="006034A4" w:rsidP="00544B08">
            <w:pPr>
              <w:pStyle w:val="TableText0"/>
              <w:keepNext w:val="0"/>
              <w:widowControl w:val="0"/>
            </w:pPr>
            <w:r w:rsidRPr="006E4BFC">
              <w:t>MBS costs due to the management of adverse events were not included in this calculation.</w:t>
            </w:r>
          </w:p>
        </w:tc>
      </w:tr>
      <w:tr w:rsidR="00BD4EAE" w:rsidRPr="005A293B" w14:paraId="3C843170" w14:textId="77777777" w:rsidTr="00E97B08">
        <w:trPr>
          <w:cantSplit/>
          <w:trHeight w:val="20"/>
        </w:trPr>
        <w:tc>
          <w:tcPr>
            <w:tcW w:w="5000" w:type="pct"/>
            <w:gridSpan w:val="3"/>
            <w:shd w:val="clear" w:color="auto" w:fill="auto"/>
            <w:vAlign w:val="center"/>
          </w:tcPr>
          <w:p w14:paraId="6A042820" w14:textId="77777777" w:rsidR="006034A4" w:rsidRPr="006E4BFC" w:rsidRDefault="006034A4" w:rsidP="00544B08">
            <w:pPr>
              <w:pStyle w:val="TableText0"/>
              <w:keepNext w:val="0"/>
              <w:widowControl w:val="0"/>
              <w:rPr>
                <w:b/>
                <w:bCs w:val="0"/>
              </w:rPr>
            </w:pPr>
            <w:r w:rsidRPr="006E4BFC">
              <w:rPr>
                <w:b/>
                <w:bCs w:val="0"/>
              </w:rPr>
              <w:t>PBS/RPBS Costs</w:t>
            </w:r>
          </w:p>
        </w:tc>
      </w:tr>
      <w:tr w:rsidR="00210C6E" w:rsidRPr="005A293B" w14:paraId="2834E469" w14:textId="77777777" w:rsidTr="00E97B08">
        <w:trPr>
          <w:cantSplit/>
          <w:trHeight w:val="283"/>
        </w:trPr>
        <w:tc>
          <w:tcPr>
            <w:tcW w:w="496" w:type="pct"/>
            <w:shd w:val="clear" w:color="auto" w:fill="auto"/>
            <w:vAlign w:val="center"/>
          </w:tcPr>
          <w:p w14:paraId="3669590D" w14:textId="77777777" w:rsidR="006034A4" w:rsidRPr="006E4BFC" w:rsidRDefault="006034A4" w:rsidP="00544B08">
            <w:pPr>
              <w:pStyle w:val="TableText0"/>
              <w:keepNext w:val="0"/>
              <w:widowControl w:val="0"/>
            </w:pPr>
            <w:r w:rsidRPr="006E4BFC">
              <w:rPr>
                <w:rFonts w:cs="Times New Roman"/>
                <w:lang w:eastAsia="en-GB"/>
              </w:rPr>
              <w:t>TAL</w:t>
            </w:r>
          </w:p>
        </w:tc>
        <w:tc>
          <w:tcPr>
            <w:tcW w:w="2228" w:type="pct"/>
            <w:shd w:val="clear" w:color="auto" w:fill="auto"/>
            <w:vAlign w:val="center"/>
          </w:tcPr>
          <w:p w14:paraId="028A0684" w14:textId="66EFDC0D" w:rsidR="006034A4" w:rsidRPr="006E4BFC" w:rsidRDefault="006034A4" w:rsidP="00544B08">
            <w:pPr>
              <w:pStyle w:val="TableText0"/>
              <w:keepNext w:val="0"/>
              <w:widowControl w:val="0"/>
              <w:rPr>
                <w:rFonts w:cs="Times New Roman"/>
                <w:lang w:eastAsia="en-GB"/>
              </w:rPr>
            </w:pPr>
            <w:r w:rsidRPr="006E4BFC">
              <w:rPr>
                <w:rFonts w:eastAsia="Times New Roman" w:cs="Times New Roman"/>
                <w:bCs w:val="0"/>
                <w:lang w:eastAsia="en-GB"/>
              </w:rPr>
              <w:t>$</w:t>
            </w:r>
            <w:r w:rsidR="00D62519" w:rsidRPr="00D62519">
              <w:rPr>
                <w:rFonts w:eastAsia="Times New Roman" w:cs="Times New Roman"/>
                <w:bCs w:val="0"/>
                <w:color w:val="000000"/>
                <w:spacing w:val="48"/>
                <w:shd w:val="solid" w:color="000000" w:fill="000000"/>
                <w:fitText w:val="225" w:id="-961821946"/>
                <w:lang w:eastAsia="en-GB"/>
                <w14:textFill>
                  <w14:solidFill>
                    <w14:srgbClr w14:val="000000">
                      <w14:alpha w14:val="100000"/>
                    </w14:srgbClr>
                  </w14:solidFill>
                </w14:textFill>
              </w:rPr>
              <w:t>||</w:t>
            </w:r>
            <w:r w:rsidR="00D62519" w:rsidRPr="00D62519">
              <w:rPr>
                <w:rFonts w:eastAsia="Times New Roman" w:cs="Times New Roman"/>
                <w:bCs w:val="0"/>
                <w:color w:val="000000"/>
                <w:spacing w:val="2"/>
                <w:shd w:val="solid" w:color="000000" w:fill="000000"/>
                <w:fitText w:val="225" w:id="-961821946"/>
                <w:lang w:eastAsia="en-GB"/>
                <w14:textFill>
                  <w14:solidFill>
                    <w14:srgbClr w14:val="000000">
                      <w14:alpha w14:val="100000"/>
                    </w14:srgbClr>
                  </w14:solidFill>
                </w14:textFill>
              </w:rPr>
              <w:t>|</w:t>
            </w:r>
            <w:r w:rsidRPr="006E4BFC">
              <w:rPr>
                <w:rFonts w:eastAsia="Times New Roman" w:cs="Times New Roman"/>
                <w:bCs w:val="0"/>
                <w:lang w:eastAsia="en-GB"/>
              </w:rPr>
              <w:t xml:space="preserve"> per </w:t>
            </w:r>
            <w:r w:rsidRPr="006E4BFC">
              <w:rPr>
                <w:rFonts w:cs="Times New Roman"/>
                <w:lang w:eastAsia="en-GB"/>
              </w:rPr>
              <w:t>30-day supply (proposed effective DPMQ)</w:t>
            </w:r>
          </w:p>
        </w:tc>
        <w:tc>
          <w:tcPr>
            <w:tcW w:w="2276" w:type="pct"/>
            <w:shd w:val="clear" w:color="auto" w:fill="auto"/>
            <w:vAlign w:val="center"/>
          </w:tcPr>
          <w:p w14:paraId="0428B1AD" w14:textId="0BA2B599" w:rsidR="006034A4" w:rsidRPr="006E4BFC" w:rsidRDefault="006034A4" w:rsidP="00544B08">
            <w:pPr>
              <w:pStyle w:val="TableText0"/>
              <w:keepNext w:val="0"/>
              <w:widowControl w:val="0"/>
            </w:pPr>
            <w:r w:rsidRPr="006E4BFC">
              <w:rPr>
                <w:rFonts w:cs="Times New Roman"/>
                <w:lang w:eastAsia="en-GB"/>
              </w:rPr>
              <w:t xml:space="preserve">This was aligned with </w:t>
            </w:r>
            <w:r w:rsidR="00F13554" w:rsidRPr="006E4BFC">
              <w:rPr>
                <w:rFonts w:cs="Times New Roman"/>
                <w:lang w:eastAsia="en-GB"/>
              </w:rPr>
              <w:t>the economic model</w:t>
            </w:r>
            <w:r w:rsidR="00EC2FC5">
              <w:rPr>
                <w:rFonts w:cs="Times New Roman"/>
                <w:lang w:eastAsia="en-GB"/>
              </w:rPr>
              <w:t xml:space="preserve"> and with the price proposed in the submission</w:t>
            </w:r>
            <w:r w:rsidR="007039AA" w:rsidRPr="006E4BFC">
              <w:rPr>
                <w:rFonts w:cs="Times New Roman"/>
                <w:lang w:eastAsia="en-GB"/>
              </w:rPr>
              <w:t>.</w:t>
            </w:r>
          </w:p>
        </w:tc>
      </w:tr>
      <w:tr w:rsidR="00210C6E" w:rsidRPr="005A293B" w14:paraId="083FFCDF" w14:textId="77777777" w:rsidTr="00E97B08">
        <w:trPr>
          <w:cantSplit/>
          <w:trHeight w:val="283"/>
        </w:trPr>
        <w:tc>
          <w:tcPr>
            <w:tcW w:w="496" w:type="pct"/>
            <w:shd w:val="clear" w:color="auto" w:fill="auto"/>
            <w:vAlign w:val="center"/>
          </w:tcPr>
          <w:p w14:paraId="031E80A5" w14:textId="7725BDDD" w:rsidR="006034A4" w:rsidRPr="006E4BFC" w:rsidRDefault="006034A4" w:rsidP="00544B08">
            <w:pPr>
              <w:pStyle w:val="TableText0"/>
              <w:keepNext w:val="0"/>
              <w:widowControl w:val="0"/>
            </w:pPr>
            <w:r w:rsidRPr="006E4BFC">
              <w:t>Taxan</w:t>
            </w:r>
            <w:r w:rsidR="005D2612" w:rsidRPr="006E4BFC">
              <w:t>e</w:t>
            </w:r>
            <w:r w:rsidRPr="006E4BFC">
              <w:t>s</w:t>
            </w:r>
          </w:p>
        </w:tc>
        <w:tc>
          <w:tcPr>
            <w:tcW w:w="2228" w:type="pct"/>
            <w:shd w:val="clear" w:color="auto" w:fill="auto"/>
            <w:vAlign w:val="center"/>
          </w:tcPr>
          <w:p w14:paraId="4439F86F" w14:textId="77777777" w:rsidR="006034A4" w:rsidRPr="006E4BFC" w:rsidRDefault="006034A4" w:rsidP="00544B08">
            <w:pPr>
              <w:pStyle w:val="TableText0"/>
              <w:keepNext w:val="0"/>
              <w:widowControl w:val="0"/>
              <w:rPr>
                <w:rFonts w:eastAsia="Times New Roman" w:cs="Times New Roman"/>
                <w:bCs w:val="0"/>
                <w:lang w:eastAsia="en-GB"/>
              </w:rPr>
            </w:pPr>
            <w:r w:rsidRPr="006E4BFC">
              <w:rPr>
                <w:rFonts w:eastAsia="Times New Roman" w:cs="Times New Roman"/>
                <w:bCs w:val="0"/>
                <w:lang w:eastAsia="en-GB"/>
              </w:rPr>
              <w:t>DTX: $161.42, CBZ: $293.21</w:t>
            </w:r>
          </w:p>
          <w:p w14:paraId="7EFC8088" w14:textId="77777777" w:rsidR="006034A4" w:rsidRPr="006E4BFC" w:rsidRDefault="006034A4" w:rsidP="00544B08">
            <w:pPr>
              <w:pStyle w:val="TableText0"/>
              <w:keepNext w:val="0"/>
              <w:widowControl w:val="0"/>
            </w:pPr>
            <w:r w:rsidRPr="006E4BFC">
              <w:rPr>
                <w:rFonts w:cs="Times New Roman"/>
                <w:lang w:eastAsia="en-GB"/>
              </w:rPr>
              <w:t>Weighted average costs (69% private, 31% public) per prescription, based on Cabazitaxel Authority mCRPC PBS scripts, 2022 were calculated.</w:t>
            </w:r>
          </w:p>
        </w:tc>
        <w:tc>
          <w:tcPr>
            <w:tcW w:w="2276" w:type="pct"/>
            <w:shd w:val="clear" w:color="auto" w:fill="auto"/>
            <w:vAlign w:val="center"/>
          </w:tcPr>
          <w:p w14:paraId="37DBD9D1" w14:textId="1842F270" w:rsidR="006034A4" w:rsidRPr="006E4BFC" w:rsidRDefault="006034A4" w:rsidP="00544B08">
            <w:pPr>
              <w:pStyle w:val="TableText0"/>
              <w:keepNext w:val="0"/>
              <w:widowControl w:val="0"/>
            </w:pPr>
            <w:r w:rsidRPr="006E4BFC">
              <w:rPr>
                <w:rFonts w:cs="Times New Roman"/>
                <w:lang w:eastAsia="en-GB"/>
              </w:rPr>
              <w:t xml:space="preserve">There were minor inconsistencies between the prices used in </w:t>
            </w:r>
            <w:r w:rsidR="00F13554" w:rsidRPr="006E4BFC">
              <w:rPr>
                <w:rFonts w:cs="Times New Roman"/>
                <w:lang w:eastAsia="en-GB"/>
              </w:rPr>
              <w:t xml:space="preserve">the economic model, the financial estimates </w:t>
            </w:r>
            <w:r w:rsidRPr="006E4BFC">
              <w:rPr>
                <w:rFonts w:cs="Times New Roman"/>
                <w:lang w:eastAsia="en-GB"/>
              </w:rPr>
              <w:t xml:space="preserve">and the correct calculated price, as </w:t>
            </w:r>
            <w:r w:rsidR="007039AA" w:rsidRPr="006E4BFC">
              <w:rPr>
                <w:rFonts w:cs="Times New Roman"/>
                <w:lang w:eastAsia="en-GB"/>
              </w:rPr>
              <w:t xml:space="preserve">at </w:t>
            </w:r>
            <w:r w:rsidRPr="006E4BFC">
              <w:rPr>
                <w:rFonts w:cs="Times New Roman"/>
                <w:lang w:eastAsia="en-GB"/>
              </w:rPr>
              <w:t>the time of evaluation.</w:t>
            </w:r>
          </w:p>
        </w:tc>
      </w:tr>
      <w:tr w:rsidR="00210C6E" w:rsidRPr="005A293B" w14:paraId="1EB80B87" w14:textId="77777777" w:rsidTr="00E97B08">
        <w:trPr>
          <w:cantSplit/>
          <w:trHeight w:val="283"/>
        </w:trPr>
        <w:tc>
          <w:tcPr>
            <w:tcW w:w="496" w:type="pct"/>
            <w:shd w:val="clear" w:color="auto" w:fill="auto"/>
            <w:vAlign w:val="center"/>
          </w:tcPr>
          <w:p w14:paraId="19D4B79A" w14:textId="77777777" w:rsidR="006034A4" w:rsidRPr="006E4BFC" w:rsidRDefault="006034A4" w:rsidP="00544B08">
            <w:pPr>
              <w:pStyle w:val="TableText0"/>
              <w:keepNext w:val="0"/>
              <w:widowControl w:val="0"/>
            </w:pPr>
            <w:r w:rsidRPr="006E4BFC">
              <w:rPr>
                <w:rFonts w:cs="Times New Roman"/>
                <w:lang w:eastAsia="en-GB"/>
              </w:rPr>
              <w:t>PBS/RPBS split</w:t>
            </w:r>
          </w:p>
        </w:tc>
        <w:tc>
          <w:tcPr>
            <w:tcW w:w="2228" w:type="pct"/>
            <w:shd w:val="clear" w:color="auto" w:fill="auto"/>
            <w:vAlign w:val="center"/>
          </w:tcPr>
          <w:p w14:paraId="10945874" w14:textId="77777777" w:rsidR="006034A4" w:rsidRPr="006E4BFC" w:rsidRDefault="006034A4" w:rsidP="00544B08">
            <w:pPr>
              <w:widowControl w:val="0"/>
              <w:rPr>
                <w:rFonts w:ascii="Arial Narrow" w:hAnsi="Arial Narrow" w:cs="Times New Roman"/>
                <w:sz w:val="20"/>
                <w:lang w:eastAsia="en-GB"/>
              </w:rPr>
            </w:pPr>
            <w:r w:rsidRPr="006E4BFC">
              <w:rPr>
                <w:rFonts w:ascii="Arial Narrow" w:hAnsi="Arial Narrow" w:cs="Times New Roman"/>
                <w:sz w:val="20"/>
                <w:lang w:eastAsia="en-GB"/>
              </w:rPr>
              <w:t xml:space="preserve">PBS: 95.78%, RPBS: 4.22% </w:t>
            </w:r>
          </w:p>
        </w:tc>
        <w:tc>
          <w:tcPr>
            <w:tcW w:w="2276" w:type="pct"/>
            <w:vMerge w:val="restart"/>
            <w:shd w:val="clear" w:color="auto" w:fill="auto"/>
            <w:vAlign w:val="center"/>
          </w:tcPr>
          <w:p w14:paraId="261214E3" w14:textId="3A5CCC39" w:rsidR="006034A4" w:rsidRPr="006E4BFC" w:rsidRDefault="00BF4313" w:rsidP="00544B08">
            <w:pPr>
              <w:pStyle w:val="TableText0"/>
              <w:keepNext w:val="0"/>
              <w:widowControl w:val="0"/>
            </w:pPr>
            <w:r>
              <w:rPr>
                <w:rFonts w:cs="Times New Roman"/>
                <w:lang w:eastAsia="en-GB"/>
              </w:rPr>
              <w:t>B</w:t>
            </w:r>
            <w:r w:rsidR="006034A4" w:rsidRPr="006E4BFC">
              <w:rPr>
                <w:rFonts w:cs="Times New Roman"/>
                <w:lang w:eastAsia="en-GB"/>
              </w:rPr>
              <w:t xml:space="preserve">ased on existing PBS/RPBS Item statistics for ABI and ENZ in 1L mCRPC (2022). The split was consistent with PBS data for olaparib monotherapy (item 12929L, 95.98% / 4.02%). </w:t>
            </w:r>
          </w:p>
        </w:tc>
      </w:tr>
      <w:tr w:rsidR="00210C6E" w:rsidRPr="005A293B" w14:paraId="2C35F234" w14:textId="77777777" w:rsidTr="00565C8B">
        <w:trPr>
          <w:cantSplit/>
          <w:trHeight w:val="283"/>
        </w:trPr>
        <w:tc>
          <w:tcPr>
            <w:tcW w:w="496" w:type="pct"/>
            <w:shd w:val="clear" w:color="auto" w:fill="auto"/>
          </w:tcPr>
          <w:p w14:paraId="159F0353" w14:textId="77777777" w:rsidR="006034A4" w:rsidRPr="006E4BFC" w:rsidRDefault="006034A4" w:rsidP="00544B08">
            <w:pPr>
              <w:pStyle w:val="TableText0"/>
              <w:keepNext w:val="0"/>
              <w:widowControl w:val="0"/>
              <w:rPr>
                <w:rFonts w:cs="Times New Roman"/>
                <w:lang w:eastAsia="en-GB"/>
              </w:rPr>
            </w:pPr>
            <w:r w:rsidRPr="006E4BFC">
              <w:t>Patient co-payment</w:t>
            </w:r>
          </w:p>
        </w:tc>
        <w:tc>
          <w:tcPr>
            <w:tcW w:w="2228" w:type="pct"/>
            <w:shd w:val="clear" w:color="auto" w:fill="auto"/>
            <w:vAlign w:val="center"/>
          </w:tcPr>
          <w:p w14:paraId="104F535C" w14:textId="77777777" w:rsidR="006034A4" w:rsidRPr="006E4BFC" w:rsidRDefault="006034A4" w:rsidP="000D751A">
            <w:pPr>
              <w:pStyle w:val="TableText0"/>
              <w:keepNext w:val="0"/>
              <w:widowControl w:val="0"/>
              <w:rPr>
                <w:rFonts w:eastAsia="Times New Roman" w:cs="Times New Roman"/>
                <w:bCs w:val="0"/>
                <w:lang w:eastAsia="en-GB"/>
              </w:rPr>
            </w:pPr>
            <w:r w:rsidRPr="006E4BFC">
              <w:rPr>
                <w:rFonts w:eastAsia="Times New Roman" w:cs="Times New Roman"/>
                <w:bCs w:val="0"/>
                <w:lang w:eastAsia="en-GB"/>
              </w:rPr>
              <w:t>PBS: $9.91, RPBS: $4.92</w:t>
            </w:r>
          </w:p>
        </w:tc>
        <w:tc>
          <w:tcPr>
            <w:tcW w:w="2276" w:type="pct"/>
            <w:vMerge/>
            <w:shd w:val="clear" w:color="auto" w:fill="auto"/>
            <w:vAlign w:val="center"/>
          </w:tcPr>
          <w:p w14:paraId="4E3D997B" w14:textId="77777777" w:rsidR="006034A4" w:rsidRPr="006E4BFC" w:rsidRDefault="006034A4" w:rsidP="00544B08">
            <w:pPr>
              <w:pStyle w:val="TableText0"/>
              <w:keepNext w:val="0"/>
              <w:widowControl w:val="0"/>
              <w:rPr>
                <w:rFonts w:cs="Times New Roman"/>
                <w:lang w:eastAsia="en-GB"/>
              </w:rPr>
            </w:pPr>
          </w:p>
        </w:tc>
      </w:tr>
    </w:tbl>
    <w:p w14:paraId="6A451D0D" w14:textId="3E036E01" w:rsidR="00F22CA5" w:rsidRPr="005A293B" w:rsidRDefault="00F22CA5" w:rsidP="00680287">
      <w:pPr>
        <w:pStyle w:val="TableFigureFooter"/>
        <w:widowControl w:val="0"/>
      </w:pPr>
      <w:r w:rsidRPr="005A293B">
        <w:t>Source: Table 4.1.1, p186, Table 4.1-3, p191, Table 4.1-4 &amp; Table 4.1-5, p192, Table 4.1-6 &amp; Table 4.1-7, p193, Table 4.1-8, p194, Table 4.1-9, p195, Table 4.1-10, p195, Table 4.1-11, p196, Table 4.1-12, p197, Table 4.1-13, p198, Table 4.1-14, p199, Table 4.1-15, p200, Table 4.1-16, p200, Table 4.1-17, p201, Table 4.2-3, p202, and Table 4.3-2, p206 of the submission.</w:t>
      </w:r>
    </w:p>
    <w:p w14:paraId="3D7E7FD7" w14:textId="5D7A18F1" w:rsidR="00170BFC" w:rsidRDefault="00F22CA5" w:rsidP="0001724B">
      <w:pPr>
        <w:pStyle w:val="TableFigureFooter"/>
        <w:widowControl w:val="0"/>
        <w:spacing w:after="0"/>
        <w:jc w:val="both"/>
      </w:pPr>
      <w:r w:rsidRPr="005A293B">
        <w:t xml:space="preserve">1L=first line, 2L=second line, ABI=abiraterone, AE=adverse event, </w:t>
      </w:r>
      <w:r w:rsidRPr="005A293B">
        <w:rPr>
          <w:i/>
          <w:iCs/>
        </w:rPr>
        <w:t>BRCA</w:t>
      </w:r>
      <w:r w:rsidRPr="005A293B">
        <w:t xml:space="preserve">=breast cancer gene, CBZ=cabazitaxel; DTX=docetaxel; EAP= expanded access program; ePAD=Electronic Prostate cancer Australian Database; ENZ=enzalutamide, FBE=full blood evaluation; IV Adm.=intravenous administration; m0CRPC=non-metastatic castrate resistant prostate cancer, </w:t>
      </w:r>
      <w:r w:rsidR="00C70496">
        <w:t>mHSPC=</w:t>
      </w:r>
      <w:r w:rsidR="00C70496" w:rsidRPr="00C70496">
        <w:t>metastatic hormone sensitive prostate cancer</w:t>
      </w:r>
      <w:r w:rsidR="00C70496">
        <w:t xml:space="preserve">; </w:t>
      </w:r>
      <w:r w:rsidRPr="005A293B">
        <w:t xml:space="preserve">MBS=Medicare Benefits Schedule, mCRPC=metastatic castrate resistant prostate cancer, NHA=novel hormonal agent, OLA=olaparib, </w:t>
      </w:r>
      <w:r w:rsidRPr="00EC2FC5">
        <w:t>PBS=Pharmaceutical Benefits Scheme, RDI=relative dose intensity, RPBS=Repatriation Schedule of Pharmaceutical Benefits; SST=subsequent treatment; TAL=talazoparib.</w:t>
      </w:r>
      <w:r w:rsidR="00170BFC" w:rsidRPr="00EC2FC5">
        <w:t>.</w:t>
      </w:r>
    </w:p>
    <w:p w14:paraId="0D6BD7D7" w14:textId="77777777" w:rsidR="0001724B" w:rsidRPr="009A6D58" w:rsidRDefault="0001724B" w:rsidP="0001724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D4404EE" w14:textId="77738282" w:rsidR="0001724B" w:rsidRPr="009A6D58" w:rsidRDefault="0001724B" w:rsidP="0001724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1724B">
        <w:rPr>
          <w:rFonts w:ascii="Arial Narrow" w:hAnsi="Arial Narrow"/>
          <w:i/>
          <w:sz w:val="18"/>
          <w:szCs w:val="18"/>
        </w:rPr>
        <w:t>500 to &lt; 5,000</w:t>
      </w:r>
    </w:p>
    <w:p w14:paraId="357E16A6" w14:textId="488263DE" w:rsidR="0001724B" w:rsidRPr="009A6D58" w:rsidRDefault="0001724B" w:rsidP="0001724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1724B">
        <w:rPr>
          <w:rFonts w:ascii="Arial Narrow" w:hAnsi="Arial Narrow"/>
          <w:i/>
          <w:sz w:val="18"/>
          <w:szCs w:val="18"/>
        </w:rPr>
        <w:t>&lt; 500</w:t>
      </w:r>
    </w:p>
    <w:p w14:paraId="41379F45" w14:textId="560E00BA" w:rsidR="0001724B" w:rsidRDefault="0001724B" w:rsidP="00001AB0">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015B49" w:rsidRPr="00015B49">
        <w:rPr>
          <w:rFonts w:ascii="Arial Narrow" w:hAnsi="Arial Narrow"/>
          <w:i/>
          <w:sz w:val="18"/>
          <w:szCs w:val="18"/>
        </w:rPr>
        <w:t>5,000 to &lt; 10,000</w:t>
      </w:r>
    </w:p>
    <w:p w14:paraId="192ACE14" w14:textId="313F2B9B" w:rsidR="00170BFC" w:rsidRPr="002E7BAB" w:rsidRDefault="00170BFC" w:rsidP="00170BFC">
      <w:pPr>
        <w:pStyle w:val="3-BodyText"/>
      </w:pPr>
      <w:r w:rsidRPr="00EC2FC5">
        <w:fldChar w:fldCharType="begin" w:fldLock="1"/>
      </w:r>
      <w:r w:rsidRPr="00EC2FC5">
        <w:instrText xml:space="preserve"> REF _Ref104805295 \h  \* MERGEFORMAT </w:instrText>
      </w:r>
      <w:r w:rsidRPr="00EC2FC5">
        <w:fldChar w:fldCharType="separate"/>
      </w:r>
      <w:r w:rsidR="00935AD9" w:rsidRPr="00EC2FC5">
        <w:t>Table 16</w:t>
      </w:r>
      <w:r w:rsidRPr="00EC2FC5">
        <w:fldChar w:fldCharType="end"/>
      </w:r>
      <w:r w:rsidRPr="00EC2FC5">
        <w:t xml:space="preserve"> presents the estimated use and financial impact of</w:t>
      </w:r>
      <w:r w:rsidR="003F4920">
        <w:t xml:space="preserve"> listing</w:t>
      </w:r>
      <w:r w:rsidRPr="00EC2FC5">
        <w:t xml:space="preserve"> </w:t>
      </w:r>
      <w:r w:rsidR="00F95D60" w:rsidRPr="00EC2FC5">
        <w:t xml:space="preserve">talazoparib </w:t>
      </w:r>
      <w:r w:rsidR="003F4920">
        <w:t>(for use in combination with</w:t>
      </w:r>
      <w:r w:rsidR="00F95D60" w:rsidRPr="00EC2FC5">
        <w:t xml:space="preserve"> enzalutamide</w:t>
      </w:r>
      <w:r w:rsidR="003F4920">
        <w:t>)</w:t>
      </w:r>
      <w:r w:rsidRPr="00EC2FC5">
        <w:t>.</w:t>
      </w:r>
    </w:p>
    <w:p w14:paraId="1A309927" w14:textId="51926A12" w:rsidR="00170BFC" w:rsidRPr="005A293B" w:rsidRDefault="00170BFC" w:rsidP="00AA0B7E">
      <w:pPr>
        <w:pStyle w:val="Caption"/>
        <w:keepLines w:val="0"/>
      </w:pPr>
      <w:bookmarkStart w:id="87" w:name="_Ref104805295"/>
      <w:r w:rsidRPr="005A293B">
        <w:lastRenderedPageBreak/>
        <w:t xml:space="preserve">Table </w:t>
      </w:r>
      <w:fldSimple w:instr=" SEQ Table \* ARABIC " w:fldLock="1">
        <w:r w:rsidR="00A01609">
          <w:rPr>
            <w:noProof/>
          </w:rPr>
          <w:t>16</w:t>
        </w:r>
      </w:fldSimple>
      <w:bookmarkEnd w:id="87"/>
      <w:r w:rsidRPr="005A293B">
        <w:t>:</w:t>
      </w:r>
      <w:r w:rsidRPr="005A293B">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Estimated use and financial implications"/>
      </w:tblPr>
      <w:tblGrid>
        <w:gridCol w:w="2127"/>
        <w:gridCol w:w="971"/>
        <w:gridCol w:w="970"/>
        <w:gridCol w:w="970"/>
        <w:gridCol w:w="970"/>
        <w:gridCol w:w="972"/>
        <w:gridCol w:w="977"/>
        <w:gridCol w:w="1060"/>
      </w:tblGrid>
      <w:tr w:rsidR="0023484C" w:rsidRPr="005A293B" w14:paraId="360025D8" w14:textId="77777777" w:rsidTr="002E7BAB">
        <w:trPr>
          <w:tblHeader/>
        </w:trPr>
        <w:tc>
          <w:tcPr>
            <w:tcW w:w="1179" w:type="pct"/>
            <w:shd w:val="clear" w:color="auto" w:fill="auto"/>
            <w:vAlign w:val="center"/>
          </w:tcPr>
          <w:p w14:paraId="5570365F" w14:textId="77777777" w:rsidR="0023484C" w:rsidRPr="003F7A1D" w:rsidRDefault="0023484C" w:rsidP="00AA0B7E">
            <w:pPr>
              <w:pStyle w:val="TableText0"/>
              <w:jc w:val="center"/>
              <w:rPr>
                <w:b/>
                <w:bCs w:val="0"/>
                <w:szCs w:val="20"/>
              </w:rPr>
            </w:pPr>
          </w:p>
        </w:tc>
        <w:tc>
          <w:tcPr>
            <w:tcW w:w="538" w:type="pct"/>
            <w:shd w:val="clear" w:color="auto" w:fill="auto"/>
            <w:vAlign w:val="center"/>
          </w:tcPr>
          <w:p w14:paraId="4CE2C61C" w14:textId="77E024D8" w:rsidR="0023484C" w:rsidRPr="003F7A1D" w:rsidRDefault="0023484C" w:rsidP="00AA0B7E">
            <w:pPr>
              <w:pStyle w:val="TableText0"/>
              <w:jc w:val="center"/>
              <w:rPr>
                <w:b/>
                <w:bCs w:val="0"/>
                <w:szCs w:val="20"/>
              </w:rPr>
            </w:pPr>
            <w:r w:rsidRPr="00B0591B">
              <w:rPr>
                <w:rFonts w:cs="Times New Roman"/>
                <w:b/>
                <w:szCs w:val="20"/>
                <w:lang w:eastAsia="en-GB"/>
              </w:rPr>
              <w:t>2024</w:t>
            </w:r>
          </w:p>
        </w:tc>
        <w:tc>
          <w:tcPr>
            <w:tcW w:w="538" w:type="pct"/>
            <w:shd w:val="clear" w:color="auto" w:fill="auto"/>
            <w:vAlign w:val="center"/>
          </w:tcPr>
          <w:p w14:paraId="32D6F3B8" w14:textId="2AA92368" w:rsidR="0023484C" w:rsidRPr="003F7A1D" w:rsidRDefault="0023484C" w:rsidP="00AA0B7E">
            <w:pPr>
              <w:pStyle w:val="TableText0"/>
              <w:jc w:val="center"/>
              <w:rPr>
                <w:b/>
                <w:bCs w:val="0"/>
                <w:szCs w:val="20"/>
              </w:rPr>
            </w:pPr>
            <w:r w:rsidRPr="00B0591B">
              <w:rPr>
                <w:rFonts w:cs="Times New Roman"/>
                <w:b/>
                <w:szCs w:val="20"/>
                <w:lang w:eastAsia="en-GB"/>
              </w:rPr>
              <w:t>2025</w:t>
            </w:r>
          </w:p>
        </w:tc>
        <w:tc>
          <w:tcPr>
            <w:tcW w:w="538" w:type="pct"/>
            <w:shd w:val="clear" w:color="auto" w:fill="auto"/>
            <w:vAlign w:val="center"/>
          </w:tcPr>
          <w:p w14:paraId="7B50A19F" w14:textId="24B0D4CD" w:rsidR="0023484C" w:rsidRPr="003F7A1D" w:rsidRDefault="0023484C" w:rsidP="00AA0B7E">
            <w:pPr>
              <w:pStyle w:val="TableText0"/>
              <w:jc w:val="center"/>
              <w:rPr>
                <w:b/>
                <w:bCs w:val="0"/>
                <w:szCs w:val="20"/>
              </w:rPr>
            </w:pPr>
            <w:r w:rsidRPr="00B0591B">
              <w:rPr>
                <w:rFonts w:cs="Times New Roman"/>
                <w:b/>
                <w:szCs w:val="20"/>
                <w:lang w:eastAsia="en-GB"/>
              </w:rPr>
              <w:t>2026</w:t>
            </w:r>
          </w:p>
        </w:tc>
        <w:tc>
          <w:tcPr>
            <w:tcW w:w="538" w:type="pct"/>
            <w:shd w:val="clear" w:color="auto" w:fill="auto"/>
            <w:vAlign w:val="center"/>
          </w:tcPr>
          <w:p w14:paraId="5F555169" w14:textId="773E6064" w:rsidR="0023484C" w:rsidRPr="003F7A1D" w:rsidRDefault="0023484C" w:rsidP="00AA0B7E">
            <w:pPr>
              <w:pStyle w:val="TableText0"/>
              <w:jc w:val="center"/>
              <w:rPr>
                <w:b/>
                <w:bCs w:val="0"/>
                <w:szCs w:val="20"/>
              </w:rPr>
            </w:pPr>
            <w:r w:rsidRPr="00B0591B">
              <w:rPr>
                <w:rFonts w:cs="Times New Roman"/>
                <w:b/>
                <w:szCs w:val="20"/>
                <w:lang w:eastAsia="en-GB"/>
              </w:rPr>
              <w:t>2027</w:t>
            </w:r>
          </w:p>
        </w:tc>
        <w:tc>
          <w:tcPr>
            <w:tcW w:w="539" w:type="pct"/>
            <w:shd w:val="clear" w:color="auto" w:fill="auto"/>
            <w:vAlign w:val="center"/>
          </w:tcPr>
          <w:p w14:paraId="672124B3" w14:textId="649F0C6A" w:rsidR="0023484C" w:rsidRPr="003F7A1D" w:rsidRDefault="0023484C" w:rsidP="00AA0B7E">
            <w:pPr>
              <w:pStyle w:val="TableText0"/>
              <w:jc w:val="center"/>
              <w:rPr>
                <w:b/>
                <w:bCs w:val="0"/>
                <w:szCs w:val="20"/>
              </w:rPr>
            </w:pPr>
            <w:r w:rsidRPr="00B0591B">
              <w:rPr>
                <w:rFonts w:cs="Times New Roman"/>
                <w:b/>
                <w:szCs w:val="20"/>
                <w:lang w:eastAsia="en-GB"/>
              </w:rPr>
              <w:t>2028</w:t>
            </w:r>
          </w:p>
        </w:tc>
        <w:tc>
          <w:tcPr>
            <w:tcW w:w="542" w:type="pct"/>
            <w:vAlign w:val="center"/>
          </w:tcPr>
          <w:p w14:paraId="7D89D505" w14:textId="1D988D2E" w:rsidR="0023484C" w:rsidRPr="003F7A1D" w:rsidRDefault="0023484C" w:rsidP="00AA0B7E">
            <w:pPr>
              <w:pStyle w:val="TableText0"/>
              <w:jc w:val="center"/>
              <w:rPr>
                <w:b/>
                <w:bCs w:val="0"/>
                <w:szCs w:val="20"/>
              </w:rPr>
            </w:pPr>
            <w:r w:rsidRPr="00B0591B">
              <w:rPr>
                <w:rFonts w:cs="Times New Roman"/>
                <w:b/>
                <w:szCs w:val="20"/>
                <w:lang w:eastAsia="en-GB"/>
              </w:rPr>
              <w:t>2029</w:t>
            </w:r>
          </w:p>
        </w:tc>
        <w:tc>
          <w:tcPr>
            <w:tcW w:w="588" w:type="pct"/>
          </w:tcPr>
          <w:p w14:paraId="2BBE1388" w14:textId="6E115D06" w:rsidR="0023484C" w:rsidRPr="003F7A1D" w:rsidRDefault="0023484C" w:rsidP="00AA0B7E">
            <w:pPr>
              <w:pStyle w:val="TableText0"/>
              <w:jc w:val="center"/>
              <w:rPr>
                <w:b/>
                <w:bCs w:val="0"/>
                <w:szCs w:val="20"/>
              </w:rPr>
            </w:pPr>
            <w:r w:rsidRPr="00B0591B">
              <w:rPr>
                <w:rFonts w:cs="Times New Roman"/>
                <w:b/>
                <w:szCs w:val="20"/>
                <w:lang w:eastAsia="en-GB"/>
              </w:rPr>
              <w:t>Total</w:t>
            </w:r>
          </w:p>
        </w:tc>
      </w:tr>
      <w:tr w:rsidR="00170BFC" w:rsidRPr="005A293B" w14:paraId="4A6CCE17" w14:textId="77777777" w:rsidTr="00E97B08">
        <w:tc>
          <w:tcPr>
            <w:tcW w:w="5000" w:type="pct"/>
            <w:gridSpan w:val="8"/>
            <w:shd w:val="clear" w:color="auto" w:fill="auto"/>
            <w:vAlign w:val="center"/>
          </w:tcPr>
          <w:p w14:paraId="3EB8965A" w14:textId="77777777" w:rsidR="00170BFC" w:rsidRPr="003F7A1D" w:rsidRDefault="00170BFC" w:rsidP="00AA0B7E">
            <w:pPr>
              <w:pStyle w:val="TableText0"/>
              <w:rPr>
                <w:b/>
                <w:bCs w:val="0"/>
                <w:color w:val="000000"/>
                <w:szCs w:val="20"/>
              </w:rPr>
            </w:pPr>
            <w:r w:rsidRPr="003F7A1D">
              <w:rPr>
                <w:b/>
                <w:bCs w:val="0"/>
                <w:color w:val="000000"/>
                <w:szCs w:val="20"/>
              </w:rPr>
              <w:t>Estimated extent of use</w:t>
            </w:r>
          </w:p>
        </w:tc>
      </w:tr>
      <w:tr w:rsidR="0023484C" w:rsidRPr="005A293B" w14:paraId="213FC2B0" w14:textId="77777777" w:rsidTr="002E7BAB">
        <w:tc>
          <w:tcPr>
            <w:tcW w:w="1179" w:type="pct"/>
            <w:shd w:val="clear" w:color="auto" w:fill="auto"/>
            <w:vAlign w:val="center"/>
          </w:tcPr>
          <w:p w14:paraId="4B2B2890" w14:textId="77777777" w:rsidR="0023484C" w:rsidRPr="003F7A1D" w:rsidRDefault="0023484C" w:rsidP="00AA0B7E">
            <w:pPr>
              <w:pStyle w:val="TableText0"/>
              <w:rPr>
                <w:szCs w:val="20"/>
              </w:rPr>
            </w:pPr>
            <w:r w:rsidRPr="00B0591B">
              <w:rPr>
                <w:rFonts w:cs="Times New Roman"/>
                <w:szCs w:val="20"/>
                <w:lang w:eastAsia="en-GB"/>
              </w:rPr>
              <w:t>NHA initiations in 1L mCRPC</w:t>
            </w:r>
          </w:p>
        </w:tc>
        <w:tc>
          <w:tcPr>
            <w:tcW w:w="538" w:type="pct"/>
            <w:shd w:val="clear" w:color="auto" w:fill="auto"/>
            <w:vAlign w:val="center"/>
          </w:tcPr>
          <w:p w14:paraId="51BFFED8" w14:textId="75E437EC"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38" w:type="pct"/>
            <w:shd w:val="clear" w:color="auto" w:fill="auto"/>
            <w:vAlign w:val="center"/>
          </w:tcPr>
          <w:p w14:paraId="4DA078D6" w14:textId="4A9C083A"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38" w:type="pct"/>
            <w:shd w:val="clear" w:color="auto" w:fill="auto"/>
            <w:vAlign w:val="center"/>
          </w:tcPr>
          <w:p w14:paraId="204897D0" w14:textId="502969B3"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38" w:type="pct"/>
            <w:shd w:val="clear" w:color="auto" w:fill="auto"/>
            <w:vAlign w:val="center"/>
          </w:tcPr>
          <w:p w14:paraId="1BF4D9E3" w14:textId="6B2C29E1"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39" w:type="pct"/>
            <w:shd w:val="clear" w:color="auto" w:fill="auto"/>
            <w:vAlign w:val="center"/>
          </w:tcPr>
          <w:p w14:paraId="1B578C58" w14:textId="46B7AE4D"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42" w:type="pct"/>
            <w:vAlign w:val="center"/>
          </w:tcPr>
          <w:p w14:paraId="08AFCC43" w14:textId="1064DFD1"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88" w:type="pct"/>
            <w:vAlign w:val="center"/>
          </w:tcPr>
          <w:p w14:paraId="5B3BD3F8" w14:textId="073FBFFC" w:rsidR="0023484C" w:rsidRPr="009D4B04" w:rsidRDefault="00D62519" w:rsidP="00AA0B7E">
            <w:pPr>
              <w:pStyle w:val="TableText0"/>
              <w:jc w:val="center"/>
              <w:rPr>
                <w:szCs w:val="20"/>
                <w:highlight w:val="lightGray"/>
                <w:vertAlign w:val="superscript"/>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4</w:t>
            </w:r>
          </w:p>
        </w:tc>
      </w:tr>
      <w:tr w:rsidR="0023484C" w:rsidRPr="005A293B" w14:paraId="5ACE34D1" w14:textId="77777777" w:rsidTr="002E7BAB">
        <w:tc>
          <w:tcPr>
            <w:tcW w:w="1179" w:type="pct"/>
            <w:shd w:val="clear" w:color="auto" w:fill="auto"/>
            <w:vAlign w:val="center"/>
          </w:tcPr>
          <w:p w14:paraId="571CDAF5" w14:textId="68080199" w:rsidR="0023484C" w:rsidRPr="003F7A1D" w:rsidRDefault="0023484C" w:rsidP="00AA0B7E">
            <w:pPr>
              <w:pStyle w:val="TableText0"/>
              <w:rPr>
                <w:szCs w:val="20"/>
              </w:rPr>
            </w:pPr>
            <w:r w:rsidRPr="00B0591B">
              <w:rPr>
                <w:rFonts w:cs="Times New Roman"/>
                <w:i/>
                <w:iCs/>
                <w:szCs w:val="20"/>
                <w:lang w:eastAsia="en-GB"/>
              </w:rPr>
              <w:t>BRCA1/2</w:t>
            </w:r>
            <w:r w:rsidRPr="00B0591B">
              <w:rPr>
                <w:rFonts w:cs="Times New Roman"/>
                <w:szCs w:val="20"/>
                <w:lang w:eastAsia="en-GB"/>
              </w:rPr>
              <w:t>-positive patients</w:t>
            </w:r>
          </w:p>
        </w:tc>
        <w:tc>
          <w:tcPr>
            <w:tcW w:w="538" w:type="pct"/>
            <w:shd w:val="clear" w:color="auto" w:fill="auto"/>
            <w:vAlign w:val="center"/>
          </w:tcPr>
          <w:p w14:paraId="0908C8FE" w14:textId="4BEE6B9B"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31135F89" w14:textId="68E9A855"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4F44EB80" w14:textId="4D23A834"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220B7A73" w14:textId="481F3FE3"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9" w:type="pct"/>
            <w:shd w:val="clear" w:color="auto" w:fill="auto"/>
            <w:vAlign w:val="center"/>
          </w:tcPr>
          <w:p w14:paraId="2D65454D" w14:textId="0F280E71"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42" w:type="pct"/>
            <w:vAlign w:val="center"/>
          </w:tcPr>
          <w:p w14:paraId="2120654E" w14:textId="2FBD1C42"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88" w:type="pct"/>
            <w:vAlign w:val="center"/>
          </w:tcPr>
          <w:p w14:paraId="72DB1C01" w14:textId="2F161CDC"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r>
      <w:tr w:rsidR="0023484C" w:rsidRPr="005A293B" w14:paraId="21F36266" w14:textId="77777777" w:rsidTr="002E7BAB">
        <w:tc>
          <w:tcPr>
            <w:tcW w:w="1179" w:type="pct"/>
            <w:shd w:val="clear" w:color="auto" w:fill="auto"/>
            <w:vAlign w:val="center"/>
          </w:tcPr>
          <w:p w14:paraId="3F04B899" w14:textId="45CA17BB" w:rsidR="0023484C" w:rsidRPr="003F7A1D" w:rsidRDefault="0023484C" w:rsidP="00AA0B7E">
            <w:pPr>
              <w:pStyle w:val="TableText0"/>
              <w:rPr>
                <w:szCs w:val="20"/>
              </w:rPr>
            </w:pPr>
            <w:r w:rsidRPr="00B0591B">
              <w:rPr>
                <w:rFonts w:cs="Times New Roman"/>
                <w:szCs w:val="20"/>
                <w:lang w:eastAsia="en-GB"/>
              </w:rPr>
              <w:t>Newly initiating patients</w:t>
            </w:r>
          </w:p>
        </w:tc>
        <w:tc>
          <w:tcPr>
            <w:tcW w:w="538" w:type="pct"/>
            <w:shd w:val="clear" w:color="auto" w:fill="auto"/>
            <w:vAlign w:val="center"/>
          </w:tcPr>
          <w:p w14:paraId="332AA93D" w14:textId="3B3789ED"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06AB52F8" w14:textId="178BAFBD"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759AA458" w14:textId="7DBEE232"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489FC346" w14:textId="06CAD250"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9" w:type="pct"/>
            <w:shd w:val="clear" w:color="auto" w:fill="auto"/>
            <w:vAlign w:val="center"/>
          </w:tcPr>
          <w:p w14:paraId="34131F49" w14:textId="6050F628"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42" w:type="pct"/>
            <w:vAlign w:val="center"/>
          </w:tcPr>
          <w:p w14:paraId="5CA3F89A" w14:textId="1FCEF963"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88" w:type="pct"/>
            <w:vAlign w:val="center"/>
          </w:tcPr>
          <w:p w14:paraId="198517EB" w14:textId="67011370"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r>
      <w:tr w:rsidR="0023484C" w:rsidRPr="005A293B" w14:paraId="6F9EE188" w14:textId="77777777" w:rsidTr="002E7BAB">
        <w:tc>
          <w:tcPr>
            <w:tcW w:w="1179" w:type="pct"/>
            <w:shd w:val="clear" w:color="auto" w:fill="auto"/>
            <w:vAlign w:val="center"/>
          </w:tcPr>
          <w:p w14:paraId="459298C4" w14:textId="32F541E5" w:rsidR="0023484C" w:rsidRPr="003F7A1D" w:rsidRDefault="0023484C" w:rsidP="00AA0B7E">
            <w:pPr>
              <w:pStyle w:val="TableText0"/>
              <w:rPr>
                <w:szCs w:val="20"/>
              </w:rPr>
            </w:pPr>
            <w:r w:rsidRPr="00B0591B">
              <w:rPr>
                <w:rFonts w:cs="Times New Roman"/>
                <w:szCs w:val="20"/>
                <w:lang w:eastAsia="en-GB"/>
              </w:rPr>
              <w:t>Total persisting patients</w:t>
            </w:r>
          </w:p>
        </w:tc>
        <w:tc>
          <w:tcPr>
            <w:tcW w:w="538" w:type="pct"/>
            <w:shd w:val="clear" w:color="auto" w:fill="auto"/>
            <w:vAlign w:val="center"/>
          </w:tcPr>
          <w:p w14:paraId="23FB632F" w14:textId="1B73042D" w:rsidR="0023484C" w:rsidRPr="00ED6486" w:rsidRDefault="00D62519" w:rsidP="00AA0B7E">
            <w:pPr>
              <w:pStyle w:val="TableText0"/>
              <w:jc w:val="center"/>
              <w:rPr>
                <w:szCs w:val="20"/>
                <w:highlight w:val="lightGray"/>
              </w:rPr>
            </w:pPr>
            <w:r w:rsidRPr="00BA5BFA">
              <w:rPr>
                <w:rFonts w:hint="eastAsia"/>
                <w:color w:val="000000"/>
                <w:w w:val="27"/>
                <w:szCs w:val="20"/>
                <w:shd w:val="solid" w:color="000000" w:fill="000000"/>
                <w:fitText w:val="120" w:id="-961821945"/>
                <w14:textFill>
                  <w14:solidFill>
                    <w14:srgbClr w14:val="000000">
                      <w14:alpha w14:val="100000"/>
                    </w14:srgbClr>
                  </w14:solidFill>
                </w14:textFill>
              </w:rPr>
              <w:t xml:space="preserve">　</w:t>
            </w:r>
            <w:r w:rsidRPr="00BA5BFA">
              <w:rPr>
                <w:color w:val="000000"/>
                <w:w w:val="27"/>
                <w:szCs w:val="20"/>
                <w:shd w:val="solid" w:color="000000" w:fill="000000"/>
                <w:fitText w:val="120" w:id="-961821945"/>
                <w14:textFill>
                  <w14:solidFill>
                    <w14:srgbClr w14:val="000000">
                      <w14:alpha w14:val="100000"/>
                    </w14:srgbClr>
                  </w14:solidFill>
                </w14:textFill>
              </w:rPr>
              <w:t>|</w:t>
            </w:r>
            <w:r w:rsidRPr="00BA5BFA">
              <w:rPr>
                <w:rFonts w:hint="eastAsia"/>
                <w:color w:val="000000"/>
                <w:w w:val="27"/>
                <w:szCs w:val="20"/>
                <w:shd w:val="solid" w:color="000000" w:fill="000000"/>
                <w:fitText w:val="120" w:id="-961821945"/>
                <w14:textFill>
                  <w14:solidFill>
                    <w14:srgbClr w14:val="000000">
                      <w14:alpha w14:val="100000"/>
                    </w14:srgbClr>
                  </w14:solidFill>
                </w14:textFill>
              </w:rPr>
              <w:t xml:space="preserve">　</w:t>
            </w:r>
            <w:r w:rsidRPr="00D62519">
              <w:rPr>
                <w:color w:val="000000"/>
                <w:spacing w:val="79"/>
                <w:szCs w:val="20"/>
                <w:shd w:val="solid" w:color="000000" w:fill="000000"/>
                <w:fitText w:val="165" w:id="-961821943"/>
                <w14:textFill>
                  <w14:solidFill>
                    <w14:srgbClr w14:val="000000">
                      <w14:alpha w14:val="100000"/>
                    </w14:srgbClr>
                  </w14:solidFill>
                </w14:textFill>
              </w:rPr>
              <w:t>|</w:t>
            </w:r>
            <w:r w:rsidRPr="00D62519">
              <w:rPr>
                <w:color w:val="000000"/>
                <w:spacing w:val="1"/>
                <w:szCs w:val="20"/>
                <w:shd w:val="solid" w:color="000000" w:fill="000000"/>
                <w:fitText w:val="165" w:id="-961821943"/>
                <w14:textFill>
                  <w14:solidFill>
                    <w14:srgbClr w14:val="000000">
                      <w14:alpha w14:val="100000"/>
                    </w14:srgbClr>
                  </w14:solidFill>
                </w14:textFill>
              </w:rPr>
              <w:t>|</w:t>
            </w:r>
            <w:r w:rsidR="009D4B04" w:rsidRPr="009D4B04">
              <w:rPr>
                <w:szCs w:val="20"/>
                <w:vertAlign w:val="superscript"/>
              </w:rPr>
              <w:t xml:space="preserve"> 2</w:t>
            </w:r>
          </w:p>
        </w:tc>
        <w:tc>
          <w:tcPr>
            <w:tcW w:w="538" w:type="pct"/>
            <w:shd w:val="clear" w:color="auto" w:fill="auto"/>
            <w:vAlign w:val="center"/>
          </w:tcPr>
          <w:p w14:paraId="7E18BC97" w14:textId="63FB6BC3" w:rsidR="0023484C" w:rsidRPr="00ED6486" w:rsidRDefault="00D62519" w:rsidP="00AA0B7E">
            <w:pPr>
              <w:pStyle w:val="TableText0"/>
              <w:jc w:val="center"/>
              <w:rPr>
                <w:szCs w:val="20"/>
                <w:highlight w:val="lightGray"/>
              </w:rPr>
            </w:pPr>
            <w:r w:rsidRPr="00BA5BFA">
              <w:rPr>
                <w:rFonts w:hint="eastAsia"/>
                <w:color w:val="000000"/>
                <w:spacing w:val="66"/>
                <w:w w:val="27"/>
                <w:szCs w:val="20"/>
                <w:shd w:val="solid" w:color="000000" w:fill="000000"/>
                <w:fitText w:val="120" w:id="-961821942"/>
                <w14:textFill>
                  <w14:solidFill>
                    <w14:srgbClr w14:val="000000">
                      <w14:alpha w14:val="100000"/>
                    </w14:srgbClr>
                  </w14:solidFill>
                </w14:textFill>
              </w:rPr>
              <w:t xml:space="preserve">　</w:t>
            </w:r>
            <w:r w:rsidRPr="00BA5BFA">
              <w:rPr>
                <w:color w:val="000000"/>
                <w:spacing w:val="30"/>
                <w:szCs w:val="20"/>
                <w:shd w:val="solid" w:color="000000" w:fill="000000"/>
                <w:fitText w:val="210" w:id="-961821939"/>
                <w14:textFill>
                  <w14:solidFill>
                    <w14:srgbClr w14:val="000000">
                      <w14:alpha w14:val="100000"/>
                    </w14:srgbClr>
                  </w14:solidFill>
                </w14:textFill>
              </w:rPr>
              <w:t>||</w:t>
            </w:r>
            <w:r w:rsidRPr="00BA5BFA">
              <w:rPr>
                <w:color w:val="000000"/>
                <w:spacing w:val="15"/>
                <w:szCs w:val="20"/>
                <w:shd w:val="solid" w:color="000000" w:fill="000000"/>
                <w:fitText w:val="210" w:id="-961821939"/>
                <w14:textFill>
                  <w14:solidFill>
                    <w14:srgbClr w14:val="000000">
                      <w14:alpha w14:val="100000"/>
                    </w14:srgbClr>
                  </w14:solidFill>
                </w14:textFill>
              </w:rPr>
              <w:t>|</w:t>
            </w:r>
            <w:r w:rsidR="009D4B04" w:rsidRPr="009D4B04">
              <w:rPr>
                <w:szCs w:val="20"/>
                <w:vertAlign w:val="superscript"/>
              </w:rPr>
              <w:t xml:space="preserve"> 2</w:t>
            </w:r>
          </w:p>
        </w:tc>
        <w:tc>
          <w:tcPr>
            <w:tcW w:w="538" w:type="pct"/>
            <w:shd w:val="clear" w:color="auto" w:fill="auto"/>
            <w:vAlign w:val="center"/>
          </w:tcPr>
          <w:p w14:paraId="1607E7BE" w14:textId="2D3EFDD7" w:rsidR="0023484C" w:rsidRPr="00ED6486" w:rsidRDefault="00D62519" w:rsidP="00AA0B7E">
            <w:pPr>
              <w:pStyle w:val="TableText0"/>
              <w:jc w:val="center"/>
              <w:rPr>
                <w:szCs w:val="20"/>
                <w:highlight w:val="lightGray"/>
              </w:rPr>
            </w:pPr>
            <w:r w:rsidRPr="00BA5BFA">
              <w:rPr>
                <w:rFonts w:hint="eastAsia"/>
                <w:color w:val="000000"/>
                <w:w w:val="27"/>
                <w:szCs w:val="20"/>
                <w:shd w:val="solid" w:color="000000" w:fill="000000"/>
                <w:fitText w:val="120" w:id="-961821938"/>
                <w14:textFill>
                  <w14:solidFill>
                    <w14:srgbClr w14:val="000000">
                      <w14:alpha w14:val="100000"/>
                    </w14:srgbClr>
                  </w14:solidFill>
                </w14:textFill>
              </w:rPr>
              <w:t xml:space="preserve">　</w:t>
            </w:r>
            <w:r w:rsidRPr="00BA5BFA">
              <w:rPr>
                <w:color w:val="000000"/>
                <w:w w:val="27"/>
                <w:szCs w:val="20"/>
                <w:shd w:val="solid" w:color="000000" w:fill="000000"/>
                <w:fitText w:val="120" w:id="-961821938"/>
                <w14:textFill>
                  <w14:solidFill>
                    <w14:srgbClr w14:val="000000">
                      <w14:alpha w14:val="100000"/>
                    </w14:srgbClr>
                  </w14:solidFill>
                </w14:textFill>
              </w:rPr>
              <w:t>|</w:t>
            </w:r>
            <w:r w:rsidRPr="00BA5BFA">
              <w:rPr>
                <w:rFonts w:hint="eastAsia"/>
                <w:color w:val="000000"/>
                <w:w w:val="27"/>
                <w:szCs w:val="20"/>
                <w:shd w:val="solid" w:color="000000" w:fill="000000"/>
                <w:fitText w:val="120" w:id="-961821938"/>
                <w14:textFill>
                  <w14:solidFill>
                    <w14:srgbClr w14:val="000000">
                      <w14:alpha w14:val="100000"/>
                    </w14:srgbClr>
                  </w14:solidFill>
                </w14:textFill>
              </w:rPr>
              <w:t xml:space="preserve">　</w:t>
            </w:r>
            <w:r w:rsidRPr="00BA5BFA">
              <w:rPr>
                <w:color w:val="000000"/>
                <w:spacing w:val="70"/>
                <w:w w:val="33"/>
                <w:szCs w:val="20"/>
                <w:shd w:val="solid" w:color="000000" w:fill="000000"/>
                <w:fitText w:val="150" w:id="-961821936"/>
                <w14:textFill>
                  <w14:solidFill>
                    <w14:srgbClr w14:val="000000">
                      <w14:alpha w14:val="100000"/>
                    </w14:srgbClr>
                  </w14:solidFill>
                </w14:textFill>
              </w:rPr>
              <w:t>|</w:t>
            </w:r>
            <w:r w:rsidRPr="00BA5BFA">
              <w:rPr>
                <w:rFonts w:hint="eastAsia"/>
                <w:color w:val="000000"/>
                <w:spacing w:val="1"/>
                <w:w w:val="33"/>
                <w:szCs w:val="20"/>
                <w:shd w:val="solid" w:color="000000" w:fill="000000"/>
                <w:fitText w:val="150" w:id="-961821936"/>
                <w14:textFill>
                  <w14:solidFill>
                    <w14:srgbClr w14:val="000000">
                      <w14:alpha w14:val="100000"/>
                    </w14:srgbClr>
                  </w14:solidFill>
                </w14:textFill>
              </w:rPr>
              <w:t xml:space="preserve">　</w:t>
            </w:r>
            <w:r w:rsidR="009D4B04" w:rsidRPr="009D4B04">
              <w:rPr>
                <w:szCs w:val="20"/>
                <w:vertAlign w:val="superscript"/>
              </w:rPr>
              <w:t xml:space="preserve"> 2</w:t>
            </w:r>
          </w:p>
        </w:tc>
        <w:tc>
          <w:tcPr>
            <w:tcW w:w="538" w:type="pct"/>
            <w:shd w:val="clear" w:color="auto" w:fill="auto"/>
            <w:vAlign w:val="center"/>
          </w:tcPr>
          <w:p w14:paraId="4852134E" w14:textId="15E6F32A"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9" w:type="pct"/>
            <w:shd w:val="clear" w:color="auto" w:fill="auto"/>
            <w:vAlign w:val="center"/>
          </w:tcPr>
          <w:p w14:paraId="0FBB626B" w14:textId="5969BBED"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42" w:type="pct"/>
            <w:vAlign w:val="center"/>
          </w:tcPr>
          <w:p w14:paraId="22BB5680" w14:textId="7C9F2D71"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88" w:type="pct"/>
            <w:vAlign w:val="center"/>
          </w:tcPr>
          <w:p w14:paraId="07F225C0" w14:textId="0E0B362D"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r>
      <w:tr w:rsidR="0023484C" w:rsidRPr="005A293B" w14:paraId="33584C81" w14:textId="77777777" w:rsidTr="002E7BAB">
        <w:tc>
          <w:tcPr>
            <w:tcW w:w="1179" w:type="pct"/>
            <w:shd w:val="clear" w:color="auto" w:fill="auto"/>
            <w:vAlign w:val="center"/>
          </w:tcPr>
          <w:p w14:paraId="1DD15CD3" w14:textId="0BD546F7" w:rsidR="0023484C" w:rsidRPr="003F7A1D" w:rsidRDefault="0023484C" w:rsidP="00AA0B7E">
            <w:pPr>
              <w:pStyle w:val="TableText0"/>
              <w:rPr>
                <w:rFonts w:ascii="Times" w:hAnsi="Times"/>
                <w:szCs w:val="20"/>
              </w:rPr>
            </w:pPr>
            <w:r w:rsidRPr="00B0591B">
              <w:rPr>
                <w:rFonts w:cs="Times New Roman"/>
                <w:szCs w:val="20"/>
                <w:lang w:eastAsia="en-GB"/>
              </w:rPr>
              <w:t>Total patients on TAL</w:t>
            </w:r>
          </w:p>
        </w:tc>
        <w:tc>
          <w:tcPr>
            <w:tcW w:w="538" w:type="pct"/>
            <w:shd w:val="clear" w:color="auto" w:fill="auto"/>
            <w:vAlign w:val="center"/>
          </w:tcPr>
          <w:p w14:paraId="03E2CC5E" w14:textId="1104CA05"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2EC6F117" w14:textId="38D118B6"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211BC903" w14:textId="5418DA7B"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2</w:t>
            </w:r>
          </w:p>
        </w:tc>
        <w:tc>
          <w:tcPr>
            <w:tcW w:w="538" w:type="pct"/>
            <w:shd w:val="clear" w:color="auto" w:fill="auto"/>
            <w:vAlign w:val="center"/>
          </w:tcPr>
          <w:p w14:paraId="41FB40C5" w14:textId="72DE16F9"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39" w:type="pct"/>
            <w:shd w:val="clear" w:color="auto" w:fill="auto"/>
            <w:vAlign w:val="center"/>
          </w:tcPr>
          <w:p w14:paraId="5EF0A6BF" w14:textId="79D7A666"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42" w:type="pct"/>
            <w:vAlign w:val="center"/>
          </w:tcPr>
          <w:p w14:paraId="5139DDC7" w14:textId="7AF63820"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c>
          <w:tcPr>
            <w:tcW w:w="588" w:type="pct"/>
            <w:vAlign w:val="center"/>
          </w:tcPr>
          <w:p w14:paraId="33FE06D1" w14:textId="7C5D2785" w:rsidR="0023484C"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D4B04" w:rsidRPr="009D4B04">
              <w:rPr>
                <w:szCs w:val="20"/>
                <w:vertAlign w:val="superscript"/>
              </w:rPr>
              <w:t>1</w:t>
            </w:r>
          </w:p>
        </w:tc>
      </w:tr>
      <w:tr w:rsidR="0023484C" w:rsidRPr="005A293B" w14:paraId="0F5294F6" w14:textId="77777777" w:rsidTr="002E7BAB">
        <w:tc>
          <w:tcPr>
            <w:tcW w:w="1179" w:type="pct"/>
            <w:shd w:val="clear" w:color="auto" w:fill="auto"/>
            <w:vAlign w:val="center"/>
          </w:tcPr>
          <w:p w14:paraId="3FDF00DD" w14:textId="6B9372D6" w:rsidR="0023484C" w:rsidRPr="00B0591B" w:rsidRDefault="0023484C" w:rsidP="00AA0B7E">
            <w:pPr>
              <w:pStyle w:val="TableText0"/>
              <w:rPr>
                <w:rFonts w:cs="Times New Roman"/>
                <w:szCs w:val="20"/>
                <w:lang w:eastAsia="en-GB"/>
              </w:rPr>
            </w:pPr>
            <w:r w:rsidRPr="00B0591B">
              <w:rPr>
                <w:rFonts w:cs="Times New Roman"/>
                <w:szCs w:val="20"/>
                <w:lang w:eastAsia="en-GB"/>
              </w:rPr>
              <w:t>Total TAL scripts (PBS/RPBS)</w:t>
            </w:r>
          </w:p>
        </w:tc>
        <w:tc>
          <w:tcPr>
            <w:tcW w:w="538" w:type="pct"/>
            <w:shd w:val="clear" w:color="auto" w:fill="auto"/>
            <w:vAlign w:val="center"/>
          </w:tcPr>
          <w:p w14:paraId="693107C8" w14:textId="00817EB3" w:rsidR="0023484C"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D4B04" w:rsidRPr="009D4B04">
              <w:rPr>
                <w:szCs w:val="20"/>
                <w:vertAlign w:val="superscript"/>
              </w:rPr>
              <w:t>1</w:t>
            </w:r>
          </w:p>
        </w:tc>
        <w:tc>
          <w:tcPr>
            <w:tcW w:w="538" w:type="pct"/>
            <w:shd w:val="clear" w:color="auto" w:fill="auto"/>
            <w:vAlign w:val="center"/>
          </w:tcPr>
          <w:p w14:paraId="19047A45" w14:textId="5D2FBCD0" w:rsidR="0023484C"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D4B04" w:rsidRPr="009D4B04">
              <w:rPr>
                <w:szCs w:val="20"/>
                <w:vertAlign w:val="superscript"/>
              </w:rPr>
              <w:t>1</w:t>
            </w:r>
          </w:p>
        </w:tc>
        <w:tc>
          <w:tcPr>
            <w:tcW w:w="538" w:type="pct"/>
            <w:shd w:val="clear" w:color="auto" w:fill="auto"/>
            <w:vAlign w:val="center"/>
          </w:tcPr>
          <w:p w14:paraId="5BD37125" w14:textId="2BE7174F" w:rsidR="0023484C"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D4B04" w:rsidRPr="009D4B04">
              <w:rPr>
                <w:szCs w:val="20"/>
                <w:vertAlign w:val="superscript"/>
              </w:rPr>
              <w:t>1</w:t>
            </w:r>
          </w:p>
        </w:tc>
        <w:tc>
          <w:tcPr>
            <w:tcW w:w="538" w:type="pct"/>
            <w:shd w:val="clear" w:color="auto" w:fill="auto"/>
            <w:vAlign w:val="center"/>
          </w:tcPr>
          <w:p w14:paraId="59A88E9A" w14:textId="693CA800" w:rsidR="0023484C" w:rsidRPr="009D4B04" w:rsidRDefault="00D62519" w:rsidP="00AA0B7E">
            <w:pPr>
              <w:pStyle w:val="TableText0"/>
              <w:jc w:val="center"/>
              <w:rPr>
                <w:rFonts w:cs="Times New Roman"/>
                <w:szCs w:val="20"/>
                <w:highlight w:val="lightGray"/>
                <w:vertAlign w:val="superscript"/>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D4B04" w:rsidRPr="009D4B04">
              <w:rPr>
                <w:rFonts w:cs="Times New Roman"/>
                <w:szCs w:val="20"/>
                <w:vertAlign w:val="superscript"/>
                <w:lang w:eastAsia="en-GB"/>
              </w:rPr>
              <w:t>3</w:t>
            </w:r>
          </w:p>
        </w:tc>
        <w:tc>
          <w:tcPr>
            <w:tcW w:w="539" w:type="pct"/>
            <w:shd w:val="clear" w:color="auto" w:fill="auto"/>
            <w:vAlign w:val="center"/>
          </w:tcPr>
          <w:p w14:paraId="327394F2" w14:textId="43294147" w:rsidR="0023484C"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D4B04" w:rsidRPr="009D4B04">
              <w:rPr>
                <w:rFonts w:cs="Times New Roman"/>
                <w:szCs w:val="20"/>
                <w:vertAlign w:val="superscript"/>
                <w:lang w:eastAsia="en-GB"/>
              </w:rPr>
              <w:t>3</w:t>
            </w:r>
          </w:p>
        </w:tc>
        <w:tc>
          <w:tcPr>
            <w:tcW w:w="542" w:type="pct"/>
            <w:vAlign w:val="center"/>
          </w:tcPr>
          <w:p w14:paraId="1725CA14" w14:textId="293E2BE2" w:rsidR="0023484C"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D4B04" w:rsidRPr="009D4B04">
              <w:rPr>
                <w:rFonts w:cs="Times New Roman"/>
                <w:szCs w:val="20"/>
                <w:vertAlign w:val="superscript"/>
                <w:lang w:eastAsia="en-GB"/>
              </w:rPr>
              <w:t>3</w:t>
            </w:r>
          </w:p>
        </w:tc>
        <w:tc>
          <w:tcPr>
            <w:tcW w:w="588" w:type="pct"/>
            <w:vAlign w:val="center"/>
          </w:tcPr>
          <w:p w14:paraId="1FC623A8" w14:textId="42800B42" w:rsidR="0023484C"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D4B04" w:rsidRPr="009D4B04">
              <w:rPr>
                <w:rFonts w:cs="Times New Roman"/>
                <w:szCs w:val="20"/>
                <w:vertAlign w:val="superscript"/>
                <w:lang w:eastAsia="en-GB"/>
              </w:rPr>
              <w:t>5</w:t>
            </w:r>
          </w:p>
        </w:tc>
      </w:tr>
      <w:tr w:rsidR="00170BFC" w:rsidRPr="005A293B" w14:paraId="6F05851D" w14:textId="77777777" w:rsidTr="00E97B08">
        <w:tc>
          <w:tcPr>
            <w:tcW w:w="5000" w:type="pct"/>
            <w:gridSpan w:val="8"/>
            <w:shd w:val="clear" w:color="auto" w:fill="auto"/>
            <w:vAlign w:val="center"/>
          </w:tcPr>
          <w:p w14:paraId="5D7BBCC4" w14:textId="123D8F87" w:rsidR="00170BFC" w:rsidRPr="003F7A1D" w:rsidRDefault="00170BFC" w:rsidP="00AA0B7E">
            <w:pPr>
              <w:pStyle w:val="TableText0"/>
              <w:rPr>
                <w:b/>
                <w:bCs w:val="0"/>
                <w:szCs w:val="20"/>
              </w:rPr>
            </w:pPr>
            <w:r w:rsidRPr="003F7A1D">
              <w:rPr>
                <w:b/>
                <w:bCs w:val="0"/>
                <w:szCs w:val="20"/>
              </w:rPr>
              <w:t xml:space="preserve">Estimated financial implications of </w:t>
            </w:r>
            <w:r w:rsidR="0023484C" w:rsidRPr="003F7A1D">
              <w:rPr>
                <w:b/>
                <w:bCs w:val="0"/>
                <w:szCs w:val="20"/>
              </w:rPr>
              <w:t xml:space="preserve">talazoparib </w:t>
            </w:r>
            <w:r w:rsidR="001E7CFC" w:rsidRPr="003F7A1D">
              <w:rPr>
                <w:b/>
                <w:bCs w:val="0"/>
                <w:szCs w:val="20"/>
              </w:rPr>
              <w:t xml:space="preserve">(in talazoparib </w:t>
            </w:r>
            <w:r w:rsidR="0023484C" w:rsidRPr="003F7A1D">
              <w:rPr>
                <w:b/>
                <w:bCs w:val="0"/>
                <w:szCs w:val="20"/>
              </w:rPr>
              <w:t>+ enzalutamide</w:t>
            </w:r>
            <w:r w:rsidR="001E7CFC" w:rsidRPr="003F7A1D">
              <w:rPr>
                <w:b/>
                <w:bCs w:val="0"/>
                <w:szCs w:val="20"/>
              </w:rPr>
              <w:t xml:space="preserve"> combination therapy)</w:t>
            </w:r>
          </w:p>
        </w:tc>
      </w:tr>
      <w:tr w:rsidR="0023484C" w:rsidRPr="005A293B" w14:paraId="0EA51E55" w14:textId="77777777" w:rsidTr="002E7BAB">
        <w:tc>
          <w:tcPr>
            <w:tcW w:w="1179" w:type="pct"/>
            <w:shd w:val="clear" w:color="auto" w:fill="auto"/>
            <w:vAlign w:val="center"/>
          </w:tcPr>
          <w:p w14:paraId="41D0A88A" w14:textId="715034A8" w:rsidR="0023484C" w:rsidRPr="00B0591B" w:rsidRDefault="0023484C" w:rsidP="00AA0B7E">
            <w:pPr>
              <w:pStyle w:val="TableText0"/>
              <w:rPr>
                <w:szCs w:val="20"/>
              </w:rPr>
            </w:pPr>
            <w:r w:rsidRPr="00B0591B">
              <w:rPr>
                <w:szCs w:val="20"/>
              </w:rPr>
              <w:t xml:space="preserve">Net cost </w:t>
            </w:r>
            <w:r w:rsidR="00991A9E" w:rsidRPr="00B0591B">
              <w:rPr>
                <w:szCs w:val="20"/>
              </w:rPr>
              <w:t xml:space="preserve">of TAL </w:t>
            </w:r>
            <w:r w:rsidRPr="00B0591B">
              <w:rPr>
                <w:szCs w:val="20"/>
              </w:rPr>
              <w:t xml:space="preserve">to PBS/RPBS </w:t>
            </w:r>
          </w:p>
        </w:tc>
        <w:tc>
          <w:tcPr>
            <w:tcW w:w="538" w:type="pct"/>
            <w:shd w:val="clear" w:color="auto" w:fill="auto"/>
            <w:vAlign w:val="center"/>
          </w:tcPr>
          <w:p w14:paraId="7CDE8B79" w14:textId="75282D3D"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52"/>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52"/>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52"/>
                <w14:textFill>
                  <w14:solidFill>
                    <w14:srgbClr w14:val="000000">
                      <w14:alpha w14:val="100000"/>
                    </w14:srgbClr>
                  </w14:solidFill>
                </w14:textFill>
              </w:rPr>
              <w:t xml:space="preserve">　</w:t>
            </w:r>
            <w:r w:rsidR="005F74A2" w:rsidRPr="005F74A2">
              <w:rPr>
                <w:rFonts w:cs="Arial"/>
                <w:color w:val="000000"/>
                <w:szCs w:val="20"/>
                <w:vertAlign w:val="superscript"/>
              </w:rPr>
              <w:t>8</w:t>
            </w:r>
          </w:p>
        </w:tc>
        <w:tc>
          <w:tcPr>
            <w:tcW w:w="538" w:type="pct"/>
            <w:shd w:val="clear" w:color="auto" w:fill="auto"/>
            <w:vAlign w:val="center"/>
          </w:tcPr>
          <w:p w14:paraId="00999CE5" w14:textId="4DE9DE1B"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51"/>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51"/>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51"/>
                <w14:textFill>
                  <w14:solidFill>
                    <w14:srgbClr w14:val="000000">
                      <w14:alpha w14:val="100000"/>
                    </w14:srgbClr>
                  </w14:solidFill>
                </w14:textFill>
              </w:rPr>
              <w:t xml:space="preserve">　</w:t>
            </w:r>
            <w:r w:rsidR="005F74A2" w:rsidRPr="005F74A2">
              <w:rPr>
                <w:rFonts w:cs="Arial"/>
                <w:color w:val="000000"/>
                <w:szCs w:val="20"/>
                <w:vertAlign w:val="superscript"/>
              </w:rPr>
              <w:t>8</w:t>
            </w:r>
          </w:p>
        </w:tc>
        <w:tc>
          <w:tcPr>
            <w:tcW w:w="538" w:type="pct"/>
            <w:shd w:val="clear" w:color="auto" w:fill="auto"/>
            <w:vAlign w:val="center"/>
          </w:tcPr>
          <w:p w14:paraId="20249B17" w14:textId="69FECA2E" w:rsidR="0023484C" w:rsidRPr="0098182B" w:rsidRDefault="0023484C" w:rsidP="00AA0B7E">
            <w:pPr>
              <w:pStyle w:val="TableText0"/>
              <w:jc w:val="center"/>
              <w:rPr>
                <w:szCs w:val="20"/>
                <w:vertAlign w:val="superscript"/>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50"/>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50"/>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50"/>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38" w:type="pct"/>
            <w:shd w:val="clear" w:color="auto" w:fill="auto"/>
            <w:vAlign w:val="center"/>
          </w:tcPr>
          <w:p w14:paraId="375E870A" w14:textId="3EBBAF30"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9"/>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9"/>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9"/>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39" w:type="pct"/>
            <w:shd w:val="clear" w:color="auto" w:fill="auto"/>
            <w:vAlign w:val="center"/>
          </w:tcPr>
          <w:p w14:paraId="406F6D20" w14:textId="3246A864"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8"/>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8"/>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8"/>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42" w:type="pct"/>
            <w:vAlign w:val="center"/>
          </w:tcPr>
          <w:p w14:paraId="0DBA48BC" w14:textId="0B140C01" w:rsidR="0023484C" w:rsidRPr="003F7A1D" w:rsidRDefault="0023484C" w:rsidP="00AA0B7E">
            <w:pPr>
              <w:pStyle w:val="TableText0"/>
              <w:jc w:val="center"/>
              <w:rPr>
                <w:szCs w:val="20"/>
              </w:rPr>
            </w:pPr>
            <w:r w:rsidRPr="003F7A1D">
              <w:rPr>
                <w:rFonts w:cs="Arial"/>
                <w:b/>
                <w:bCs w:val="0"/>
                <w:color w:val="000000"/>
                <w:szCs w:val="20"/>
              </w:rPr>
              <w:t>$</w:t>
            </w:r>
            <w:r w:rsidR="00D62519" w:rsidRPr="00D62519">
              <w:rPr>
                <w:rFonts w:cs="Arial" w:hint="eastAsia"/>
                <w:b/>
                <w:bCs w:val="0"/>
                <w:color w:val="000000"/>
                <w:w w:val="15"/>
                <w:szCs w:val="20"/>
                <w:shd w:val="solid" w:color="000000" w:fill="000000"/>
                <w:fitText w:val="30" w:id="-961821947"/>
                <w14:textFill>
                  <w14:solidFill>
                    <w14:srgbClr w14:val="000000">
                      <w14:alpha w14:val="100000"/>
                    </w14:srgbClr>
                  </w14:solidFill>
                </w14:textFill>
              </w:rPr>
              <w:t xml:space="preserve">　</w:t>
            </w:r>
            <w:r w:rsidR="00D62519" w:rsidRPr="00D62519">
              <w:rPr>
                <w:rFonts w:cs="Arial"/>
                <w:b/>
                <w:bCs w:val="0"/>
                <w:color w:val="000000"/>
                <w:w w:val="15"/>
                <w:szCs w:val="20"/>
                <w:shd w:val="solid" w:color="000000" w:fill="000000"/>
                <w:fitText w:val="30" w:id="-961821947"/>
                <w14:textFill>
                  <w14:solidFill>
                    <w14:srgbClr w14:val="000000">
                      <w14:alpha w14:val="100000"/>
                    </w14:srgbClr>
                  </w14:solidFill>
                </w14:textFill>
              </w:rPr>
              <w:t>|</w:t>
            </w:r>
            <w:r w:rsidR="00D62519" w:rsidRPr="00D62519">
              <w:rPr>
                <w:rFonts w:cs="Arial" w:hint="eastAsia"/>
                <w:b/>
                <w:bCs w:val="0"/>
                <w:color w:val="000000"/>
                <w:spacing w:val="-36"/>
                <w:w w:val="15"/>
                <w:szCs w:val="20"/>
                <w:shd w:val="solid" w:color="000000" w:fill="000000"/>
                <w:fitText w:val="30" w:id="-961821947"/>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88" w:type="pct"/>
            <w:vAlign w:val="center"/>
          </w:tcPr>
          <w:p w14:paraId="3E84FB2F" w14:textId="2262C4FD" w:rsidR="0023484C" w:rsidRPr="00B0591B" w:rsidRDefault="0023484C" w:rsidP="00AA0B7E">
            <w:pPr>
              <w:pStyle w:val="TableText0"/>
              <w:jc w:val="center"/>
              <w:rPr>
                <w:rFonts w:cs="Times New Roman"/>
                <w:szCs w:val="20"/>
                <w:lang w:eastAsia="en-GB"/>
              </w:rPr>
            </w:pPr>
            <w:r w:rsidRPr="003F7A1D">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4B66F9" w:rsidRPr="004B66F9">
              <w:rPr>
                <w:rFonts w:cs="Arial"/>
                <w:color w:val="000000"/>
                <w:szCs w:val="20"/>
                <w:vertAlign w:val="superscript"/>
              </w:rPr>
              <w:t>7</w:t>
            </w:r>
          </w:p>
        </w:tc>
      </w:tr>
      <w:tr w:rsidR="00170BFC" w:rsidRPr="005A293B" w14:paraId="4342FB5B" w14:textId="77777777" w:rsidTr="002E7BAB">
        <w:tc>
          <w:tcPr>
            <w:tcW w:w="4412" w:type="pct"/>
            <w:gridSpan w:val="7"/>
            <w:shd w:val="clear" w:color="auto" w:fill="auto"/>
            <w:vAlign w:val="center"/>
          </w:tcPr>
          <w:p w14:paraId="6F8957B3" w14:textId="52EEAE5D" w:rsidR="00170BFC" w:rsidRPr="003F7A1D" w:rsidRDefault="00170BFC" w:rsidP="00AA0B7E">
            <w:pPr>
              <w:pStyle w:val="TableText0"/>
              <w:rPr>
                <w:b/>
                <w:bCs w:val="0"/>
                <w:szCs w:val="20"/>
              </w:rPr>
            </w:pPr>
            <w:r w:rsidRPr="003F7A1D">
              <w:rPr>
                <w:b/>
                <w:bCs w:val="0"/>
                <w:szCs w:val="20"/>
              </w:rPr>
              <w:t xml:space="preserve">Estimation changes in financial impact of currently listed treatments  </w:t>
            </w:r>
          </w:p>
        </w:tc>
        <w:tc>
          <w:tcPr>
            <w:tcW w:w="588" w:type="pct"/>
          </w:tcPr>
          <w:p w14:paraId="02F67068" w14:textId="77777777" w:rsidR="00170BFC" w:rsidRPr="003F7A1D" w:rsidRDefault="00170BFC" w:rsidP="00AA0B7E">
            <w:pPr>
              <w:pStyle w:val="TableText0"/>
              <w:rPr>
                <w:b/>
                <w:bCs w:val="0"/>
                <w:szCs w:val="20"/>
              </w:rPr>
            </w:pPr>
          </w:p>
        </w:tc>
      </w:tr>
      <w:tr w:rsidR="0023484C" w:rsidRPr="005A293B" w14:paraId="164A46D0" w14:textId="77777777" w:rsidTr="002E7BAB">
        <w:tc>
          <w:tcPr>
            <w:tcW w:w="1179" w:type="pct"/>
            <w:shd w:val="clear" w:color="auto" w:fill="auto"/>
            <w:vAlign w:val="center"/>
          </w:tcPr>
          <w:p w14:paraId="7BB1A707" w14:textId="3ED2C6AD" w:rsidR="0023484C" w:rsidRPr="00B0591B" w:rsidRDefault="005F6D03" w:rsidP="00AA0B7E">
            <w:pPr>
              <w:pStyle w:val="TableText0"/>
              <w:rPr>
                <w:szCs w:val="20"/>
              </w:rPr>
            </w:pPr>
            <w:r w:rsidRPr="00B0591B">
              <w:rPr>
                <w:rFonts w:cs="Times New Roman"/>
                <w:szCs w:val="20"/>
                <w:lang w:eastAsia="en-GB"/>
              </w:rPr>
              <w:t>Change in</w:t>
            </w:r>
            <w:r w:rsidR="0023484C" w:rsidRPr="00B0591B">
              <w:rPr>
                <w:rFonts w:cs="Times New Roman"/>
                <w:szCs w:val="20"/>
                <w:lang w:eastAsia="en-GB"/>
              </w:rPr>
              <w:t xml:space="preserve"> NHAs </w:t>
            </w:r>
            <w:r w:rsidRPr="00B0591B">
              <w:rPr>
                <w:rFonts w:cs="Times New Roman"/>
                <w:szCs w:val="20"/>
                <w:lang w:eastAsia="en-GB"/>
              </w:rPr>
              <w:t>(scripts)</w:t>
            </w:r>
          </w:p>
        </w:tc>
        <w:tc>
          <w:tcPr>
            <w:tcW w:w="538" w:type="pct"/>
            <w:shd w:val="clear" w:color="auto" w:fill="auto"/>
            <w:vAlign w:val="center"/>
          </w:tcPr>
          <w:p w14:paraId="6961A7A2" w14:textId="3D1524B2" w:rsidR="0023484C" w:rsidRPr="00B0591B" w:rsidRDefault="0023484C" w:rsidP="00AA0B7E">
            <w:pPr>
              <w:pStyle w:val="TableText0"/>
              <w:jc w:val="center"/>
              <w:rPr>
                <w:rFonts w:cs="Times New Roman"/>
                <w:szCs w:val="20"/>
                <w:lang w:eastAsia="en-GB"/>
              </w:rPr>
            </w:pPr>
            <w:r w:rsidRPr="00B0591B">
              <w:rPr>
                <w:rFonts w:cs="Times New Roman"/>
                <w:szCs w:val="20"/>
                <w:lang w:eastAsia="en-GB"/>
              </w:rPr>
              <w:t>Not included</w:t>
            </w:r>
          </w:p>
        </w:tc>
        <w:tc>
          <w:tcPr>
            <w:tcW w:w="538" w:type="pct"/>
            <w:shd w:val="clear" w:color="auto" w:fill="auto"/>
            <w:vAlign w:val="center"/>
          </w:tcPr>
          <w:p w14:paraId="6268E7DD" w14:textId="6767A09B" w:rsidR="0023484C" w:rsidRPr="00B0591B" w:rsidRDefault="0023484C" w:rsidP="00AA0B7E">
            <w:pPr>
              <w:pStyle w:val="TableText0"/>
              <w:jc w:val="center"/>
              <w:rPr>
                <w:rFonts w:cs="Times New Roman"/>
                <w:szCs w:val="20"/>
                <w:lang w:eastAsia="en-GB"/>
              </w:rPr>
            </w:pPr>
            <w:r w:rsidRPr="00B0591B">
              <w:rPr>
                <w:rFonts w:cs="Times New Roman"/>
                <w:szCs w:val="20"/>
                <w:lang w:eastAsia="en-GB"/>
              </w:rPr>
              <w:t>Not included</w:t>
            </w:r>
          </w:p>
        </w:tc>
        <w:tc>
          <w:tcPr>
            <w:tcW w:w="538" w:type="pct"/>
            <w:shd w:val="clear" w:color="auto" w:fill="auto"/>
            <w:vAlign w:val="center"/>
          </w:tcPr>
          <w:p w14:paraId="6D93E658" w14:textId="4D8F8E6B" w:rsidR="0023484C" w:rsidRPr="00B0591B" w:rsidRDefault="0023484C" w:rsidP="00AA0B7E">
            <w:pPr>
              <w:pStyle w:val="TableText0"/>
              <w:jc w:val="center"/>
              <w:rPr>
                <w:rFonts w:cs="Times New Roman"/>
                <w:szCs w:val="20"/>
                <w:lang w:eastAsia="en-GB"/>
              </w:rPr>
            </w:pPr>
            <w:r w:rsidRPr="00B0591B">
              <w:rPr>
                <w:rFonts w:cs="Times New Roman"/>
                <w:szCs w:val="20"/>
                <w:lang w:eastAsia="en-GB"/>
              </w:rPr>
              <w:t>Not included</w:t>
            </w:r>
          </w:p>
        </w:tc>
        <w:tc>
          <w:tcPr>
            <w:tcW w:w="538" w:type="pct"/>
            <w:shd w:val="clear" w:color="auto" w:fill="auto"/>
            <w:vAlign w:val="center"/>
          </w:tcPr>
          <w:p w14:paraId="5DF8AEBC" w14:textId="1D69D13A" w:rsidR="0023484C" w:rsidRPr="00B0591B" w:rsidRDefault="0023484C" w:rsidP="00AA0B7E">
            <w:pPr>
              <w:pStyle w:val="TableText0"/>
              <w:jc w:val="center"/>
              <w:rPr>
                <w:rFonts w:cs="Times New Roman"/>
                <w:szCs w:val="20"/>
                <w:lang w:eastAsia="en-GB"/>
              </w:rPr>
            </w:pPr>
            <w:r w:rsidRPr="00B0591B">
              <w:rPr>
                <w:rFonts w:cs="Times New Roman"/>
                <w:szCs w:val="20"/>
                <w:lang w:eastAsia="en-GB"/>
              </w:rPr>
              <w:t>Not included</w:t>
            </w:r>
          </w:p>
        </w:tc>
        <w:tc>
          <w:tcPr>
            <w:tcW w:w="539" w:type="pct"/>
            <w:shd w:val="clear" w:color="auto" w:fill="auto"/>
            <w:vAlign w:val="center"/>
          </w:tcPr>
          <w:p w14:paraId="28544A60" w14:textId="0CB9B71D" w:rsidR="0023484C" w:rsidRPr="00B0591B" w:rsidRDefault="0023484C" w:rsidP="00AA0B7E">
            <w:pPr>
              <w:pStyle w:val="TableText0"/>
              <w:jc w:val="center"/>
              <w:rPr>
                <w:rFonts w:cs="Times New Roman"/>
                <w:szCs w:val="20"/>
                <w:lang w:eastAsia="en-GB"/>
              </w:rPr>
            </w:pPr>
            <w:r w:rsidRPr="00B0591B">
              <w:rPr>
                <w:rFonts w:cs="Times New Roman"/>
                <w:szCs w:val="20"/>
                <w:lang w:eastAsia="en-GB"/>
              </w:rPr>
              <w:t>Not included</w:t>
            </w:r>
          </w:p>
        </w:tc>
        <w:tc>
          <w:tcPr>
            <w:tcW w:w="542" w:type="pct"/>
            <w:vAlign w:val="center"/>
          </w:tcPr>
          <w:p w14:paraId="44B603D1" w14:textId="2B324C78" w:rsidR="0023484C" w:rsidRPr="00B0591B" w:rsidRDefault="0023484C" w:rsidP="00AA0B7E">
            <w:pPr>
              <w:pStyle w:val="TableText0"/>
              <w:jc w:val="center"/>
              <w:rPr>
                <w:rFonts w:cs="Times New Roman"/>
                <w:szCs w:val="20"/>
                <w:lang w:eastAsia="en-GB"/>
              </w:rPr>
            </w:pPr>
            <w:r w:rsidRPr="00B0591B">
              <w:rPr>
                <w:rFonts w:cs="Times New Roman"/>
                <w:szCs w:val="20"/>
                <w:lang w:eastAsia="en-GB"/>
              </w:rPr>
              <w:t>Not included</w:t>
            </w:r>
          </w:p>
        </w:tc>
        <w:tc>
          <w:tcPr>
            <w:tcW w:w="588" w:type="pct"/>
            <w:vAlign w:val="center"/>
          </w:tcPr>
          <w:p w14:paraId="15BD3295" w14:textId="173CAE42" w:rsidR="0023484C" w:rsidRPr="00B0591B" w:rsidRDefault="0023484C" w:rsidP="00AA0B7E">
            <w:pPr>
              <w:pStyle w:val="TableText0"/>
              <w:jc w:val="center"/>
              <w:rPr>
                <w:rFonts w:cs="Times New Roman"/>
                <w:szCs w:val="20"/>
                <w:lang w:eastAsia="en-GB"/>
              </w:rPr>
            </w:pPr>
            <w:r w:rsidRPr="00B0591B">
              <w:rPr>
                <w:rFonts w:cs="Times New Roman"/>
                <w:szCs w:val="20"/>
                <w:lang w:eastAsia="en-GB"/>
              </w:rPr>
              <w:t>Not included</w:t>
            </w:r>
          </w:p>
        </w:tc>
      </w:tr>
      <w:tr w:rsidR="0023484C" w:rsidRPr="005A293B" w14:paraId="1AB37FC6" w14:textId="77777777" w:rsidTr="002E7BAB">
        <w:tc>
          <w:tcPr>
            <w:tcW w:w="1179" w:type="pct"/>
            <w:shd w:val="clear" w:color="auto" w:fill="auto"/>
            <w:vAlign w:val="center"/>
          </w:tcPr>
          <w:p w14:paraId="3A8B5462" w14:textId="021183EC" w:rsidR="0023484C" w:rsidRPr="00B0591B" w:rsidRDefault="0023484C" w:rsidP="00AA0B7E">
            <w:pPr>
              <w:pStyle w:val="TableText0"/>
              <w:rPr>
                <w:szCs w:val="20"/>
              </w:rPr>
            </w:pPr>
            <w:r w:rsidRPr="00B0591B">
              <w:rPr>
                <w:rFonts w:cs="Times New Roman"/>
                <w:szCs w:val="20"/>
                <w:lang w:eastAsia="en-GB"/>
              </w:rPr>
              <w:t xml:space="preserve">Change in OLA-2L (scripts) </w:t>
            </w:r>
          </w:p>
        </w:tc>
        <w:tc>
          <w:tcPr>
            <w:tcW w:w="538" w:type="pct"/>
            <w:shd w:val="clear" w:color="auto" w:fill="auto"/>
            <w:vAlign w:val="center"/>
          </w:tcPr>
          <w:p w14:paraId="0E30FDA2" w14:textId="0B91C76A" w:rsidR="0023484C" w:rsidRPr="00266C14" w:rsidRDefault="0023484C" w:rsidP="00AA0B7E">
            <w:pPr>
              <w:pStyle w:val="TableText0"/>
              <w:jc w:val="center"/>
              <w:rPr>
                <w:rFonts w:cs="Times New Roman"/>
                <w:szCs w:val="20"/>
                <w:lang w:eastAsia="en-GB"/>
              </w:rPr>
            </w:pPr>
            <w:r w:rsidRPr="00266C14">
              <w:rPr>
                <w:rFonts w:cs="Times New Roman"/>
                <w:iCs/>
                <w:szCs w:val="20"/>
                <w:lang w:eastAsia="en-GB"/>
              </w:rPr>
              <w:t>-</w:t>
            </w:r>
            <w:r w:rsidR="00D62519"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2</w:t>
            </w:r>
          </w:p>
        </w:tc>
        <w:tc>
          <w:tcPr>
            <w:tcW w:w="538" w:type="pct"/>
            <w:shd w:val="clear" w:color="auto" w:fill="auto"/>
            <w:vAlign w:val="center"/>
          </w:tcPr>
          <w:p w14:paraId="087EF504" w14:textId="50DFDF59" w:rsidR="0023484C" w:rsidRPr="00266C14" w:rsidRDefault="0023484C" w:rsidP="00AA0B7E">
            <w:pPr>
              <w:pStyle w:val="TableText0"/>
              <w:jc w:val="center"/>
              <w:rPr>
                <w:rFonts w:cs="Times New Roman"/>
                <w:szCs w:val="20"/>
                <w:lang w:eastAsia="en-GB"/>
              </w:rPr>
            </w:pPr>
            <w:r w:rsidRPr="00266C14">
              <w:rPr>
                <w:szCs w:val="20"/>
              </w:rPr>
              <w:t>-</w:t>
            </w:r>
            <w:r w:rsidR="00D62519" w:rsidRPr="00D62519">
              <w:rPr>
                <w:color w:val="000000"/>
                <w:szCs w:val="20"/>
                <w:shd w:val="solid" w:color="000000" w:fill="000000"/>
                <w14:textFill>
                  <w14:solidFill>
                    <w14:srgbClr w14:val="000000">
                      <w14:alpha w14:val="100000"/>
                    </w14:srgbClr>
                  </w14:solidFill>
                </w14:textFill>
              </w:rPr>
              <w:t>|</w:t>
            </w:r>
            <w:r w:rsidR="00266C14" w:rsidRPr="009D4B04">
              <w:rPr>
                <w:szCs w:val="20"/>
                <w:vertAlign w:val="superscript"/>
              </w:rPr>
              <w:t>1</w:t>
            </w:r>
          </w:p>
        </w:tc>
        <w:tc>
          <w:tcPr>
            <w:tcW w:w="538" w:type="pct"/>
            <w:shd w:val="clear" w:color="auto" w:fill="auto"/>
            <w:vAlign w:val="center"/>
          </w:tcPr>
          <w:p w14:paraId="098A40AC" w14:textId="3D3097C8" w:rsidR="0023484C" w:rsidRPr="00266C14" w:rsidRDefault="0023484C" w:rsidP="00AA0B7E">
            <w:pPr>
              <w:pStyle w:val="TableText0"/>
              <w:jc w:val="center"/>
              <w:rPr>
                <w:rFonts w:cs="Times New Roman"/>
                <w:szCs w:val="20"/>
                <w:lang w:eastAsia="en-GB"/>
              </w:rPr>
            </w:pPr>
            <w:r w:rsidRPr="00266C14">
              <w:rPr>
                <w:szCs w:val="20"/>
              </w:rPr>
              <w:t>-</w:t>
            </w:r>
            <w:r w:rsidR="00D62519" w:rsidRPr="00D62519">
              <w:rPr>
                <w:color w:val="000000"/>
                <w:szCs w:val="20"/>
                <w:shd w:val="solid" w:color="000000" w:fill="000000"/>
                <w14:textFill>
                  <w14:solidFill>
                    <w14:srgbClr w14:val="000000">
                      <w14:alpha w14:val="100000"/>
                    </w14:srgbClr>
                  </w14:solidFill>
                </w14:textFill>
              </w:rPr>
              <w:t>|</w:t>
            </w:r>
            <w:r w:rsidR="00266C14" w:rsidRPr="009D4B04">
              <w:rPr>
                <w:szCs w:val="20"/>
                <w:vertAlign w:val="superscript"/>
              </w:rPr>
              <w:t>1</w:t>
            </w:r>
          </w:p>
        </w:tc>
        <w:tc>
          <w:tcPr>
            <w:tcW w:w="538" w:type="pct"/>
            <w:shd w:val="clear" w:color="auto" w:fill="auto"/>
            <w:vAlign w:val="center"/>
          </w:tcPr>
          <w:p w14:paraId="17DFAC07" w14:textId="0B5DC643" w:rsidR="0023484C" w:rsidRPr="00266C14" w:rsidRDefault="0023484C" w:rsidP="00AA0B7E">
            <w:pPr>
              <w:pStyle w:val="TableText0"/>
              <w:jc w:val="center"/>
              <w:rPr>
                <w:rFonts w:cs="Times New Roman"/>
                <w:szCs w:val="20"/>
                <w:lang w:eastAsia="en-GB"/>
              </w:rPr>
            </w:pPr>
            <w:r w:rsidRPr="00266C14">
              <w:rPr>
                <w:szCs w:val="20"/>
              </w:rPr>
              <w:t>-</w:t>
            </w:r>
            <w:r w:rsidR="00D62519" w:rsidRPr="00D62519">
              <w:rPr>
                <w:color w:val="000000"/>
                <w:szCs w:val="20"/>
                <w:shd w:val="solid" w:color="000000" w:fill="000000"/>
                <w14:textFill>
                  <w14:solidFill>
                    <w14:srgbClr w14:val="000000">
                      <w14:alpha w14:val="100000"/>
                    </w14:srgbClr>
                  </w14:solidFill>
                </w14:textFill>
              </w:rPr>
              <w:t>|</w:t>
            </w:r>
            <w:r w:rsidR="00266C14" w:rsidRPr="009D4B04">
              <w:rPr>
                <w:szCs w:val="20"/>
                <w:vertAlign w:val="superscript"/>
              </w:rPr>
              <w:t>1</w:t>
            </w:r>
          </w:p>
        </w:tc>
        <w:tc>
          <w:tcPr>
            <w:tcW w:w="539" w:type="pct"/>
            <w:shd w:val="clear" w:color="auto" w:fill="auto"/>
            <w:vAlign w:val="center"/>
          </w:tcPr>
          <w:p w14:paraId="7AD73C17" w14:textId="797C1FFA" w:rsidR="0023484C" w:rsidRPr="00266C14" w:rsidRDefault="0023484C" w:rsidP="00AA0B7E">
            <w:pPr>
              <w:pStyle w:val="TableText0"/>
              <w:jc w:val="center"/>
              <w:rPr>
                <w:rFonts w:cs="Times New Roman"/>
                <w:szCs w:val="20"/>
                <w:lang w:eastAsia="en-GB"/>
              </w:rPr>
            </w:pPr>
            <w:r w:rsidRPr="00266C14">
              <w:rPr>
                <w:szCs w:val="20"/>
              </w:rPr>
              <w:t>-</w:t>
            </w:r>
            <w:r w:rsidR="00D62519" w:rsidRPr="00D62519">
              <w:rPr>
                <w:color w:val="000000"/>
                <w:szCs w:val="20"/>
                <w:shd w:val="solid" w:color="000000" w:fill="000000"/>
                <w14:textFill>
                  <w14:solidFill>
                    <w14:srgbClr w14:val="000000">
                      <w14:alpha w14:val="100000"/>
                    </w14:srgbClr>
                  </w14:solidFill>
                </w14:textFill>
              </w:rPr>
              <w:t>|</w:t>
            </w:r>
            <w:r w:rsidR="00266C14" w:rsidRPr="009D4B04">
              <w:rPr>
                <w:szCs w:val="20"/>
                <w:vertAlign w:val="superscript"/>
              </w:rPr>
              <w:t>1</w:t>
            </w:r>
          </w:p>
        </w:tc>
        <w:tc>
          <w:tcPr>
            <w:tcW w:w="542" w:type="pct"/>
            <w:vAlign w:val="center"/>
          </w:tcPr>
          <w:p w14:paraId="2E293D5C" w14:textId="2D8D12EF" w:rsidR="0023484C" w:rsidRPr="00266C14" w:rsidRDefault="0023484C" w:rsidP="00AA0B7E">
            <w:pPr>
              <w:pStyle w:val="TableText0"/>
              <w:jc w:val="center"/>
              <w:rPr>
                <w:rFonts w:cs="Times New Roman"/>
                <w:szCs w:val="20"/>
                <w:lang w:eastAsia="en-GB"/>
              </w:rPr>
            </w:pPr>
            <w:r w:rsidRPr="00266C14">
              <w:rPr>
                <w:szCs w:val="20"/>
              </w:rPr>
              <w:t>-</w:t>
            </w:r>
            <w:r w:rsidR="00D62519" w:rsidRPr="00D62519">
              <w:rPr>
                <w:color w:val="000000"/>
                <w:szCs w:val="20"/>
                <w:shd w:val="solid" w:color="000000" w:fill="000000"/>
                <w14:textFill>
                  <w14:solidFill>
                    <w14:srgbClr w14:val="000000">
                      <w14:alpha w14:val="100000"/>
                    </w14:srgbClr>
                  </w14:solidFill>
                </w14:textFill>
              </w:rPr>
              <w:t>|</w:t>
            </w:r>
            <w:r w:rsidR="00266C14" w:rsidRPr="009D4B04">
              <w:rPr>
                <w:szCs w:val="20"/>
                <w:vertAlign w:val="superscript"/>
              </w:rPr>
              <w:t>1</w:t>
            </w:r>
          </w:p>
        </w:tc>
        <w:tc>
          <w:tcPr>
            <w:tcW w:w="588" w:type="pct"/>
            <w:vAlign w:val="center"/>
          </w:tcPr>
          <w:p w14:paraId="7F23C7C3" w14:textId="48F92324" w:rsidR="0023484C" w:rsidRPr="00266C14" w:rsidRDefault="0023484C" w:rsidP="00AA0B7E">
            <w:pPr>
              <w:pStyle w:val="TableText0"/>
              <w:jc w:val="center"/>
              <w:rPr>
                <w:rFonts w:cs="Times New Roman"/>
                <w:szCs w:val="20"/>
                <w:lang w:eastAsia="en-GB"/>
              </w:rPr>
            </w:pPr>
            <w:r w:rsidRPr="00266C14">
              <w:rPr>
                <w:rFonts w:cs="Times New Roman"/>
                <w:iCs/>
                <w:szCs w:val="20"/>
                <w:lang w:eastAsia="en-GB"/>
              </w:rPr>
              <w:t>-</w:t>
            </w:r>
            <w:r w:rsidR="00D62519"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rFonts w:cs="Times New Roman"/>
                <w:szCs w:val="20"/>
                <w:vertAlign w:val="superscript"/>
                <w:lang w:eastAsia="en-GB"/>
              </w:rPr>
              <w:t>3</w:t>
            </w:r>
          </w:p>
        </w:tc>
      </w:tr>
      <w:tr w:rsidR="0023484C" w:rsidRPr="005A293B" w14:paraId="6F731F7A" w14:textId="77777777" w:rsidTr="002E7BAB">
        <w:tc>
          <w:tcPr>
            <w:tcW w:w="1179" w:type="pct"/>
            <w:shd w:val="clear" w:color="auto" w:fill="auto"/>
            <w:vAlign w:val="center"/>
          </w:tcPr>
          <w:p w14:paraId="536A8A4E" w14:textId="4E435392" w:rsidR="0023484C" w:rsidRPr="00B0591B" w:rsidRDefault="0023484C" w:rsidP="00AA0B7E">
            <w:pPr>
              <w:pStyle w:val="TableText0"/>
              <w:rPr>
                <w:rFonts w:cs="Times New Roman"/>
                <w:szCs w:val="20"/>
                <w:lang w:eastAsia="en-GB"/>
              </w:rPr>
            </w:pPr>
            <w:r w:rsidRPr="00B0591B">
              <w:rPr>
                <w:rFonts w:cs="Times New Roman"/>
                <w:szCs w:val="20"/>
                <w:lang w:eastAsia="en-GB"/>
              </w:rPr>
              <w:t>Change in DTX</w:t>
            </w:r>
            <w:r w:rsidR="005F6D03" w:rsidRPr="00B0591B">
              <w:rPr>
                <w:rFonts w:cs="Times New Roman"/>
                <w:szCs w:val="20"/>
                <w:lang w:eastAsia="en-GB"/>
              </w:rPr>
              <w:t>-2L</w:t>
            </w:r>
            <w:r w:rsidRPr="00B0591B">
              <w:rPr>
                <w:rFonts w:cs="Times New Roman"/>
                <w:szCs w:val="20"/>
                <w:lang w:eastAsia="en-GB"/>
              </w:rPr>
              <w:t xml:space="preserve"> (scripts) </w:t>
            </w:r>
          </w:p>
        </w:tc>
        <w:tc>
          <w:tcPr>
            <w:tcW w:w="538" w:type="pct"/>
            <w:shd w:val="clear" w:color="auto" w:fill="auto"/>
            <w:vAlign w:val="center"/>
          </w:tcPr>
          <w:p w14:paraId="3948A5F5" w14:textId="5725FC48"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2</w:t>
            </w:r>
          </w:p>
        </w:tc>
        <w:tc>
          <w:tcPr>
            <w:tcW w:w="538" w:type="pct"/>
            <w:shd w:val="clear" w:color="auto" w:fill="auto"/>
            <w:vAlign w:val="center"/>
          </w:tcPr>
          <w:p w14:paraId="331376C1" w14:textId="7884A70C"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38" w:type="pct"/>
            <w:shd w:val="clear" w:color="auto" w:fill="auto"/>
            <w:vAlign w:val="center"/>
          </w:tcPr>
          <w:p w14:paraId="0CBFA049" w14:textId="4A5A7A6B"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38" w:type="pct"/>
            <w:shd w:val="clear" w:color="auto" w:fill="auto"/>
            <w:vAlign w:val="center"/>
          </w:tcPr>
          <w:p w14:paraId="2E74BFA7" w14:textId="4DE94B84"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39" w:type="pct"/>
            <w:shd w:val="clear" w:color="auto" w:fill="auto"/>
            <w:vAlign w:val="center"/>
          </w:tcPr>
          <w:p w14:paraId="4FE926CF" w14:textId="16752AA3"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42" w:type="pct"/>
            <w:vAlign w:val="center"/>
          </w:tcPr>
          <w:p w14:paraId="3E82B56E" w14:textId="47C4382D"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88" w:type="pct"/>
            <w:vAlign w:val="center"/>
          </w:tcPr>
          <w:p w14:paraId="37771BD2" w14:textId="255DF1AE"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C25B5E">
              <w:rPr>
                <w:rFonts w:cs="Times New Roman"/>
                <w:iCs/>
                <w:szCs w:val="20"/>
                <w:vertAlign w:val="superscript"/>
                <w:lang w:eastAsia="en-GB"/>
              </w:rPr>
              <w:t>6</w:t>
            </w:r>
          </w:p>
        </w:tc>
      </w:tr>
      <w:tr w:rsidR="0023484C" w:rsidRPr="005A293B" w14:paraId="38CECF7E" w14:textId="77777777" w:rsidTr="002E7BAB">
        <w:tc>
          <w:tcPr>
            <w:tcW w:w="1179" w:type="pct"/>
            <w:shd w:val="clear" w:color="auto" w:fill="auto"/>
            <w:vAlign w:val="center"/>
          </w:tcPr>
          <w:p w14:paraId="7E488767" w14:textId="35754253" w:rsidR="0023484C" w:rsidRPr="00B0591B" w:rsidRDefault="0023484C" w:rsidP="00AA0B7E">
            <w:pPr>
              <w:pStyle w:val="TableText0"/>
              <w:rPr>
                <w:rFonts w:cs="Times New Roman"/>
                <w:szCs w:val="20"/>
                <w:lang w:eastAsia="en-GB"/>
              </w:rPr>
            </w:pPr>
            <w:r w:rsidRPr="00B0591B">
              <w:rPr>
                <w:rFonts w:cs="Times New Roman"/>
                <w:szCs w:val="20"/>
                <w:lang w:eastAsia="en-GB"/>
              </w:rPr>
              <w:t>Change in CBZ</w:t>
            </w:r>
            <w:r w:rsidR="005F6D03" w:rsidRPr="00B0591B">
              <w:rPr>
                <w:rFonts w:cs="Times New Roman"/>
                <w:szCs w:val="20"/>
                <w:lang w:eastAsia="en-GB"/>
              </w:rPr>
              <w:t>-2L</w:t>
            </w:r>
            <w:r w:rsidRPr="00B0591B">
              <w:rPr>
                <w:rFonts w:cs="Times New Roman"/>
                <w:szCs w:val="20"/>
                <w:lang w:eastAsia="en-GB"/>
              </w:rPr>
              <w:t xml:space="preserve"> (scripts) </w:t>
            </w:r>
          </w:p>
        </w:tc>
        <w:tc>
          <w:tcPr>
            <w:tcW w:w="538" w:type="pct"/>
            <w:shd w:val="clear" w:color="auto" w:fill="auto"/>
            <w:vAlign w:val="center"/>
          </w:tcPr>
          <w:p w14:paraId="3F7F6E1C" w14:textId="24852209"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2</w:t>
            </w:r>
          </w:p>
        </w:tc>
        <w:tc>
          <w:tcPr>
            <w:tcW w:w="538" w:type="pct"/>
            <w:shd w:val="clear" w:color="auto" w:fill="auto"/>
            <w:vAlign w:val="center"/>
          </w:tcPr>
          <w:p w14:paraId="16AFED09" w14:textId="393933D2"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2</w:t>
            </w:r>
          </w:p>
        </w:tc>
        <w:tc>
          <w:tcPr>
            <w:tcW w:w="538" w:type="pct"/>
            <w:shd w:val="clear" w:color="auto" w:fill="auto"/>
            <w:vAlign w:val="center"/>
          </w:tcPr>
          <w:p w14:paraId="762522F8" w14:textId="5D18C6B1"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38" w:type="pct"/>
            <w:shd w:val="clear" w:color="auto" w:fill="auto"/>
            <w:vAlign w:val="center"/>
          </w:tcPr>
          <w:p w14:paraId="09BB86D9" w14:textId="444A8E28"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39" w:type="pct"/>
            <w:shd w:val="clear" w:color="auto" w:fill="auto"/>
            <w:vAlign w:val="center"/>
          </w:tcPr>
          <w:p w14:paraId="7A30E4F5" w14:textId="13DF0BBD"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42" w:type="pct"/>
            <w:vAlign w:val="center"/>
          </w:tcPr>
          <w:p w14:paraId="40CC78B3" w14:textId="5E50B5DB"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c>
          <w:tcPr>
            <w:tcW w:w="588" w:type="pct"/>
            <w:vAlign w:val="center"/>
          </w:tcPr>
          <w:p w14:paraId="7F3F41DE" w14:textId="51172082" w:rsidR="0023484C" w:rsidRPr="00266C14" w:rsidRDefault="00D62519" w:rsidP="00AA0B7E">
            <w:pPr>
              <w:pStyle w:val="TableText0"/>
              <w:jc w:val="center"/>
              <w:rPr>
                <w:rFonts w:cs="Times New Roman"/>
                <w:szCs w:val="20"/>
                <w:highlight w:val="lightGray"/>
                <w:lang w:eastAsia="en-GB"/>
              </w:rPr>
            </w:pPr>
            <w:r w:rsidRPr="00D62519">
              <w:rPr>
                <w:rFonts w:cs="Times New Roman"/>
                <w:iCs/>
                <w:color w:val="000000"/>
                <w:szCs w:val="20"/>
                <w:shd w:val="solid" w:color="000000" w:fill="000000"/>
                <w:lang w:eastAsia="en-GB"/>
                <w14:textFill>
                  <w14:solidFill>
                    <w14:srgbClr w14:val="000000">
                      <w14:alpha w14:val="100000"/>
                    </w14:srgbClr>
                  </w14:solidFill>
                </w14:textFill>
              </w:rPr>
              <w:t>|</w:t>
            </w:r>
            <w:r w:rsidR="00266C14" w:rsidRPr="009D4B04">
              <w:rPr>
                <w:szCs w:val="20"/>
                <w:vertAlign w:val="superscript"/>
              </w:rPr>
              <w:t>1</w:t>
            </w:r>
          </w:p>
        </w:tc>
      </w:tr>
      <w:tr w:rsidR="0023484C" w:rsidRPr="005A293B" w14:paraId="13BA6123" w14:textId="77777777" w:rsidTr="00EC2FC5">
        <w:tc>
          <w:tcPr>
            <w:tcW w:w="1179" w:type="pct"/>
            <w:shd w:val="clear" w:color="auto" w:fill="auto"/>
            <w:vAlign w:val="center"/>
          </w:tcPr>
          <w:p w14:paraId="73399330" w14:textId="3C70F07F" w:rsidR="0023484C" w:rsidRPr="00B0591B" w:rsidRDefault="0023484C" w:rsidP="00AA0B7E">
            <w:pPr>
              <w:pStyle w:val="TableText0"/>
              <w:rPr>
                <w:szCs w:val="20"/>
              </w:rPr>
            </w:pPr>
            <w:r w:rsidRPr="00B0591B">
              <w:rPr>
                <w:szCs w:val="20"/>
              </w:rPr>
              <w:t>Net cost offsets to PBS/RPBS</w:t>
            </w:r>
          </w:p>
        </w:tc>
        <w:tc>
          <w:tcPr>
            <w:tcW w:w="538" w:type="pct"/>
            <w:shd w:val="clear" w:color="auto" w:fill="auto"/>
            <w:vAlign w:val="center"/>
          </w:tcPr>
          <w:p w14:paraId="02D0847D" w14:textId="32081B63"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6"/>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6"/>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6"/>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14776031" w14:textId="18461298"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5"/>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5"/>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5"/>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42B1F4CB" w14:textId="267FD12F"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4"/>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4"/>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4"/>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4008FB0B" w14:textId="7B528CCF"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3"/>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3"/>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3"/>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9" w:type="pct"/>
            <w:shd w:val="clear" w:color="auto" w:fill="auto"/>
            <w:vAlign w:val="center"/>
          </w:tcPr>
          <w:p w14:paraId="3393B308" w14:textId="71A778EF"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2"/>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2"/>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2"/>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42" w:type="pct"/>
            <w:vAlign w:val="center"/>
          </w:tcPr>
          <w:p w14:paraId="4448122C" w14:textId="30D0F87D" w:rsidR="0023484C" w:rsidRPr="003F7A1D" w:rsidRDefault="0023484C" w:rsidP="00AA0B7E">
            <w:pPr>
              <w:pStyle w:val="TableText0"/>
              <w:jc w:val="center"/>
              <w:rPr>
                <w:szCs w:val="20"/>
              </w:rPr>
            </w:pPr>
            <w:r w:rsidRPr="003F7A1D">
              <w:rPr>
                <w:rFonts w:cs="Arial"/>
                <w:b/>
                <w:bCs w:val="0"/>
                <w:color w:val="000000"/>
                <w:szCs w:val="20"/>
              </w:rPr>
              <w:t>$</w:t>
            </w:r>
            <w:r w:rsidR="00D62519" w:rsidRPr="00D62519">
              <w:rPr>
                <w:rFonts w:cs="Arial" w:hint="eastAsia"/>
                <w:b/>
                <w:bCs w:val="0"/>
                <w:color w:val="000000"/>
                <w:w w:val="15"/>
                <w:szCs w:val="20"/>
                <w:shd w:val="solid" w:color="000000" w:fill="000000"/>
                <w:fitText w:val="30" w:id="-961821941"/>
                <w14:textFill>
                  <w14:solidFill>
                    <w14:srgbClr w14:val="000000">
                      <w14:alpha w14:val="100000"/>
                    </w14:srgbClr>
                  </w14:solidFill>
                </w14:textFill>
              </w:rPr>
              <w:t xml:space="preserve">　</w:t>
            </w:r>
            <w:r w:rsidR="00D62519" w:rsidRPr="00D62519">
              <w:rPr>
                <w:rFonts w:cs="Arial"/>
                <w:b/>
                <w:bCs w:val="0"/>
                <w:color w:val="000000"/>
                <w:w w:val="15"/>
                <w:szCs w:val="20"/>
                <w:shd w:val="solid" w:color="000000" w:fill="000000"/>
                <w:fitText w:val="30" w:id="-961821941"/>
                <w14:textFill>
                  <w14:solidFill>
                    <w14:srgbClr w14:val="000000">
                      <w14:alpha w14:val="100000"/>
                    </w14:srgbClr>
                  </w14:solidFill>
                </w14:textFill>
              </w:rPr>
              <w:t>|</w:t>
            </w:r>
            <w:r w:rsidR="00D62519" w:rsidRPr="00D62519">
              <w:rPr>
                <w:rFonts w:cs="Arial" w:hint="eastAsia"/>
                <w:b/>
                <w:bCs w:val="0"/>
                <w:color w:val="000000"/>
                <w:spacing w:val="-36"/>
                <w:w w:val="15"/>
                <w:szCs w:val="20"/>
                <w:shd w:val="solid" w:color="000000" w:fill="000000"/>
                <w:fitText w:val="30" w:id="-961821941"/>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88" w:type="pct"/>
            <w:vAlign w:val="center"/>
          </w:tcPr>
          <w:p w14:paraId="1BEDFAC7" w14:textId="2C53E577" w:rsidR="0023484C" w:rsidRPr="00B0591B" w:rsidRDefault="0023484C" w:rsidP="00AA0B7E">
            <w:pPr>
              <w:pStyle w:val="TableText0"/>
              <w:jc w:val="center"/>
              <w:rPr>
                <w:rFonts w:cs="Times New Roman"/>
                <w:iCs/>
                <w:szCs w:val="20"/>
                <w:lang w:eastAsia="en-GB"/>
              </w:rPr>
            </w:pPr>
            <w:r w:rsidRPr="003F7A1D">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8182B" w:rsidRPr="0098182B">
              <w:rPr>
                <w:rFonts w:cs="Arial"/>
                <w:color w:val="000000"/>
                <w:szCs w:val="20"/>
                <w:vertAlign w:val="superscript"/>
              </w:rPr>
              <w:t>9</w:t>
            </w:r>
          </w:p>
        </w:tc>
      </w:tr>
      <w:tr w:rsidR="0023484C" w:rsidRPr="005A293B" w14:paraId="7D0503F1" w14:textId="77777777" w:rsidTr="002E7BAB">
        <w:tc>
          <w:tcPr>
            <w:tcW w:w="4412" w:type="pct"/>
            <w:gridSpan w:val="7"/>
            <w:shd w:val="clear" w:color="auto" w:fill="auto"/>
            <w:vAlign w:val="center"/>
          </w:tcPr>
          <w:p w14:paraId="702D4212" w14:textId="77777777" w:rsidR="0023484C" w:rsidRPr="003F7A1D" w:rsidRDefault="0023484C" w:rsidP="00AA0B7E">
            <w:pPr>
              <w:pStyle w:val="TableText0"/>
              <w:rPr>
                <w:b/>
                <w:bCs w:val="0"/>
                <w:szCs w:val="20"/>
              </w:rPr>
            </w:pPr>
            <w:r w:rsidRPr="003F7A1D">
              <w:rPr>
                <w:b/>
                <w:bCs w:val="0"/>
                <w:szCs w:val="20"/>
              </w:rPr>
              <w:t>Net financial implications</w:t>
            </w:r>
            <w:r w:rsidRPr="003F7A1D">
              <w:rPr>
                <w:b/>
                <w:bCs w:val="0"/>
                <w:color w:val="4BACC6" w:themeColor="accent5"/>
                <w:szCs w:val="20"/>
              </w:rPr>
              <w:t xml:space="preserve"> </w:t>
            </w:r>
          </w:p>
        </w:tc>
        <w:tc>
          <w:tcPr>
            <w:tcW w:w="588" w:type="pct"/>
          </w:tcPr>
          <w:p w14:paraId="134C9BE3" w14:textId="77777777" w:rsidR="0023484C" w:rsidRPr="003F7A1D" w:rsidRDefault="0023484C" w:rsidP="00AA0B7E">
            <w:pPr>
              <w:pStyle w:val="TableText0"/>
              <w:rPr>
                <w:b/>
                <w:bCs w:val="0"/>
                <w:szCs w:val="20"/>
              </w:rPr>
            </w:pPr>
          </w:p>
        </w:tc>
      </w:tr>
      <w:tr w:rsidR="0023484C" w:rsidRPr="005A293B" w14:paraId="49DD80F1" w14:textId="77777777" w:rsidTr="002E7BAB">
        <w:tc>
          <w:tcPr>
            <w:tcW w:w="1179" w:type="pct"/>
            <w:shd w:val="clear" w:color="auto" w:fill="auto"/>
            <w:vAlign w:val="center"/>
          </w:tcPr>
          <w:p w14:paraId="44752265" w14:textId="77777777" w:rsidR="0023484C" w:rsidRPr="00B0591B" w:rsidRDefault="0023484C" w:rsidP="00AA0B7E">
            <w:pPr>
              <w:pStyle w:val="TableText0"/>
              <w:rPr>
                <w:szCs w:val="20"/>
              </w:rPr>
            </w:pPr>
            <w:r w:rsidRPr="00B0591B">
              <w:rPr>
                <w:szCs w:val="20"/>
              </w:rPr>
              <w:t>Net cost to PBS/RPBS</w:t>
            </w:r>
          </w:p>
        </w:tc>
        <w:tc>
          <w:tcPr>
            <w:tcW w:w="538" w:type="pct"/>
            <w:shd w:val="clear" w:color="auto" w:fill="auto"/>
            <w:vAlign w:val="center"/>
          </w:tcPr>
          <w:p w14:paraId="5CB5619E" w14:textId="34127943" w:rsidR="0023484C" w:rsidRPr="003F7A1D" w:rsidRDefault="0023484C" w:rsidP="00AA0B7E">
            <w:pPr>
              <w:pStyle w:val="TableText0"/>
              <w:jc w:val="center"/>
              <w:rPr>
                <w:b/>
                <w:bCs w:val="0"/>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0"/>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0"/>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0"/>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356EDDF0" w14:textId="0AE64F90" w:rsidR="0023484C" w:rsidRPr="003F7A1D" w:rsidRDefault="0023484C" w:rsidP="00AA0B7E">
            <w:pPr>
              <w:pStyle w:val="TableText0"/>
              <w:jc w:val="center"/>
              <w:rPr>
                <w:b/>
                <w:bCs w:val="0"/>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39"/>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39"/>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39"/>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79451D78" w14:textId="59A5B06F" w:rsidR="0023484C" w:rsidRPr="003F7A1D" w:rsidRDefault="0023484C" w:rsidP="00AA0B7E">
            <w:pPr>
              <w:pStyle w:val="TableText0"/>
              <w:jc w:val="center"/>
              <w:rPr>
                <w:b/>
                <w:bCs w:val="0"/>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38"/>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38"/>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38"/>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6B888A43" w14:textId="5621D87D" w:rsidR="0023484C" w:rsidRPr="003F7A1D" w:rsidRDefault="0023484C" w:rsidP="00AA0B7E">
            <w:pPr>
              <w:pStyle w:val="TableText0"/>
              <w:jc w:val="center"/>
              <w:rPr>
                <w:b/>
                <w:bCs w:val="0"/>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37"/>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37"/>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37"/>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39" w:type="pct"/>
            <w:shd w:val="clear" w:color="auto" w:fill="auto"/>
            <w:vAlign w:val="center"/>
          </w:tcPr>
          <w:p w14:paraId="702D2E56" w14:textId="0790ED7E" w:rsidR="0023484C" w:rsidRPr="003F7A1D" w:rsidRDefault="0023484C" w:rsidP="00AA0B7E">
            <w:pPr>
              <w:pStyle w:val="TableText0"/>
              <w:jc w:val="center"/>
              <w:rPr>
                <w:b/>
                <w:bCs w:val="0"/>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36"/>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36"/>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36"/>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42" w:type="pct"/>
            <w:vAlign w:val="center"/>
          </w:tcPr>
          <w:p w14:paraId="10579F24" w14:textId="398E3A97" w:rsidR="0023484C" w:rsidRPr="003F7A1D" w:rsidRDefault="0023484C" w:rsidP="00AA0B7E">
            <w:pPr>
              <w:pStyle w:val="TableText0"/>
              <w:jc w:val="center"/>
              <w:rPr>
                <w:b/>
                <w:bCs w:val="0"/>
                <w:szCs w:val="20"/>
              </w:rPr>
            </w:pPr>
            <w:r w:rsidRPr="003F7A1D">
              <w:rPr>
                <w:rFonts w:cs="Arial"/>
                <w:b/>
                <w:bCs w:val="0"/>
                <w:color w:val="000000"/>
                <w:szCs w:val="20"/>
              </w:rPr>
              <w:t>$</w:t>
            </w:r>
            <w:r w:rsidR="00D62519" w:rsidRPr="00D62519">
              <w:rPr>
                <w:rFonts w:cs="Arial" w:hint="eastAsia"/>
                <w:b/>
                <w:bCs w:val="0"/>
                <w:color w:val="000000"/>
                <w:w w:val="15"/>
                <w:szCs w:val="20"/>
                <w:shd w:val="solid" w:color="000000" w:fill="000000"/>
                <w:fitText w:val="30" w:id="-961821952"/>
                <w14:textFill>
                  <w14:solidFill>
                    <w14:srgbClr w14:val="000000">
                      <w14:alpha w14:val="100000"/>
                    </w14:srgbClr>
                  </w14:solidFill>
                </w14:textFill>
              </w:rPr>
              <w:t xml:space="preserve">　</w:t>
            </w:r>
            <w:r w:rsidR="00D62519" w:rsidRPr="00D62519">
              <w:rPr>
                <w:rFonts w:cs="Arial"/>
                <w:b/>
                <w:bCs w:val="0"/>
                <w:color w:val="000000"/>
                <w:w w:val="15"/>
                <w:szCs w:val="20"/>
                <w:shd w:val="solid" w:color="000000" w:fill="000000"/>
                <w:fitText w:val="30" w:id="-961821952"/>
                <w14:textFill>
                  <w14:solidFill>
                    <w14:srgbClr w14:val="000000">
                      <w14:alpha w14:val="100000"/>
                    </w14:srgbClr>
                  </w14:solidFill>
                </w14:textFill>
              </w:rPr>
              <w:t>|</w:t>
            </w:r>
            <w:r w:rsidR="00D62519" w:rsidRPr="00D62519">
              <w:rPr>
                <w:rFonts w:cs="Arial" w:hint="eastAsia"/>
                <w:b/>
                <w:bCs w:val="0"/>
                <w:color w:val="000000"/>
                <w:spacing w:val="-36"/>
                <w:w w:val="15"/>
                <w:szCs w:val="20"/>
                <w:shd w:val="solid" w:color="000000" w:fill="000000"/>
                <w:fitText w:val="30" w:id="-961821952"/>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88" w:type="pct"/>
            <w:vAlign w:val="center"/>
          </w:tcPr>
          <w:p w14:paraId="0C80F256" w14:textId="16003CCC" w:rsidR="0023484C" w:rsidRPr="00B0591B" w:rsidRDefault="0023484C" w:rsidP="00AA0B7E">
            <w:pPr>
              <w:pStyle w:val="TableText0"/>
              <w:jc w:val="center"/>
              <w:rPr>
                <w:rFonts w:cs="Times New Roman"/>
                <w:b/>
                <w:bCs w:val="0"/>
                <w:iCs/>
                <w:szCs w:val="20"/>
                <w:lang w:eastAsia="en-GB"/>
              </w:rPr>
            </w:pPr>
            <w:r w:rsidRPr="003F7A1D">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4B66F9" w:rsidRPr="004B66F9">
              <w:rPr>
                <w:rFonts w:cs="Arial"/>
                <w:color w:val="000000"/>
                <w:szCs w:val="20"/>
                <w:vertAlign w:val="superscript"/>
              </w:rPr>
              <w:t>10</w:t>
            </w:r>
          </w:p>
        </w:tc>
      </w:tr>
      <w:tr w:rsidR="0023484C" w:rsidRPr="005A293B" w14:paraId="392ED419" w14:textId="77777777" w:rsidTr="002E7BAB">
        <w:tc>
          <w:tcPr>
            <w:tcW w:w="1179" w:type="pct"/>
            <w:shd w:val="clear" w:color="auto" w:fill="auto"/>
            <w:vAlign w:val="center"/>
          </w:tcPr>
          <w:p w14:paraId="51A88420" w14:textId="2E6479C3" w:rsidR="0023484C" w:rsidRPr="003F7A1D" w:rsidRDefault="0023484C" w:rsidP="00AA0B7E">
            <w:pPr>
              <w:pStyle w:val="TableText0"/>
              <w:rPr>
                <w:rFonts w:ascii="Times" w:hAnsi="Times"/>
                <w:szCs w:val="20"/>
              </w:rPr>
            </w:pPr>
            <w:r w:rsidRPr="00B0591B">
              <w:rPr>
                <w:szCs w:val="20"/>
              </w:rPr>
              <w:t>Net cost to MBS</w:t>
            </w:r>
          </w:p>
        </w:tc>
        <w:tc>
          <w:tcPr>
            <w:tcW w:w="538" w:type="pct"/>
            <w:shd w:val="clear" w:color="auto" w:fill="auto"/>
            <w:vAlign w:val="center"/>
          </w:tcPr>
          <w:p w14:paraId="48E1B304" w14:textId="264B2DD4" w:rsidR="0023484C" w:rsidRPr="003F7A1D" w:rsidRDefault="0023484C" w:rsidP="00AA0B7E">
            <w:pPr>
              <w:pStyle w:val="TableText0"/>
              <w:jc w:val="center"/>
              <w:rPr>
                <w:szCs w:val="20"/>
              </w:rPr>
            </w:pPr>
            <w:r w:rsidRPr="003F7A1D">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8182B" w:rsidRPr="005F74A2">
              <w:rPr>
                <w:rFonts w:cs="Arial"/>
                <w:color w:val="000000"/>
                <w:szCs w:val="20"/>
                <w:vertAlign w:val="superscript"/>
              </w:rPr>
              <w:t>8</w:t>
            </w:r>
          </w:p>
        </w:tc>
        <w:tc>
          <w:tcPr>
            <w:tcW w:w="538" w:type="pct"/>
            <w:shd w:val="clear" w:color="auto" w:fill="auto"/>
            <w:vAlign w:val="center"/>
          </w:tcPr>
          <w:p w14:paraId="159D6FCE" w14:textId="1359E011" w:rsidR="0023484C" w:rsidRPr="003F7A1D" w:rsidRDefault="0023484C" w:rsidP="00AA0B7E">
            <w:pPr>
              <w:pStyle w:val="TableText0"/>
              <w:jc w:val="center"/>
              <w:rPr>
                <w:szCs w:val="20"/>
              </w:rPr>
            </w:pPr>
            <w:r w:rsidRPr="003F7A1D">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8182B" w:rsidRPr="005F74A2">
              <w:rPr>
                <w:rFonts w:cs="Arial"/>
                <w:color w:val="000000"/>
                <w:szCs w:val="20"/>
                <w:vertAlign w:val="superscript"/>
              </w:rPr>
              <w:t>8</w:t>
            </w:r>
          </w:p>
        </w:tc>
        <w:tc>
          <w:tcPr>
            <w:tcW w:w="538" w:type="pct"/>
            <w:shd w:val="clear" w:color="auto" w:fill="auto"/>
            <w:vAlign w:val="center"/>
          </w:tcPr>
          <w:p w14:paraId="53D6F306" w14:textId="7F2F813C" w:rsidR="0023484C" w:rsidRPr="003F7A1D" w:rsidRDefault="0023484C" w:rsidP="00AA0B7E">
            <w:pPr>
              <w:pStyle w:val="TableText0"/>
              <w:jc w:val="center"/>
              <w:rPr>
                <w:szCs w:val="20"/>
              </w:rPr>
            </w:pPr>
            <w:r w:rsidRPr="003F7A1D">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8182B" w:rsidRPr="005F74A2">
              <w:rPr>
                <w:rFonts w:cs="Arial"/>
                <w:color w:val="000000"/>
                <w:szCs w:val="20"/>
                <w:vertAlign w:val="superscript"/>
              </w:rPr>
              <w:t>8</w:t>
            </w:r>
          </w:p>
        </w:tc>
        <w:tc>
          <w:tcPr>
            <w:tcW w:w="538" w:type="pct"/>
            <w:shd w:val="clear" w:color="auto" w:fill="auto"/>
            <w:vAlign w:val="center"/>
          </w:tcPr>
          <w:p w14:paraId="78360811" w14:textId="203B68F7" w:rsidR="0023484C" w:rsidRPr="003F7A1D" w:rsidRDefault="0023484C" w:rsidP="00AA0B7E">
            <w:pPr>
              <w:pStyle w:val="TableText0"/>
              <w:jc w:val="center"/>
              <w:rPr>
                <w:szCs w:val="20"/>
              </w:rPr>
            </w:pPr>
            <w:r w:rsidRPr="003F7A1D">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8182B" w:rsidRPr="005F74A2">
              <w:rPr>
                <w:rFonts w:cs="Arial"/>
                <w:color w:val="000000"/>
                <w:szCs w:val="20"/>
                <w:vertAlign w:val="superscript"/>
              </w:rPr>
              <w:t>8</w:t>
            </w:r>
          </w:p>
        </w:tc>
        <w:tc>
          <w:tcPr>
            <w:tcW w:w="539" w:type="pct"/>
            <w:shd w:val="clear" w:color="auto" w:fill="auto"/>
            <w:vAlign w:val="center"/>
          </w:tcPr>
          <w:p w14:paraId="4BE05AAD" w14:textId="11B91BDD" w:rsidR="0023484C" w:rsidRPr="003F7A1D" w:rsidRDefault="0023484C" w:rsidP="00AA0B7E">
            <w:pPr>
              <w:pStyle w:val="TableText0"/>
              <w:jc w:val="center"/>
              <w:rPr>
                <w:szCs w:val="20"/>
              </w:rPr>
            </w:pPr>
            <w:r w:rsidRPr="003F7A1D">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8182B" w:rsidRPr="005F74A2">
              <w:rPr>
                <w:rFonts w:cs="Arial"/>
                <w:color w:val="000000"/>
                <w:szCs w:val="20"/>
                <w:vertAlign w:val="superscript"/>
              </w:rPr>
              <w:t>8</w:t>
            </w:r>
          </w:p>
        </w:tc>
        <w:tc>
          <w:tcPr>
            <w:tcW w:w="542" w:type="pct"/>
            <w:vAlign w:val="center"/>
          </w:tcPr>
          <w:p w14:paraId="79038B44" w14:textId="506ECC6F" w:rsidR="0023484C" w:rsidRPr="003F7A1D" w:rsidRDefault="0023484C" w:rsidP="00AA0B7E">
            <w:pPr>
              <w:pStyle w:val="TableText0"/>
              <w:jc w:val="center"/>
              <w:rPr>
                <w:szCs w:val="20"/>
              </w:rPr>
            </w:pPr>
            <w:r w:rsidRPr="003F7A1D">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8182B" w:rsidRPr="005F74A2">
              <w:rPr>
                <w:rFonts w:cs="Arial"/>
                <w:color w:val="000000"/>
                <w:szCs w:val="20"/>
                <w:vertAlign w:val="superscript"/>
              </w:rPr>
              <w:t>8</w:t>
            </w:r>
          </w:p>
        </w:tc>
        <w:tc>
          <w:tcPr>
            <w:tcW w:w="588" w:type="pct"/>
            <w:vAlign w:val="center"/>
          </w:tcPr>
          <w:p w14:paraId="1802A98A" w14:textId="29757424" w:rsidR="0023484C" w:rsidRPr="00B0591B" w:rsidRDefault="0023484C" w:rsidP="00AA0B7E">
            <w:pPr>
              <w:pStyle w:val="TableText0"/>
              <w:jc w:val="center"/>
              <w:rPr>
                <w:rFonts w:cs="Times New Roman"/>
                <w:iCs/>
                <w:szCs w:val="20"/>
                <w:lang w:eastAsia="en-GB"/>
              </w:rPr>
            </w:pPr>
            <w:r w:rsidRPr="003F7A1D">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8182B" w:rsidRPr="005F74A2">
              <w:rPr>
                <w:rFonts w:cs="Arial"/>
                <w:color w:val="000000"/>
                <w:szCs w:val="20"/>
                <w:vertAlign w:val="superscript"/>
              </w:rPr>
              <w:t>8</w:t>
            </w:r>
          </w:p>
        </w:tc>
      </w:tr>
      <w:tr w:rsidR="0023484C" w:rsidRPr="005A293B" w14:paraId="5021B46C" w14:textId="77777777" w:rsidTr="002E7BAB">
        <w:tc>
          <w:tcPr>
            <w:tcW w:w="1179" w:type="pct"/>
            <w:shd w:val="clear" w:color="auto" w:fill="auto"/>
            <w:vAlign w:val="center"/>
          </w:tcPr>
          <w:p w14:paraId="548B8910" w14:textId="77777777" w:rsidR="0023484C" w:rsidRPr="00B0591B" w:rsidRDefault="0023484C" w:rsidP="00AA0B7E">
            <w:pPr>
              <w:pStyle w:val="TableText0"/>
              <w:rPr>
                <w:szCs w:val="20"/>
              </w:rPr>
            </w:pPr>
            <w:r w:rsidRPr="00B0591B">
              <w:rPr>
                <w:rFonts w:cs="Times New Roman"/>
                <w:szCs w:val="20"/>
                <w:lang w:eastAsia="en-GB"/>
              </w:rPr>
              <w:t xml:space="preserve">Net change to health budget </w:t>
            </w:r>
          </w:p>
        </w:tc>
        <w:tc>
          <w:tcPr>
            <w:tcW w:w="538" w:type="pct"/>
            <w:shd w:val="clear" w:color="auto" w:fill="auto"/>
            <w:vAlign w:val="center"/>
          </w:tcPr>
          <w:p w14:paraId="08161DAE" w14:textId="6E42769F"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51"/>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51"/>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51"/>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537D6125" w14:textId="7B69510B"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50"/>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50"/>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50"/>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0C04A67B" w14:textId="14BDDD19"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9"/>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9"/>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9"/>
                <w14:textFill>
                  <w14:solidFill>
                    <w14:srgbClr w14:val="000000">
                      <w14:alpha w14:val="100000"/>
                    </w14:srgbClr>
                  </w14:solidFill>
                </w14:textFill>
              </w:rPr>
              <w:t xml:space="preserve">　</w:t>
            </w:r>
            <w:r w:rsidR="0098182B" w:rsidRPr="005F74A2">
              <w:rPr>
                <w:rFonts w:cs="Arial"/>
                <w:color w:val="000000"/>
                <w:szCs w:val="20"/>
                <w:vertAlign w:val="superscript"/>
              </w:rPr>
              <w:t>8</w:t>
            </w:r>
          </w:p>
        </w:tc>
        <w:tc>
          <w:tcPr>
            <w:tcW w:w="538" w:type="pct"/>
            <w:shd w:val="clear" w:color="auto" w:fill="auto"/>
            <w:vAlign w:val="center"/>
          </w:tcPr>
          <w:p w14:paraId="29736E96" w14:textId="01CA939B"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8"/>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8"/>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8"/>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39" w:type="pct"/>
            <w:shd w:val="clear" w:color="auto" w:fill="auto"/>
            <w:vAlign w:val="center"/>
          </w:tcPr>
          <w:p w14:paraId="4C664948" w14:textId="692D73F1" w:rsidR="0023484C" w:rsidRPr="003F7A1D" w:rsidRDefault="0023484C" w:rsidP="00AA0B7E">
            <w:pPr>
              <w:pStyle w:val="TableText0"/>
              <w:jc w:val="center"/>
              <w:rPr>
                <w:szCs w:val="20"/>
              </w:rPr>
            </w:pPr>
            <w:r w:rsidRPr="003F7A1D">
              <w:rPr>
                <w:rFonts w:cs="Arial"/>
                <w:b/>
                <w:bCs w:val="0"/>
                <w:color w:val="000000"/>
                <w:szCs w:val="20"/>
              </w:rPr>
              <w:t>$</w:t>
            </w:r>
            <w:r w:rsidR="00D62519" w:rsidRPr="00CD40AA">
              <w:rPr>
                <w:rFonts w:cs="Arial" w:hint="eastAsia"/>
                <w:b/>
                <w:bCs w:val="0"/>
                <w:color w:val="000000"/>
                <w:w w:val="15"/>
                <w:szCs w:val="20"/>
                <w:shd w:val="solid" w:color="000000" w:fill="000000"/>
                <w:fitText w:val="15" w:id="-961821947"/>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7"/>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7"/>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42" w:type="pct"/>
            <w:vAlign w:val="center"/>
          </w:tcPr>
          <w:p w14:paraId="0B16325D" w14:textId="3D336E63" w:rsidR="0023484C" w:rsidRPr="003F7A1D" w:rsidRDefault="0023484C" w:rsidP="00AA0B7E">
            <w:pPr>
              <w:pStyle w:val="TableText0"/>
              <w:jc w:val="center"/>
              <w:rPr>
                <w:szCs w:val="20"/>
              </w:rPr>
            </w:pPr>
            <w:r w:rsidRPr="003F7A1D">
              <w:rPr>
                <w:rFonts w:cs="Arial"/>
                <w:b/>
                <w:bCs w:val="0"/>
                <w:color w:val="000000"/>
                <w:szCs w:val="20"/>
              </w:rPr>
              <w:t>$</w:t>
            </w:r>
            <w:r w:rsidR="00D62519" w:rsidRPr="00D62519">
              <w:rPr>
                <w:rFonts w:cs="Arial" w:hint="eastAsia"/>
                <w:b/>
                <w:bCs w:val="0"/>
                <w:color w:val="000000"/>
                <w:w w:val="15"/>
                <w:szCs w:val="20"/>
                <w:shd w:val="solid" w:color="000000" w:fill="000000"/>
                <w:fitText w:val="30" w:id="-961821946"/>
                <w14:textFill>
                  <w14:solidFill>
                    <w14:srgbClr w14:val="000000">
                      <w14:alpha w14:val="100000"/>
                    </w14:srgbClr>
                  </w14:solidFill>
                </w14:textFill>
              </w:rPr>
              <w:t xml:space="preserve">　</w:t>
            </w:r>
            <w:r w:rsidR="00D62519" w:rsidRPr="00D62519">
              <w:rPr>
                <w:rFonts w:cs="Arial"/>
                <w:b/>
                <w:bCs w:val="0"/>
                <w:color w:val="000000"/>
                <w:w w:val="15"/>
                <w:szCs w:val="20"/>
                <w:shd w:val="solid" w:color="000000" w:fill="000000"/>
                <w:fitText w:val="30" w:id="-961821946"/>
                <w14:textFill>
                  <w14:solidFill>
                    <w14:srgbClr w14:val="000000">
                      <w14:alpha w14:val="100000"/>
                    </w14:srgbClr>
                  </w14:solidFill>
                </w14:textFill>
              </w:rPr>
              <w:t>|</w:t>
            </w:r>
            <w:r w:rsidR="00D62519" w:rsidRPr="00D62519">
              <w:rPr>
                <w:rFonts w:cs="Arial" w:hint="eastAsia"/>
                <w:b/>
                <w:bCs w:val="0"/>
                <w:color w:val="000000"/>
                <w:spacing w:val="-36"/>
                <w:w w:val="15"/>
                <w:szCs w:val="20"/>
                <w:shd w:val="solid" w:color="000000" w:fill="000000"/>
                <w:fitText w:val="30" w:id="-961821946"/>
                <w14:textFill>
                  <w14:solidFill>
                    <w14:srgbClr w14:val="000000">
                      <w14:alpha w14:val="100000"/>
                    </w14:srgbClr>
                  </w14:solidFill>
                </w14:textFill>
              </w:rPr>
              <w:t xml:space="preserve">　</w:t>
            </w:r>
            <w:r w:rsidR="0098182B" w:rsidRPr="0098182B">
              <w:rPr>
                <w:rFonts w:cs="Arial"/>
                <w:color w:val="000000"/>
                <w:szCs w:val="20"/>
                <w:vertAlign w:val="superscript"/>
              </w:rPr>
              <w:t>9</w:t>
            </w:r>
          </w:p>
        </w:tc>
        <w:tc>
          <w:tcPr>
            <w:tcW w:w="588" w:type="pct"/>
            <w:vAlign w:val="center"/>
          </w:tcPr>
          <w:p w14:paraId="6D96E024" w14:textId="1BEC0BBE" w:rsidR="0023484C" w:rsidRPr="00B0591B" w:rsidRDefault="0023484C" w:rsidP="00AA0B7E">
            <w:pPr>
              <w:pStyle w:val="TableText0"/>
              <w:jc w:val="center"/>
              <w:rPr>
                <w:rFonts w:cs="Times New Roman"/>
                <w:iCs/>
                <w:szCs w:val="20"/>
                <w:lang w:eastAsia="en-GB"/>
              </w:rPr>
            </w:pPr>
            <w:r w:rsidRPr="003F7A1D">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4B66F9" w:rsidRPr="004B66F9">
              <w:rPr>
                <w:rFonts w:cs="Arial"/>
                <w:color w:val="000000"/>
                <w:szCs w:val="20"/>
                <w:vertAlign w:val="superscript"/>
              </w:rPr>
              <w:t>10</w:t>
            </w:r>
          </w:p>
        </w:tc>
      </w:tr>
    </w:tbl>
    <w:p w14:paraId="18683394" w14:textId="47385A97" w:rsidR="0023484C" w:rsidRPr="005A293B" w:rsidRDefault="0023484C" w:rsidP="00AA0B7E">
      <w:pPr>
        <w:pStyle w:val="TableFooter"/>
        <w:keepNext/>
      </w:pPr>
      <w:bookmarkStart w:id="88" w:name="_Hlk81772489"/>
      <w:r w:rsidRPr="005A293B">
        <w:t>Source: Table 4.2-2, p202, Table 4.2-3, p202, Table 4.2-5, p204, Table 4.3-1, p20, Table 4.3-2, p206, Table 4.3-4, p207, Table 4.4-2, p208, Table 4.5-1, p209, Table 4.5-2, p209, and Table 4.5-3, p210 of the submission.</w:t>
      </w:r>
    </w:p>
    <w:bookmarkEnd w:id="88"/>
    <w:p w14:paraId="708F82B0" w14:textId="6F409D78" w:rsidR="0023484C" w:rsidRDefault="0023484C" w:rsidP="00AA0B7E">
      <w:pPr>
        <w:pStyle w:val="TableFigureFooter"/>
        <w:keepNext/>
        <w:spacing w:after="0"/>
        <w:jc w:val="both"/>
      </w:pPr>
      <w:r w:rsidRPr="005A293B">
        <w:t xml:space="preserve">1L=first line, 2L=second line, ABI=abiraterone, CBZ=cabazitaxel; DTX=docetaxel; ENZ=enzalutamide, FBE=full blood evaluation; </w:t>
      </w:r>
      <w:bookmarkStart w:id="89" w:name="_Hlk153891679"/>
      <w:r w:rsidR="005F6D03" w:rsidRPr="005A293B">
        <w:t xml:space="preserve">GF=grandfathered; </w:t>
      </w:r>
      <w:bookmarkEnd w:id="89"/>
      <w:r w:rsidRPr="005A293B">
        <w:t>MBS=Medicare Benefits Schedule, mCRPC=metastatic castrate resistant prostate cancer, OLA=olaparib, PBS=Pharmaceutical Benefits Scheme, RPBS=Repatriation Schedule of Pharmaceutical Benefits; TAL=talazoparib.</w:t>
      </w:r>
    </w:p>
    <w:p w14:paraId="6D342503" w14:textId="77777777" w:rsidR="009D4B04" w:rsidRPr="009A6D58" w:rsidRDefault="009D4B04" w:rsidP="00AA0B7E">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47CE5A5" w14:textId="28C8D67A" w:rsidR="009D4B04" w:rsidRPr="009A6D58" w:rsidRDefault="009D4B04" w:rsidP="00AA0B7E">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D4B04">
        <w:rPr>
          <w:rFonts w:ascii="Arial Narrow" w:hAnsi="Arial Narrow"/>
          <w:i/>
          <w:sz w:val="18"/>
          <w:szCs w:val="18"/>
        </w:rPr>
        <w:t>500 to &lt; 5,000</w:t>
      </w:r>
    </w:p>
    <w:p w14:paraId="4682A0AA" w14:textId="5FEDEE69" w:rsidR="009D4B04" w:rsidRPr="009A6D58" w:rsidRDefault="009D4B04" w:rsidP="00AA0B7E">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D4B04">
        <w:rPr>
          <w:rFonts w:ascii="Arial Narrow" w:hAnsi="Arial Narrow"/>
          <w:i/>
          <w:sz w:val="18"/>
          <w:szCs w:val="18"/>
        </w:rPr>
        <w:t>&lt; 500</w:t>
      </w:r>
    </w:p>
    <w:p w14:paraId="1C5A7CAA" w14:textId="4DF7DDD9" w:rsidR="009D4B04" w:rsidRDefault="009D4B04" w:rsidP="00AA0B7E">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D4B04">
        <w:rPr>
          <w:rFonts w:ascii="Arial Narrow" w:hAnsi="Arial Narrow"/>
          <w:i/>
          <w:sz w:val="18"/>
          <w:szCs w:val="18"/>
        </w:rPr>
        <w:t>5,000 to &lt; 10,000</w:t>
      </w:r>
    </w:p>
    <w:p w14:paraId="71F84EC7" w14:textId="77777777" w:rsidR="00C71977" w:rsidRDefault="009D4B04" w:rsidP="00AA0B7E">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D4B04">
        <w:rPr>
          <w:rFonts w:ascii="Arial Narrow" w:hAnsi="Arial Narrow"/>
          <w:i/>
          <w:sz w:val="18"/>
          <w:szCs w:val="18"/>
        </w:rPr>
        <w:t>20,000 to &lt; 30,000</w:t>
      </w:r>
    </w:p>
    <w:p w14:paraId="3BA051C6" w14:textId="5E9D9B4E" w:rsidR="009D4B04" w:rsidRDefault="009D4B04" w:rsidP="00AA0B7E">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C71977" w:rsidRPr="009D4B04">
        <w:rPr>
          <w:rFonts w:ascii="Arial Narrow" w:hAnsi="Arial Narrow"/>
          <w:i/>
          <w:sz w:val="18"/>
          <w:szCs w:val="18"/>
        </w:rPr>
        <w:t>30,000 to &lt; 40,000</w:t>
      </w:r>
    </w:p>
    <w:p w14:paraId="106DEE20" w14:textId="49BE86C9" w:rsidR="009D4B04" w:rsidRDefault="009D4B04" w:rsidP="00AA0B7E">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009E7" w:rsidRPr="00266C14">
        <w:rPr>
          <w:rFonts w:ascii="Arial Narrow" w:hAnsi="Arial Narrow"/>
          <w:i/>
          <w:sz w:val="18"/>
          <w:szCs w:val="18"/>
        </w:rPr>
        <w:t>10,000 to &lt; 20,000</w:t>
      </w:r>
    </w:p>
    <w:p w14:paraId="64550941" w14:textId="2A4F2038" w:rsidR="009D4B04" w:rsidRPr="009A6D58" w:rsidRDefault="009D4B04" w:rsidP="00AA0B7E">
      <w:pPr>
        <w:keepNex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4B66F9" w:rsidRPr="004B66F9">
        <w:rPr>
          <w:rFonts w:ascii="Arial Narrow" w:hAnsi="Arial Narrow"/>
          <w:i/>
          <w:sz w:val="18"/>
          <w:szCs w:val="18"/>
        </w:rPr>
        <w:t>$70 million to &lt; $80 million</w:t>
      </w:r>
    </w:p>
    <w:p w14:paraId="2D50F554" w14:textId="25818536" w:rsidR="009D4B04" w:rsidRPr="00565C8B" w:rsidRDefault="00544B08" w:rsidP="00565C8B">
      <w:pPr>
        <w:pStyle w:val="TableFooter"/>
        <w:keepNext/>
        <w:rPr>
          <w:i/>
          <w:iCs/>
        </w:rPr>
      </w:pPr>
      <w:r w:rsidRPr="00565C8B">
        <w:rPr>
          <w:i/>
          <w:iCs/>
          <w:vertAlign w:val="superscript"/>
        </w:rPr>
        <w:t>8</w:t>
      </w:r>
      <w:r w:rsidRPr="00565C8B">
        <w:rPr>
          <w:i/>
          <w:iCs/>
        </w:rPr>
        <w:t xml:space="preserve"> </w:t>
      </w:r>
      <w:r w:rsidR="005F74A2" w:rsidRPr="00565C8B">
        <w:rPr>
          <w:i/>
          <w:iCs/>
        </w:rPr>
        <w:t>$0 to &lt; $10 million</w:t>
      </w:r>
    </w:p>
    <w:p w14:paraId="5EF09BA7" w14:textId="7E166FFA" w:rsidR="009D4B04" w:rsidRPr="00565C8B" w:rsidRDefault="009D4B04" w:rsidP="00565C8B">
      <w:pPr>
        <w:pStyle w:val="TableFooter"/>
        <w:keepNext/>
        <w:rPr>
          <w:b/>
          <w:i/>
          <w:iCs/>
        </w:rPr>
      </w:pPr>
      <w:r w:rsidRPr="00565C8B">
        <w:rPr>
          <w:i/>
          <w:iCs/>
          <w:vertAlign w:val="superscript"/>
        </w:rPr>
        <w:t>9</w:t>
      </w:r>
      <w:r w:rsidRPr="00565C8B">
        <w:rPr>
          <w:i/>
          <w:iCs/>
        </w:rPr>
        <w:t xml:space="preserve"> </w:t>
      </w:r>
      <w:r w:rsidR="0098182B" w:rsidRPr="00565C8B">
        <w:rPr>
          <w:i/>
          <w:iCs/>
        </w:rPr>
        <w:t>$10 million to &lt; $20 million</w:t>
      </w:r>
    </w:p>
    <w:p w14:paraId="617408E9" w14:textId="69317009" w:rsidR="004B66F9" w:rsidRPr="00565C8B" w:rsidRDefault="004B66F9" w:rsidP="00565C8B">
      <w:pPr>
        <w:pStyle w:val="TableFooter"/>
        <w:spacing w:after="120"/>
        <w:rPr>
          <w:i/>
          <w:iCs/>
        </w:rPr>
      </w:pPr>
      <w:r w:rsidRPr="00565C8B">
        <w:rPr>
          <w:i/>
          <w:iCs/>
          <w:vertAlign w:val="superscript"/>
        </w:rPr>
        <w:t>10</w:t>
      </w:r>
      <w:r w:rsidRPr="00565C8B">
        <w:rPr>
          <w:i/>
          <w:iCs/>
        </w:rPr>
        <w:t xml:space="preserve"> $50 million to &lt; $60 million</w:t>
      </w:r>
    </w:p>
    <w:p w14:paraId="31616F57" w14:textId="61D41DF3" w:rsidR="00170BFC" w:rsidRDefault="005F6D03" w:rsidP="00170BFC">
      <w:pPr>
        <w:pStyle w:val="3-BodyText"/>
      </w:pPr>
      <w:r w:rsidRPr="000B725B">
        <w:t xml:space="preserve">The submission estimated a net cost </w:t>
      </w:r>
      <w:r w:rsidR="00BD2852" w:rsidRPr="000B725B">
        <w:t xml:space="preserve">of </w:t>
      </w:r>
      <w:r w:rsidR="000F3532" w:rsidRPr="000F3532">
        <w:t>$50 million to &lt; $60 million</w:t>
      </w:r>
      <w:r w:rsidR="00BD2852" w:rsidRPr="0006041B">
        <w:t xml:space="preserve"> </w:t>
      </w:r>
      <w:r w:rsidR="00BD2852" w:rsidRPr="000B725B">
        <w:t xml:space="preserve">and </w:t>
      </w:r>
      <w:r w:rsidR="000F3532" w:rsidRPr="000F3532">
        <w:t>$50</w:t>
      </w:r>
      <w:r w:rsidR="007C7CE2">
        <w:t> </w:t>
      </w:r>
      <w:r w:rsidR="000F3532" w:rsidRPr="000F3532">
        <w:t>million to &lt;</w:t>
      </w:r>
      <w:r w:rsidR="00C71977">
        <w:t> </w:t>
      </w:r>
      <w:r w:rsidR="000F3532" w:rsidRPr="000F3532">
        <w:t>$60 million</w:t>
      </w:r>
      <w:r w:rsidR="00BD2852" w:rsidRPr="000B725B">
        <w:t xml:space="preserve"> </w:t>
      </w:r>
      <w:r w:rsidRPr="000B725B">
        <w:t xml:space="preserve">to </w:t>
      </w:r>
      <w:r w:rsidR="00BD2852" w:rsidRPr="000B725B">
        <w:t xml:space="preserve">the PBS/RPBS and </w:t>
      </w:r>
      <w:r w:rsidRPr="000B725B">
        <w:t>government’s health budget</w:t>
      </w:r>
      <w:r w:rsidR="00BD2852" w:rsidRPr="000B725B">
        <w:t>, respectively,</w:t>
      </w:r>
      <w:r w:rsidRPr="000B725B">
        <w:t xml:space="preserve"> over the first six years of listing for talazoparib </w:t>
      </w:r>
      <w:r w:rsidR="00064F52">
        <w:t>(for use in combination with</w:t>
      </w:r>
      <w:r w:rsidRPr="000B725B">
        <w:t xml:space="preserve"> enzalutamide</w:t>
      </w:r>
      <w:r w:rsidR="00064F52">
        <w:t>)</w:t>
      </w:r>
      <w:r w:rsidRPr="000B725B">
        <w:t xml:space="preserve"> in first line treatment of mCRPC</w:t>
      </w:r>
      <w:r w:rsidR="00170BFC" w:rsidRPr="000B725B">
        <w:t>.</w:t>
      </w:r>
    </w:p>
    <w:p w14:paraId="01F918ED" w14:textId="411C84EB" w:rsidR="00170BFC" w:rsidRPr="006E4BFC" w:rsidRDefault="00BF4313" w:rsidP="00170BFC">
      <w:pPr>
        <w:pStyle w:val="3-BodyText"/>
      </w:pPr>
      <w:bookmarkStart w:id="90" w:name="_Ref159313758"/>
      <w:r>
        <w:t>T</w:t>
      </w:r>
      <w:r w:rsidR="00170BFC" w:rsidRPr="006E4BFC">
        <w:t xml:space="preserve">he financial estimates </w:t>
      </w:r>
      <w:r w:rsidR="00E3349B" w:rsidRPr="006E4BFC">
        <w:t xml:space="preserve">were </w:t>
      </w:r>
      <w:r w:rsidR="00170BFC" w:rsidRPr="006E4BFC">
        <w:t>uncertain</w:t>
      </w:r>
      <w:r w:rsidR="005744F4" w:rsidRPr="006E4BFC">
        <w:t xml:space="preserve"> </w:t>
      </w:r>
      <w:r w:rsidR="00170BFC" w:rsidRPr="006E4BFC">
        <w:t>for the following reasons:</w:t>
      </w:r>
      <w:bookmarkEnd w:id="90"/>
    </w:p>
    <w:p w14:paraId="17739937" w14:textId="675E6C42" w:rsidR="003F7A1D" w:rsidRPr="006E4BFC" w:rsidRDefault="003F7A1D" w:rsidP="003F7A1D">
      <w:pPr>
        <w:pStyle w:val="ListParagraph"/>
        <w:numPr>
          <w:ilvl w:val="0"/>
          <w:numId w:val="7"/>
        </w:numPr>
        <w:rPr>
          <w:rFonts w:ascii="Calibri" w:hAnsi="Calibri" w:cs="Times New Roman"/>
          <w:snapToGrid/>
          <w:lang w:eastAsia="en-GB"/>
        </w:rPr>
      </w:pPr>
      <w:bookmarkStart w:id="91" w:name="_Hlk153892226"/>
      <w:bookmarkStart w:id="92" w:name="_Hlk143206635"/>
      <w:r w:rsidRPr="006E4BFC">
        <w:rPr>
          <w:rFonts w:ascii="Calibri" w:hAnsi="Calibri" w:cs="Times New Roman"/>
          <w:snapToGrid/>
          <w:lang w:eastAsia="en-GB"/>
        </w:rPr>
        <w:t>The eligible patient population was likely overestimated. The reduction in market size (-0.5% to -2.0% in 6 years) due to the recent listing of NHAs in earlier stages of prostate cancer may be an underestimation. The PSCR provided revised estimates in which the market size was reduced by 5% to 3% over the first 6 years.</w:t>
      </w:r>
    </w:p>
    <w:p w14:paraId="18611E58" w14:textId="21E36D72" w:rsidR="003F7A1D" w:rsidRPr="006E4BFC" w:rsidRDefault="003F7A1D" w:rsidP="00EC6441">
      <w:pPr>
        <w:pStyle w:val="3-BodyText"/>
        <w:numPr>
          <w:ilvl w:val="0"/>
          <w:numId w:val="7"/>
        </w:numPr>
      </w:pPr>
      <w:r w:rsidRPr="006E4BFC">
        <w:lastRenderedPageBreak/>
        <w:t>The assumed uptake rates were high, particularly in the later years (</w:t>
      </w:r>
      <w:r w:rsidR="00D62519" w:rsidRPr="00CD40AA">
        <w:rPr>
          <w:color w:val="000000"/>
          <w:w w:val="15"/>
          <w:shd w:val="solid" w:color="000000" w:fill="000000"/>
          <w:fitText w:val="-20" w:id="-961821945"/>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1945"/>
          <w14:textFill>
            <w14:solidFill>
              <w14:srgbClr w14:val="000000">
                <w14:alpha w14:val="100000"/>
              </w14:srgbClr>
            </w14:solidFill>
          </w14:textFill>
        </w:rPr>
        <w:t>|</w:t>
      </w:r>
      <w:r w:rsidRPr="006E4BFC">
        <w:t xml:space="preserve">% in 2028 and </w:t>
      </w:r>
      <w:r w:rsidR="00D62519" w:rsidRPr="00CD40AA">
        <w:rPr>
          <w:color w:val="000000"/>
          <w:w w:val="15"/>
          <w:shd w:val="solid" w:color="000000" w:fill="000000"/>
          <w:fitText w:val="-20" w:id="-961821944"/>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1944"/>
          <w14:textFill>
            <w14:solidFill>
              <w14:srgbClr w14:val="000000">
                <w14:alpha w14:val="100000"/>
              </w14:srgbClr>
            </w14:solidFill>
          </w14:textFill>
        </w:rPr>
        <w:t>|</w:t>
      </w:r>
      <w:r w:rsidRPr="006E4BFC">
        <w:t>% in 2029) considering the lack of evidence for combination talazoparib + enzalutamide versus sequential treatment. Further, that age of the population meant that the use of combination therapy, with its increased toxicity, may not be desirable. The PSCR provided revised estimates in which the assumed uptake rates were increased.</w:t>
      </w:r>
    </w:p>
    <w:p w14:paraId="4C3DF80A" w14:textId="5BD71479" w:rsidR="00170BFC" w:rsidRPr="006E4BFC" w:rsidRDefault="003F7A1D" w:rsidP="00EC6441">
      <w:pPr>
        <w:pStyle w:val="3-BodyText"/>
        <w:numPr>
          <w:ilvl w:val="0"/>
          <w:numId w:val="7"/>
        </w:numPr>
      </w:pPr>
      <w:r w:rsidRPr="006E4BFC">
        <w:t>The cost of talazoparib treatment per patient was likely underestimated as</w:t>
      </w:r>
      <w:r w:rsidR="005F6D03" w:rsidRPr="006E4BFC">
        <w:t>: i)</w:t>
      </w:r>
      <w:r w:rsidR="00C71977">
        <w:t> </w:t>
      </w:r>
      <w:r w:rsidR="005F6D03" w:rsidRPr="006E4BFC">
        <w:t xml:space="preserve">median TTD was estimated from extrapolated Kaplan-Meier TTD in the </w:t>
      </w:r>
      <w:r w:rsidR="005F6D03" w:rsidRPr="00565C8B">
        <w:rPr>
          <w:i/>
          <w:iCs/>
        </w:rPr>
        <w:t>BRCA1/2</w:t>
      </w:r>
      <w:r w:rsidR="005F6D03" w:rsidRPr="006E4BFC">
        <w:t xml:space="preserve"> subgroup of TALAPRO-2</w:t>
      </w:r>
      <w:r w:rsidRPr="006E4BFC">
        <w:t xml:space="preserve">. It would have been more appropriate to apply mean TTD. In addition, the median TTD had </w:t>
      </w:r>
      <w:r w:rsidR="005F6D03" w:rsidRPr="006E4BFC">
        <w:t xml:space="preserve">an unclear source and </w:t>
      </w:r>
      <w:r w:rsidRPr="006E4BFC">
        <w:t xml:space="preserve">was </w:t>
      </w:r>
      <w:r w:rsidR="005F6D03" w:rsidRPr="006E4BFC">
        <w:t xml:space="preserve">considerably </w:t>
      </w:r>
      <w:r w:rsidR="000F6D56" w:rsidRPr="006E4BFC">
        <w:t xml:space="preserve">shorter </w:t>
      </w:r>
      <w:r w:rsidRPr="006E4BFC">
        <w:t>than</w:t>
      </w:r>
      <w:r w:rsidR="000F6D56" w:rsidRPr="006E4BFC">
        <w:t xml:space="preserve"> </w:t>
      </w:r>
      <w:r w:rsidR="005F6D03" w:rsidRPr="006E4BFC">
        <w:t>rPFS (TTD median=22</w:t>
      </w:r>
      <w:r w:rsidR="000F6D56" w:rsidRPr="006E4BFC">
        <w:t xml:space="preserve"> months</w:t>
      </w:r>
      <w:r w:rsidR="005F6D03" w:rsidRPr="006E4BFC">
        <w:t xml:space="preserve"> vs. rPFS median=33 months)</w:t>
      </w:r>
      <w:r w:rsidRPr="006E4BFC">
        <w:t>. This led to reduced medication consumption and consequently lower PBS/RPBS costs</w:t>
      </w:r>
      <w:r w:rsidR="005F6D03" w:rsidRPr="006E4BFC">
        <w:t xml:space="preserve">; ii) talazoparib TTD was not </w:t>
      </w:r>
      <w:r w:rsidR="000F6D56" w:rsidRPr="006E4BFC">
        <w:t xml:space="preserve">consistent </w:t>
      </w:r>
      <w:r w:rsidR="005F6D03" w:rsidRPr="006E4BFC">
        <w:t xml:space="preserve">with the time to initiation of subsequent treatments, which were included based on time to disease progression. Additionally, the lack of </w:t>
      </w:r>
      <w:r w:rsidR="005744F4" w:rsidRPr="006E4BFC">
        <w:t xml:space="preserve">a </w:t>
      </w:r>
      <w:r w:rsidR="005F6D03" w:rsidRPr="006E4BFC">
        <w:t>trial-reported talazoparib dose intensity may contribute to the aforementioned uncertainties</w:t>
      </w:r>
      <w:bookmarkEnd w:id="91"/>
      <w:r w:rsidR="00170BFC" w:rsidRPr="006E4BFC">
        <w:t>.</w:t>
      </w:r>
      <w:r w:rsidR="00F13554" w:rsidRPr="006E4BFC">
        <w:t xml:space="preserve"> The PSCR provided revised estimates in which the mean TTD of 27.5 months, with treatment waning assumptions, was applied. </w:t>
      </w:r>
    </w:p>
    <w:p w14:paraId="7DD00F9E" w14:textId="4B1A8171" w:rsidR="005F6D03" w:rsidRPr="006E4BFC" w:rsidRDefault="005F6D03" w:rsidP="00EC6441">
      <w:pPr>
        <w:pStyle w:val="ListParagraph"/>
        <w:numPr>
          <w:ilvl w:val="0"/>
          <w:numId w:val="7"/>
        </w:numPr>
        <w:rPr>
          <w:rFonts w:ascii="Calibri" w:hAnsi="Calibri" w:cs="Times New Roman"/>
          <w:snapToGrid/>
          <w:lang w:eastAsia="en-GB"/>
        </w:rPr>
      </w:pPr>
      <w:bookmarkStart w:id="93" w:name="_Hlk153892303"/>
      <w:bookmarkEnd w:id="92"/>
      <w:r w:rsidRPr="006E4BFC">
        <w:rPr>
          <w:rFonts w:ascii="Calibri" w:hAnsi="Calibri" w:cs="Times New Roman"/>
          <w:snapToGrid/>
          <w:lang w:eastAsia="en-GB"/>
        </w:rPr>
        <w:t xml:space="preserve">The assumption </w:t>
      </w:r>
      <w:r w:rsidR="00F13554" w:rsidRPr="006E4BFC">
        <w:rPr>
          <w:rFonts w:ascii="Calibri" w:hAnsi="Calibri" w:cs="Times New Roman"/>
          <w:snapToGrid/>
          <w:lang w:eastAsia="en-GB"/>
        </w:rPr>
        <w:t>that of the 71.3% of patients who would receive</w:t>
      </w:r>
      <w:r w:rsidRPr="006E4BFC">
        <w:rPr>
          <w:rFonts w:ascii="Calibri" w:hAnsi="Calibri" w:cs="Times New Roman"/>
          <w:snapToGrid/>
          <w:lang w:eastAsia="en-GB"/>
        </w:rPr>
        <w:t xml:space="preserve"> subsequent therapy </w:t>
      </w:r>
      <w:r w:rsidR="00F13554" w:rsidRPr="006E4BFC">
        <w:rPr>
          <w:rFonts w:ascii="Calibri" w:hAnsi="Calibri" w:cs="Times New Roman"/>
          <w:snapToGrid/>
          <w:lang w:eastAsia="en-GB"/>
        </w:rPr>
        <w:t xml:space="preserve">following enzalutamide monotherapy, </w:t>
      </w:r>
      <w:r w:rsidRPr="006E4BFC">
        <w:rPr>
          <w:rFonts w:ascii="Calibri" w:hAnsi="Calibri" w:cs="Times New Roman"/>
          <w:snapToGrid/>
          <w:lang w:eastAsia="en-GB"/>
        </w:rPr>
        <w:t xml:space="preserve">100% </w:t>
      </w:r>
      <w:r w:rsidR="00F13554" w:rsidRPr="006E4BFC">
        <w:rPr>
          <w:rFonts w:ascii="Calibri" w:hAnsi="Calibri" w:cs="Times New Roman"/>
          <w:snapToGrid/>
          <w:lang w:eastAsia="en-GB"/>
        </w:rPr>
        <w:t xml:space="preserve">would receive </w:t>
      </w:r>
      <w:r w:rsidRPr="006E4BFC">
        <w:rPr>
          <w:rFonts w:ascii="Calibri" w:hAnsi="Calibri" w:cs="Times New Roman"/>
          <w:snapToGrid/>
          <w:lang w:eastAsia="en-GB"/>
        </w:rPr>
        <w:t>olaparib monotherapy may have resulted in an overestimation of cost-offsets and an underestimation of the financial impact</w:t>
      </w:r>
      <w:bookmarkEnd w:id="93"/>
      <w:r w:rsidRPr="006E4BFC">
        <w:rPr>
          <w:rFonts w:ascii="Calibri" w:hAnsi="Calibri" w:cs="Times New Roman"/>
          <w:snapToGrid/>
          <w:lang w:eastAsia="en-GB"/>
        </w:rPr>
        <w:t xml:space="preserve">. </w:t>
      </w:r>
      <w:r w:rsidR="00E84FC7" w:rsidRPr="006E4BFC">
        <w:t>As discussed, some patients may choose alternate treatments and some patients may not be well enough to receive subsequent active treatment.</w:t>
      </w:r>
    </w:p>
    <w:p w14:paraId="31F415AA" w14:textId="346B9A28" w:rsidR="005F6D03" w:rsidRPr="006E4BFC" w:rsidRDefault="005F6D03" w:rsidP="00EC6441">
      <w:pPr>
        <w:pStyle w:val="ListParagraph"/>
        <w:numPr>
          <w:ilvl w:val="0"/>
          <w:numId w:val="7"/>
        </w:numPr>
        <w:rPr>
          <w:rFonts w:ascii="Calibri" w:hAnsi="Calibri" w:cs="Times New Roman"/>
          <w:snapToGrid/>
          <w:lang w:eastAsia="en-GB"/>
        </w:rPr>
      </w:pPr>
      <w:bookmarkStart w:id="94" w:name="_Hlk153892374"/>
      <w:r w:rsidRPr="006E4BFC">
        <w:rPr>
          <w:rFonts w:ascii="Calibri" w:hAnsi="Calibri" w:cs="Times New Roman"/>
          <w:snapToGrid/>
          <w:lang w:eastAsia="en-GB"/>
        </w:rPr>
        <w:t xml:space="preserve">The prevalence of patients with </w:t>
      </w:r>
      <w:r w:rsidRPr="006E4BFC">
        <w:rPr>
          <w:rFonts w:ascii="Calibri" w:hAnsi="Calibri" w:cs="Times New Roman"/>
          <w:i/>
          <w:iCs/>
          <w:snapToGrid/>
          <w:lang w:eastAsia="en-GB"/>
        </w:rPr>
        <w:t>BRCA1/2</w:t>
      </w:r>
      <w:r w:rsidRPr="006E4BFC">
        <w:rPr>
          <w:rFonts w:ascii="Calibri" w:hAnsi="Calibri" w:cs="Times New Roman"/>
          <w:snapToGrid/>
          <w:lang w:eastAsia="en-GB"/>
        </w:rPr>
        <w:t xml:space="preserve"> pathogenic variants </w:t>
      </w:r>
      <w:r w:rsidR="005744F4" w:rsidRPr="006E4BFC">
        <w:rPr>
          <w:rFonts w:ascii="Calibri" w:hAnsi="Calibri" w:cs="Times New Roman"/>
          <w:snapToGrid/>
          <w:lang w:eastAsia="en-GB"/>
        </w:rPr>
        <w:t xml:space="preserve">was </w:t>
      </w:r>
      <w:r w:rsidRPr="006E4BFC">
        <w:rPr>
          <w:rFonts w:ascii="Calibri" w:hAnsi="Calibri" w:cs="Times New Roman"/>
          <w:snapToGrid/>
          <w:lang w:eastAsia="en-GB"/>
        </w:rPr>
        <w:t xml:space="preserve">assumed to grow </w:t>
      </w:r>
      <w:r w:rsidR="00F13554" w:rsidRPr="006E4BFC">
        <w:rPr>
          <w:rFonts w:ascii="Calibri" w:hAnsi="Calibri" w:cs="Times New Roman"/>
          <w:snapToGrid/>
          <w:lang w:eastAsia="en-GB"/>
        </w:rPr>
        <w:t xml:space="preserve">from 7% to 10.5% over the estimates </w:t>
      </w:r>
      <w:r w:rsidRPr="006E4BFC">
        <w:rPr>
          <w:rFonts w:ascii="Calibri" w:hAnsi="Calibri" w:cs="Times New Roman"/>
          <w:snapToGrid/>
          <w:lang w:eastAsia="en-GB"/>
        </w:rPr>
        <w:t>due to the availability of PARP inhibitors</w:t>
      </w:r>
      <w:r w:rsidR="005744F4" w:rsidRPr="006E4BFC">
        <w:rPr>
          <w:rFonts w:ascii="Calibri" w:hAnsi="Calibri" w:cs="Times New Roman"/>
          <w:snapToGrid/>
          <w:lang w:eastAsia="en-GB"/>
        </w:rPr>
        <w:t xml:space="preserve"> which would drive genetic testing rates. </w:t>
      </w:r>
      <w:r w:rsidR="00F13554" w:rsidRPr="006E4BFC">
        <w:rPr>
          <w:rFonts w:ascii="Calibri" w:hAnsi="Calibri" w:cs="Times New Roman"/>
          <w:snapToGrid/>
          <w:lang w:eastAsia="en-GB"/>
        </w:rPr>
        <w:t xml:space="preserve">The PSCR provided revised estimates which applies a constant 7% prevalence rate of </w:t>
      </w:r>
      <w:r w:rsidR="00F13554" w:rsidRPr="006E4BFC">
        <w:rPr>
          <w:rFonts w:ascii="Calibri" w:hAnsi="Calibri" w:cs="Times New Roman"/>
          <w:i/>
          <w:iCs/>
          <w:snapToGrid/>
          <w:lang w:eastAsia="en-GB"/>
        </w:rPr>
        <w:t>BRCA1/2</w:t>
      </w:r>
      <w:r w:rsidR="00F13554" w:rsidRPr="006E4BFC">
        <w:rPr>
          <w:rFonts w:ascii="Calibri" w:hAnsi="Calibri" w:cs="Times New Roman"/>
          <w:snapToGrid/>
          <w:lang w:eastAsia="en-GB"/>
        </w:rPr>
        <w:t xml:space="preserve"> variants.</w:t>
      </w:r>
    </w:p>
    <w:bookmarkEnd w:id="94"/>
    <w:p w14:paraId="7590E963" w14:textId="2AF823D8" w:rsidR="00EC2FC5" w:rsidRDefault="00F13554" w:rsidP="00EC2FC5">
      <w:pPr>
        <w:pStyle w:val="3-BodyText"/>
      </w:pPr>
      <w:r w:rsidRPr="006E4BFC">
        <w:t xml:space="preserve">The PSCR provided revised financial estimates, with the inputs amended as outlined in </w:t>
      </w:r>
      <w:r w:rsidRPr="006E4BFC">
        <w:fldChar w:fldCharType="begin" w:fldLock="1"/>
      </w:r>
      <w:r w:rsidRPr="006E4BFC">
        <w:instrText xml:space="preserve"> REF _Ref158981142 \h  \* MERGEFORMAT </w:instrText>
      </w:r>
      <w:r w:rsidRPr="006E4BFC">
        <w:fldChar w:fldCharType="separate"/>
      </w:r>
      <w:r w:rsidRPr="006E4BFC">
        <w:t xml:space="preserve">Table </w:t>
      </w:r>
      <w:r w:rsidRPr="006E4BFC">
        <w:rPr>
          <w:noProof/>
        </w:rPr>
        <w:t>17</w:t>
      </w:r>
      <w:r w:rsidRPr="006E4BFC">
        <w:fldChar w:fldCharType="end"/>
      </w:r>
      <w:r w:rsidRPr="006E4BFC">
        <w:t xml:space="preserve">. The changes resulted in a net cost to the government of </w:t>
      </w:r>
      <w:r w:rsidR="000F3532" w:rsidRPr="000F3532">
        <w:t>$50 million to &lt;</w:t>
      </w:r>
      <w:r w:rsidR="00C71977">
        <w:t> </w:t>
      </w:r>
      <w:r w:rsidR="000F3532" w:rsidRPr="000F3532">
        <w:t>$60 million</w:t>
      </w:r>
      <w:r w:rsidRPr="006E4BFC">
        <w:t xml:space="preserve"> over the first 6 years of listing, as compared to a cost of </w:t>
      </w:r>
      <w:r w:rsidR="00EA59EC" w:rsidRPr="00EA59EC">
        <w:t>$50 million to &lt;</w:t>
      </w:r>
      <w:r w:rsidR="00C71977">
        <w:t> </w:t>
      </w:r>
      <w:r w:rsidR="00EA59EC" w:rsidRPr="00EA59EC">
        <w:t>$60 million</w:t>
      </w:r>
      <w:r w:rsidRPr="006E4BFC">
        <w:t xml:space="preserve"> in the submission.</w:t>
      </w:r>
    </w:p>
    <w:p w14:paraId="48E6B154" w14:textId="5B4EA066" w:rsidR="00EC2FC5" w:rsidRPr="000B725B" w:rsidRDefault="00EC2FC5" w:rsidP="00A6757C">
      <w:pPr>
        <w:pStyle w:val="TableHeading0"/>
        <w:keepLines w:val="0"/>
        <w:spacing w:before="0" w:after="0" w:line="240" w:lineRule="auto"/>
      </w:pPr>
      <w:bookmarkStart w:id="95" w:name="_Ref158981142"/>
      <w:r>
        <w:lastRenderedPageBreak/>
        <w:t xml:space="preserve">Table </w:t>
      </w:r>
      <w:fldSimple w:instr=" SEQ Table \* ARABIC " w:fldLock="1">
        <w:r w:rsidR="00A01609">
          <w:rPr>
            <w:noProof/>
          </w:rPr>
          <w:t>17</w:t>
        </w:r>
      </w:fldSimple>
      <w:bookmarkEnd w:id="95"/>
      <w:r>
        <w:t>: Revised utilisation and financial impact estimate inputs as per the 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Revised utilisation and financial impact estimate inputs as per the PSCR"/>
      </w:tblPr>
      <w:tblGrid>
        <w:gridCol w:w="2024"/>
        <w:gridCol w:w="999"/>
        <w:gridCol w:w="999"/>
        <w:gridCol w:w="999"/>
        <w:gridCol w:w="999"/>
        <w:gridCol w:w="999"/>
        <w:gridCol w:w="999"/>
        <w:gridCol w:w="999"/>
      </w:tblGrid>
      <w:tr w:rsidR="00EC2FC5" w:rsidRPr="005A293B" w14:paraId="323811D0" w14:textId="77777777">
        <w:trPr>
          <w:tblHeader/>
        </w:trPr>
        <w:tc>
          <w:tcPr>
            <w:tcW w:w="1122" w:type="pct"/>
            <w:shd w:val="clear" w:color="auto" w:fill="auto"/>
            <w:vAlign w:val="center"/>
          </w:tcPr>
          <w:p w14:paraId="552DC5D2" w14:textId="77777777" w:rsidR="00EC2FC5" w:rsidRPr="005A293B" w:rsidRDefault="00EC2FC5" w:rsidP="00A6757C">
            <w:pPr>
              <w:pStyle w:val="TableText0"/>
              <w:jc w:val="center"/>
              <w:rPr>
                <w:b/>
                <w:bCs w:val="0"/>
              </w:rPr>
            </w:pPr>
          </w:p>
        </w:tc>
        <w:tc>
          <w:tcPr>
            <w:tcW w:w="554" w:type="pct"/>
            <w:shd w:val="clear" w:color="auto" w:fill="auto"/>
            <w:vAlign w:val="center"/>
          </w:tcPr>
          <w:p w14:paraId="580AEF1E" w14:textId="77777777" w:rsidR="00EC2FC5" w:rsidRPr="005A293B" w:rsidRDefault="00EC2FC5" w:rsidP="00A6757C">
            <w:pPr>
              <w:pStyle w:val="TableText0"/>
              <w:jc w:val="center"/>
              <w:rPr>
                <w:b/>
                <w:bCs w:val="0"/>
              </w:rPr>
            </w:pPr>
            <w:r w:rsidRPr="005A293B">
              <w:rPr>
                <w:rFonts w:cs="Times New Roman"/>
                <w:b/>
                <w:sz w:val="19"/>
                <w:szCs w:val="19"/>
                <w:lang w:eastAsia="en-GB"/>
              </w:rPr>
              <w:t>2024</w:t>
            </w:r>
          </w:p>
        </w:tc>
        <w:tc>
          <w:tcPr>
            <w:tcW w:w="554" w:type="pct"/>
            <w:shd w:val="clear" w:color="auto" w:fill="auto"/>
            <w:vAlign w:val="center"/>
          </w:tcPr>
          <w:p w14:paraId="368425F8" w14:textId="77777777" w:rsidR="00EC2FC5" w:rsidRPr="005A293B" w:rsidRDefault="00EC2FC5" w:rsidP="00A6757C">
            <w:pPr>
              <w:pStyle w:val="TableText0"/>
              <w:jc w:val="center"/>
              <w:rPr>
                <w:b/>
                <w:bCs w:val="0"/>
              </w:rPr>
            </w:pPr>
            <w:r w:rsidRPr="005A293B">
              <w:rPr>
                <w:rFonts w:cs="Times New Roman"/>
                <w:b/>
                <w:sz w:val="19"/>
                <w:szCs w:val="19"/>
                <w:lang w:eastAsia="en-GB"/>
              </w:rPr>
              <w:t>2025</w:t>
            </w:r>
          </w:p>
        </w:tc>
        <w:tc>
          <w:tcPr>
            <w:tcW w:w="554" w:type="pct"/>
            <w:shd w:val="clear" w:color="auto" w:fill="auto"/>
            <w:vAlign w:val="center"/>
          </w:tcPr>
          <w:p w14:paraId="06B16D4B" w14:textId="77777777" w:rsidR="00EC2FC5" w:rsidRPr="005A293B" w:rsidRDefault="00EC2FC5" w:rsidP="00A6757C">
            <w:pPr>
              <w:pStyle w:val="TableText0"/>
              <w:jc w:val="center"/>
              <w:rPr>
                <w:b/>
                <w:bCs w:val="0"/>
              </w:rPr>
            </w:pPr>
            <w:r w:rsidRPr="005A293B">
              <w:rPr>
                <w:rFonts w:cs="Times New Roman"/>
                <w:b/>
                <w:sz w:val="19"/>
                <w:szCs w:val="19"/>
                <w:lang w:eastAsia="en-GB"/>
              </w:rPr>
              <w:t>2026</w:t>
            </w:r>
          </w:p>
        </w:tc>
        <w:tc>
          <w:tcPr>
            <w:tcW w:w="554" w:type="pct"/>
            <w:shd w:val="clear" w:color="auto" w:fill="auto"/>
            <w:vAlign w:val="center"/>
          </w:tcPr>
          <w:p w14:paraId="5FBA93B0" w14:textId="77777777" w:rsidR="00EC2FC5" w:rsidRPr="005A293B" w:rsidRDefault="00EC2FC5" w:rsidP="00A6757C">
            <w:pPr>
              <w:pStyle w:val="TableText0"/>
              <w:jc w:val="center"/>
              <w:rPr>
                <w:b/>
                <w:bCs w:val="0"/>
              </w:rPr>
            </w:pPr>
            <w:r w:rsidRPr="005A293B">
              <w:rPr>
                <w:rFonts w:cs="Times New Roman"/>
                <w:b/>
                <w:sz w:val="19"/>
                <w:szCs w:val="19"/>
                <w:lang w:eastAsia="en-GB"/>
              </w:rPr>
              <w:t>2027</w:t>
            </w:r>
          </w:p>
        </w:tc>
        <w:tc>
          <w:tcPr>
            <w:tcW w:w="554" w:type="pct"/>
            <w:shd w:val="clear" w:color="auto" w:fill="auto"/>
            <w:vAlign w:val="center"/>
          </w:tcPr>
          <w:p w14:paraId="13C09EAE" w14:textId="77777777" w:rsidR="00EC2FC5" w:rsidRPr="005A293B" w:rsidRDefault="00EC2FC5" w:rsidP="00A6757C">
            <w:pPr>
              <w:pStyle w:val="TableText0"/>
              <w:jc w:val="center"/>
              <w:rPr>
                <w:b/>
                <w:bCs w:val="0"/>
              </w:rPr>
            </w:pPr>
            <w:r w:rsidRPr="005A293B">
              <w:rPr>
                <w:rFonts w:cs="Times New Roman"/>
                <w:b/>
                <w:sz w:val="19"/>
                <w:szCs w:val="19"/>
                <w:lang w:eastAsia="en-GB"/>
              </w:rPr>
              <w:t>2028</w:t>
            </w:r>
          </w:p>
        </w:tc>
        <w:tc>
          <w:tcPr>
            <w:tcW w:w="554" w:type="pct"/>
            <w:vAlign w:val="center"/>
          </w:tcPr>
          <w:p w14:paraId="5F944796" w14:textId="77777777" w:rsidR="00EC2FC5" w:rsidRPr="005A293B" w:rsidRDefault="00EC2FC5" w:rsidP="00A6757C">
            <w:pPr>
              <w:pStyle w:val="TableText0"/>
              <w:jc w:val="center"/>
              <w:rPr>
                <w:b/>
                <w:bCs w:val="0"/>
              </w:rPr>
            </w:pPr>
            <w:r w:rsidRPr="005A293B">
              <w:rPr>
                <w:rFonts w:cs="Times New Roman"/>
                <w:b/>
                <w:sz w:val="19"/>
                <w:szCs w:val="19"/>
                <w:lang w:eastAsia="en-GB"/>
              </w:rPr>
              <w:t>2029</w:t>
            </w:r>
          </w:p>
        </w:tc>
        <w:tc>
          <w:tcPr>
            <w:tcW w:w="554" w:type="pct"/>
          </w:tcPr>
          <w:p w14:paraId="568B1F2E" w14:textId="77777777" w:rsidR="00EC2FC5" w:rsidRPr="005A293B" w:rsidRDefault="00EC2FC5" w:rsidP="00A6757C">
            <w:pPr>
              <w:pStyle w:val="TableText0"/>
              <w:jc w:val="center"/>
              <w:rPr>
                <w:b/>
                <w:bCs w:val="0"/>
              </w:rPr>
            </w:pPr>
            <w:r w:rsidRPr="005A293B">
              <w:rPr>
                <w:rFonts w:cs="Times New Roman"/>
                <w:b/>
                <w:sz w:val="19"/>
                <w:szCs w:val="19"/>
                <w:lang w:eastAsia="en-GB"/>
              </w:rPr>
              <w:t>Total</w:t>
            </w:r>
          </w:p>
        </w:tc>
      </w:tr>
      <w:tr w:rsidR="00EC2FC5" w:rsidRPr="005A293B" w14:paraId="7FD59FDA" w14:textId="77777777">
        <w:tc>
          <w:tcPr>
            <w:tcW w:w="5000" w:type="pct"/>
            <w:gridSpan w:val="8"/>
            <w:shd w:val="clear" w:color="auto" w:fill="auto"/>
            <w:vAlign w:val="center"/>
          </w:tcPr>
          <w:p w14:paraId="2C1013D5" w14:textId="77777777" w:rsidR="00EC2FC5" w:rsidRPr="008C0BA8" w:rsidRDefault="00EC2FC5" w:rsidP="00A6757C">
            <w:pPr>
              <w:pStyle w:val="TableText0"/>
              <w:rPr>
                <w:b/>
                <w:bCs w:val="0"/>
                <w:color w:val="000000"/>
                <w:szCs w:val="20"/>
              </w:rPr>
            </w:pPr>
            <w:r w:rsidRPr="008C0BA8">
              <w:rPr>
                <w:b/>
                <w:bCs w:val="0"/>
                <w:color w:val="000000"/>
                <w:szCs w:val="20"/>
              </w:rPr>
              <w:t>Submission based estimates</w:t>
            </w:r>
          </w:p>
        </w:tc>
      </w:tr>
      <w:tr w:rsidR="00EC2FC5" w:rsidRPr="005A293B" w14:paraId="6CF28AEE" w14:textId="77777777">
        <w:tc>
          <w:tcPr>
            <w:tcW w:w="1122" w:type="pct"/>
            <w:shd w:val="clear" w:color="auto" w:fill="auto"/>
            <w:vAlign w:val="center"/>
          </w:tcPr>
          <w:p w14:paraId="4162675B" w14:textId="77777777" w:rsidR="00EC2FC5" w:rsidRPr="008C0BA8" w:rsidRDefault="00EC2FC5" w:rsidP="00A6757C">
            <w:pPr>
              <w:pStyle w:val="TableText0"/>
              <w:rPr>
                <w:szCs w:val="20"/>
              </w:rPr>
            </w:pPr>
            <w:r w:rsidRPr="008C0BA8">
              <w:rPr>
                <w:szCs w:val="20"/>
              </w:rPr>
              <w:t>Growth rate of the NHA naïve mCRPC population</w:t>
            </w:r>
          </w:p>
        </w:tc>
        <w:tc>
          <w:tcPr>
            <w:tcW w:w="554" w:type="pct"/>
            <w:shd w:val="clear" w:color="auto" w:fill="auto"/>
            <w:vAlign w:val="center"/>
          </w:tcPr>
          <w:p w14:paraId="7723DCF4" w14:textId="77777777" w:rsidR="00EC2FC5" w:rsidRPr="008C0BA8" w:rsidRDefault="00EC2FC5" w:rsidP="00A6757C">
            <w:pPr>
              <w:pStyle w:val="TableText0"/>
              <w:jc w:val="center"/>
              <w:rPr>
                <w:szCs w:val="20"/>
              </w:rPr>
            </w:pPr>
            <w:r w:rsidRPr="008C0BA8">
              <w:rPr>
                <w:szCs w:val="20"/>
              </w:rPr>
              <w:t>-0.5%</w:t>
            </w:r>
          </w:p>
        </w:tc>
        <w:tc>
          <w:tcPr>
            <w:tcW w:w="554" w:type="pct"/>
            <w:shd w:val="clear" w:color="auto" w:fill="auto"/>
            <w:vAlign w:val="center"/>
          </w:tcPr>
          <w:p w14:paraId="35E0871C" w14:textId="77777777" w:rsidR="00EC2FC5" w:rsidRPr="008C0BA8" w:rsidRDefault="00EC2FC5" w:rsidP="00A6757C">
            <w:pPr>
              <w:pStyle w:val="TableText0"/>
              <w:jc w:val="center"/>
              <w:rPr>
                <w:szCs w:val="20"/>
              </w:rPr>
            </w:pPr>
            <w:r w:rsidRPr="008C0BA8">
              <w:rPr>
                <w:szCs w:val="20"/>
              </w:rPr>
              <w:t>-0.5%</w:t>
            </w:r>
          </w:p>
        </w:tc>
        <w:tc>
          <w:tcPr>
            <w:tcW w:w="554" w:type="pct"/>
            <w:shd w:val="clear" w:color="auto" w:fill="auto"/>
            <w:vAlign w:val="center"/>
          </w:tcPr>
          <w:p w14:paraId="01AC0A6D" w14:textId="77777777" w:rsidR="00EC2FC5" w:rsidRPr="008C0BA8" w:rsidRDefault="00EC2FC5" w:rsidP="00A6757C">
            <w:pPr>
              <w:pStyle w:val="TableText0"/>
              <w:jc w:val="center"/>
              <w:rPr>
                <w:szCs w:val="20"/>
              </w:rPr>
            </w:pPr>
            <w:r w:rsidRPr="008C0BA8">
              <w:rPr>
                <w:szCs w:val="20"/>
              </w:rPr>
              <w:t>-1.0%</w:t>
            </w:r>
          </w:p>
        </w:tc>
        <w:tc>
          <w:tcPr>
            <w:tcW w:w="554" w:type="pct"/>
            <w:shd w:val="clear" w:color="auto" w:fill="auto"/>
            <w:vAlign w:val="center"/>
          </w:tcPr>
          <w:p w14:paraId="4018B57D" w14:textId="77777777" w:rsidR="00EC2FC5" w:rsidRPr="008C0BA8" w:rsidRDefault="00EC2FC5" w:rsidP="00A6757C">
            <w:pPr>
              <w:pStyle w:val="TableText0"/>
              <w:jc w:val="center"/>
              <w:rPr>
                <w:szCs w:val="20"/>
              </w:rPr>
            </w:pPr>
            <w:r w:rsidRPr="008C0BA8">
              <w:rPr>
                <w:szCs w:val="20"/>
              </w:rPr>
              <w:t>-1.5%</w:t>
            </w:r>
          </w:p>
        </w:tc>
        <w:tc>
          <w:tcPr>
            <w:tcW w:w="554" w:type="pct"/>
            <w:shd w:val="clear" w:color="auto" w:fill="auto"/>
            <w:vAlign w:val="center"/>
          </w:tcPr>
          <w:p w14:paraId="0EF7579B" w14:textId="77777777" w:rsidR="00EC2FC5" w:rsidRPr="008C0BA8" w:rsidRDefault="00EC2FC5" w:rsidP="00A6757C">
            <w:pPr>
              <w:pStyle w:val="TableText0"/>
              <w:jc w:val="center"/>
              <w:rPr>
                <w:szCs w:val="20"/>
              </w:rPr>
            </w:pPr>
            <w:r w:rsidRPr="008C0BA8">
              <w:rPr>
                <w:szCs w:val="20"/>
              </w:rPr>
              <w:t>-2.0%</w:t>
            </w:r>
          </w:p>
        </w:tc>
        <w:tc>
          <w:tcPr>
            <w:tcW w:w="554" w:type="pct"/>
            <w:vAlign w:val="center"/>
          </w:tcPr>
          <w:p w14:paraId="41E87B99" w14:textId="77777777" w:rsidR="00EC2FC5" w:rsidRPr="008C0BA8" w:rsidRDefault="00EC2FC5" w:rsidP="00A6757C">
            <w:pPr>
              <w:pStyle w:val="TableText0"/>
              <w:jc w:val="center"/>
              <w:rPr>
                <w:szCs w:val="20"/>
              </w:rPr>
            </w:pPr>
            <w:r w:rsidRPr="008C0BA8">
              <w:rPr>
                <w:szCs w:val="20"/>
              </w:rPr>
              <w:t>-2.0%</w:t>
            </w:r>
          </w:p>
        </w:tc>
        <w:tc>
          <w:tcPr>
            <w:tcW w:w="554" w:type="pct"/>
            <w:vMerge w:val="restart"/>
            <w:vAlign w:val="center"/>
          </w:tcPr>
          <w:p w14:paraId="0EDA6F75" w14:textId="77777777" w:rsidR="00EC2FC5" w:rsidRPr="008C0BA8" w:rsidRDefault="00EC2FC5" w:rsidP="00A6757C">
            <w:pPr>
              <w:pStyle w:val="TableText0"/>
              <w:jc w:val="center"/>
              <w:rPr>
                <w:szCs w:val="20"/>
              </w:rPr>
            </w:pPr>
          </w:p>
        </w:tc>
      </w:tr>
      <w:tr w:rsidR="00EC2FC5" w:rsidRPr="005A293B" w14:paraId="0765759B" w14:textId="77777777">
        <w:tc>
          <w:tcPr>
            <w:tcW w:w="1122" w:type="pct"/>
            <w:shd w:val="clear" w:color="auto" w:fill="auto"/>
            <w:vAlign w:val="center"/>
          </w:tcPr>
          <w:p w14:paraId="2FC8CBD7" w14:textId="77777777" w:rsidR="00EC2FC5" w:rsidRPr="008C0BA8" w:rsidRDefault="00EC2FC5" w:rsidP="00A6757C">
            <w:pPr>
              <w:pStyle w:val="TableText0"/>
              <w:rPr>
                <w:szCs w:val="20"/>
              </w:rPr>
            </w:pPr>
            <w:r w:rsidRPr="008C0BA8">
              <w:rPr>
                <w:i/>
                <w:iCs/>
                <w:szCs w:val="20"/>
              </w:rPr>
              <w:t>BRCA1/2</w:t>
            </w:r>
            <w:r w:rsidRPr="008C0BA8">
              <w:rPr>
                <w:szCs w:val="20"/>
              </w:rPr>
              <w:t xml:space="preserve"> prevalence rate</w:t>
            </w:r>
          </w:p>
        </w:tc>
        <w:tc>
          <w:tcPr>
            <w:tcW w:w="554" w:type="pct"/>
            <w:shd w:val="clear" w:color="auto" w:fill="auto"/>
            <w:vAlign w:val="center"/>
          </w:tcPr>
          <w:p w14:paraId="4540C8DA" w14:textId="77777777" w:rsidR="00EC2FC5" w:rsidRPr="008C0BA8" w:rsidRDefault="00EC2FC5" w:rsidP="00A6757C">
            <w:pPr>
              <w:pStyle w:val="TableText0"/>
              <w:jc w:val="center"/>
              <w:rPr>
                <w:szCs w:val="20"/>
              </w:rPr>
            </w:pPr>
            <w:r w:rsidRPr="008C0BA8">
              <w:rPr>
                <w:szCs w:val="20"/>
              </w:rPr>
              <w:t>7.0%</w:t>
            </w:r>
          </w:p>
        </w:tc>
        <w:tc>
          <w:tcPr>
            <w:tcW w:w="554" w:type="pct"/>
            <w:shd w:val="clear" w:color="auto" w:fill="auto"/>
            <w:vAlign w:val="center"/>
          </w:tcPr>
          <w:p w14:paraId="6166338D" w14:textId="77777777" w:rsidR="00EC2FC5" w:rsidRPr="008C0BA8" w:rsidRDefault="00EC2FC5" w:rsidP="00A6757C">
            <w:pPr>
              <w:pStyle w:val="TableText0"/>
              <w:jc w:val="center"/>
              <w:rPr>
                <w:szCs w:val="20"/>
              </w:rPr>
            </w:pPr>
            <w:r w:rsidRPr="008C0BA8">
              <w:rPr>
                <w:szCs w:val="20"/>
              </w:rPr>
              <w:t>8.0%</w:t>
            </w:r>
          </w:p>
        </w:tc>
        <w:tc>
          <w:tcPr>
            <w:tcW w:w="554" w:type="pct"/>
            <w:shd w:val="clear" w:color="auto" w:fill="auto"/>
            <w:vAlign w:val="center"/>
          </w:tcPr>
          <w:p w14:paraId="28D498B1" w14:textId="77777777" w:rsidR="00EC2FC5" w:rsidRPr="008C0BA8" w:rsidRDefault="00EC2FC5" w:rsidP="00A6757C">
            <w:pPr>
              <w:pStyle w:val="TableText0"/>
              <w:jc w:val="center"/>
              <w:rPr>
                <w:szCs w:val="20"/>
              </w:rPr>
            </w:pPr>
            <w:r w:rsidRPr="008C0BA8">
              <w:rPr>
                <w:szCs w:val="20"/>
              </w:rPr>
              <w:t>8.5%</w:t>
            </w:r>
          </w:p>
        </w:tc>
        <w:tc>
          <w:tcPr>
            <w:tcW w:w="554" w:type="pct"/>
            <w:shd w:val="clear" w:color="auto" w:fill="auto"/>
            <w:vAlign w:val="center"/>
          </w:tcPr>
          <w:p w14:paraId="7EF28A6D" w14:textId="77777777" w:rsidR="00EC2FC5" w:rsidRPr="008C0BA8" w:rsidRDefault="00EC2FC5" w:rsidP="00A6757C">
            <w:pPr>
              <w:pStyle w:val="TableText0"/>
              <w:jc w:val="center"/>
              <w:rPr>
                <w:szCs w:val="20"/>
              </w:rPr>
            </w:pPr>
            <w:r w:rsidRPr="008C0BA8">
              <w:rPr>
                <w:szCs w:val="20"/>
              </w:rPr>
              <w:t>9.0%</w:t>
            </w:r>
          </w:p>
        </w:tc>
        <w:tc>
          <w:tcPr>
            <w:tcW w:w="554" w:type="pct"/>
            <w:shd w:val="clear" w:color="auto" w:fill="auto"/>
            <w:vAlign w:val="center"/>
          </w:tcPr>
          <w:p w14:paraId="39B5666B" w14:textId="77777777" w:rsidR="00EC2FC5" w:rsidRPr="008C0BA8" w:rsidRDefault="00EC2FC5" w:rsidP="00A6757C">
            <w:pPr>
              <w:pStyle w:val="TableText0"/>
              <w:jc w:val="center"/>
              <w:rPr>
                <w:szCs w:val="20"/>
              </w:rPr>
            </w:pPr>
            <w:r w:rsidRPr="008C0BA8">
              <w:rPr>
                <w:szCs w:val="20"/>
              </w:rPr>
              <w:t>10.0%</w:t>
            </w:r>
          </w:p>
        </w:tc>
        <w:tc>
          <w:tcPr>
            <w:tcW w:w="554" w:type="pct"/>
            <w:vAlign w:val="center"/>
          </w:tcPr>
          <w:p w14:paraId="7F26E338" w14:textId="77777777" w:rsidR="00EC2FC5" w:rsidRPr="008C0BA8" w:rsidRDefault="00EC2FC5" w:rsidP="00A6757C">
            <w:pPr>
              <w:pStyle w:val="TableText0"/>
              <w:jc w:val="center"/>
              <w:rPr>
                <w:szCs w:val="20"/>
              </w:rPr>
            </w:pPr>
            <w:r w:rsidRPr="008C0BA8">
              <w:rPr>
                <w:szCs w:val="20"/>
              </w:rPr>
              <w:t>10.5%</w:t>
            </w:r>
          </w:p>
        </w:tc>
        <w:tc>
          <w:tcPr>
            <w:tcW w:w="554" w:type="pct"/>
            <w:vMerge/>
            <w:vAlign w:val="center"/>
          </w:tcPr>
          <w:p w14:paraId="11E7DF12" w14:textId="77777777" w:rsidR="00EC2FC5" w:rsidRPr="008C0BA8" w:rsidRDefault="00EC2FC5" w:rsidP="00A6757C">
            <w:pPr>
              <w:pStyle w:val="TableText0"/>
              <w:jc w:val="center"/>
              <w:rPr>
                <w:szCs w:val="20"/>
              </w:rPr>
            </w:pPr>
          </w:p>
        </w:tc>
      </w:tr>
      <w:tr w:rsidR="00EC2FC5" w:rsidRPr="005A293B" w14:paraId="33672B80" w14:textId="77777777">
        <w:tc>
          <w:tcPr>
            <w:tcW w:w="1122" w:type="pct"/>
            <w:shd w:val="clear" w:color="auto" w:fill="auto"/>
            <w:vAlign w:val="center"/>
          </w:tcPr>
          <w:p w14:paraId="5A5D7A66" w14:textId="77777777" w:rsidR="00EC2FC5" w:rsidRPr="008C0BA8" w:rsidRDefault="00EC2FC5" w:rsidP="00A6757C">
            <w:pPr>
              <w:pStyle w:val="TableText0"/>
              <w:rPr>
                <w:szCs w:val="20"/>
              </w:rPr>
            </w:pPr>
            <w:r w:rsidRPr="008C0BA8">
              <w:rPr>
                <w:szCs w:val="20"/>
              </w:rPr>
              <w:t>Uptake rate</w:t>
            </w:r>
          </w:p>
        </w:tc>
        <w:tc>
          <w:tcPr>
            <w:tcW w:w="554" w:type="pct"/>
            <w:shd w:val="clear" w:color="auto" w:fill="auto"/>
            <w:vAlign w:val="center"/>
          </w:tcPr>
          <w:p w14:paraId="4F2D72A5" w14:textId="12A85E6B"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1D940ABF" w14:textId="4871B776"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536CFCF4" w14:textId="0EBF5B91"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173105FE" w14:textId="19054760"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4EBFA396" w14:textId="43F30A0B"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vAlign w:val="center"/>
          </w:tcPr>
          <w:p w14:paraId="28F381D1" w14:textId="2CB6042D"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vMerge/>
            <w:vAlign w:val="center"/>
          </w:tcPr>
          <w:p w14:paraId="20C7FDFA" w14:textId="77777777" w:rsidR="00EC2FC5" w:rsidRPr="008C0BA8" w:rsidRDefault="00EC2FC5" w:rsidP="00A6757C">
            <w:pPr>
              <w:pStyle w:val="TableText0"/>
              <w:jc w:val="center"/>
              <w:rPr>
                <w:szCs w:val="20"/>
              </w:rPr>
            </w:pPr>
          </w:p>
        </w:tc>
      </w:tr>
      <w:tr w:rsidR="00EC2FC5" w:rsidRPr="005A293B" w14:paraId="7FC08D14" w14:textId="77777777">
        <w:tc>
          <w:tcPr>
            <w:tcW w:w="1122" w:type="pct"/>
            <w:shd w:val="clear" w:color="auto" w:fill="auto"/>
            <w:vAlign w:val="center"/>
          </w:tcPr>
          <w:p w14:paraId="17FC9283" w14:textId="77777777" w:rsidR="00EC2FC5" w:rsidRPr="008C0BA8" w:rsidRDefault="00EC2FC5" w:rsidP="00A6757C">
            <w:pPr>
              <w:pStyle w:val="TableText0"/>
              <w:rPr>
                <w:szCs w:val="20"/>
              </w:rPr>
            </w:pPr>
            <w:r w:rsidRPr="008C0BA8">
              <w:rPr>
                <w:szCs w:val="20"/>
              </w:rPr>
              <w:t>Treatment duration</w:t>
            </w:r>
          </w:p>
        </w:tc>
        <w:tc>
          <w:tcPr>
            <w:tcW w:w="554" w:type="pct"/>
            <w:shd w:val="clear" w:color="auto" w:fill="auto"/>
            <w:vAlign w:val="center"/>
          </w:tcPr>
          <w:p w14:paraId="4F8D6A3B" w14:textId="77777777" w:rsidR="00EC2FC5" w:rsidRPr="008C0BA8" w:rsidRDefault="00EC2FC5" w:rsidP="00A6757C">
            <w:pPr>
              <w:pStyle w:val="TableText0"/>
              <w:jc w:val="center"/>
              <w:rPr>
                <w:szCs w:val="20"/>
              </w:rPr>
            </w:pPr>
            <w:r w:rsidRPr="008C0BA8">
              <w:rPr>
                <w:szCs w:val="20"/>
              </w:rPr>
              <w:t>22 months</w:t>
            </w:r>
          </w:p>
        </w:tc>
        <w:tc>
          <w:tcPr>
            <w:tcW w:w="554" w:type="pct"/>
            <w:shd w:val="clear" w:color="auto" w:fill="auto"/>
            <w:vAlign w:val="center"/>
          </w:tcPr>
          <w:p w14:paraId="7F312D93" w14:textId="77777777" w:rsidR="00EC2FC5" w:rsidRPr="008C0BA8" w:rsidRDefault="00EC2FC5" w:rsidP="00A6757C">
            <w:pPr>
              <w:pStyle w:val="TableText0"/>
              <w:jc w:val="center"/>
              <w:rPr>
                <w:szCs w:val="20"/>
              </w:rPr>
            </w:pPr>
            <w:r w:rsidRPr="008C0BA8">
              <w:rPr>
                <w:szCs w:val="20"/>
              </w:rPr>
              <w:t>22 months</w:t>
            </w:r>
          </w:p>
        </w:tc>
        <w:tc>
          <w:tcPr>
            <w:tcW w:w="554" w:type="pct"/>
            <w:shd w:val="clear" w:color="auto" w:fill="auto"/>
            <w:vAlign w:val="center"/>
          </w:tcPr>
          <w:p w14:paraId="1CAE5FEF" w14:textId="77777777" w:rsidR="00EC2FC5" w:rsidRPr="008C0BA8" w:rsidRDefault="00EC2FC5" w:rsidP="00A6757C">
            <w:pPr>
              <w:pStyle w:val="TableText0"/>
              <w:jc w:val="center"/>
              <w:rPr>
                <w:szCs w:val="20"/>
              </w:rPr>
            </w:pPr>
            <w:r w:rsidRPr="008C0BA8">
              <w:rPr>
                <w:szCs w:val="20"/>
              </w:rPr>
              <w:t>22 months</w:t>
            </w:r>
          </w:p>
        </w:tc>
        <w:tc>
          <w:tcPr>
            <w:tcW w:w="554" w:type="pct"/>
            <w:shd w:val="clear" w:color="auto" w:fill="auto"/>
            <w:vAlign w:val="center"/>
          </w:tcPr>
          <w:p w14:paraId="68A30D4B" w14:textId="77777777" w:rsidR="00EC2FC5" w:rsidRPr="008C0BA8" w:rsidRDefault="00EC2FC5" w:rsidP="00A6757C">
            <w:pPr>
              <w:pStyle w:val="TableText0"/>
              <w:jc w:val="center"/>
              <w:rPr>
                <w:szCs w:val="20"/>
              </w:rPr>
            </w:pPr>
            <w:r w:rsidRPr="008C0BA8">
              <w:rPr>
                <w:szCs w:val="20"/>
              </w:rPr>
              <w:t>22 months</w:t>
            </w:r>
          </w:p>
        </w:tc>
        <w:tc>
          <w:tcPr>
            <w:tcW w:w="554" w:type="pct"/>
            <w:shd w:val="clear" w:color="auto" w:fill="auto"/>
            <w:vAlign w:val="center"/>
          </w:tcPr>
          <w:p w14:paraId="5241DC4C" w14:textId="77777777" w:rsidR="00EC2FC5" w:rsidRPr="008C0BA8" w:rsidRDefault="00EC2FC5" w:rsidP="00A6757C">
            <w:pPr>
              <w:pStyle w:val="TableText0"/>
              <w:jc w:val="center"/>
              <w:rPr>
                <w:szCs w:val="20"/>
              </w:rPr>
            </w:pPr>
            <w:r w:rsidRPr="008C0BA8">
              <w:rPr>
                <w:szCs w:val="20"/>
              </w:rPr>
              <w:t>22 months</w:t>
            </w:r>
          </w:p>
        </w:tc>
        <w:tc>
          <w:tcPr>
            <w:tcW w:w="554" w:type="pct"/>
            <w:vAlign w:val="center"/>
          </w:tcPr>
          <w:p w14:paraId="43AD3896" w14:textId="77777777" w:rsidR="00EC2FC5" w:rsidRPr="008C0BA8" w:rsidRDefault="00EC2FC5" w:rsidP="00A6757C">
            <w:pPr>
              <w:pStyle w:val="TableText0"/>
              <w:jc w:val="center"/>
              <w:rPr>
                <w:szCs w:val="20"/>
              </w:rPr>
            </w:pPr>
            <w:r w:rsidRPr="008C0BA8">
              <w:rPr>
                <w:szCs w:val="20"/>
              </w:rPr>
              <w:t>22 months</w:t>
            </w:r>
          </w:p>
        </w:tc>
        <w:tc>
          <w:tcPr>
            <w:tcW w:w="554" w:type="pct"/>
            <w:vMerge/>
            <w:vAlign w:val="center"/>
          </w:tcPr>
          <w:p w14:paraId="67609853" w14:textId="77777777" w:rsidR="00EC2FC5" w:rsidRPr="008C0BA8" w:rsidRDefault="00EC2FC5" w:rsidP="00A6757C">
            <w:pPr>
              <w:pStyle w:val="TableText0"/>
              <w:jc w:val="center"/>
              <w:rPr>
                <w:szCs w:val="20"/>
              </w:rPr>
            </w:pPr>
          </w:p>
        </w:tc>
      </w:tr>
      <w:tr w:rsidR="00EC2FC5" w:rsidRPr="005A293B" w14:paraId="60B4B3B8" w14:textId="77777777">
        <w:tc>
          <w:tcPr>
            <w:tcW w:w="1122" w:type="pct"/>
            <w:shd w:val="clear" w:color="auto" w:fill="auto"/>
            <w:vAlign w:val="center"/>
          </w:tcPr>
          <w:p w14:paraId="18F12BCF" w14:textId="77777777" w:rsidR="00EC2FC5" w:rsidRPr="008C0BA8" w:rsidRDefault="00EC2FC5" w:rsidP="00A6757C">
            <w:pPr>
              <w:pStyle w:val="TableText0"/>
              <w:rPr>
                <w:szCs w:val="20"/>
              </w:rPr>
            </w:pPr>
            <w:r w:rsidRPr="008C0BA8">
              <w:rPr>
                <w:szCs w:val="20"/>
              </w:rPr>
              <w:t>Net cost to health budget</w:t>
            </w:r>
          </w:p>
        </w:tc>
        <w:tc>
          <w:tcPr>
            <w:tcW w:w="554" w:type="pct"/>
            <w:shd w:val="clear" w:color="auto" w:fill="auto"/>
          </w:tcPr>
          <w:p w14:paraId="772A5B45" w14:textId="4ABDA367"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850F87" w:rsidRPr="008C0BA8">
              <w:rPr>
                <w:color w:val="000000"/>
                <w:szCs w:val="20"/>
                <w:vertAlign w:val="superscript"/>
              </w:rPr>
              <w:t>1</w:t>
            </w:r>
          </w:p>
        </w:tc>
        <w:tc>
          <w:tcPr>
            <w:tcW w:w="554" w:type="pct"/>
            <w:shd w:val="clear" w:color="auto" w:fill="auto"/>
          </w:tcPr>
          <w:p w14:paraId="2EFC5350" w14:textId="2B05E468"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850F87" w:rsidRPr="008C0BA8">
              <w:rPr>
                <w:color w:val="000000"/>
                <w:szCs w:val="20"/>
                <w:vertAlign w:val="superscript"/>
              </w:rPr>
              <w:t>1</w:t>
            </w:r>
          </w:p>
        </w:tc>
        <w:tc>
          <w:tcPr>
            <w:tcW w:w="554" w:type="pct"/>
            <w:shd w:val="clear" w:color="auto" w:fill="auto"/>
          </w:tcPr>
          <w:p w14:paraId="2114F79C" w14:textId="288874F8"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850F87" w:rsidRPr="008C0BA8">
              <w:rPr>
                <w:color w:val="000000"/>
                <w:szCs w:val="20"/>
                <w:vertAlign w:val="superscript"/>
              </w:rPr>
              <w:t>1</w:t>
            </w:r>
          </w:p>
        </w:tc>
        <w:tc>
          <w:tcPr>
            <w:tcW w:w="554" w:type="pct"/>
            <w:shd w:val="clear" w:color="auto" w:fill="auto"/>
          </w:tcPr>
          <w:p w14:paraId="3C6BE374" w14:textId="248C72ED"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2</w:t>
            </w:r>
          </w:p>
        </w:tc>
        <w:tc>
          <w:tcPr>
            <w:tcW w:w="554" w:type="pct"/>
            <w:shd w:val="clear" w:color="auto" w:fill="auto"/>
          </w:tcPr>
          <w:p w14:paraId="1201B36F" w14:textId="70841A75"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2</w:t>
            </w:r>
          </w:p>
        </w:tc>
        <w:tc>
          <w:tcPr>
            <w:tcW w:w="554" w:type="pct"/>
          </w:tcPr>
          <w:p w14:paraId="664D5814" w14:textId="463846E6"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2</w:t>
            </w:r>
          </w:p>
        </w:tc>
        <w:tc>
          <w:tcPr>
            <w:tcW w:w="554" w:type="pct"/>
          </w:tcPr>
          <w:p w14:paraId="4038DE4B" w14:textId="11BCB0BB"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3</w:t>
            </w:r>
            <w:r w:rsidR="00565C8B" w:rsidRPr="00565C8B">
              <w:rPr>
                <w:b/>
                <w:bCs w:val="0"/>
                <w:color w:val="000000"/>
                <w:szCs w:val="20"/>
              </w:rPr>
              <w:t xml:space="preserve"> </w:t>
            </w:r>
          </w:p>
        </w:tc>
      </w:tr>
      <w:tr w:rsidR="00EC2FC5" w:rsidRPr="006E4BFC" w14:paraId="5C5E8CD0" w14:textId="77777777">
        <w:tc>
          <w:tcPr>
            <w:tcW w:w="5000" w:type="pct"/>
            <w:gridSpan w:val="8"/>
            <w:shd w:val="clear" w:color="auto" w:fill="auto"/>
            <w:vAlign w:val="center"/>
          </w:tcPr>
          <w:p w14:paraId="0F5F76D5" w14:textId="77777777" w:rsidR="00EC2FC5" w:rsidRPr="008C0BA8" w:rsidRDefault="00EC2FC5" w:rsidP="00A6757C">
            <w:pPr>
              <w:pStyle w:val="TableText0"/>
              <w:rPr>
                <w:b/>
                <w:bCs w:val="0"/>
                <w:color w:val="000000"/>
                <w:szCs w:val="20"/>
              </w:rPr>
            </w:pPr>
            <w:r w:rsidRPr="008C0BA8">
              <w:rPr>
                <w:b/>
                <w:bCs w:val="0"/>
                <w:color w:val="000000"/>
                <w:szCs w:val="20"/>
              </w:rPr>
              <w:t>PSCR based estimates</w:t>
            </w:r>
          </w:p>
        </w:tc>
      </w:tr>
      <w:tr w:rsidR="00EC2FC5" w:rsidRPr="006E4BFC" w14:paraId="597A48A7" w14:textId="77777777">
        <w:tc>
          <w:tcPr>
            <w:tcW w:w="1122" w:type="pct"/>
            <w:shd w:val="clear" w:color="auto" w:fill="auto"/>
            <w:vAlign w:val="center"/>
          </w:tcPr>
          <w:p w14:paraId="324CF3AF" w14:textId="77777777" w:rsidR="00EC2FC5" w:rsidRPr="008C0BA8" w:rsidRDefault="00EC2FC5" w:rsidP="00A6757C">
            <w:pPr>
              <w:pStyle w:val="TableText0"/>
              <w:rPr>
                <w:szCs w:val="20"/>
              </w:rPr>
            </w:pPr>
            <w:r w:rsidRPr="008C0BA8">
              <w:rPr>
                <w:szCs w:val="20"/>
              </w:rPr>
              <w:t>Growth rate of the NHA naïve mCRPC population</w:t>
            </w:r>
          </w:p>
        </w:tc>
        <w:tc>
          <w:tcPr>
            <w:tcW w:w="554" w:type="pct"/>
            <w:shd w:val="clear" w:color="auto" w:fill="auto"/>
            <w:vAlign w:val="center"/>
          </w:tcPr>
          <w:p w14:paraId="4D2D5E89" w14:textId="77777777" w:rsidR="00EC2FC5" w:rsidRPr="008C0BA8" w:rsidRDefault="00EC2FC5" w:rsidP="00A6757C">
            <w:pPr>
              <w:pStyle w:val="TableText0"/>
              <w:jc w:val="center"/>
              <w:rPr>
                <w:szCs w:val="20"/>
              </w:rPr>
            </w:pPr>
            <w:r w:rsidRPr="008C0BA8">
              <w:rPr>
                <w:szCs w:val="20"/>
              </w:rPr>
              <w:t>-5%</w:t>
            </w:r>
          </w:p>
        </w:tc>
        <w:tc>
          <w:tcPr>
            <w:tcW w:w="554" w:type="pct"/>
            <w:shd w:val="clear" w:color="auto" w:fill="auto"/>
            <w:vAlign w:val="center"/>
          </w:tcPr>
          <w:p w14:paraId="60907F11" w14:textId="77777777" w:rsidR="00EC2FC5" w:rsidRPr="008C0BA8" w:rsidRDefault="00EC2FC5" w:rsidP="00A6757C">
            <w:pPr>
              <w:pStyle w:val="TableText0"/>
              <w:jc w:val="center"/>
              <w:rPr>
                <w:szCs w:val="20"/>
              </w:rPr>
            </w:pPr>
            <w:r w:rsidRPr="008C0BA8">
              <w:rPr>
                <w:szCs w:val="20"/>
              </w:rPr>
              <w:t>-5%</w:t>
            </w:r>
          </w:p>
        </w:tc>
        <w:tc>
          <w:tcPr>
            <w:tcW w:w="554" w:type="pct"/>
            <w:shd w:val="clear" w:color="auto" w:fill="auto"/>
            <w:vAlign w:val="center"/>
          </w:tcPr>
          <w:p w14:paraId="22678C17" w14:textId="77777777" w:rsidR="00EC2FC5" w:rsidRPr="008C0BA8" w:rsidRDefault="00EC2FC5" w:rsidP="00A6757C">
            <w:pPr>
              <w:pStyle w:val="TableText0"/>
              <w:jc w:val="center"/>
              <w:rPr>
                <w:szCs w:val="20"/>
              </w:rPr>
            </w:pPr>
            <w:r w:rsidRPr="008C0BA8">
              <w:rPr>
                <w:szCs w:val="20"/>
              </w:rPr>
              <w:t>-5%</w:t>
            </w:r>
          </w:p>
        </w:tc>
        <w:tc>
          <w:tcPr>
            <w:tcW w:w="554" w:type="pct"/>
            <w:shd w:val="clear" w:color="auto" w:fill="auto"/>
            <w:vAlign w:val="center"/>
          </w:tcPr>
          <w:p w14:paraId="79760AD2" w14:textId="77777777" w:rsidR="00EC2FC5" w:rsidRPr="008C0BA8" w:rsidRDefault="00EC2FC5" w:rsidP="00A6757C">
            <w:pPr>
              <w:pStyle w:val="TableText0"/>
              <w:jc w:val="center"/>
              <w:rPr>
                <w:szCs w:val="20"/>
              </w:rPr>
            </w:pPr>
            <w:r w:rsidRPr="008C0BA8">
              <w:rPr>
                <w:szCs w:val="20"/>
              </w:rPr>
              <w:t>-4%</w:t>
            </w:r>
          </w:p>
        </w:tc>
        <w:tc>
          <w:tcPr>
            <w:tcW w:w="554" w:type="pct"/>
            <w:shd w:val="clear" w:color="auto" w:fill="auto"/>
            <w:vAlign w:val="center"/>
          </w:tcPr>
          <w:p w14:paraId="408A0A88" w14:textId="77777777" w:rsidR="00EC2FC5" w:rsidRPr="008C0BA8" w:rsidRDefault="00EC2FC5" w:rsidP="00A6757C">
            <w:pPr>
              <w:pStyle w:val="TableText0"/>
              <w:jc w:val="center"/>
              <w:rPr>
                <w:szCs w:val="20"/>
              </w:rPr>
            </w:pPr>
            <w:r w:rsidRPr="008C0BA8">
              <w:rPr>
                <w:szCs w:val="20"/>
              </w:rPr>
              <w:t>-4%</w:t>
            </w:r>
          </w:p>
        </w:tc>
        <w:tc>
          <w:tcPr>
            <w:tcW w:w="554" w:type="pct"/>
            <w:vAlign w:val="center"/>
          </w:tcPr>
          <w:p w14:paraId="0AC2E125" w14:textId="77777777" w:rsidR="00EC2FC5" w:rsidRPr="008C0BA8" w:rsidRDefault="00EC2FC5" w:rsidP="00A6757C">
            <w:pPr>
              <w:pStyle w:val="TableText0"/>
              <w:jc w:val="center"/>
              <w:rPr>
                <w:szCs w:val="20"/>
              </w:rPr>
            </w:pPr>
            <w:r w:rsidRPr="008C0BA8">
              <w:rPr>
                <w:szCs w:val="20"/>
              </w:rPr>
              <w:t>-3%</w:t>
            </w:r>
          </w:p>
        </w:tc>
        <w:tc>
          <w:tcPr>
            <w:tcW w:w="554" w:type="pct"/>
            <w:vMerge w:val="restart"/>
            <w:vAlign w:val="center"/>
          </w:tcPr>
          <w:p w14:paraId="714404D5" w14:textId="77777777" w:rsidR="00EC2FC5" w:rsidRPr="008C0BA8" w:rsidRDefault="00EC2FC5" w:rsidP="00A6757C">
            <w:pPr>
              <w:pStyle w:val="TableText0"/>
              <w:jc w:val="center"/>
              <w:rPr>
                <w:szCs w:val="20"/>
              </w:rPr>
            </w:pPr>
          </w:p>
        </w:tc>
      </w:tr>
      <w:tr w:rsidR="00EC2FC5" w:rsidRPr="006E4BFC" w14:paraId="48AAA37D" w14:textId="77777777">
        <w:tc>
          <w:tcPr>
            <w:tcW w:w="1122" w:type="pct"/>
            <w:shd w:val="clear" w:color="auto" w:fill="auto"/>
            <w:vAlign w:val="center"/>
          </w:tcPr>
          <w:p w14:paraId="43421073" w14:textId="77777777" w:rsidR="00EC2FC5" w:rsidRPr="008C0BA8" w:rsidRDefault="00EC2FC5" w:rsidP="00A6757C">
            <w:pPr>
              <w:pStyle w:val="TableText0"/>
              <w:rPr>
                <w:szCs w:val="20"/>
              </w:rPr>
            </w:pPr>
            <w:r w:rsidRPr="008C0BA8">
              <w:rPr>
                <w:i/>
                <w:iCs/>
                <w:szCs w:val="20"/>
              </w:rPr>
              <w:t>BRCA1/2</w:t>
            </w:r>
            <w:r w:rsidRPr="008C0BA8">
              <w:rPr>
                <w:szCs w:val="20"/>
              </w:rPr>
              <w:t xml:space="preserve"> prevalence rate</w:t>
            </w:r>
          </w:p>
        </w:tc>
        <w:tc>
          <w:tcPr>
            <w:tcW w:w="554" w:type="pct"/>
            <w:shd w:val="clear" w:color="auto" w:fill="auto"/>
            <w:vAlign w:val="center"/>
          </w:tcPr>
          <w:p w14:paraId="587DE730" w14:textId="77777777" w:rsidR="00EC2FC5" w:rsidRPr="008C0BA8" w:rsidRDefault="00EC2FC5" w:rsidP="00A6757C">
            <w:pPr>
              <w:pStyle w:val="TableText0"/>
              <w:jc w:val="center"/>
              <w:rPr>
                <w:szCs w:val="20"/>
              </w:rPr>
            </w:pPr>
            <w:r w:rsidRPr="008C0BA8">
              <w:rPr>
                <w:szCs w:val="20"/>
              </w:rPr>
              <w:t>7.0%</w:t>
            </w:r>
          </w:p>
        </w:tc>
        <w:tc>
          <w:tcPr>
            <w:tcW w:w="554" w:type="pct"/>
            <w:shd w:val="clear" w:color="auto" w:fill="auto"/>
            <w:vAlign w:val="center"/>
          </w:tcPr>
          <w:p w14:paraId="711B0D5A" w14:textId="77777777" w:rsidR="00EC2FC5" w:rsidRPr="008C0BA8" w:rsidRDefault="00EC2FC5" w:rsidP="00A6757C">
            <w:pPr>
              <w:pStyle w:val="TableText0"/>
              <w:jc w:val="center"/>
              <w:rPr>
                <w:szCs w:val="20"/>
              </w:rPr>
            </w:pPr>
            <w:r w:rsidRPr="008C0BA8">
              <w:rPr>
                <w:szCs w:val="20"/>
              </w:rPr>
              <w:t>7.0%</w:t>
            </w:r>
          </w:p>
        </w:tc>
        <w:tc>
          <w:tcPr>
            <w:tcW w:w="554" w:type="pct"/>
            <w:shd w:val="clear" w:color="auto" w:fill="auto"/>
            <w:vAlign w:val="center"/>
          </w:tcPr>
          <w:p w14:paraId="35DC2BA2" w14:textId="77777777" w:rsidR="00EC2FC5" w:rsidRPr="008C0BA8" w:rsidRDefault="00EC2FC5" w:rsidP="00A6757C">
            <w:pPr>
              <w:pStyle w:val="TableText0"/>
              <w:jc w:val="center"/>
              <w:rPr>
                <w:szCs w:val="20"/>
              </w:rPr>
            </w:pPr>
            <w:r w:rsidRPr="008C0BA8">
              <w:rPr>
                <w:szCs w:val="20"/>
              </w:rPr>
              <w:t>7.0%</w:t>
            </w:r>
          </w:p>
        </w:tc>
        <w:tc>
          <w:tcPr>
            <w:tcW w:w="554" w:type="pct"/>
            <w:shd w:val="clear" w:color="auto" w:fill="auto"/>
            <w:vAlign w:val="center"/>
          </w:tcPr>
          <w:p w14:paraId="5A82BC18" w14:textId="77777777" w:rsidR="00EC2FC5" w:rsidRPr="008C0BA8" w:rsidRDefault="00EC2FC5" w:rsidP="00A6757C">
            <w:pPr>
              <w:pStyle w:val="TableText0"/>
              <w:jc w:val="center"/>
              <w:rPr>
                <w:szCs w:val="20"/>
              </w:rPr>
            </w:pPr>
            <w:r w:rsidRPr="008C0BA8">
              <w:rPr>
                <w:szCs w:val="20"/>
              </w:rPr>
              <w:t>7.0%</w:t>
            </w:r>
          </w:p>
        </w:tc>
        <w:tc>
          <w:tcPr>
            <w:tcW w:w="554" w:type="pct"/>
            <w:shd w:val="clear" w:color="auto" w:fill="auto"/>
            <w:vAlign w:val="center"/>
          </w:tcPr>
          <w:p w14:paraId="6476C12E" w14:textId="77777777" w:rsidR="00EC2FC5" w:rsidRPr="008C0BA8" w:rsidRDefault="00EC2FC5" w:rsidP="00A6757C">
            <w:pPr>
              <w:pStyle w:val="TableText0"/>
              <w:jc w:val="center"/>
              <w:rPr>
                <w:szCs w:val="20"/>
              </w:rPr>
            </w:pPr>
            <w:r w:rsidRPr="008C0BA8">
              <w:rPr>
                <w:szCs w:val="20"/>
              </w:rPr>
              <w:t>7.0%</w:t>
            </w:r>
          </w:p>
        </w:tc>
        <w:tc>
          <w:tcPr>
            <w:tcW w:w="554" w:type="pct"/>
            <w:vAlign w:val="center"/>
          </w:tcPr>
          <w:p w14:paraId="3ADDE118" w14:textId="77777777" w:rsidR="00EC2FC5" w:rsidRPr="008C0BA8" w:rsidRDefault="00EC2FC5" w:rsidP="00A6757C">
            <w:pPr>
              <w:pStyle w:val="TableText0"/>
              <w:jc w:val="center"/>
              <w:rPr>
                <w:szCs w:val="20"/>
              </w:rPr>
            </w:pPr>
            <w:r w:rsidRPr="008C0BA8">
              <w:rPr>
                <w:szCs w:val="20"/>
              </w:rPr>
              <w:t>7.0%</w:t>
            </w:r>
          </w:p>
        </w:tc>
        <w:tc>
          <w:tcPr>
            <w:tcW w:w="554" w:type="pct"/>
            <w:vMerge/>
            <w:vAlign w:val="center"/>
          </w:tcPr>
          <w:p w14:paraId="6D113852" w14:textId="77777777" w:rsidR="00EC2FC5" w:rsidRPr="008C0BA8" w:rsidRDefault="00EC2FC5" w:rsidP="00A6757C">
            <w:pPr>
              <w:pStyle w:val="TableText0"/>
              <w:jc w:val="center"/>
              <w:rPr>
                <w:szCs w:val="20"/>
              </w:rPr>
            </w:pPr>
          </w:p>
        </w:tc>
      </w:tr>
      <w:tr w:rsidR="00EC2FC5" w:rsidRPr="006E4BFC" w14:paraId="61911D01" w14:textId="77777777" w:rsidTr="00565C8B">
        <w:tc>
          <w:tcPr>
            <w:tcW w:w="1122" w:type="pct"/>
            <w:shd w:val="clear" w:color="auto" w:fill="auto"/>
            <w:vAlign w:val="center"/>
          </w:tcPr>
          <w:p w14:paraId="554EDC6F" w14:textId="77777777" w:rsidR="00EC2FC5" w:rsidRPr="008C0BA8" w:rsidRDefault="00EC2FC5" w:rsidP="00A6757C">
            <w:pPr>
              <w:pStyle w:val="TableText0"/>
              <w:rPr>
                <w:szCs w:val="20"/>
              </w:rPr>
            </w:pPr>
            <w:r w:rsidRPr="008C0BA8">
              <w:rPr>
                <w:szCs w:val="20"/>
              </w:rPr>
              <w:t>Uptake rate</w:t>
            </w:r>
          </w:p>
        </w:tc>
        <w:tc>
          <w:tcPr>
            <w:tcW w:w="554" w:type="pct"/>
            <w:shd w:val="clear" w:color="auto" w:fill="auto"/>
            <w:vAlign w:val="center"/>
          </w:tcPr>
          <w:p w14:paraId="4D6B68FD" w14:textId="4AA0842D" w:rsidR="00EC2FC5" w:rsidRPr="00565C8B" w:rsidRDefault="00D62519" w:rsidP="00B022AD">
            <w:pPr>
              <w:pStyle w:val="TableText0"/>
              <w:jc w:val="center"/>
              <w:rPr>
                <w:szCs w:val="20"/>
                <w:highlight w:val="darkGray"/>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2CA78382" w14:textId="307A95D6"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316CE4A6" w14:textId="0813811D"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398C86A7" w14:textId="2DE4BD0B"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shd w:val="clear" w:color="auto" w:fill="auto"/>
            <w:vAlign w:val="center"/>
          </w:tcPr>
          <w:p w14:paraId="5F16800B" w14:textId="48DDDF66"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vAlign w:val="center"/>
          </w:tcPr>
          <w:p w14:paraId="7D3B1BDB" w14:textId="61F7FCDE" w:rsidR="00EC2FC5" w:rsidRPr="008C0BA8" w:rsidRDefault="00D62519" w:rsidP="00A6757C">
            <w:pPr>
              <w:pStyle w:val="TableText0"/>
              <w:jc w:val="center"/>
              <w:rPr>
                <w:szCs w:val="20"/>
              </w:rPr>
            </w:pPr>
            <w:r w:rsidRPr="00D62519">
              <w:rPr>
                <w:color w:val="000000"/>
                <w:szCs w:val="20"/>
                <w:shd w:val="solid" w:color="000000" w:fill="000000"/>
                <w14:textFill>
                  <w14:solidFill>
                    <w14:srgbClr w14:val="000000">
                      <w14:alpha w14:val="100000"/>
                    </w14:srgbClr>
                  </w14:solidFill>
                </w14:textFill>
              </w:rPr>
              <w:t>|</w:t>
            </w:r>
            <w:r w:rsidR="00EC2FC5" w:rsidRPr="008C0BA8">
              <w:rPr>
                <w:szCs w:val="20"/>
              </w:rPr>
              <w:t>%</w:t>
            </w:r>
          </w:p>
        </w:tc>
        <w:tc>
          <w:tcPr>
            <w:tcW w:w="554" w:type="pct"/>
            <w:vMerge/>
            <w:vAlign w:val="center"/>
          </w:tcPr>
          <w:p w14:paraId="5FA8960B" w14:textId="77777777" w:rsidR="00EC2FC5" w:rsidRPr="008C0BA8" w:rsidRDefault="00EC2FC5" w:rsidP="00A6757C">
            <w:pPr>
              <w:pStyle w:val="TableText0"/>
              <w:jc w:val="center"/>
              <w:rPr>
                <w:szCs w:val="20"/>
              </w:rPr>
            </w:pPr>
          </w:p>
        </w:tc>
      </w:tr>
      <w:tr w:rsidR="00EC2FC5" w:rsidRPr="006E4BFC" w14:paraId="1C7F9BF1" w14:textId="77777777">
        <w:tc>
          <w:tcPr>
            <w:tcW w:w="1122" w:type="pct"/>
            <w:shd w:val="clear" w:color="auto" w:fill="auto"/>
            <w:vAlign w:val="center"/>
          </w:tcPr>
          <w:p w14:paraId="1712969E" w14:textId="77777777" w:rsidR="00EC2FC5" w:rsidRPr="008C0BA8" w:rsidRDefault="00EC2FC5" w:rsidP="00A6757C">
            <w:pPr>
              <w:pStyle w:val="TableText0"/>
              <w:rPr>
                <w:szCs w:val="20"/>
              </w:rPr>
            </w:pPr>
            <w:r w:rsidRPr="008C0BA8">
              <w:rPr>
                <w:szCs w:val="20"/>
              </w:rPr>
              <w:t>Treatment duration</w:t>
            </w:r>
          </w:p>
        </w:tc>
        <w:tc>
          <w:tcPr>
            <w:tcW w:w="554" w:type="pct"/>
            <w:shd w:val="clear" w:color="auto" w:fill="auto"/>
            <w:vAlign w:val="center"/>
          </w:tcPr>
          <w:p w14:paraId="3F28EA6A" w14:textId="77777777" w:rsidR="00EC2FC5" w:rsidRPr="008C0BA8" w:rsidRDefault="00EC2FC5" w:rsidP="00A6757C">
            <w:pPr>
              <w:pStyle w:val="TableText0"/>
              <w:jc w:val="center"/>
              <w:rPr>
                <w:szCs w:val="20"/>
              </w:rPr>
            </w:pPr>
            <w:r w:rsidRPr="008C0BA8">
              <w:rPr>
                <w:szCs w:val="20"/>
              </w:rPr>
              <w:t>27.5 months</w:t>
            </w:r>
          </w:p>
        </w:tc>
        <w:tc>
          <w:tcPr>
            <w:tcW w:w="554" w:type="pct"/>
            <w:shd w:val="clear" w:color="auto" w:fill="auto"/>
            <w:vAlign w:val="center"/>
          </w:tcPr>
          <w:p w14:paraId="1FB5B522" w14:textId="77777777" w:rsidR="00EC2FC5" w:rsidRPr="008C0BA8" w:rsidRDefault="00EC2FC5" w:rsidP="00A6757C">
            <w:pPr>
              <w:pStyle w:val="TableText0"/>
              <w:jc w:val="center"/>
              <w:rPr>
                <w:szCs w:val="20"/>
              </w:rPr>
            </w:pPr>
            <w:r w:rsidRPr="008C0BA8">
              <w:rPr>
                <w:szCs w:val="20"/>
              </w:rPr>
              <w:t>27.5 months</w:t>
            </w:r>
          </w:p>
        </w:tc>
        <w:tc>
          <w:tcPr>
            <w:tcW w:w="554" w:type="pct"/>
            <w:shd w:val="clear" w:color="auto" w:fill="auto"/>
            <w:vAlign w:val="center"/>
          </w:tcPr>
          <w:p w14:paraId="18F29DEA" w14:textId="77777777" w:rsidR="00EC2FC5" w:rsidRPr="008C0BA8" w:rsidRDefault="00EC2FC5" w:rsidP="00A6757C">
            <w:pPr>
              <w:pStyle w:val="TableText0"/>
              <w:jc w:val="center"/>
              <w:rPr>
                <w:szCs w:val="20"/>
              </w:rPr>
            </w:pPr>
            <w:r w:rsidRPr="008C0BA8">
              <w:rPr>
                <w:szCs w:val="20"/>
              </w:rPr>
              <w:t>27.5 months</w:t>
            </w:r>
          </w:p>
        </w:tc>
        <w:tc>
          <w:tcPr>
            <w:tcW w:w="554" w:type="pct"/>
            <w:shd w:val="clear" w:color="auto" w:fill="auto"/>
            <w:vAlign w:val="center"/>
          </w:tcPr>
          <w:p w14:paraId="2EA0D534" w14:textId="77777777" w:rsidR="00EC2FC5" w:rsidRPr="008C0BA8" w:rsidRDefault="00EC2FC5" w:rsidP="00A6757C">
            <w:pPr>
              <w:pStyle w:val="TableText0"/>
              <w:jc w:val="center"/>
              <w:rPr>
                <w:szCs w:val="20"/>
              </w:rPr>
            </w:pPr>
            <w:r w:rsidRPr="008C0BA8">
              <w:rPr>
                <w:szCs w:val="20"/>
              </w:rPr>
              <w:t>27.5 months</w:t>
            </w:r>
          </w:p>
        </w:tc>
        <w:tc>
          <w:tcPr>
            <w:tcW w:w="554" w:type="pct"/>
            <w:shd w:val="clear" w:color="auto" w:fill="auto"/>
            <w:vAlign w:val="center"/>
          </w:tcPr>
          <w:p w14:paraId="6B1FF265" w14:textId="77777777" w:rsidR="00EC2FC5" w:rsidRPr="008C0BA8" w:rsidRDefault="00EC2FC5" w:rsidP="00A6757C">
            <w:pPr>
              <w:pStyle w:val="TableText0"/>
              <w:jc w:val="center"/>
              <w:rPr>
                <w:szCs w:val="20"/>
              </w:rPr>
            </w:pPr>
            <w:r w:rsidRPr="008C0BA8">
              <w:rPr>
                <w:szCs w:val="20"/>
              </w:rPr>
              <w:t>27.5 months</w:t>
            </w:r>
          </w:p>
        </w:tc>
        <w:tc>
          <w:tcPr>
            <w:tcW w:w="554" w:type="pct"/>
            <w:vAlign w:val="center"/>
          </w:tcPr>
          <w:p w14:paraId="43A309F9" w14:textId="77777777" w:rsidR="00EC2FC5" w:rsidRPr="008C0BA8" w:rsidRDefault="00EC2FC5" w:rsidP="00A6757C">
            <w:pPr>
              <w:pStyle w:val="TableText0"/>
              <w:jc w:val="center"/>
              <w:rPr>
                <w:szCs w:val="20"/>
              </w:rPr>
            </w:pPr>
            <w:r w:rsidRPr="008C0BA8">
              <w:rPr>
                <w:szCs w:val="20"/>
              </w:rPr>
              <w:t>27.5 months</w:t>
            </w:r>
          </w:p>
        </w:tc>
        <w:tc>
          <w:tcPr>
            <w:tcW w:w="554" w:type="pct"/>
            <w:vMerge/>
            <w:vAlign w:val="center"/>
          </w:tcPr>
          <w:p w14:paraId="60C263E8" w14:textId="77777777" w:rsidR="00EC2FC5" w:rsidRPr="008C0BA8" w:rsidRDefault="00EC2FC5" w:rsidP="00A6757C">
            <w:pPr>
              <w:pStyle w:val="TableText0"/>
              <w:jc w:val="center"/>
              <w:rPr>
                <w:szCs w:val="20"/>
              </w:rPr>
            </w:pPr>
          </w:p>
        </w:tc>
      </w:tr>
      <w:tr w:rsidR="00EC2FC5" w:rsidRPr="006E4BFC" w14:paraId="07117EFC" w14:textId="77777777">
        <w:tc>
          <w:tcPr>
            <w:tcW w:w="1122" w:type="pct"/>
            <w:shd w:val="clear" w:color="auto" w:fill="auto"/>
            <w:vAlign w:val="center"/>
          </w:tcPr>
          <w:p w14:paraId="668E2C2A" w14:textId="77777777" w:rsidR="00EC2FC5" w:rsidRPr="008C0BA8" w:rsidRDefault="00EC2FC5" w:rsidP="00A6757C">
            <w:pPr>
              <w:pStyle w:val="TableText0"/>
              <w:rPr>
                <w:szCs w:val="20"/>
              </w:rPr>
            </w:pPr>
            <w:r w:rsidRPr="008C0BA8">
              <w:rPr>
                <w:szCs w:val="20"/>
              </w:rPr>
              <w:t>Net cost to health budget</w:t>
            </w:r>
          </w:p>
        </w:tc>
        <w:tc>
          <w:tcPr>
            <w:tcW w:w="554" w:type="pct"/>
            <w:shd w:val="clear" w:color="auto" w:fill="auto"/>
          </w:tcPr>
          <w:p w14:paraId="77412943" w14:textId="3CFDD023" w:rsidR="00EC2FC5" w:rsidRPr="008C0BA8" w:rsidRDefault="00EC2FC5" w:rsidP="00A6757C">
            <w:pPr>
              <w:pStyle w:val="TableText0"/>
              <w:jc w:val="center"/>
              <w:rPr>
                <w:szCs w:val="20"/>
              </w:rPr>
            </w:pPr>
            <w:r w:rsidRPr="008C0BA8">
              <w:rPr>
                <w:rFonts w:eastAsia="Calibri"/>
                <w:b/>
                <w:bCs w:val="0"/>
                <w:color w:val="000000"/>
                <w:szCs w:val="20"/>
              </w:rPr>
              <w:t>$</w:t>
            </w:r>
            <w:r w:rsidR="00D62519" w:rsidRPr="00D62519">
              <w:rPr>
                <w:rFonts w:eastAsia="Calibri"/>
                <w:b/>
                <w:bCs w:val="0"/>
                <w:color w:val="000000"/>
                <w:szCs w:val="20"/>
                <w:shd w:val="solid" w:color="000000" w:fill="000000"/>
                <w14:textFill>
                  <w14:solidFill>
                    <w14:srgbClr w14:val="000000">
                      <w14:alpha w14:val="100000"/>
                    </w14:srgbClr>
                  </w14:solidFill>
                </w14:textFill>
              </w:rPr>
              <w:t>|</w:t>
            </w:r>
            <w:r w:rsidR="00850F87" w:rsidRPr="008C0BA8">
              <w:rPr>
                <w:color w:val="000000"/>
                <w:szCs w:val="20"/>
                <w:vertAlign w:val="superscript"/>
              </w:rPr>
              <w:t>1</w:t>
            </w:r>
          </w:p>
        </w:tc>
        <w:tc>
          <w:tcPr>
            <w:tcW w:w="554" w:type="pct"/>
            <w:shd w:val="clear" w:color="auto" w:fill="auto"/>
          </w:tcPr>
          <w:p w14:paraId="19D8DFA9" w14:textId="73964B23" w:rsidR="00EC2FC5" w:rsidRPr="008C0BA8" w:rsidRDefault="00EC2FC5" w:rsidP="00A6757C">
            <w:pPr>
              <w:pStyle w:val="TableText0"/>
              <w:jc w:val="center"/>
              <w:rPr>
                <w:szCs w:val="20"/>
              </w:rPr>
            </w:pPr>
            <w:r w:rsidRPr="008C0BA8">
              <w:rPr>
                <w:rFonts w:eastAsia="Calibri"/>
                <w:b/>
                <w:bCs w:val="0"/>
                <w:color w:val="000000"/>
                <w:szCs w:val="20"/>
              </w:rPr>
              <w:t>$</w:t>
            </w:r>
            <w:r w:rsidR="00D62519" w:rsidRPr="00D62519">
              <w:rPr>
                <w:rFonts w:eastAsia="Calibri"/>
                <w:b/>
                <w:bCs w:val="0"/>
                <w:color w:val="000000"/>
                <w:szCs w:val="20"/>
                <w:shd w:val="solid" w:color="000000" w:fill="000000"/>
                <w14:textFill>
                  <w14:solidFill>
                    <w14:srgbClr w14:val="000000">
                      <w14:alpha w14:val="100000"/>
                    </w14:srgbClr>
                  </w14:solidFill>
                </w14:textFill>
              </w:rPr>
              <w:t>|</w:t>
            </w:r>
            <w:r w:rsidR="00850F87" w:rsidRPr="008C0BA8">
              <w:rPr>
                <w:color w:val="000000"/>
                <w:szCs w:val="20"/>
                <w:vertAlign w:val="superscript"/>
              </w:rPr>
              <w:t>1</w:t>
            </w:r>
          </w:p>
        </w:tc>
        <w:tc>
          <w:tcPr>
            <w:tcW w:w="554" w:type="pct"/>
            <w:shd w:val="clear" w:color="auto" w:fill="auto"/>
          </w:tcPr>
          <w:p w14:paraId="300914A9" w14:textId="21AFC77D" w:rsidR="00EC2FC5" w:rsidRPr="008C0BA8" w:rsidRDefault="00EC2FC5" w:rsidP="00A6757C">
            <w:pPr>
              <w:pStyle w:val="TableText0"/>
              <w:jc w:val="center"/>
              <w:rPr>
                <w:szCs w:val="20"/>
              </w:rPr>
            </w:pPr>
            <w:r w:rsidRPr="008C0BA8">
              <w:rPr>
                <w:rFonts w:eastAsia="Calibri"/>
                <w:b/>
                <w:bCs w:val="0"/>
                <w:color w:val="000000"/>
                <w:szCs w:val="20"/>
              </w:rPr>
              <w:t>$</w:t>
            </w:r>
            <w:r w:rsidR="00D62519" w:rsidRPr="00D62519">
              <w:rPr>
                <w:rFonts w:eastAsia="Calibri"/>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2</w:t>
            </w:r>
          </w:p>
        </w:tc>
        <w:tc>
          <w:tcPr>
            <w:tcW w:w="554" w:type="pct"/>
            <w:shd w:val="clear" w:color="auto" w:fill="auto"/>
          </w:tcPr>
          <w:p w14:paraId="676A6F0F" w14:textId="2911A46A" w:rsidR="00EC2FC5" w:rsidRPr="008C0BA8" w:rsidRDefault="00EC2FC5" w:rsidP="00A6757C">
            <w:pPr>
              <w:pStyle w:val="TableText0"/>
              <w:jc w:val="center"/>
              <w:rPr>
                <w:szCs w:val="20"/>
              </w:rPr>
            </w:pPr>
            <w:r w:rsidRPr="008C0BA8">
              <w:rPr>
                <w:rFonts w:eastAsia="Calibri"/>
                <w:b/>
                <w:bCs w:val="0"/>
                <w:color w:val="000000"/>
                <w:szCs w:val="20"/>
              </w:rPr>
              <w:t>$</w:t>
            </w:r>
            <w:r w:rsidR="00D62519" w:rsidRPr="00D62519">
              <w:rPr>
                <w:rFonts w:eastAsia="Calibri"/>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2</w:t>
            </w:r>
          </w:p>
        </w:tc>
        <w:tc>
          <w:tcPr>
            <w:tcW w:w="554" w:type="pct"/>
            <w:shd w:val="clear" w:color="auto" w:fill="auto"/>
          </w:tcPr>
          <w:p w14:paraId="79338037" w14:textId="72CC90C1" w:rsidR="00EC2FC5" w:rsidRPr="008C0BA8" w:rsidRDefault="00EC2FC5" w:rsidP="00A6757C">
            <w:pPr>
              <w:pStyle w:val="TableText0"/>
              <w:jc w:val="center"/>
              <w:rPr>
                <w:szCs w:val="20"/>
              </w:rPr>
            </w:pPr>
            <w:r w:rsidRPr="008C0BA8">
              <w:rPr>
                <w:rFonts w:eastAsia="Calibri"/>
                <w:b/>
                <w:bCs w:val="0"/>
                <w:color w:val="000000"/>
                <w:szCs w:val="20"/>
              </w:rPr>
              <w:t>$</w:t>
            </w:r>
            <w:r w:rsidR="00D62519" w:rsidRPr="00D62519">
              <w:rPr>
                <w:rFonts w:eastAsia="Calibri"/>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2</w:t>
            </w:r>
          </w:p>
        </w:tc>
        <w:tc>
          <w:tcPr>
            <w:tcW w:w="554" w:type="pct"/>
          </w:tcPr>
          <w:p w14:paraId="47CAC227" w14:textId="7F5E8EDA" w:rsidR="00EC2FC5" w:rsidRPr="008C0BA8" w:rsidRDefault="00EC2FC5" w:rsidP="00A6757C">
            <w:pPr>
              <w:pStyle w:val="TableText0"/>
              <w:jc w:val="center"/>
              <w:rPr>
                <w:szCs w:val="20"/>
              </w:rPr>
            </w:pPr>
            <w:r w:rsidRPr="008C0BA8">
              <w:rPr>
                <w:rFonts w:eastAsia="Calibri"/>
                <w:b/>
                <w:bCs w:val="0"/>
                <w:color w:val="000000"/>
                <w:szCs w:val="20"/>
              </w:rPr>
              <w:t>$</w:t>
            </w:r>
            <w:r w:rsidR="00D62519" w:rsidRPr="00D62519">
              <w:rPr>
                <w:rFonts w:eastAsia="Calibri"/>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2</w:t>
            </w:r>
          </w:p>
        </w:tc>
        <w:tc>
          <w:tcPr>
            <w:tcW w:w="554" w:type="pct"/>
          </w:tcPr>
          <w:p w14:paraId="48873BE4" w14:textId="09669F7C" w:rsidR="00EC2FC5" w:rsidRPr="008C0BA8" w:rsidRDefault="00EC2FC5" w:rsidP="00A6757C">
            <w:pPr>
              <w:pStyle w:val="TableText0"/>
              <w:jc w:val="center"/>
              <w:rPr>
                <w:szCs w:val="20"/>
              </w:rPr>
            </w:pPr>
            <w:r w:rsidRPr="008C0BA8">
              <w:rPr>
                <w:b/>
                <w:bCs w:val="0"/>
                <w:color w:val="000000"/>
                <w:szCs w:val="20"/>
              </w:rPr>
              <w:t>$</w:t>
            </w:r>
            <w:r w:rsidR="00D62519" w:rsidRPr="00D62519">
              <w:rPr>
                <w:b/>
                <w:bCs w:val="0"/>
                <w:color w:val="000000"/>
                <w:szCs w:val="20"/>
                <w:shd w:val="solid" w:color="000000" w:fill="000000"/>
                <w14:textFill>
                  <w14:solidFill>
                    <w14:srgbClr w14:val="000000">
                      <w14:alpha w14:val="100000"/>
                    </w14:srgbClr>
                  </w14:solidFill>
                </w14:textFill>
              </w:rPr>
              <w:t>|</w:t>
            </w:r>
            <w:r w:rsidR="00A6757C" w:rsidRPr="008C0BA8">
              <w:rPr>
                <w:color w:val="000000"/>
                <w:szCs w:val="20"/>
                <w:vertAlign w:val="superscript"/>
              </w:rPr>
              <w:t>3</w:t>
            </w:r>
          </w:p>
        </w:tc>
      </w:tr>
    </w:tbl>
    <w:p w14:paraId="45414544" w14:textId="77777777" w:rsidR="00EC2FC5" w:rsidRDefault="00EC2FC5" w:rsidP="00A6757C">
      <w:pPr>
        <w:pStyle w:val="TableFigureFooter"/>
        <w:keepNext/>
      </w:pPr>
      <w:r>
        <w:t>Source: pp3-4 of the PSCR</w:t>
      </w:r>
    </w:p>
    <w:p w14:paraId="740B129F" w14:textId="77777777" w:rsidR="00EC2FC5" w:rsidRDefault="00EC2FC5" w:rsidP="00A6757C">
      <w:pPr>
        <w:pStyle w:val="TableFigureFooter"/>
        <w:keepNext/>
        <w:spacing w:after="0"/>
      </w:pPr>
      <w:r w:rsidRPr="005A293B">
        <w:rPr>
          <w:iCs/>
        </w:rPr>
        <w:t>BRCA</w:t>
      </w:r>
      <w:r w:rsidRPr="005A293B">
        <w:t xml:space="preserve">=breast cancer gene, </w:t>
      </w:r>
      <w:r>
        <w:t>mCRPC=metastatic castration resistant prostate cancer; NHA=novel hormonal agent</w:t>
      </w:r>
    </w:p>
    <w:p w14:paraId="4A74D712" w14:textId="77777777" w:rsidR="00850F87" w:rsidRPr="009A6D58" w:rsidRDefault="00850F87" w:rsidP="00A6757C">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F6BB7C9" w14:textId="008B8924" w:rsidR="00850F87" w:rsidRPr="009A6D58" w:rsidRDefault="00850F87" w:rsidP="00A6757C">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50F87">
        <w:rPr>
          <w:rFonts w:ascii="Arial Narrow" w:hAnsi="Arial Narrow"/>
          <w:i/>
          <w:sz w:val="18"/>
          <w:szCs w:val="18"/>
        </w:rPr>
        <w:t>$0 to &lt; $10 million</w:t>
      </w:r>
    </w:p>
    <w:p w14:paraId="62768996" w14:textId="5FBB5F71" w:rsidR="00850F87" w:rsidRPr="009A6D58" w:rsidRDefault="00850F87" w:rsidP="00A6757C">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50F87">
        <w:rPr>
          <w:rFonts w:ascii="Arial Narrow" w:hAnsi="Arial Narrow"/>
          <w:i/>
          <w:sz w:val="18"/>
          <w:szCs w:val="18"/>
        </w:rPr>
        <w:t>$10 million to &lt; $20 million</w:t>
      </w:r>
    </w:p>
    <w:p w14:paraId="4149C4C5" w14:textId="2E261AFA" w:rsidR="00850F87" w:rsidRDefault="00850F87" w:rsidP="005C70FC">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A6757C" w:rsidRPr="00A6757C">
        <w:rPr>
          <w:rFonts w:ascii="Arial Narrow" w:hAnsi="Arial Narrow"/>
          <w:i/>
          <w:sz w:val="18"/>
          <w:szCs w:val="18"/>
        </w:rPr>
        <w:t>$50 million to &lt; $60 million</w:t>
      </w:r>
    </w:p>
    <w:p w14:paraId="204A0209" w14:textId="79CC3199" w:rsidR="003F7A1D" w:rsidRPr="00A01609" w:rsidRDefault="003F7A1D" w:rsidP="00F13554">
      <w:pPr>
        <w:pStyle w:val="3-BodyText"/>
      </w:pPr>
      <w:r w:rsidRPr="006E4BFC">
        <w:rPr>
          <w:rFonts w:ascii="Calibri" w:hAnsi="Calibri" w:cs="Times New Roman"/>
          <w:snapToGrid/>
          <w:lang w:eastAsia="en-GB"/>
        </w:rPr>
        <w:t>The ESC considered that the uptake rates applied after Year 2 were high, particularly considering the lack of evidence versus sequential treatment and the age of the population.</w:t>
      </w:r>
    </w:p>
    <w:p w14:paraId="1774E67D" w14:textId="40B2FDBD" w:rsidR="00EC2FC5" w:rsidRDefault="00EC2FC5" w:rsidP="00EC2FC5">
      <w:pPr>
        <w:pStyle w:val="3-BodyText"/>
      </w:pPr>
      <w:bookmarkStart w:id="96" w:name="_Ref164160431"/>
      <w:r>
        <w:t>In addition, t</w:t>
      </w:r>
      <w:r w:rsidRPr="00EC2FC5">
        <w:t>he ESC noted that the submission did not include the costs of enzalutamide, either as combination</w:t>
      </w:r>
      <w:r w:rsidRPr="006E4BFC">
        <w:t xml:space="preserve"> therapy with talazoparib or as monotherapy, in the financial impact estimates and hence, the full cost of the combination could not be assessed. The ESC noted that this exclusion did not align with the economic model and was not justified in the submission.</w:t>
      </w:r>
      <w:r>
        <w:t xml:space="preserve"> The pre-PBAC response provided revised financial estimates that included the cost of enzalutamide and that were based on the PSCR estimates</w:t>
      </w:r>
      <w:r w:rsidR="00A01609">
        <w:t xml:space="preserve">, the pre-PBAC proposed </w:t>
      </w:r>
      <w:r>
        <w:t>published DPMQ of talazoparib</w:t>
      </w:r>
      <w:r w:rsidR="00A01609">
        <w:t xml:space="preserve"> and the published DPMQs of</w:t>
      </w:r>
      <w:r>
        <w:t xml:space="preserve"> enzalutamide</w:t>
      </w:r>
      <w:r w:rsidR="00A01609">
        <w:t xml:space="preserve"> and olaparib</w:t>
      </w:r>
      <w:r>
        <w:t>. The net cost to the PBS/RPBS over the first 6 years of listing</w:t>
      </w:r>
      <w:r w:rsidR="00064F52">
        <w:t xml:space="preserve"> </w:t>
      </w:r>
      <w:r w:rsidR="00064F52" w:rsidRPr="00064F52">
        <w:t xml:space="preserve">talazoparib + enzalutamide </w:t>
      </w:r>
      <w:r>
        <w:t xml:space="preserve">was estimated to be </w:t>
      </w:r>
      <w:r w:rsidR="00C23F7F" w:rsidRPr="00C23F7F">
        <w:t>$100</w:t>
      </w:r>
      <w:r w:rsidR="008C0BA8">
        <w:t> </w:t>
      </w:r>
      <w:r w:rsidR="00C23F7F" w:rsidRPr="00C23F7F">
        <w:t>million</w:t>
      </w:r>
      <w:r w:rsidR="008C0BA8">
        <w:t> </w:t>
      </w:r>
      <w:r w:rsidR="00C23F7F" w:rsidRPr="00C23F7F">
        <w:t>to</w:t>
      </w:r>
      <w:r w:rsidR="008C0BA8">
        <w:t> </w:t>
      </w:r>
      <w:r w:rsidR="00C23F7F" w:rsidRPr="00C23F7F">
        <w:t>&lt;</w:t>
      </w:r>
      <w:r w:rsidR="008C0BA8">
        <w:t> </w:t>
      </w:r>
      <w:r w:rsidR="00C23F7F" w:rsidRPr="00C23F7F">
        <w:t>$200</w:t>
      </w:r>
      <w:r w:rsidR="008C0BA8">
        <w:t> </w:t>
      </w:r>
      <w:r w:rsidR="00C23F7F" w:rsidRPr="00C23F7F">
        <w:t>million</w:t>
      </w:r>
      <w:r>
        <w:t>.</w:t>
      </w:r>
      <w:r w:rsidR="00A01609">
        <w:t xml:space="preserve"> Revised estimates using the pre-PBAC proposed effective DPMQ of talazoparib ($</w:t>
      </w:r>
      <w:r w:rsidR="00D62519" w:rsidRPr="00CD40AA">
        <w:rPr>
          <w:color w:val="000000"/>
          <w:w w:val="15"/>
          <w:shd w:val="solid" w:color="000000" w:fill="000000"/>
          <w:fitText w:val="-20" w:id="-961821943"/>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1943"/>
          <w14:textFill>
            <w14:solidFill>
              <w14:srgbClr w14:val="000000">
                <w14:alpha w14:val="100000"/>
              </w14:srgbClr>
            </w14:solidFill>
          </w14:textFill>
        </w:rPr>
        <w:t>|</w:t>
      </w:r>
      <w:r w:rsidR="00A01609">
        <w:t>) and the assumed effective DPMQs of enzalutamide ($</w:t>
      </w:r>
      <w:r w:rsidR="00D62519" w:rsidRPr="00CD40AA">
        <w:rPr>
          <w:color w:val="000000"/>
          <w:w w:val="15"/>
          <w:shd w:val="solid" w:color="000000" w:fill="000000"/>
          <w:fitText w:val="-20" w:id="-961821942"/>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1942"/>
          <w14:textFill>
            <w14:solidFill>
              <w14:srgbClr w14:val="000000">
                <w14:alpha w14:val="100000"/>
              </w14:srgbClr>
            </w14:solidFill>
          </w14:textFill>
        </w:rPr>
        <w:t>|</w:t>
      </w:r>
      <w:r w:rsidR="00A01609">
        <w:t>) and olaparib ($</w:t>
      </w:r>
      <w:r w:rsidR="00D62519" w:rsidRPr="00CD40AA">
        <w:rPr>
          <w:color w:val="000000"/>
          <w:w w:val="15"/>
          <w:shd w:val="solid" w:color="000000" w:fill="000000"/>
          <w:fitText w:val="-20" w:id="-961821941"/>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1941"/>
          <w14:textFill>
            <w14:solidFill>
              <w14:srgbClr w14:val="000000">
                <w14:alpha w14:val="100000"/>
              </w14:srgbClr>
            </w14:solidFill>
          </w14:textFill>
        </w:rPr>
        <w:t>|</w:t>
      </w:r>
      <w:r w:rsidR="00A01609">
        <w:t>) are presented below and resulted in an estimated net cost to the PBS/RPBS</w:t>
      </w:r>
      <w:r w:rsidR="00064F52">
        <w:t xml:space="preserve"> for listing </w:t>
      </w:r>
      <w:r w:rsidR="00064F52" w:rsidRPr="00064F52">
        <w:t xml:space="preserve">talazoparib + enzalutamide </w:t>
      </w:r>
      <w:r w:rsidR="00A01609">
        <w:t xml:space="preserve">over </w:t>
      </w:r>
      <w:r w:rsidR="004458F8">
        <w:t>6 </w:t>
      </w:r>
      <w:r w:rsidR="00A01609">
        <w:t xml:space="preserve">years of </w:t>
      </w:r>
      <w:r w:rsidR="00C23F7F" w:rsidRPr="00C23F7F">
        <w:t>$60 million to &lt;</w:t>
      </w:r>
      <w:r w:rsidR="00BA5BFA">
        <w:t> </w:t>
      </w:r>
      <w:r w:rsidR="00C23F7F" w:rsidRPr="00C23F7F">
        <w:t>$70</w:t>
      </w:r>
      <w:r w:rsidR="00BA5BFA">
        <w:t> </w:t>
      </w:r>
      <w:r w:rsidR="00C23F7F" w:rsidRPr="00C23F7F">
        <w:t>million</w:t>
      </w:r>
      <w:r w:rsidR="00A01609">
        <w:t>.</w:t>
      </w:r>
      <w:bookmarkEnd w:id="96"/>
    </w:p>
    <w:p w14:paraId="7C806C73" w14:textId="0ECB7C81" w:rsidR="00A01609" w:rsidRDefault="00A01609" w:rsidP="00AA0B7E">
      <w:pPr>
        <w:pStyle w:val="Caption"/>
        <w:keepLines w:val="0"/>
        <w:jc w:val="both"/>
      </w:pPr>
      <w:r>
        <w:lastRenderedPageBreak/>
        <w:t xml:space="preserve">Table </w:t>
      </w:r>
      <w:fldSimple w:instr=" SEQ Table \* ARABIC " w:fldLock="1">
        <w:r>
          <w:rPr>
            <w:noProof/>
          </w:rPr>
          <w:t>18</w:t>
        </w:r>
      </w:fldSimple>
      <w:r>
        <w:t>: Pre-PBAC response revised financial estimates that include the cost of enzalutamide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Pre-PBAC response revised financial estimates that include the cost of enzalutamide"/>
      </w:tblPr>
      <w:tblGrid>
        <w:gridCol w:w="1436"/>
        <w:gridCol w:w="1080"/>
        <w:gridCol w:w="1080"/>
        <w:gridCol w:w="1080"/>
        <w:gridCol w:w="1080"/>
        <w:gridCol w:w="1078"/>
        <w:gridCol w:w="1115"/>
        <w:gridCol w:w="1068"/>
      </w:tblGrid>
      <w:tr w:rsidR="00EC2FC5" w:rsidRPr="00EC2FC5" w14:paraId="21F76DEF" w14:textId="77777777" w:rsidTr="00A01609">
        <w:trPr>
          <w:tblHeader/>
        </w:trPr>
        <w:tc>
          <w:tcPr>
            <w:tcW w:w="796" w:type="pct"/>
            <w:shd w:val="clear" w:color="auto" w:fill="auto"/>
            <w:vAlign w:val="center"/>
          </w:tcPr>
          <w:p w14:paraId="3A93672E" w14:textId="77777777" w:rsidR="00EC2FC5" w:rsidRPr="00EC2FC5" w:rsidRDefault="00EC2FC5" w:rsidP="00AA0B7E">
            <w:pPr>
              <w:pStyle w:val="TableText0"/>
              <w:jc w:val="center"/>
              <w:rPr>
                <w:b/>
                <w:bCs w:val="0"/>
                <w:szCs w:val="20"/>
              </w:rPr>
            </w:pPr>
          </w:p>
        </w:tc>
        <w:tc>
          <w:tcPr>
            <w:tcW w:w="599" w:type="pct"/>
            <w:shd w:val="clear" w:color="auto" w:fill="auto"/>
            <w:vAlign w:val="center"/>
          </w:tcPr>
          <w:p w14:paraId="43EA1505" w14:textId="77777777" w:rsidR="00EC2FC5" w:rsidRPr="00EC2FC5" w:rsidRDefault="00EC2FC5" w:rsidP="00AA0B7E">
            <w:pPr>
              <w:pStyle w:val="TableText0"/>
              <w:jc w:val="center"/>
              <w:rPr>
                <w:b/>
                <w:bCs w:val="0"/>
                <w:szCs w:val="20"/>
              </w:rPr>
            </w:pPr>
            <w:r w:rsidRPr="00EC2FC5">
              <w:rPr>
                <w:rFonts w:cs="Times New Roman"/>
                <w:b/>
                <w:szCs w:val="20"/>
                <w:lang w:eastAsia="en-GB"/>
              </w:rPr>
              <w:t>2024</w:t>
            </w:r>
          </w:p>
        </w:tc>
        <w:tc>
          <w:tcPr>
            <w:tcW w:w="599" w:type="pct"/>
            <w:shd w:val="clear" w:color="auto" w:fill="auto"/>
            <w:vAlign w:val="center"/>
          </w:tcPr>
          <w:p w14:paraId="06353B55" w14:textId="77777777" w:rsidR="00EC2FC5" w:rsidRPr="00EC2FC5" w:rsidRDefault="00EC2FC5" w:rsidP="00AA0B7E">
            <w:pPr>
              <w:pStyle w:val="TableText0"/>
              <w:jc w:val="center"/>
              <w:rPr>
                <w:b/>
                <w:bCs w:val="0"/>
                <w:szCs w:val="20"/>
              </w:rPr>
            </w:pPr>
            <w:r w:rsidRPr="00EC2FC5">
              <w:rPr>
                <w:rFonts w:cs="Times New Roman"/>
                <w:b/>
                <w:szCs w:val="20"/>
                <w:lang w:eastAsia="en-GB"/>
              </w:rPr>
              <w:t>2025</w:t>
            </w:r>
          </w:p>
        </w:tc>
        <w:tc>
          <w:tcPr>
            <w:tcW w:w="599" w:type="pct"/>
            <w:shd w:val="clear" w:color="auto" w:fill="auto"/>
            <w:vAlign w:val="center"/>
          </w:tcPr>
          <w:p w14:paraId="4331EF8A" w14:textId="77777777" w:rsidR="00EC2FC5" w:rsidRPr="00EC2FC5" w:rsidRDefault="00EC2FC5" w:rsidP="00AA0B7E">
            <w:pPr>
              <w:pStyle w:val="TableText0"/>
              <w:jc w:val="center"/>
              <w:rPr>
                <w:b/>
                <w:bCs w:val="0"/>
                <w:szCs w:val="20"/>
              </w:rPr>
            </w:pPr>
            <w:r w:rsidRPr="00EC2FC5">
              <w:rPr>
                <w:rFonts w:cs="Times New Roman"/>
                <w:b/>
                <w:szCs w:val="20"/>
                <w:lang w:eastAsia="en-GB"/>
              </w:rPr>
              <w:t>2026</w:t>
            </w:r>
          </w:p>
        </w:tc>
        <w:tc>
          <w:tcPr>
            <w:tcW w:w="599" w:type="pct"/>
            <w:shd w:val="clear" w:color="auto" w:fill="auto"/>
            <w:vAlign w:val="center"/>
          </w:tcPr>
          <w:p w14:paraId="6DBF5BCB" w14:textId="77777777" w:rsidR="00EC2FC5" w:rsidRPr="00EC2FC5" w:rsidRDefault="00EC2FC5" w:rsidP="00AA0B7E">
            <w:pPr>
              <w:pStyle w:val="TableText0"/>
              <w:jc w:val="center"/>
              <w:rPr>
                <w:b/>
                <w:bCs w:val="0"/>
                <w:szCs w:val="20"/>
              </w:rPr>
            </w:pPr>
            <w:r w:rsidRPr="00EC2FC5">
              <w:rPr>
                <w:rFonts w:cs="Times New Roman"/>
                <w:b/>
                <w:szCs w:val="20"/>
                <w:lang w:eastAsia="en-GB"/>
              </w:rPr>
              <w:t>2027</w:t>
            </w:r>
          </w:p>
        </w:tc>
        <w:tc>
          <w:tcPr>
            <w:tcW w:w="598" w:type="pct"/>
            <w:shd w:val="clear" w:color="auto" w:fill="auto"/>
            <w:vAlign w:val="center"/>
          </w:tcPr>
          <w:p w14:paraId="613172B4" w14:textId="77777777" w:rsidR="00EC2FC5" w:rsidRPr="00EC2FC5" w:rsidRDefault="00EC2FC5" w:rsidP="00AA0B7E">
            <w:pPr>
              <w:pStyle w:val="TableText0"/>
              <w:jc w:val="center"/>
              <w:rPr>
                <w:b/>
                <w:bCs w:val="0"/>
                <w:szCs w:val="20"/>
              </w:rPr>
            </w:pPr>
            <w:r w:rsidRPr="00EC2FC5">
              <w:rPr>
                <w:rFonts w:cs="Times New Roman"/>
                <w:b/>
                <w:szCs w:val="20"/>
                <w:lang w:eastAsia="en-GB"/>
              </w:rPr>
              <w:t>2028</w:t>
            </w:r>
          </w:p>
        </w:tc>
        <w:tc>
          <w:tcPr>
            <w:tcW w:w="618" w:type="pct"/>
            <w:vAlign w:val="center"/>
          </w:tcPr>
          <w:p w14:paraId="410A5C40" w14:textId="77777777" w:rsidR="00EC2FC5" w:rsidRPr="00EC2FC5" w:rsidRDefault="00EC2FC5" w:rsidP="00AA0B7E">
            <w:pPr>
              <w:pStyle w:val="TableText0"/>
              <w:jc w:val="center"/>
              <w:rPr>
                <w:b/>
                <w:bCs w:val="0"/>
                <w:szCs w:val="20"/>
              </w:rPr>
            </w:pPr>
            <w:r w:rsidRPr="00EC2FC5">
              <w:rPr>
                <w:rFonts w:cs="Times New Roman"/>
                <w:b/>
                <w:szCs w:val="20"/>
                <w:lang w:eastAsia="en-GB"/>
              </w:rPr>
              <w:t>2029</w:t>
            </w:r>
          </w:p>
        </w:tc>
        <w:tc>
          <w:tcPr>
            <w:tcW w:w="592" w:type="pct"/>
          </w:tcPr>
          <w:p w14:paraId="4581DC91" w14:textId="77777777" w:rsidR="00EC2FC5" w:rsidRPr="00EC2FC5" w:rsidRDefault="00EC2FC5" w:rsidP="00AA0B7E">
            <w:pPr>
              <w:pStyle w:val="TableText0"/>
              <w:jc w:val="center"/>
              <w:rPr>
                <w:b/>
                <w:bCs w:val="0"/>
                <w:szCs w:val="20"/>
              </w:rPr>
            </w:pPr>
            <w:r w:rsidRPr="00EC2FC5">
              <w:rPr>
                <w:rFonts w:cs="Times New Roman"/>
                <w:b/>
                <w:szCs w:val="20"/>
                <w:lang w:eastAsia="en-GB"/>
              </w:rPr>
              <w:t>Total</w:t>
            </w:r>
          </w:p>
        </w:tc>
      </w:tr>
      <w:tr w:rsidR="00EC2FC5" w:rsidRPr="00EC2FC5" w14:paraId="5203A94C" w14:textId="77777777" w:rsidTr="00A01609">
        <w:tc>
          <w:tcPr>
            <w:tcW w:w="5000" w:type="pct"/>
            <w:gridSpan w:val="8"/>
            <w:shd w:val="clear" w:color="auto" w:fill="auto"/>
            <w:vAlign w:val="center"/>
          </w:tcPr>
          <w:p w14:paraId="1888C53E" w14:textId="13BEFBA7" w:rsidR="00EC2FC5" w:rsidRPr="00A01609" w:rsidRDefault="00EC2FC5" w:rsidP="00AA0B7E">
            <w:pPr>
              <w:pStyle w:val="TableText0"/>
              <w:rPr>
                <w:b/>
                <w:bCs w:val="0"/>
                <w:szCs w:val="20"/>
              </w:rPr>
            </w:pPr>
            <w:r w:rsidRPr="00A01609">
              <w:rPr>
                <w:b/>
                <w:bCs w:val="0"/>
                <w:szCs w:val="20"/>
              </w:rPr>
              <w:t>Submission estimates</w:t>
            </w:r>
          </w:p>
        </w:tc>
      </w:tr>
      <w:tr w:rsidR="00EC2FC5" w:rsidRPr="00EC2FC5" w14:paraId="51D1EE7A" w14:textId="77777777" w:rsidTr="00A01609">
        <w:tc>
          <w:tcPr>
            <w:tcW w:w="796" w:type="pct"/>
            <w:shd w:val="clear" w:color="auto" w:fill="auto"/>
            <w:vAlign w:val="center"/>
          </w:tcPr>
          <w:p w14:paraId="2534A433" w14:textId="77777777" w:rsidR="00EC2FC5" w:rsidRPr="00A01609" w:rsidRDefault="00EC2FC5" w:rsidP="00AA0B7E">
            <w:pPr>
              <w:pStyle w:val="TableText0"/>
              <w:rPr>
                <w:szCs w:val="20"/>
              </w:rPr>
            </w:pPr>
            <w:r w:rsidRPr="00EC2FC5">
              <w:rPr>
                <w:rFonts w:cs="Times New Roman"/>
                <w:szCs w:val="20"/>
                <w:lang w:eastAsia="en-GB"/>
              </w:rPr>
              <w:t>Total patients on TAL</w:t>
            </w:r>
          </w:p>
        </w:tc>
        <w:tc>
          <w:tcPr>
            <w:tcW w:w="599" w:type="pct"/>
            <w:shd w:val="clear" w:color="auto" w:fill="auto"/>
            <w:vAlign w:val="center"/>
          </w:tcPr>
          <w:p w14:paraId="6F8BFB83" w14:textId="0E965C90" w:rsidR="00EC2FC5"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34E3E" w:rsidRPr="00934E3E">
              <w:rPr>
                <w:szCs w:val="20"/>
                <w:vertAlign w:val="superscript"/>
              </w:rPr>
              <w:t>1</w:t>
            </w:r>
          </w:p>
        </w:tc>
        <w:tc>
          <w:tcPr>
            <w:tcW w:w="599" w:type="pct"/>
            <w:shd w:val="clear" w:color="auto" w:fill="auto"/>
            <w:vAlign w:val="center"/>
          </w:tcPr>
          <w:p w14:paraId="683CB943" w14:textId="033AF99D" w:rsidR="00EC2FC5"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34E3E" w:rsidRPr="00934E3E">
              <w:rPr>
                <w:szCs w:val="20"/>
                <w:vertAlign w:val="superscript"/>
              </w:rPr>
              <w:t>1</w:t>
            </w:r>
          </w:p>
        </w:tc>
        <w:tc>
          <w:tcPr>
            <w:tcW w:w="599" w:type="pct"/>
            <w:shd w:val="clear" w:color="auto" w:fill="auto"/>
            <w:vAlign w:val="center"/>
          </w:tcPr>
          <w:p w14:paraId="7C9C3619" w14:textId="222EA194" w:rsidR="00EC2FC5"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34E3E" w:rsidRPr="00934E3E">
              <w:rPr>
                <w:szCs w:val="20"/>
                <w:vertAlign w:val="superscript"/>
              </w:rPr>
              <w:t>1</w:t>
            </w:r>
          </w:p>
        </w:tc>
        <w:tc>
          <w:tcPr>
            <w:tcW w:w="599" w:type="pct"/>
            <w:shd w:val="clear" w:color="auto" w:fill="auto"/>
            <w:vAlign w:val="center"/>
          </w:tcPr>
          <w:p w14:paraId="0FD45977" w14:textId="4EDD88B5" w:rsidR="00EC2FC5"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34E3E" w:rsidRPr="00934E3E">
              <w:rPr>
                <w:szCs w:val="20"/>
                <w:vertAlign w:val="superscript"/>
              </w:rPr>
              <w:t>2</w:t>
            </w:r>
          </w:p>
        </w:tc>
        <w:tc>
          <w:tcPr>
            <w:tcW w:w="598" w:type="pct"/>
            <w:shd w:val="clear" w:color="auto" w:fill="auto"/>
            <w:vAlign w:val="center"/>
          </w:tcPr>
          <w:p w14:paraId="6078F1C9" w14:textId="126CB435" w:rsidR="00EC2FC5"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34E3E" w:rsidRPr="00934E3E">
              <w:rPr>
                <w:szCs w:val="20"/>
                <w:vertAlign w:val="superscript"/>
              </w:rPr>
              <w:t>2</w:t>
            </w:r>
          </w:p>
        </w:tc>
        <w:tc>
          <w:tcPr>
            <w:tcW w:w="618" w:type="pct"/>
            <w:vAlign w:val="center"/>
          </w:tcPr>
          <w:p w14:paraId="1AE097C5" w14:textId="251D542C" w:rsidR="00EC2FC5"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34E3E" w:rsidRPr="00934E3E">
              <w:rPr>
                <w:szCs w:val="20"/>
                <w:vertAlign w:val="superscript"/>
              </w:rPr>
              <w:t>2</w:t>
            </w:r>
          </w:p>
        </w:tc>
        <w:tc>
          <w:tcPr>
            <w:tcW w:w="592" w:type="pct"/>
            <w:vAlign w:val="center"/>
          </w:tcPr>
          <w:p w14:paraId="352B1BB0" w14:textId="7EC51E37" w:rsidR="00EC2FC5" w:rsidRPr="00ED6486" w:rsidRDefault="00D62519" w:rsidP="00AA0B7E">
            <w:pPr>
              <w:pStyle w:val="TableText0"/>
              <w:jc w:val="center"/>
              <w:rPr>
                <w:szCs w:val="20"/>
                <w:highlight w:val="lightGray"/>
              </w:rPr>
            </w:pPr>
            <w:r w:rsidRPr="00D62519">
              <w:rPr>
                <w:color w:val="000000"/>
                <w:szCs w:val="20"/>
                <w:shd w:val="solid" w:color="000000" w:fill="000000"/>
                <w14:textFill>
                  <w14:solidFill>
                    <w14:srgbClr w14:val="000000">
                      <w14:alpha w14:val="100000"/>
                    </w14:srgbClr>
                  </w14:solidFill>
                </w14:textFill>
              </w:rPr>
              <w:t>|</w:t>
            </w:r>
            <w:r w:rsidR="00934E3E" w:rsidRPr="00934E3E">
              <w:rPr>
                <w:szCs w:val="20"/>
                <w:vertAlign w:val="superscript"/>
              </w:rPr>
              <w:t>2</w:t>
            </w:r>
          </w:p>
        </w:tc>
      </w:tr>
      <w:tr w:rsidR="00EC2FC5" w:rsidRPr="00EC2FC5" w14:paraId="275B9C04" w14:textId="77777777" w:rsidTr="00A01609">
        <w:tc>
          <w:tcPr>
            <w:tcW w:w="796" w:type="pct"/>
            <w:shd w:val="clear" w:color="auto" w:fill="auto"/>
            <w:vAlign w:val="center"/>
          </w:tcPr>
          <w:p w14:paraId="2C7B4A31" w14:textId="77777777" w:rsidR="00EC2FC5" w:rsidRPr="00EC2FC5" w:rsidRDefault="00EC2FC5" w:rsidP="00AA0B7E">
            <w:pPr>
              <w:pStyle w:val="TableText0"/>
              <w:rPr>
                <w:rFonts w:cs="Times New Roman"/>
                <w:szCs w:val="20"/>
                <w:lang w:eastAsia="en-GB"/>
              </w:rPr>
            </w:pPr>
            <w:r w:rsidRPr="00EC2FC5">
              <w:rPr>
                <w:rFonts w:cs="Times New Roman"/>
                <w:szCs w:val="20"/>
                <w:lang w:eastAsia="en-GB"/>
              </w:rPr>
              <w:t>Total TAL scripts (PBS/RPBS)</w:t>
            </w:r>
          </w:p>
        </w:tc>
        <w:tc>
          <w:tcPr>
            <w:tcW w:w="599" w:type="pct"/>
            <w:shd w:val="clear" w:color="auto" w:fill="auto"/>
            <w:vAlign w:val="center"/>
          </w:tcPr>
          <w:p w14:paraId="10DA1571" w14:textId="6CC0AC9A" w:rsidR="00EC2FC5"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34E3E" w:rsidRPr="00934E3E">
              <w:rPr>
                <w:szCs w:val="20"/>
                <w:vertAlign w:val="superscript"/>
              </w:rPr>
              <w:t>2</w:t>
            </w:r>
          </w:p>
        </w:tc>
        <w:tc>
          <w:tcPr>
            <w:tcW w:w="599" w:type="pct"/>
            <w:shd w:val="clear" w:color="auto" w:fill="auto"/>
            <w:vAlign w:val="center"/>
          </w:tcPr>
          <w:p w14:paraId="19754926" w14:textId="4CFAF054" w:rsidR="00EC2FC5"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34E3E" w:rsidRPr="00934E3E">
              <w:rPr>
                <w:szCs w:val="20"/>
                <w:vertAlign w:val="superscript"/>
              </w:rPr>
              <w:t>2</w:t>
            </w:r>
          </w:p>
        </w:tc>
        <w:tc>
          <w:tcPr>
            <w:tcW w:w="599" w:type="pct"/>
            <w:shd w:val="clear" w:color="auto" w:fill="auto"/>
            <w:vAlign w:val="center"/>
          </w:tcPr>
          <w:p w14:paraId="4383FA04" w14:textId="525D1E8A" w:rsidR="00EC2FC5"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34E3E" w:rsidRPr="00934E3E">
              <w:rPr>
                <w:szCs w:val="20"/>
                <w:vertAlign w:val="superscript"/>
              </w:rPr>
              <w:t>2</w:t>
            </w:r>
          </w:p>
        </w:tc>
        <w:tc>
          <w:tcPr>
            <w:tcW w:w="599" w:type="pct"/>
            <w:shd w:val="clear" w:color="auto" w:fill="auto"/>
            <w:vAlign w:val="center"/>
          </w:tcPr>
          <w:p w14:paraId="391B42AC" w14:textId="7DAC956A" w:rsidR="00EC2FC5"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34E3E" w:rsidRPr="00934E3E">
              <w:rPr>
                <w:rFonts w:cs="Times New Roman"/>
                <w:szCs w:val="20"/>
                <w:vertAlign w:val="superscript"/>
                <w:lang w:eastAsia="en-GB"/>
              </w:rPr>
              <w:t>3</w:t>
            </w:r>
          </w:p>
        </w:tc>
        <w:tc>
          <w:tcPr>
            <w:tcW w:w="598" w:type="pct"/>
            <w:shd w:val="clear" w:color="auto" w:fill="auto"/>
            <w:vAlign w:val="center"/>
          </w:tcPr>
          <w:p w14:paraId="65D98471" w14:textId="7F2E3669" w:rsidR="00EC2FC5"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34E3E" w:rsidRPr="00934E3E">
              <w:rPr>
                <w:rFonts w:cs="Times New Roman"/>
                <w:szCs w:val="20"/>
                <w:vertAlign w:val="superscript"/>
                <w:lang w:eastAsia="en-GB"/>
              </w:rPr>
              <w:t>3</w:t>
            </w:r>
          </w:p>
        </w:tc>
        <w:tc>
          <w:tcPr>
            <w:tcW w:w="618" w:type="pct"/>
            <w:vAlign w:val="center"/>
          </w:tcPr>
          <w:p w14:paraId="64BAD996" w14:textId="6C112033" w:rsidR="00EC2FC5"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34E3E" w:rsidRPr="00934E3E">
              <w:rPr>
                <w:rFonts w:cs="Times New Roman"/>
                <w:szCs w:val="20"/>
                <w:vertAlign w:val="superscript"/>
                <w:lang w:eastAsia="en-GB"/>
              </w:rPr>
              <w:t>3</w:t>
            </w:r>
          </w:p>
        </w:tc>
        <w:tc>
          <w:tcPr>
            <w:tcW w:w="592" w:type="pct"/>
            <w:vAlign w:val="center"/>
          </w:tcPr>
          <w:p w14:paraId="6F3A36F7" w14:textId="7476FFB1" w:rsidR="00EC2FC5" w:rsidRPr="00ED6486" w:rsidRDefault="00D62519" w:rsidP="00AA0B7E">
            <w:pPr>
              <w:pStyle w:val="TableText0"/>
              <w:jc w:val="center"/>
              <w:rPr>
                <w:rFonts w:cs="Times New Roman"/>
                <w:szCs w:val="20"/>
                <w:highlight w:val="lightGray"/>
                <w:lang w:eastAsia="en-GB"/>
              </w:rPr>
            </w:pPr>
            <w:r w:rsidRPr="00D62519">
              <w:rPr>
                <w:rFonts w:cs="Times New Roman"/>
                <w:color w:val="000000"/>
                <w:szCs w:val="20"/>
                <w:shd w:val="solid" w:color="000000" w:fill="000000"/>
                <w:lang w:eastAsia="en-GB"/>
                <w14:textFill>
                  <w14:solidFill>
                    <w14:srgbClr w14:val="000000">
                      <w14:alpha w14:val="100000"/>
                    </w14:srgbClr>
                  </w14:solidFill>
                </w14:textFill>
              </w:rPr>
              <w:t>|</w:t>
            </w:r>
            <w:r w:rsidR="00934E3E" w:rsidRPr="00934E3E">
              <w:rPr>
                <w:rFonts w:cs="Times New Roman"/>
                <w:szCs w:val="20"/>
                <w:vertAlign w:val="superscript"/>
                <w:lang w:eastAsia="en-GB"/>
              </w:rPr>
              <w:t>4</w:t>
            </w:r>
          </w:p>
        </w:tc>
      </w:tr>
      <w:tr w:rsidR="00EC2FC5" w:rsidRPr="00EC2FC5" w14:paraId="16E9DF2D" w14:textId="77777777" w:rsidTr="00A01609">
        <w:tc>
          <w:tcPr>
            <w:tcW w:w="796" w:type="pct"/>
            <w:shd w:val="clear" w:color="auto" w:fill="auto"/>
            <w:vAlign w:val="center"/>
          </w:tcPr>
          <w:p w14:paraId="1FCBA80B" w14:textId="77777777" w:rsidR="00EC2FC5" w:rsidRPr="00EC2FC5" w:rsidRDefault="00EC2FC5" w:rsidP="00AA0B7E">
            <w:pPr>
              <w:pStyle w:val="TableText0"/>
              <w:rPr>
                <w:szCs w:val="20"/>
              </w:rPr>
            </w:pPr>
            <w:r w:rsidRPr="00EC2FC5">
              <w:rPr>
                <w:szCs w:val="20"/>
              </w:rPr>
              <w:t xml:space="preserve">Net cost of TAL to PBS/RPBS </w:t>
            </w:r>
          </w:p>
        </w:tc>
        <w:tc>
          <w:tcPr>
            <w:tcW w:w="599" w:type="pct"/>
            <w:shd w:val="clear" w:color="auto" w:fill="auto"/>
            <w:vAlign w:val="center"/>
          </w:tcPr>
          <w:p w14:paraId="62FA5ED9" w14:textId="7CAE5AC1" w:rsidR="00EC2FC5" w:rsidRPr="00EC2FC5" w:rsidRDefault="00EC2FC5" w:rsidP="00AA0B7E">
            <w:pPr>
              <w:pStyle w:val="TableText0"/>
              <w:jc w:val="center"/>
              <w:rPr>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3A159528" w14:textId="319F4FAC" w:rsidR="00EC2FC5" w:rsidRPr="00EC2FC5" w:rsidRDefault="00EC2FC5" w:rsidP="00AA0B7E">
            <w:pPr>
              <w:pStyle w:val="TableText0"/>
              <w:jc w:val="center"/>
              <w:rPr>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6907EFB4" w14:textId="67198A58" w:rsidR="00EC2FC5" w:rsidRPr="00EC2FC5" w:rsidRDefault="00EC2FC5" w:rsidP="00AA0B7E">
            <w:pPr>
              <w:pStyle w:val="TableText0"/>
              <w:jc w:val="center"/>
              <w:rPr>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9" w:type="pct"/>
            <w:shd w:val="clear" w:color="auto" w:fill="auto"/>
            <w:vAlign w:val="center"/>
          </w:tcPr>
          <w:p w14:paraId="7083B3DD" w14:textId="2F361E14" w:rsidR="00EC2FC5" w:rsidRPr="00EC2FC5" w:rsidRDefault="00EC2FC5" w:rsidP="00AA0B7E">
            <w:pPr>
              <w:pStyle w:val="TableText0"/>
              <w:jc w:val="center"/>
              <w:rPr>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8" w:type="pct"/>
            <w:shd w:val="clear" w:color="auto" w:fill="auto"/>
            <w:vAlign w:val="center"/>
          </w:tcPr>
          <w:p w14:paraId="07981F92" w14:textId="362F7B6A" w:rsidR="00EC2FC5" w:rsidRPr="00EC2FC5" w:rsidRDefault="00EC2FC5" w:rsidP="00AA0B7E">
            <w:pPr>
              <w:pStyle w:val="TableText0"/>
              <w:jc w:val="center"/>
              <w:rPr>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618" w:type="pct"/>
            <w:vAlign w:val="center"/>
          </w:tcPr>
          <w:p w14:paraId="71FFE84C" w14:textId="42674139" w:rsidR="00EC2FC5" w:rsidRPr="00EC2FC5" w:rsidRDefault="00EC2FC5" w:rsidP="00AA0B7E">
            <w:pPr>
              <w:pStyle w:val="TableText0"/>
              <w:jc w:val="center"/>
              <w:rPr>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2" w:type="pct"/>
            <w:vAlign w:val="center"/>
          </w:tcPr>
          <w:p w14:paraId="017F97A9" w14:textId="6788C765" w:rsidR="00EC2FC5" w:rsidRPr="00EC2FC5" w:rsidRDefault="00EC2FC5" w:rsidP="00AA0B7E">
            <w:pPr>
              <w:pStyle w:val="TableText0"/>
              <w:jc w:val="center"/>
              <w:rPr>
                <w:rFonts w:cs="Times New Roman"/>
                <w:szCs w:val="20"/>
                <w:lang w:eastAsia="en-GB"/>
              </w:rPr>
            </w:pPr>
            <w:r w:rsidRPr="00EC2FC5">
              <w:rPr>
                <w:rFonts w:cs="Arial"/>
                <w:b/>
                <w:bCs w:val="0"/>
                <w:color w:val="000000"/>
                <w:szCs w:val="20"/>
              </w:rPr>
              <w:t>$</w:t>
            </w:r>
            <w:r w:rsidR="00D62519" w:rsidRPr="00CD40AA">
              <w:rPr>
                <w:rFonts w:cs="Arial" w:hint="eastAsia"/>
                <w:b/>
                <w:bCs w:val="0"/>
                <w:color w:val="000000"/>
                <w:w w:val="15"/>
                <w:szCs w:val="20"/>
                <w:shd w:val="solid" w:color="000000" w:fill="000000"/>
                <w:fitText w:val="15" w:id="-961821940"/>
                <w14:textFill>
                  <w14:solidFill>
                    <w14:srgbClr w14:val="000000">
                      <w14:alpha w14:val="100000"/>
                    </w14:srgbClr>
                  </w14:solidFill>
                </w14:textFill>
              </w:rPr>
              <w:t xml:space="preserve">　</w:t>
            </w:r>
            <w:r w:rsidR="00D62519" w:rsidRPr="00CD40AA">
              <w:rPr>
                <w:rFonts w:cs="Arial"/>
                <w:b/>
                <w:bCs w:val="0"/>
                <w:color w:val="000000"/>
                <w:w w:val="15"/>
                <w:szCs w:val="20"/>
                <w:shd w:val="solid" w:color="000000" w:fill="000000"/>
                <w:fitText w:val="15" w:id="-961821940"/>
                <w14:textFill>
                  <w14:solidFill>
                    <w14:srgbClr w14:val="000000">
                      <w14:alpha w14:val="100000"/>
                    </w14:srgbClr>
                  </w14:solidFill>
                </w14:textFill>
              </w:rPr>
              <w:t>|</w:t>
            </w:r>
            <w:r w:rsidR="00D62519" w:rsidRPr="00CD40AA">
              <w:rPr>
                <w:rFonts w:cs="Arial" w:hint="eastAsia"/>
                <w:b/>
                <w:bCs w:val="0"/>
                <w:color w:val="000000"/>
                <w:spacing w:val="-51"/>
                <w:w w:val="15"/>
                <w:szCs w:val="20"/>
                <w:shd w:val="solid" w:color="000000" w:fill="000000"/>
                <w:fitText w:val="15" w:id="-961821940"/>
                <w14:textFill>
                  <w14:solidFill>
                    <w14:srgbClr w14:val="000000">
                      <w14:alpha w14:val="100000"/>
                    </w14:srgbClr>
                  </w14:solidFill>
                </w14:textFill>
              </w:rPr>
              <w:t xml:space="preserve">　</w:t>
            </w:r>
            <w:r w:rsidR="002D42F6" w:rsidRPr="002D42F6">
              <w:rPr>
                <w:rFonts w:cs="Arial"/>
                <w:b/>
                <w:bCs w:val="0"/>
                <w:color w:val="000000"/>
                <w:szCs w:val="20"/>
                <w:vertAlign w:val="superscript"/>
              </w:rPr>
              <w:t>12</w:t>
            </w:r>
          </w:p>
        </w:tc>
      </w:tr>
      <w:tr w:rsidR="00EC2FC5" w:rsidRPr="00EC2FC5" w14:paraId="70233EC2" w14:textId="77777777" w:rsidTr="00A01609">
        <w:tc>
          <w:tcPr>
            <w:tcW w:w="796" w:type="pct"/>
            <w:shd w:val="clear" w:color="auto" w:fill="auto"/>
            <w:vAlign w:val="center"/>
          </w:tcPr>
          <w:p w14:paraId="011406D7" w14:textId="77777777" w:rsidR="00EC2FC5" w:rsidRPr="00EC2FC5" w:rsidRDefault="00EC2FC5" w:rsidP="00AA0B7E">
            <w:pPr>
              <w:pStyle w:val="TableText0"/>
              <w:rPr>
                <w:szCs w:val="20"/>
              </w:rPr>
            </w:pPr>
            <w:r w:rsidRPr="00EC2FC5">
              <w:rPr>
                <w:szCs w:val="20"/>
              </w:rPr>
              <w:t>Net cost offsets to PBS/RPBS</w:t>
            </w:r>
          </w:p>
        </w:tc>
        <w:tc>
          <w:tcPr>
            <w:tcW w:w="599" w:type="pct"/>
            <w:shd w:val="clear" w:color="auto" w:fill="auto"/>
            <w:vAlign w:val="center"/>
          </w:tcPr>
          <w:p w14:paraId="78571FDF" w14:textId="488B3E19" w:rsidR="00EC2FC5" w:rsidRPr="00EC2FC5" w:rsidRDefault="00EC2FC5" w:rsidP="00AA0B7E">
            <w:pPr>
              <w:pStyle w:val="TableText0"/>
              <w:jc w:val="center"/>
              <w:rPr>
                <w:szCs w:val="20"/>
              </w:rPr>
            </w:pPr>
            <w:r w:rsidRPr="00A01609">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416EAFF0" w14:textId="76ECBFFA" w:rsidR="00EC2FC5" w:rsidRPr="00EC2FC5" w:rsidRDefault="00EC2FC5" w:rsidP="00AA0B7E">
            <w:pPr>
              <w:pStyle w:val="TableText0"/>
              <w:jc w:val="center"/>
              <w:rPr>
                <w:szCs w:val="20"/>
              </w:rPr>
            </w:pPr>
            <w:r w:rsidRPr="00A01609">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4E606E37" w14:textId="188C9B86" w:rsidR="00EC2FC5" w:rsidRPr="00EC2FC5" w:rsidRDefault="00EC2FC5" w:rsidP="00AA0B7E">
            <w:pPr>
              <w:pStyle w:val="TableText0"/>
              <w:jc w:val="center"/>
              <w:rPr>
                <w:szCs w:val="20"/>
              </w:rPr>
            </w:pPr>
            <w:r w:rsidRPr="00A01609">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647120A0" w14:textId="1C22D581" w:rsidR="00EC2FC5" w:rsidRPr="00EC2FC5" w:rsidRDefault="00EC2FC5" w:rsidP="00AA0B7E">
            <w:pPr>
              <w:pStyle w:val="TableText0"/>
              <w:jc w:val="center"/>
              <w:rPr>
                <w:szCs w:val="20"/>
              </w:rPr>
            </w:pPr>
            <w:r w:rsidRPr="00A01609">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8" w:type="pct"/>
            <w:shd w:val="clear" w:color="auto" w:fill="auto"/>
            <w:vAlign w:val="center"/>
          </w:tcPr>
          <w:p w14:paraId="62FD8280" w14:textId="101C4FED" w:rsidR="00EC2FC5" w:rsidRPr="00EC2FC5" w:rsidRDefault="00EC2FC5" w:rsidP="00AA0B7E">
            <w:pPr>
              <w:pStyle w:val="TableText0"/>
              <w:jc w:val="center"/>
              <w:rPr>
                <w:szCs w:val="20"/>
              </w:rPr>
            </w:pPr>
            <w:r w:rsidRPr="00A01609">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618" w:type="pct"/>
            <w:vAlign w:val="center"/>
          </w:tcPr>
          <w:p w14:paraId="32844350" w14:textId="277D1040" w:rsidR="00EC2FC5" w:rsidRPr="00EC2FC5" w:rsidRDefault="00EC2FC5" w:rsidP="00AA0B7E">
            <w:pPr>
              <w:pStyle w:val="TableText0"/>
              <w:jc w:val="center"/>
              <w:rPr>
                <w:szCs w:val="20"/>
              </w:rPr>
            </w:pPr>
            <w:r w:rsidRPr="00A01609">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2" w:type="pct"/>
            <w:vAlign w:val="center"/>
          </w:tcPr>
          <w:p w14:paraId="17173399" w14:textId="60E7452B" w:rsidR="00EC2FC5" w:rsidRPr="00EC2FC5" w:rsidRDefault="00EC2FC5" w:rsidP="00AA0B7E">
            <w:pPr>
              <w:pStyle w:val="TableText0"/>
              <w:jc w:val="center"/>
              <w:rPr>
                <w:rFonts w:cs="Times New Roman"/>
                <w:iCs/>
                <w:szCs w:val="20"/>
                <w:lang w:eastAsia="en-GB"/>
              </w:rPr>
            </w:pPr>
            <w:r w:rsidRPr="00A01609">
              <w:rPr>
                <w:rFonts w:cs="Arial"/>
                <w:color w:val="000000"/>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r>
      <w:tr w:rsidR="00EC2FC5" w:rsidRPr="00EC2FC5" w14:paraId="28E9874C" w14:textId="77777777" w:rsidTr="00A01609">
        <w:tc>
          <w:tcPr>
            <w:tcW w:w="796" w:type="pct"/>
            <w:shd w:val="clear" w:color="auto" w:fill="auto"/>
            <w:vAlign w:val="center"/>
          </w:tcPr>
          <w:p w14:paraId="1BF0A98B" w14:textId="77777777" w:rsidR="00EC2FC5" w:rsidRPr="00EC2FC5" w:rsidRDefault="00EC2FC5" w:rsidP="00AA0B7E">
            <w:pPr>
              <w:pStyle w:val="TableText0"/>
              <w:rPr>
                <w:szCs w:val="20"/>
              </w:rPr>
            </w:pPr>
            <w:r w:rsidRPr="00EC2FC5">
              <w:rPr>
                <w:szCs w:val="20"/>
              </w:rPr>
              <w:t>Net cost to PBS/RPBS</w:t>
            </w:r>
          </w:p>
        </w:tc>
        <w:tc>
          <w:tcPr>
            <w:tcW w:w="599" w:type="pct"/>
            <w:shd w:val="clear" w:color="auto" w:fill="auto"/>
            <w:vAlign w:val="center"/>
          </w:tcPr>
          <w:p w14:paraId="7AA4F06A" w14:textId="0AECA9CF" w:rsidR="00EC2FC5" w:rsidRPr="00EC2FC5" w:rsidRDefault="00EC2FC5" w:rsidP="00AA0B7E">
            <w:pPr>
              <w:pStyle w:val="TableText0"/>
              <w:jc w:val="center"/>
              <w:rPr>
                <w:b/>
                <w:bCs w:val="0"/>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24A8182F" w14:textId="300F22DB" w:rsidR="00EC2FC5" w:rsidRPr="00EC2FC5" w:rsidRDefault="00EC2FC5" w:rsidP="00AA0B7E">
            <w:pPr>
              <w:pStyle w:val="TableText0"/>
              <w:jc w:val="center"/>
              <w:rPr>
                <w:b/>
                <w:bCs w:val="0"/>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5FB47859" w14:textId="61C716CB" w:rsidR="00EC2FC5" w:rsidRPr="00EC2FC5" w:rsidRDefault="00EC2FC5" w:rsidP="00AA0B7E">
            <w:pPr>
              <w:pStyle w:val="TableText0"/>
              <w:jc w:val="center"/>
              <w:rPr>
                <w:b/>
                <w:bCs w:val="0"/>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2979CDCB" w14:textId="6A5FF355" w:rsidR="00EC2FC5" w:rsidRPr="00EC2FC5" w:rsidRDefault="00EC2FC5" w:rsidP="00AA0B7E">
            <w:pPr>
              <w:pStyle w:val="TableText0"/>
              <w:jc w:val="center"/>
              <w:rPr>
                <w:b/>
                <w:bCs w:val="0"/>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8" w:type="pct"/>
            <w:shd w:val="clear" w:color="auto" w:fill="auto"/>
            <w:vAlign w:val="center"/>
          </w:tcPr>
          <w:p w14:paraId="40D8A7F5" w14:textId="7EF9145B" w:rsidR="00EC2FC5" w:rsidRPr="00EC2FC5" w:rsidRDefault="00EC2FC5" w:rsidP="00AA0B7E">
            <w:pPr>
              <w:pStyle w:val="TableText0"/>
              <w:jc w:val="center"/>
              <w:rPr>
                <w:b/>
                <w:bCs w:val="0"/>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618" w:type="pct"/>
            <w:vAlign w:val="center"/>
          </w:tcPr>
          <w:p w14:paraId="52B03938" w14:textId="170C45EF" w:rsidR="00EC2FC5" w:rsidRPr="00EC2FC5" w:rsidRDefault="00EC2FC5" w:rsidP="00AA0B7E">
            <w:pPr>
              <w:pStyle w:val="TableText0"/>
              <w:jc w:val="center"/>
              <w:rPr>
                <w:b/>
                <w:bCs w:val="0"/>
                <w:szCs w:val="20"/>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2" w:type="pct"/>
            <w:vAlign w:val="center"/>
          </w:tcPr>
          <w:p w14:paraId="4D9003AB" w14:textId="6150F58A" w:rsidR="00EC2FC5" w:rsidRPr="00EC2FC5" w:rsidRDefault="00EC2FC5" w:rsidP="00AA0B7E">
            <w:pPr>
              <w:pStyle w:val="TableText0"/>
              <w:jc w:val="center"/>
              <w:rPr>
                <w:rFonts w:cs="Times New Roman"/>
                <w:b/>
                <w:bCs w:val="0"/>
                <w:iCs/>
                <w:szCs w:val="20"/>
                <w:lang w:eastAsia="en-GB"/>
              </w:rPr>
            </w:pPr>
            <w:r w:rsidRPr="00EC2FC5">
              <w:rPr>
                <w:rFonts w:cs="Arial"/>
                <w:b/>
                <w:bCs w:val="0"/>
                <w:color w:val="00000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7</w:t>
            </w:r>
          </w:p>
        </w:tc>
      </w:tr>
      <w:tr w:rsidR="00EC2FC5" w:rsidRPr="00EC2FC5" w14:paraId="7ECA3C47" w14:textId="77777777" w:rsidTr="00A01609">
        <w:trPr>
          <w:tblHeader/>
        </w:trPr>
        <w:tc>
          <w:tcPr>
            <w:tcW w:w="5000" w:type="pct"/>
            <w:gridSpan w:val="8"/>
            <w:shd w:val="clear" w:color="auto" w:fill="auto"/>
            <w:vAlign w:val="center"/>
          </w:tcPr>
          <w:p w14:paraId="37D4EE64" w14:textId="7EB29587" w:rsidR="00EC2FC5" w:rsidRPr="00EC2FC5" w:rsidRDefault="00EC2FC5" w:rsidP="00AA0B7E">
            <w:pPr>
              <w:pStyle w:val="TableText0"/>
              <w:rPr>
                <w:rFonts w:cs="Times New Roman"/>
                <w:b/>
                <w:szCs w:val="20"/>
                <w:lang w:eastAsia="en-GB"/>
              </w:rPr>
            </w:pPr>
            <w:r w:rsidRPr="00EC2FC5">
              <w:rPr>
                <w:rFonts w:cs="Times New Roman"/>
                <w:b/>
                <w:szCs w:val="20"/>
                <w:lang w:eastAsia="en-GB"/>
              </w:rPr>
              <w:t>Pre-PBAC response estimates</w:t>
            </w:r>
            <w:r>
              <w:rPr>
                <w:rFonts w:cs="Times New Roman"/>
                <w:b/>
                <w:szCs w:val="20"/>
                <w:lang w:eastAsia="en-GB"/>
              </w:rPr>
              <w:t xml:space="preserve"> (including PSCR revisions)</w:t>
            </w:r>
          </w:p>
        </w:tc>
      </w:tr>
      <w:tr w:rsidR="00EC2FC5" w:rsidRPr="00EC2FC5" w14:paraId="6513C89F" w14:textId="77777777" w:rsidTr="00A01609">
        <w:trPr>
          <w:tblHeader/>
        </w:trPr>
        <w:tc>
          <w:tcPr>
            <w:tcW w:w="796" w:type="pct"/>
            <w:shd w:val="clear" w:color="auto" w:fill="auto"/>
            <w:vAlign w:val="center"/>
          </w:tcPr>
          <w:p w14:paraId="390A4796" w14:textId="615E4F47" w:rsidR="00EC2FC5" w:rsidRPr="00EC2FC5" w:rsidRDefault="00EC2FC5" w:rsidP="00AA0B7E">
            <w:pPr>
              <w:pStyle w:val="TableText0"/>
              <w:rPr>
                <w:b/>
                <w:bCs w:val="0"/>
                <w:szCs w:val="20"/>
              </w:rPr>
            </w:pPr>
            <w:r w:rsidRPr="00EC2FC5">
              <w:rPr>
                <w:rFonts w:cs="Times New Roman"/>
                <w:szCs w:val="20"/>
                <w:lang w:eastAsia="en-GB"/>
              </w:rPr>
              <w:t>Total patients on TAL</w:t>
            </w:r>
            <w:r>
              <w:rPr>
                <w:rFonts w:cs="Times New Roman"/>
                <w:szCs w:val="20"/>
                <w:lang w:eastAsia="en-GB"/>
              </w:rPr>
              <w:t>+ENZA</w:t>
            </w:r>
          </w:p>
        </w:tc>
        <w:tc>
          <w:tcPr>
            <w:tcW w:w="599" w:type="pct"/>
            <w:shd w:val="clear" w:color="auto" w:fill="auto"/>
            <w:vAlign w:val="center"/>
          </w:tcPr>
          <w:p w14:paraId="5A6927A6" w14:textId="1DB7624F"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1</w:t>
            </w:r>
          </w:p>
        </w:tc>
        <w:tc>
          <w:tcPr>
            <w:tcW w:w="599" w:type="pct"/>
            <w:shd w:val="clear" w:color="auto" w:fill="auto"/>
            <w:vAlign w:val="center"/>
          </w:tcPr>
          <w:p w14:paraId="0F22E333" w14:textId="30318000"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1</w:t>
            </w:r>
          </w:p>
        </w:tc>
        <w:tc>
          <w:tcPr>
            <w:tcW w:w="599" w:type="pct"/>
            <w:shd w:val="clear" w:color="auto" w:fill="auto"/>
            <w:vAlign w:val="center"/>
          </w:tcPr>
          <w:p w14:paraId="4872D17A" w14:textId="212D0E16"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1</w:t>
            </w:r>
          </w:p>
        </w:tc>
        <w:tc>
          <w:tcPr>
            <w:tcW w:w="599" w:type="pct"/>
            <w:shd w:val="clear" w:color="auto" w:fill="auto"/>
            <w:vAlign w:val="center"/>
          </w:tcPr>
          <w:p w14:paraId="77DB06C4" w14:textId="201B5CCD"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1</w:t>
            </w:r>
          </w:p>
        </w:tc>
        <w:tc>
          <w:tcPr>
            <w:tcW w:w="598" w:type="pct"/>
            <w:shd w:val="clear" w:color="auto" w:fill="auto"/>
            <w:vAlign w:val="center"/>
          </w:tcPr>
          <w:p w14:paraId="289F780D" w14:textId="571A5DBD"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1</w:t>
            </w:r>
          </w:p>
        </w:tc>
        <w:tc>
          <w:tcPr>
            <w:tcW w:w="618" w:type="pct"/>
            <w:vAlign w:val="center"/>
          </w:tcPr>
          <w:p w14:paraId="08CD6577" w14:textId="1365C1DB"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1</w:t>
            </w:r>
          </w:p>
        </w:tc>
        <w:tc>
          <w:tcPr>
            <w:tcW w:w="592" w:type="pct"/>
            <w:vAlign w:val="center"/>
          </w:tcPr>
          <w:p w14:paraId="4ABA386F" w14:textId="667FD953"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2</w:t>
            </w:r>
          </w:p>
        </w:tc>
      </w:tr>
      <w:tr w:rsidR="00EC2FC5" w:rsidRPr="00EC2FC5" w14:paraId="0535DE8C" w14:textId="77777777" w:rsidTr="00A01609">
        <w:trPr>
          <w:tblHeader/>
        </w:trPr>
        <w:tc>
          <w:tcPr>
            <w:tcW w:w="796" w:type="pct"/>
            <w:shd w:val="clear" w:color="auto" w:fill="auto"/>
            <w:vAlign w:val="center"/>
          </w:tcPr>
          <w:p w14:paraId="60509AE4" w14:textId="4CB890F7" w:rsidR="00EC2FC5" w:rsidRPr="00EC2FC5" w:rsidRDefault="00EC2FC5" w:rsidP="00AA0B7E">
            <w:pPr>
              <w:pStyle w:val="TableText0"/>
              <w:rPr>
                <w:b/>
                <w:bCs w:val="0"/>
                <w:szCs w:val="20"/>
              </w:rPr>
            </w:pPr>
            <w:r w:rsidRPr="00EC2FC5">
              <w:rPr>
                <w:rFonts w:cs="Times New Roman"/>
                <w:szCs w:val="20"/>
                <w:lang w:eastAsia="en-GB"/>
              </w:rPr>
              <w:t>Total TAL+ENZA scripts (PBS/RPBS)</w:t>
            </w:r>
          </w:p>
        </w:tc>
        <w:tc>
          <w:tcPr>
            <w:tcW w:w="599" w:type="pct"/>
            <w:shd w:val="clear" w:color="auto" w:fill="auto"/>
            <w:vAlign w:val="center"/>
          </w:tcPr>
          <w:p w14:paraId="0F530B0D" w14:textId="58CE6F3C"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szCs w:val="20"/>
                <w:vertAlign w:val="superscript"/>
              </w:rPr>
              <w:t>2</w:t>
            </w:r>
          </w:p>
        </w:tc>
        <w:tc>
          <w:tcPr>
            <w:tcW w:w="599" w:type="pct"/>
            <w:shd w:val="clear" w:color="auto" w:fill="auto"/>
            <w:vAlign w:val="center"/>
          </w:tcPr>
          <w:p w14:paraId="7FDBBB00" w14:textId="0D2231D1"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rFonts w:cs="Times New Roman"/>
                <w:szCs w:val="20"/>
                <w:vertAlign w:val="superscript"/>
                <w:lang w:eastAsia="en-GB"/>
              </w:rPr>
              <w:t>3</w:t>
            </w:r>
          </w:p>
        </w:tc>
        <w:tc>
          <w:tcPr>
            <w:tcW w:w="599" w:type="pct"/>
            <w:shd w:val="clear" w:color="auto" w:fill="auto"/>
            <w:vAlign w:val="center"/>
          </w:tcPr>
          <w:p w14:paraId="2BA1E191" w14:textId="16F68582"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rFonts w:cs="Times New Roman"/>
                <w:szCs w:val="20"/>
                <w:vertAlign w:val="superscript"/>
                <w:lang w:eastAsia="en-GB"/>
              </w:rPr>
              <w:t>3</w:t>
            </w:r>
          </w:p>
        </w:tc>
        <w:tc>
          <w:tcPr>
            <w:tcW w:w="599" w:type="pct"/>
            <w:shd w:val="clear" w:color="auto" w:fill="auto"/>
            <w:vAlign w:val="center"/>
          </w:tcPr>
          <w:p w14:paraId="7C57472C" w14:textId="390C7FD5"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934E3E">
              <w:rPr>
                <w:rFonts w:cs="Times New Roman"/>
                <w:szCs w:val="20"/>
                <w:vertAlign w:val="superscript"/>
                <w:lang w:eastAsia="en-GB"/>
              </w:rPr>
              <w:t>3</w:t>
            </w:r>
          </w:p>
        </w:tc>
        <w:tc>
          <w:tcPr>
            <w:tcW w:w="598" w:type="pct"/>
            <w:shd w:val="clear" w:color="auto" w:fill="auto"/>
            <w:vAlign w:val="center"/>
          </w:tcPr>
          <w:p w14:paraId="3B525879" w14:textId="33D69080"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29401A">
              <w:rPr>
                <w:rFonts w:cs="Times New Roman"/>
                <w:bCs w:val="0"/>
                <w:szCs w:val="20"/>
                <w:vertAlign w:val="superscript"/>
                <w:lang w:eastAsia="en-GB"/>
              </w:rPr>
              <w:t>10</w:t>
            </w:r>
          </w:p>
        </w:tc>
        <w:tc>
          <w:tcPr>
            <w:tcW w:w="618" w:type="pct"/>
            <w:vAlign w:val="center"/>
          </w:tcPr>
          <w:p w14:paraId="6118EC9A" w14:textId="3B53F953"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29401A">
              <w:rPr>
                <w:rFonts w:cs="Times New Roman"/>
                <w:bCs w:val="0"/>
                <w:szCs w:val="20"/>
                <w:vertAlign w:val="superscript"/>
                <w:lang w:eastAsia="en-GB"/>
              </w:rPr>
              <w:t>10</w:t>
            </w:r>
          </w:p>
        </w:tc>
        <w:tc>
          <w:tcPr>
            <w:tcW w:w="592" w:type="pct"/>
            <w:vAlign w:val="center"/>
          </w:tcPr>
          <w:p w14:paraId="1439B733" w14:textId="1E16C2A5" w:rsidR="00EC2FC5" w:rsidRPr="00ED6486" w:rsidRDefault="00D62519" w:rsidP="00AA0B7E">
            <w:pPr>
              <w:pStyle w:val="TableText0"/>
              <w:jc w:val="center"/>
              <w:rPr>
                <w:rFonts w:cs="Times New Roman"/>
                <w:bCs w:val="0"/>
                <w:szCs w:val="20"/>
                <w:highlight w:val="lightGray"/>
                <w:lang w:eastAsia="en-GB"/>
              </w:rPr>
            </w:pPr>
            <w:r w:rsidRPr="00D62519">
              <w:rPr>
                <w:rFonts w:cs="Times New Roman"/>
                <w:bCs w:val="0"/>
                <w:color w:val="000000"/>
                <w:szCs w:val="20"/>
                <w:shd w:val="solid" w:color="000000" w:fill="000000"/>
                <w:lang w:eastAsia="en-GB"/>
                <w14:textFill>
                  <w14:solidFill>
                    <w14:srgbClr w14:val="000000">
                      <w14:alpha w14:val="100000"/>
                    </w14:srgbClr>
                  </w14:solidFill>
                </w14:textFill>
              </w:rPr>
              <w:t>|</w:t>
            </w:r>
            <w:r w:rsidR="0029401A" w:rsidRPr="0029401A">
              <w:rPr>
                <w:rFonts w:cs="Times New Roman"/>
                <w:bCs w:val="0"/>
                <w:szCs w:val="20"/>
                <w:vertAlign w:val="superscript"/>
                <w:lang w:eastAsia="en-GB"/>
              </w:rPr>
              <w:t>11</w:t>
            </w:r>
          </w:p>
        </w:tc>
      </w:tr>
      <w:tr w:rsidR="00A01609" w:rsidRPr="00A01609" w14:paraId="02AD961A" w14:textId="77777777" w:rsidTr="00EC2FC5">
        <w:tc>
          <w:tcPr>
            <w:tcW w:w="796" w:type="pct"/>
            <w:shd w:val="clear" w:color="auto" w:fill="auto"/>
            <w:vAlign w:val="center"/>
          </w:tcPr>
          <w:p w14:paraId="68BAB08D" w14:textId="77777777" w:rsidR="00A01609" w:rsidRPr="00A01609" w:rsidRDefault="00A01609" w:rsidP="00AA0B7E">
            <w:pPr>
              <w:pStyle w:val="TableText0"/>
              <w:rPr>
                <w:rFonts w:cs="Times New Roman"/>
                <w:szCs w:val="20"/>
                <w:lang w:eastAsia="en-GB"/>
              </w:rPr>
            </w:pPr>
            <w:r w:rsidRPr="00A01609">
              <w:rPr>
                <w:szCs w:val="20"/>
              </w:rPr>
              <w:t>Net cost to PBS/RPBS</w:t>
            </w:r>
          </w:p>
        </w:tc>
        <w:tc>
          <w:tcPr>
            <w:tcW w:w="599" w:type="pct"/>
            <w:shd w:val="clear" w:color="auto" w:fill="auto"/>
            <w:vAlign w:val="center"/>
          </w:tcPr>
          <w:p w14:paraId="5D13F45A" w14:textId="58B43738"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61920672" w14:textId="511BBAE5"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9" w:type="pct"/>
            <w:shd w:val="clear" w:color="auto" w:fill="auto"/>
            <w:vAlign w:val="center"/>
          </w:tcPr>
          <w:p w14:paraId="3A0E36E1" w14:textId="36D1F2EB"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9" w:type="pct"/>
            <w:shd w:val="clear" w:color="auto" w:fill="auto"/>
            <w:vAlign w:val="center"/>
          </w:tcPr>
          <w:p w14:paraId="4E5C2C0E" w14:textId="07C016A6"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8" w:type="pct"/>
            <w:shd w:val="clear" w:color="auto" w:fill="auto"/>
            <w:vAlign w:val="center"/>
          </w:tcPr>
          <w:p w14:paraId="4112F884" w14:textId="18334875"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618" w:type="pct"/>
            <w:vAlign w:val="center"/>
          </w:tcPr>
          <w:p w14:paraId="0FD4BB38" w14:textId="3D901591"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2" w:type="pct"/>
            <w:vAlign w:val="center"/>
          </w:tcPr>
          <w:p w14:paraId="6F1F0FF5" w14:textId="3E13C168" w:rsidR="00A01609" w:rsidRPr="002E7BAB" w:rsidRDefault="00A01609" w:rsidP="00AA0B7E">
            <w:pPr>
              <w:pStyle w:val="TableText0"/>
              <w:jc w:val="center"/>
              <w:rPr>
                <w:rFonts w:cs="Arial"/>
                <w:b/>
                <w:bCs w:val="0"/>
                <w:szCs w:val="20"/>
              </w:rPr>
            </w:pPr>
            <w:r w:rsidRPr="00A01609">
              <w:rPr>
                <w:b/>
                <w:szCs w:val="20"/>
              </w:rPr>
              <w:t>$</w:t>
            </w:r>
            <w:r w:rsidR="00D62519" w:rsidRPr="00D62519">
              <w:rPr>
                <w:b/>
                <w:color w:val="000000"/>
                <w:szCs w:val="20"/>
                <w:shd w:val="solid" w:color="000000" w:fill="000000"/>
                <w14:textFill>
                  <w14:solidFill>
                    <w14:srgbClr w14:val="000000">
                      <w14:alpha w14:val="100000"/>
                    </w14:srgbClr>
                  </w14:solidFill>
                </w14:textFill>
              </w:rPr>
              <w:t>|</w:t>
            </w:r>
            <w:r w:rsidR="00934E3E" w:rsidRPr="00934E3E">
              <w:rPr>
                <w:bCs w:val="0"/>
                <w:szCs w:val="20"/>
                <w:vertAlign w:val="superscript"/>
              </w:rPr>
              <w:t>8</w:t>
            </w:r>
          </w:p>
        </w:tc>
      </w:tr>
      <w:tr w:rsidR="00A01609" w:rsidRPr="00A01609" w14:paraId="2581BF2A" w14:textId="77777777" w:rsidTr="00EC2FC5">
        <w:tc>
          <w:tcPr>
            <w:tcW w:w="796" w:type="pct"/>
            <w:shd w:val="clear" w:color="auto" w:fill="auto"/>
            <w:vAlign w:val="center"/>
          </w:tcPr>
          <w:p w14:paraId="40B0500F" w14:textId="71085687" w:rsidR="00A01609" w:rsidRPr="00A01609" w:rsidRDefault="00A01609" w:rsidP="00AA0B7E">
            <w:pPr>
              <w:pStyle w:val="TableText0"/>
              <w:rPr>
                <w:szCs w:val="20"/>
              </w:rPr>
            </w:pPr>
            <w:r w:rsidRPr="00A01609">
              <w:rPr>
                <w:szCs w:val="20"/>
              </w:rPr>
              <w:t>Net cost offsets to PBS/RPBS</w:t>
            </w:r>
          </w:p>
        </w:tc>
        <w:tc>
          <w:tcPr>
            <w:tcW w:w="599" w:type="pct"/>
            <w:shd w:val="clear" w:color="auto" w:fill="auto"/>
            <w:vAlign w:val="center"/>
          </w:tcPr>
          <w:p w14:paraId="46FC20E5" w14:textId="2D812B4A" w:rsidR="00A01609" w:rsidRPr="00A01609" w:rsidRDefault="00A01609" w:rsidP="00AA0B7E">
            <w:pPr>
              <w:pStyle w:val="TableText0"/>
              <w:jc w:val="center"/>
              <w:rPr>
                <w:szCs w:val="20"/>
              </w:rPr>
            </w:pPr>
            <w:r w:rsidRPr="002E7BAB">
              <w:rPr>
                <w:rFonts w:cs="Arial"/>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5186DC0A" w14:textId="7329995C" w:rsidR="00A01609" w:rsidRPr="00A01609" w:rsidRDefault="00A01609" w:rsidP="00AA0B7E">
            <w:pPr>
              <w:pStyle w:val="TableText0"/>
              <w:jc w:val="center"/>
              <w:rPr>
                <w:szCs w:val="20"/>
              </w:rPr>
            </w:pPr>
            <w:r w:rsidRPr="002E7BAB">
              <w:rPr>
                <w:rFonts w:cs="Arial"/>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3DB44639" w14:textId="1159874A" w:rsidR="00A01609" w:rsidRPr="00A01609" w:rsidRDefault="00A01609" w:rsidP="00AA0B7E">
            <w:pPr>
              <w:pStyle w:val="TableText0"/>
              <w:jc w:val="center"/>
              <w:rPr>
                <w:szCs w:val="20"/>
              </w:rPr>
            </w:pPr>
            <w:r w:rsidRPr="002E7BAB">
              <w:rPr>
                <w:rFonts w:cs="Arial"/>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47F6C356" w14:textId="7D567758" w:rsidR="00A01609" w:rsidRPr="00A01609" w:rsidRDefault="00A01609" w:rsidP="00AA0B7E">
            <w:pPr>
              <w:pStyle w:val="TableText0"/>
              <w:jc w:val="center"/>
              <w:rPr>
                <w:szCs w:val="20"/>
              </w:rPr>
            </w:pPr>
            <w:r w:rsidRPr="002E7BAB">
              <w:rPr>
                <w:rFonts w:cs="Arial"/>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8" w:type="pct"/>
            <w:shd w:val="clear" w:color="auto" w:fill="auto"/>
            <w:vAlign w:val="center"/>
          </w:tcPr>
          <w:p w14:paraId="60B090C8" w14:textId="6B452F96" w:rsidR="00A01609" w:rsidRPr="00A01609" w:rsidRDefault="00A01609" w:rsidP="00AA0B7E">
            <w:pPr>
              <w:pStyle w:val="TableText0"/>
              <w:jc w:val="center"/>
              <w:rPr>
                <w:szCs w:val="20"/>
              </w:rPr>
            </w:pPr>
            <w:r w:rsidRPr="002E7BAB">
              <w:rPr>
                <w:rFonts w:cs="Arial"/>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618" w:type="pct"/>
            <w:vAlign w:val="center"/>
          </w:tcPr>
          <w:p w14:paraId="70AF40FD" w14:textId="3F4A04B6" w:rsidR="00A01609" w:rsidRPr="00A01609" w:rsidRDefault="00A01609" w:rsidP="00AA0B7E">
            <w:pPr>
              <w:pStyle w:val="TableText0"/>
              <w:jc w:val="center"/>
              <w:rPr>
                <w:szCs w:val="20"/>
              </w:rPr>
            </w:pPr>
            <w:r w:rsidRPr="002E7BAB">
              <w:rPr>
                <w:rFonts w:cs="Arial"/>
                <w:szCs w:val="20"/>
              </w:rPr>
              <w:t>$</w:t>
            </w:r>
            <w:r w:rsidR="00D62519" w:rsidRPr="00D62519">
              <w:rPr>
                <w:rFonts w:cs="Arial"/>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2" w:type="pct"/>
            <w:vAlign w:val="center"/>
          </w:tcPr>
          <w:p w14:paraId="0E5D1F2D" w14:textId="23B7BE3E" w:rsidR="00A01609" w:rsidRPr="00A01609" w:rsidRDefault="00A01609" w:rsidP="00AA0B7E">
            <w:pPr>
              <w:pStyle w:val="TableText0"/>
              <w:jc w:val="center"/>
              <w:rPr>
                <w:szCs w:val="20"/>
              </w:rPr>
            </w:pPr>
            <w:r w:rsidRPr="00A01609">
              <w:rPr>
                <w:szCs w:val="20"/>
              </w:rPr>
              <w:t>$</w:t>
            </w:r>
            <w:r w:rsidR="00D62519" w:rsidRPr="00D62519">
              <w:rPr>
                <w:color w:val="000000"/>
                <w:szCs w:val="20"/>
                <w:shd w:val="solid" w:color="000000" w:fill="000000"/>
                <w14:textFill>
                  <w14:solidFill>
                    <w14:srgbClr w14:val="000000">
                      <w14:alpha w14:val="100000"/>
                    </w14:srgbClr>
                  </w14:solidFill>
                </w14:textFill>
              </w:rPr>
              <w:t>|</w:t>
            </w:r>
            <w:r w:rsidR="0029401A" w:rsidRPr="00934E3E">
              <w:rPr>
                <w:rFonts w:cs="Arial"/>
                <w:color w:val="000000"/>
                <w:szCs w:val="20"/>
                <w:vertAlign w:val="superscript"/>
              </w:rPr>
              <w:t>6</w:t>
            </w:r>
          </w:p>
        </w:tc>
      </w:tr>
      <w:tr w:rsidR="00A01609" w:rsidRPr="00A01609" w14:paraId="1F616657" w14:textId="77777777" w:rsidTr="00A01609">
        <w:tc>
          <w:tcPr>
            <w:tcW w:w="796" w:type="pct"/>
            <w:shd w:val="clear" w:color="auto" w:fill="auto"/>
            <w:vAlign w:val="center"/>
          </w:tcPr>
          <w:p w14:paraId="239BBA56" w14:textId="2814A264" w:rsidR="00A01609" w:rsidRPr="00A01609" w:rsidRDefault="00A01609" w:rsidP="00AA0B7E">
            <w:pPr>
              <w:pStyle w:val="TableText0"/>
              <w:rPr>
                <w:szCs w:val="20"/>
              </w:rPr>
            </w:pPr>
            <w:r w:rsidRPr="00A01609">
              <w:rPr>
                <w:szCs w:val="20"/>
              </w:rPr>
              <w:t>Net cost to PBS/RPBS</w:t>
            </w:r>
          </w:p>
        </w:tc>
        <w:tc>
          <w:tcPr>
            <w:tcW w:w="599" w:type="pct"/>
            <w:shd w:val="clear" w:color="auto" w:fill="auto"/>
            <w:vAlign w:val="center"/>
          </w:tcPr>
          <w:p w14:paraId="28484199" w14:textId="67AEF438"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77094194" w14:textId="5EB9177A"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5</w:t>
            </w:r>
          </w:p>
        </w:tc>
        <w:tc>
          <w:tcPr>
            <w:tcW w:w="599" w:type="pct"/>
            <w:shd w:val="clear" w:color="auto" w:fill="auto"/>
            <w:vAlign w:val="center"/>
          </w:tcPr>
          <w:p w14:paraId="3925B10B" w14:textId="60BDEED4"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9" w:type="pct"/>
            <w:shd w:val="clear" w:color="auto" w:fill="auto"/>
            <w:vAlign w:val="center"/>
          </w:tcPr>
          <w:p w14:paraId="7605CA96" w14:textId="28E6D190"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8" w:type="pct"/>
            <w:shd w:val="clear" w:color="auto" w:fill="auto"/>
            <w:vAlign w:val="center"/>
          </w:tcPr>
          <w:p w14:paraId="5739C34B" w14:textId="0CC81F11"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618" w:type="pct"/>
            <w:vAlign w:val="center"/>
          </w:tcPr>
          <w:p w14:paraId="5E05F62D" w14:textId="2CC55527" w:rsidR="00A01609" w:rsidRPr="002E7BAB" w:rsidRDefault="00A01609" w:rsidP="00AA0B7E">
            <w:pPr>
              <w:pStyle w:val="TableText0"/>
              <w:jc w:val="center"/>
              <w:rPr>
                <w:rFonts w:cs="Arial"/>
                <w:b/>
                <w:bCs w:val="0"/>
                <w:szCs w:val="20"/>
              </w:rPr>
            </w:pPr>
            <w:r w:rsidRPr="002E7BAB">
              <w:rPr>
                <w:rFonts w:cs="Arial"/>
                <w:b/>
                <w:bCs w:val="0"/>
                <w:szCs w:val="20"/>
              </w:rPr>
              <w:t>$</w:t>
            </w:r>
            <w:r w:rsidR="00D62519" w:rsidRPr="00D62519">
              <w:rPr>
                <w:rFonts w:cs="Arial"/>
                <w:b/>
                <w:bCs w:val="0"/>
                <w:color w:val="000000"/>
                <w:szCs w:val="20"/>
                <w:shd w:val="solid" w:color="000000" w:fill="000000"/>
                <w14:textFill>
                  <w14:solidFill>
                    <w14:srgbClr w14:val="000000">
                      <w14:alpha w14:val="100000"/>
                    </w14:srgbClr>
                  </w14:solidFill>
                </w14:textFill>
              </w:rPr>
              <w:t>|</w:t>
            </w:r>
            <w:r w:rsidR="00934E3E" w:rsidRPr="00934E3E">
              <w:rPr>
                <w:rFonts w:cs="Arial"/>
                <w:color w:val="000000"/>
                <w:szCs w:val="20"/>
                <w:vertAlign w:val="superscript"/>
              </w:rPr>
              <w:t>6</w:t>
            </w:r>
          </w:p>
        </w:tc>
        <w:tc>
          <w:tcPr>
            <w:tcW w:w="592" w:type="pct"/>
            <w:vAlign w:val="center"/>
          </w:tcPr>
          <w:p w14:paraId="25C205B3" w14:textId="59CB35BC" w:rsidR="00A01609" w:rsidRPr="00A01609" w:rsidRDefault="00A01609" w:rsidP="00AA0B7E">
            <w:pPr>
              <w:pStyle w:val="TableText0"/>
              <w:jc w:val="center"/>
              <w:rPr>
                <w:b/>
                <w:szCs w:val="20"/>
              </w:rPr>
            </w:pPr>
            <w:r w:rsidRPr="00A01609">
              <w:rPr>
                <w:b/>
                <w:szCs w:val="20"/>
              </w:rPr>
              <w:t>$</w:t>
            </w:r>
            <w:r w:rsidR="00D62519" w:rsidRPr="00D62519">
              <w:rPr>
                <w:b/>
                <w:color w:val="000000"/>
                <w:szCs w:val="20"/>
                <w:shd w:val="solid" w:color="000000" w:fill="000000"/>
                <w14:textFill>
                  <w14:solidFill>
                    <w14:srgbClr w14:val="000000">
                      <w14:alpha w14:val="100000"/>
                    </w14:srgbClr>
                  </w14:solidFill>
                </w14:textFill>
              </w:rPr>
              <w:t>|</w:t>
            </w:r>
            <w:r w:rsidR="00934E3E" w:rsidRPr="00934E3E">
              <w:rPr>
                <w:bCs w:val="0"/>
                <w:szCs w:val="20"/>
                <w:vertAlign w:val="superscript"/>
              </w:rPr>
              <w:t>9</w:t>
            </w:r>
          </w:p>
        </w:tc>
      </w:tr>
    </w:tbl>
    <w:p w14:paraId="2C157913" w14:textId="44519587" w:rsidR="00EC2FC5" w:rsidRPr="005A293B" w:rsidRDefault="00EC2FC5" w:rsidP="00AA0B7E">
      <w:pPr>
        <w:pStyle w:val="TableFooter"/>
        <w:keepNext/>
      </w:pPr>
      <w:r w:rsidRPr="005A293B">
        <w:t xml:space="preserve">Source: </w:t>
      </w:r>
      <w:r>
        <w:t>Updated_Talazoparib (TALZENNA)_mCRPC_UCM_06MAR2024.xlsx model provided with pre-PBAC response</w:t>
      </w:r>
      <w:r w:rsidRPr="005A293B">
        <w:t>.</w:t>
      </w:r>
    </w:p>
    <w:p w14:paraId="4ED28F3D" w14:textId="54A3CB17" w:rsidR="00EC2FC5" w:rsidRDefault="00EC2FC5" w:rsidP="00AA0B7E">
      <w:pPr>
        <w:pStyle w:val="TableFigureFooter"/>
        <w:keepNext/>
        <w:spacing w:after="0"/>
        <w:jc w:val="both"/>
      </w:pPr>
      <w:r w:rsidRPr="005A293B">
        <w:t>ENZ=enzalutamide, PBS=Pharmaceutical Benefits Scheme, RPBS=Repatriation Schedule of Pharmaceutical Benefits; TAL=talazoparib.</w:t>
      </w:r>
    </w:p>
    <w:p w14:paraId="1750DE8E" w14:textId="77777777" w:rsidR="00845CA8" w:rsidRPr="009A6D58" w:rsidRDefault="00845CA8" w:rsidP="00AA0B7E">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476A9C2" w14:textId="65D27A20" w:rsidR="00845CA8" w:rsidRPr="009A6D58" w:rsidRDefault="00845CA8" w:rsidP="00AA0B7E">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934E3E" w:rsidRPr="00934E3E">
        <w:rPr>
          <w:rFonts w:ascii="Arial Narrow" w:hAnsi="Arial Narrow"/>
          <w:i/>
          <w:sz w:val="18"/>
          <w:szCs w:val="18"/>
        </w:rPr>
        <w:t>&lt; 500</w:t>
      </w:r>
    </w:p>
    <w:p w14:paraId="275B257C" w14:textId="19881AAB" w:rsidR="00845CA8" w:rsidRPr="009A6D58" w:rsidRDefault="00845CA8" w:rsidP="00AA0B7E">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934E3E" w:rsidRPr="00934E3E">
        <w:rPr>
          <w:rFonts w:ascii="Arial Narrow" w:hAnsi="Arial Narrow"/>
          <w:i/>
          <w:sz w:val="18"/>
          <w:szCs w:val="18"/>
        </w:rPr>
        <w:t>500 to &lt; 5,000</w:t>
      </w:r>
    </w:p>
    <w:p w14:paraId="6EB9CDC0" w14:textId="122A9BA7" w:rsidR="00845CA8" w:rsidRDefault="00845CA8" w:rsidP="00AA0B7E">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34E3E" w:rsidRPr="00934E3E">
        <w:rPr>
          <w:rFonts w:ascii="Arial Narrow" w:hAnsi="Arial Narrow"/>
          <w:i/>
          <w:sz w:val="18"/>
          <w:szCs w:val="18"/>
        </w:rPr>
        <w:t>5,000 to &lt; 10,000</w:t>
      </w:r>
    </w:p>
    <w:p w14:paraId="6701134B" w14:textId="1E8906C5" w:rsidR="00C71977" w:rsidRDefault="00845CA8" w:rsidP="00AA0B7E">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934E3E" w:rsidRPr="00934E3E">
        <w:rPr>
          <w:rFonts w:ascii="Arial Narrow" w:hAnsi="Arial Narrow"/>
          <w:i/>
          <w:sz w:val="18"/>
          <w:szCs w:val="18"/>
        </w:rPr>
        <w:t>30,000 to &lt; 40,000</w:t>
      </w:r>
    </w:p>
    <w:p w14:paraId="3ADCD391" w14:textId="681E6C41" w:rsidR="00845CA8" w:rsidRDefault="00845CA8" w:rsidP="00AA0B7E">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934E3E" w:rsidRPr="00934E3E">
        <w:rPr>
          <w:rFonts w:ascii="Arial Narrow" w:hAnsi="Arial Narrow"/>
          <w:i/>
          <w:sz w:val="18"/>
          <w:szCs w:val="18"/>
        </w:rPr>
        <w:t>$0 to &lt; $10 million</w:t>
      </w:r>
    </w:p>
    <w:p w14:paraId="44AD21F7" w14:textId="22E8CAE7" w:rsidR="00845CA8" w:rsidRDefault="00845CA8" w:rsidP="00AA0B7E">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934E3E" w:rsidRPr="00934E3E">
        <w:rPr>
          <w:rFonts w:ascii="Arial Narrow" w:hAnsi="Arial Narrow"/>
          <w:i/>
          <w:sz w:val="18"/>
          <w:szCs w:val="18"/>
        </w:rPr>
        <w:t>$10 million to &lt; $20 million</w:t>
      </w:r>
    </w:p>
    <w:p w14:paraId="3A2D9B98" w14:textId="3FED6299" w:rsidR="00C71977" w:rsidRPr="009A6D58" w:rsidRDefault="00845CA8" w:rsidP="00AA0B7E">
      <w:pPr>
        <w:keepNex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934E3E" w:rsidRPr="00934E3E">
        <w:rPr>
          <w:rFonts w:ascii="Arial Narrow" w:hAnsi="Arial Narrow"/>
          <w:i/>
          <w:sz w:val="18"/>
          <w:szCs w:val="18"/>
        </w:rPr>
        <w:t>$50 million to &lt; $60 million</w:t>
      </w:r>
    </w:p>
    <w:p w14:paraId="3E79AECC" w14:textId="5A79328A" w:rsidR="00845CA8" w:rsidRPr="009A6D58" w:rsidRDefault="00845CA8" w:rsidP="00AA0B7E">
      <w:pPr>
        <w:keepNext/>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934E3E" w:rsidRPr="00934E3E">
        <w:rPr>
          <w:rFonts w:ascii="Arial Narrow" w:hAnsi="Arial Narrow"/>
          <w:i/>
          <w:sz w:val="18"/>
          <w:szCs w:val="18"/>
        </w:rPr>
        <w:t>$80 million to &lt; $90 million</w:t>
      </w:r>
    </w:p>
    <w:p w14:paraId="5D33B009" w14:textId="0729EAFB" w:rsidR="00845CA8" w:rsidRDefault="00845CA8" w:rsidP="00AA0B7E">
      <w:pPr>
        <w:keepNext/>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934E3E" w:rsidRPr="00934E3E">
        <w:rPr>
          <w:rFonts w:ascii="Arial Narrow" w:hAnsi="Arial Narrow"/>
          <w:i/>
          <w:sz w:val="18"/>
          <w:szCs w:val="18"/>
        </w:rPr>
        <w:t>$60 million to &lt; $70 million</w:t>
      </w:r>
    </w:p>
    <w:p w14:paraId="22F520A3" w14:textId="5FB14781" w:rsidR="00845CA8" w:rsidRDefault="00845CA8" w:rsidP="00AA0B7E">
      <w:pPr>
        <w:keepNext/>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29401A" w:rsidRPr="0029401A">
        <w:rPr>
          <w:rFonts w:ascii="Arial Narrow" w:hAnsi="Arial Narrow"/>
          <w:i/>
          <w:sz w:val="18"/>
          <w:szCs w:val="18"/>
        </w:rPr>
        <w:t>10,000 to &lt; 20,000</w:t>
      </w:r>
    </w:p>
    <w:p w14:paraId="30F1DF1D" w14:textId="6211C44D" w:rsidR="00845CA8" w:rsidRDefault="00845CA8" w:rsidP="002D42F6">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29401A" w:rsidRPr="0029401A">
        <w:rPr>
          <w:rFonts w:ascii="Arial Narrow" w:hAnsi="Arial Narrow"/>
          <w:i/>
          <w:sz w:val="18"/>
          <w:szCs w:val="18"/>
        </w:rPr>
        <w:t>40,000 to &lt; 50,000</w:t>
      </w:r>
    </w:p>
    <w:p w14:paraId="187DE432" w14:textId="48AAD141" w:rsidR="002D42F6" w:rsidRDefault="002D42F6" w:rsidP="002D42F6">
      <w:pPr>
        <w:spacing w:after="120"/>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934E3E">
        <w:rPr>
          <w:rFonts w:ascii="Arial Narrow" w:hAnsi="Arial Narrow"/>
          <w:i/>
          <w:sz w:val="18"/>
          <w:szCs w:val="18"/>
        </w:rPr>
        <w:t>$</w:t>
      </w:r>
      <w:r>
        <w:rPr>
          <w:rFonts w:ascii="Arial Narrow" w:hAnsi="Arial Narrow"/>
          <w:i/>
          <w:sz w:val="18"/>
          <w:szCs w:val="18"/>
        </w:rPr>
        <w:t>7</w:t>
      </w:r>
      <w:r w:rsidRPr="00934E3E">
        <w:rPr>
          <w:rFonts w:ascii="Arial Narrow" w:hAnsi="Arial Narrow"/>
          <w:i/>
          <w:sz w:val="18"/>
          <w:szCs w:val="18"/>
        </w:rPr>
        <w:t>0 million to &lt; $</w:t>
      </w:r>
      <w:r>
        <w:rPr>
          <w:rFonts w:ascii="Arial Narrow" w:hAnsi="Arial Narrow"/>
          <w:i/>
          <w:sz w:val="18"/>
          <w:szCs w:val="18"/>
        </w:rPr>
        <w:t>8</w:t>
      </w:r>
      <w:r w:rsidRPr="00934E3E">
        <w:rPr>
          <w:rFonts w:ascii="Arial Narrow" w:hAnsi="Arial Narrow"/>
          <w:i/>
          <w:sz w:val="18"/>
          <w:szCs w:val="18"/>
        </w:rPr>
        <w:t>0 millio</w:t>
      </w:r>
      <w:r>
        <w:rPr>
          <w:rFonts w:ascii="Arial Narrow" w:hAnsi="Arial Narrow"/>
          <w:i/>
          <w:sz w:val="18"/>
          <w:szCs w:val="18"/>
        </w:rPr>
        <w:t>n</w:t>
      </w:r>
    </w:p>
    <w:p w14:paraId="234A840A" w14:textId="6D23B767" w:rsidR="006E4BFC" w:rsidRPr="006E4BFC" w:rsidRDefault="006E4BFC" w:rsidP="006E4BFC">
      <w:pPr>
        <w:pStyle w:val="3-BodyText"/>
        <w:numPr>
          <w:ilvl w:val="0"/>
          <w:numId w:val="0"/>
        </w:numPr>
        <w:ind w:left="720"/>
        <w:rPr>
          <w:i/>
          <w:iCs/>
        </w:rPr>
      </w:pPr>
      <w:r w:rsidRPr="006E4BFC">
        <w:rPr>
          <w:i/>
          <w:iCs/>
        </w:rPr>
        <w:t>For more detail on PBAC’s view, see section 7 PBAC outcome.</w:t>
      </w:r>
    </w:p>
    <w:p w14:paraId="64A0FF7B" w14:textId="77777777" w:rsidR="006E4BFC" w:rsidRPr="0090150D" w:rsidRDefault="006E4BFC" w:rsidP="006E4BFC">
      <w:pPr>
        <w:pStyle w:val="2-SectionHeading"/>
      </w:pPr>
      <w:bookmarkStart w:id="97" w:name="_Hlk76381249"/>
      <w:bookmarkStart w:id="98" w:name="_Hlk76377955"/>
      <w:r w:rsidRPr="0090150D">
        <w:t>PBAC Outcome</w:t>
      </w:r>
    </w:p>
    <w:p w14:paraId="6254A227" w14:textId="0EC0162C" w:rsidR="00350AC2" w:rsidRPr="00350AC2" w:rsidRDefault="00350AC2" w:rsidP="003D229D">
      <w:pPr>
        <w:pStyle w:val="3-BodyText"/>
      </w:pPr>
      <w:r w:rsidRPr="00350AC2">
        <w:t>The PBAC did not recommend talazoparib, for use in combination with enzalutamide</w:t>
      </w:r>
      <w:r w:rsidR="00BF4313">
        <w:t>,</w:t>
      </w:r>
      <w:r w:rsidRPr="00350AC2">
        <w:t xml:space="preserve"> for the treatment of metastatic castration resistant prostate cancer (mCRPC) in patients with breast cancer gene (</w:t>
      </w:r>
      <w:r w:rsidRPr="00EC2FC5">
        <w:rPr>
          <w:i/>
          <w:iCs/>
        </w:rPr>
        <w:t>BRCA</w:t>
      </w:r>
      <w:r w:rsidRPr="00350AC2">
        <w:t xml:space="preserve">) 1/2 pathogenic variants who have not received prior treatment with a novel hormonal agent (NHA). Although the PBAC considered that talazoparib + enzalutamide was likely superior to enzalutamide alone, it noted that the </w:t>
      </w:r>
      <w:r w:rsidR="002E7BAB">
        <w:t xml:space="preserve">precise </w:t>
      </w:r>
      <w:r w:rsidRPr="00350AC2">
        <w:t>magnitude of the benefit in clinical practice was uncertain</w:t>
      </w:r>
      <w:r w:rsidR="002E7BAB">
        <w:t xml:space="preserve"> given that the results were based on a small, post-hoc subgroup of patients with </w:t>
      </w:r>
      <w:r w:rsidR="002E7BAB" w:rsidRPr="00DE1B31">
        <w:rPr>
          <w:i/>
          <w:iCs/>
        </w:rPr>
        <w:t>BRCA1/2</w:t>
      </w:r>
      <w:r w:rsidR="002E7BAB">
        <w:t xml:space="preserve"> pathogenetic variants</w:t>
      </w:r>
      <w:r w:rsidRPr="00350AC2">
        <w:t xml:space="preserve">. Additionally, the PBAC considered that the </w:t>
      </w:r>
      <w:r w:rsidR="00E9121C">
        <w:lastRenderedPageBreak/>
        <w:t>incremental cost-effectiveness ratio (</w:t>
      </w:r>
      <w:r w:rsidRPr="00350AC2">
        <w:t>ICER</w:t>
      </w:r>
      <w:r w:rsidR="00E9121C">
        <w:t>)</w:t>
      </w:r>
      <w:r w:rsidRPr="00350AC2">
        <w:t xml:space="preserve"> presented in the </w:t>
      </w:r>
      <w:r w:rsidR="00BF4313">
        <w:t>pre-PBAC response</w:t>
      </w:r>
      <w:r w:rsidRPr="00350AC2">
        <w:t xml:space="preserve"> was high and uncertain and that utilisation was likely overestimated.</w:t>
      </w:r>
    </w:p>
    <w:p w14:paraId="51C5B689" w14:textId="2D8F518C" w:rsidR="00350AC2" w:rsidRPr="00EC2FC5" w:rsidRDefault="00E9121C" w:rsidP="003D229D">
      <w:pPr>
        <w:pStyle w:val="3-BodyText"/>
        <w:rPr>
          <w:lang w:val="en-GB"/>
        </w:rPr>
      </w:pPr>
      <w:r>
        <w:t>The PBAC noted that a</w:t>
      </w:r>
      <w:r w:rsidRPr="00350AC2">
        <w:t xml:space="preserve"> request for an amendment of MBS item numbers 73303 and 73304 for the evaluation of </w:t>
      </w:r>
      <w:r w:rsidRPr="00EC2FC5">
        <w:rPr>
          <w:i/>
          <w:iCs/>
        </w:rPr>
        <w:t>BRCA1/2</w:t>
      </w:r>
      <w:r w:rsidRPr="00350AC2">
        <w:t xml:space="preserve"> pathogenic variants for access to talazoparib was also submitted for consideration by MSAC at its April 2024 meeting.</w:t>
      </w:r>
    </w:p>
    <w:p w14:paraId="1A2DFAAF" w14:textId="74D806E6" w:rsidR="00E9121C" w:rsidRPr="002E7BAB" w:rsidRDefault="00E9121C" w:rsidP="003D229D">
      <w:pPr>
        <w:pStyle w:val="3-BodyText"/>
        <w:rPr>
          <w:lang w:val="en-GB"/>
        </w:rPr>
      </w:pPr>
      <w:r>
        <w:t xml:space="preserve">The primary reason for this outcome was due to the </w:t>
      </w:r>
      <w:r w:rsidR="00EC2FC5">
        <w:t>economic evaluation</w:t>
      </w:r>
      <w:r>
        <w:t>.</w:t>
      </w:r>
    </w:p>
    <w:p w14:paraId="3D36A5FE" w14:textId="6018A80A" w:rsidR="00EC2FC5" w:rsidRDefault="00EC2FC5" w:rsidP="003D229D">
      <w:pPr>
        <w:pStyle w:val="3-BodyText"/>
        <w:rPr>
          <w:lang w:val="en-GB"/>
        </w:rPr>
      </w:pPr>
      <w:r>
        <w:rPr>
          <w:lang w:val="en-GB"/>
        </w:rPr>
        <w:t>The PBAC noted the input from organisations which supported the submission and acknowledged that the Medical Oncology Group of Australia (MOGA) expressed its support for the submission.</w:t>
      </w:r>
    </w:p>
    <w:p w14:paraId="476FE45A" w14:textId="44FDACE0" w:rsidR="00E9121C" w:rsidRDefault="00E9121C" w:rsidP="003D229D">
      <w:pPr>
        <w:pStyle w:val="3-BodyText"/>
        <w:rPr>
          <w:lang w:val="en-GB"/>
        </w:rPr>
      </w:pPr>
      <w:r>
        <w:rPr>
          <w:lang w:val="en-GB"/>
        </w:rPr>
        <w:t>The PBAC considered that the nomination of enzalutamide monotherapy as the main comparator was reasonable.</w:t>
      </w:r>
      <w:r w:rsidR="00D5001D">
        <w:rPr>
          <w:lang w:val="en-GB"/>
        </w:rPr>
        <w:t xml:space="preserve"> However, the PBAC also agreed with the ESC that a comparison with sequential treatment</w:t>
      </w:r>
      <w:r w:rsidR="003F498E">
        <w:rPr>
          <w:lang w:val="en-GB"/>
        </w:rPr>
        <w:t>,</w:t>
      </w:r>
      <w:r w:rsidR="00D5001D">
        <w:rPr>
          <w:lang w:val="en-GB"/>
        </w:rPr>
        <w:t xml:space="preserve"> consisting of a NHA followed by olaparib (which is currently listed on the PBS as a second line therapy in mCRPC)</w:t>
      </w:r>
      <w:r w:rsidR="003F498E">
        <w:rPr>
          <w:lang w:val="en-GB"/>
        </w:rPr>
        <w:t>,</w:t>
      </w:r>
      <w:r w:rsidR="00D5001D">
        <w:rPr>
          <w:lang w:val="en-GB"/>
        </w:rPr>
        <w:t xml:space="preserve"> would be useful and would better align with the current clinical algorithm</w:t>
      </w:r>
      <w:r w:rsidR="007A6415">
        <w:rPr>
          <w:lang w:val="en-GB"/>
        </w:rPr>
        <w:t>.</w:t>
      </w:r>
    </w:p>
    <w:p w14:paraId="7374AEDB" w14:textId="64B56499" w:rsidR="00E9121C" w:rsidRDefault="00E9121C" w:rsidP="003D229D">
      <w:pPr>
        <w:pStyle w:val="3-BodyText"/>
        <w:rPr>
          <w:lang w:val="en-GB"/>
        </w:rPr>
      </w:pPr>
      <w:r>
        <w:rPr>
          <w:lang w:val="en-GB"/>
        </w:rPr>
        <w:t xml:space="preserve">The PBAC noted that the submission placed talazoparib, a polyadenosine 5’diphosphoribose polymerase (PARP) inhibitor, plus enzalutamide as a first line option for mCRPC patients with </w:t>
      </w:r>
      <w:r w:rsidRPr="00EC2FC5">
        <w:rPr>
          <w:i/>
          <w:iCs/>
          <w:lang w:val="en-GB"/>
        </w:rPr>
        <w:t>BRCA1/2</w:t>
      </w:r>
      <w:r>
        <w:rPr>
          <w:lang w:val="en-GB"/>
        </w:rPr>
        <w:t xml:space="preserve"> pathogenic variants who had not received prior NHA treatment. The PBAC considered that use of talazoparib + enzalutamide in this setting would likely be low as the majority of mCRPC patients would have received NHA therapy in the metastatic hormone sensitive or non-metastatic castration resistant settings and thus, would not be eligible for treatment with the talazoparib combination. Further, the PBAC noted that olaparib, another PARP</w:t>
      </w:r>
      <w:r w:rsidR="003A119D">
        <w:rPr>
          <w:lang w:val="en-GB"/>
        </w:rPr>
        <w:t xml:space="preserve"> inhibitor</w:t>
      </w:r>
      <w:r>
        <w:rPr>
          <w:lang w:val="en-GB"/>
        </w:rPr>
        <w:t xml:space="preserve">, was available as monotherapy in the mCRPC setting following </w:t>
      </w:r>
      <w:r w:rsidR="0038460E">
        <w:rPr>
          <w:lang w:val="en-GB"/>
        </w:rPr>
        <w:t xml:space="preserve">progression on </w:t>
      </w:r>
      <w:r>
        <w:rPr>
          <w:lang w:val="en-GB"/>
        </w:rPr>
        <w:t>treatment with a NHA.</w:t>
      </w:r>
    </w:p>
    <w:p w14:paraId="46AC2F93" w14:textId="3948449E" w:rsidR="00E9121C" w:rsidRDefault="00E9121C" w:rsidP="003D229D">
      <w:pPr>
        <w:pStyle w:val="3-BodyText"/>
        <w:rPr>
          <w:lang w:val="en-GB"/>
        </w:rPr>
      </w:pPr>
      <w:bookmarkStart w:id="99" w:name="_Ref151984919"/>
      <w:r>
        <w:rPr>
          <w:lang w:val="en-GB"/>
        </w:rPr>
        <w:t xml:space="preserve">The PBAC noted that the submission was based on a subgroup </w:t>
      </w:r>
      <w:r w:rsidR="00EC2FC5">
        <w:rPr>
          <w:lang w:val="en-GB"/>
        </w:rPr>
        <w:t xml:space="preserve">of patients from the </w:t>
      </w:r>
      <w:r>
        <w:rPr>
          <w:lang w:val="en-GB"/>
        </w:rPr>
        <w:t>TALAPRO-2 trial, which compared talazoparib + enzalutamide to placebo + enzalutamide</w:t>
      </w:r>
      <w:r w:rsidR="00EC2FC5">
        <w:rPr>
          <w:lang w:val="en-GB"/>
        </w:rPr>
        <w:t xml:space="preserve">, with </w:t>
      </w:r>
      <w:r w:rsidR="00EC2FC5" w:rsidRPr="00A01609">
        <w:rPr>
          <w:i/>
          <w:iCs/>
          <w:lang w:val="en-GB"/>
        </w:rPr>
        <w:t>BRCA1/2</w:t>
      </w:r>
      <w:r w:rsidR="00EC2FC5">
        <w:rPr>
          <w:lang w:val="en-GB"/>
        </w:rPr>
        <w:t xml:space="preserve"> pathogenetic variants</w:t>
      </w:r>
      <w:r>
        <w:rPr>
          <w:lang w:val="en-GB"/>
        </w:rPr>
        <w:t xml:space="preserve">. The PBAC </w:t>
      </w:r>
      <w:r w:rsidR="00EC2FC5">
        <w:rPr>
          <w:lang w:val="en-GB"/>
        </w:rPr>
        <w:t xml:space="preserve">noted </w:t>
      </w:r>
      <w:r>
        <w:rPr>
          <w:lang w:val="en-GB"/>
        </w:rPr>
        <w:t>that</w:t>
      </w:r>
      <w:r w:rsidR="00EC2FC5">
        <w:rPr>
          <w:lang w:val="en-GB"/>
        </w:rPr>
        <w:t xml:space="preserve"> although the results of the </w:t>
      </w:r>
      <w:r>
        <w:rPr>
          <w:lang w:val="en-GB"/>
        </w:rPr>
        <w:t>subgroup</w:t>
      </w:r>
      <w:r w:rsidR="00EC2FC5">
        <w:rPr>
          <w:lang w:val="en-GB"/>
        </w:rPr>
        <w:t xml:space="preserve"> should be interpreted with caution as the sample size was </w:t>
      </w:r>
      <w:r>
        <w:rPr>
          <w:lang w:val="en-GB"/>
        </w:rPr>
        <w:t>small (n = 155) compared to the</w:t>
      </w:r>
      <w:r w:rsidR="00B022AD">
        <w:rPr>
          <w:lang w:val="en-GB"/>
        </w:rPr>
        <w:t xml:space="preserve"> Cohort 2</w:t>
      </w:r>
      <w:r>
        <w:rPr>
          <w:lang w:val="en-GB"/>
        </w:rPr>
        <w:t xml:space="preserve"> intention-to-treat (ITT) population (n = </w:t>
      </w:r>
      <w:r w:rsidR="00B022AD">
        <w:rPr>
          <w:lang w:val="en-GB"/>
        </w:rPr>
        <w:t>399</w:t>
      </w:r>
      <w:r>
        <w:rPr>
          <w:lang w:val="en-GB"/>
        </w:rPr>
        <w:t>)</w:t>
      </w:r>
      <w:r w:rsidR="00EC2FC5">
        <w:rPr>
          <w:lang w:val="en-GB"/>
        </w:rPr>
        <w:t xml:space="preserve"> and </w:t>
      </w:r>
      <w:bookmarkEnd w:id="99"/>
      <w:r w:rsidR="00EC2FC5">
        <w:rPr>
          <w:lang w:val="en-GB"/>
        </w:rPr>
        <w:t xml:space="preserve">the subgroup </w:t>
      </w:r>
      <w:r>
        <w:rPr>
          <w:lang w:val="en-GB"/>
        </w:rPr>
        <w:t xml:space="preserve">was </w:t>
      </w:r>
      <w:r w:rsidR="00EC2FC5">
        <w:rPr>
          <w:lang w:val="en-GB"/>
        </w:rPr>
        <w:t xml:space="preserve">post hoc (i.e. </w:t>
      </w:r>
      <w:r>
        <w:rPr>
          <w:lang w:val="en-GB"/>
        </w:rPr>
        <w:t>not pre-specified</w:t>
      </w:r>
      <w:r w:rsidR="00EC2FC5">
        <w:rPr>
          <w:lang w:val="en-GB"/>
        </w:rPr>
        <w:t>)</w:t>
      </w:r>
      <w:r>
        <w:rPr>
          <w:lang w:val="en-GB"/>
        </w:rPr>
        <w:t>,</w:t>
      </w:r>
      <w:r w:rsidR="00EC2FC5">
        <w:rPr>
          <w:lang w:val="en-GB"/>
        </w:rPr>
        <w:t xml:space="preserve"> the baseline demographic and disease characteristics were well balanced between the treatment groups with respect to potential confounders</w:t>
      </w:r>
      <w:r>
        <w:rPr>
          <w:lang w:val="en-GB"/>
        </w:rPr>
        <w:t>.</w:t>
      </w:r>
    </w:p>
    <w:p w14:paraId="14BFCE7B" w14:textId="552DD60E" w:rsidR="00E9121C" w:rsidRDefault="00E9121C" w:rsidP="003D229D">
      <w:pPr>
        <w:pStyle w:val="3-BodyText"/>
        <w:rPr>
          <w:lang w:val="en-GB"/>
        </w:rPr>
      </w:pPr>
      <w:r>
        <w:rPr>
          <w:lang w:val="en-GB"/>
        </w:rPr>
        <w:t xml:space="preserve">The PBAC noted that </w:t>
      </w:r>
      <w:r w:rsidR="00A01609">
        <w:rPr>
          <w:lang w:val="en-GB"/>
        </w:rPr>
        <w:t xml:space="preserve">for patients from the </w:t>
      </w:r>
      <w:r w:rsidR="00A01609" w:rsidRPr="00DE1B31">
        <w:rPr>
          <w:i/>
          <w:iCs/>
          <w:lang w:val="en-GB"/>
        </w:rPr>
        <w:t>BRCA1/2</w:t>
      </w:r>
      <w:r w:rsidR="00A01609">
        <w:rPr>
          <w:lang w:val="en-GB"/>
        </w:rPr>
        <w:t xml:space="preserve"> pathogenetic variant subgroup, </w:t>
      </w:r>
      <w:r>
        <w:rPr>
          <w:lang w:val="en-GB"/>
        </w:rPr>
        <w:t xml:space="preserve">talazoparib + enzalutamide was associated with a benefit over enzalutamide monotherapy in terms of </w:t>
      </w:r>
      <w:r w:rsidR="00EC2FC5">
        <w:rPr>
          <w:lang w:val="en-GB"/>
        </w:rPr>
        <w:t xml:space="preserve">both </w:t>
      </w:r>
      <w:r>
        <w:rPr>
          <w:lang w:val="en-GB"/>
        </w:rPr>
        <w:t>radiographic progression free survival (rPFS; HR = 0.20, 95% CI: 0.11, 0.36)</w:t>
      </w:r>
      <w:r w:rsidR="00EC2FC5">
        <w:rPr>
          <w:lang w:val="en-GB"/>
        </w:rPr>
        <w:t xml:space="preserve"> and overall survival (OS; HR = 0.47; 95% CI: 0.26, 0.85), However, the PBAC noted that</w:t>
      </w:r>
      <w:r>
        <w:rPr>
          <w:lang w:val="en-GB"/>
        </w:rPr>
        <w:t xml:space="preserve"> the data from </w:t>
      </w:r>
      <w:r w:rsidRPr="00B26495">
        <w:rPr>
          <w:i/>
          <w:iCs/>
          <w:lang w:val="en-GB"/>
        </w:rPr>
        <w:t>BRCA1/2</w:t>
      </w:r>
      <w:r>
        <w:rPr>
          <w:lang w:val="en-GB"/>
        </w:rPr>
        <w:t xml:space="preserve"> subgroup </w:t>
      </w:r>
      <w:r w:rsidR="00EC2FC5">
        <w:rPr>
          <w:lang w:val="en-GB"/>
        </w:rPr>
        <w:t xml:space="preserve">for both results </w:t>
      </w:r>
      <w:r>
        <w:rPr>
          <w:lang w:val="en-GB"/>
        </w:rPr>
        <w:t>were immature</w:t>
      </w:r>
      <w:r w:rsidR="00ED3C2F">
        <w:rPr>
          <w:lang w:val="en-GB"/>
        </w:rPr>
        <w:t>, which added to the uncertainty associated with the small sample size</w:t>
      </w:r>
      <w:r>
        <w:rPr>
          <w:lang w:val="en-GB"/>
        </w:rPr>
        <w:t xml:space="preserve">. </w:t>
      </w:r>
    </w:p>
    <w:p w14:paraId="408CC577" w14:textId="56A82EDD" w:rsidR="00E9121C" w:rsidRDefault="00E9121C" w:rsidP="003D229D">
      <w:pPr>
        <w:pStyle w:val="3-BodyText"/>
        <w:rPr>
          <w:lang w:val="en-GB"/>
        </w:rPr>
      </w:pPr>
      <w:r>
        <w:rPr>
          <w:lang w:val="en-GB"/>
        </w:rPr>
        <w:t xml:space="preserve">Overall, the PBAC considered that although the claim that talazoparib was superior compared to enzalutamide monotherapy in terms of efficacy, the magnitude of the </w:t>
      </w:r>
      <w:r>
        <w:rPr>
          <w:lang w:val="en-GB"/>
        </w:rPr>
        <w:lastRenderedPageBreak/>
        <w:t xml:space="preserve">benefit was uncertain as the </w:t>
      </w:r>
      <w:r w:rsidRPr="002E7BAB">
        <w:rPr>
          <w:i/>
          <w:iCs/>
          <w:lang w:val="en-GB"/>
        </w:rPr>
        <w:t>BRCA1/2</w:t>
      </w:r>
      <w:r>
        <w:rPr>
          <w:lang w:val="en-GB"/>
        </w:rPr>
        <w:t xml:space="preserve"> subgroup was post hoc, small and the outcomes were informed by immature data.</w:t>
      </w:r>
    </w:p>
    <w:p w14:paraId="34D11FD6" w14:textId="398A3C73" w:rsidR="00E9121C" w:rsidRDefault="00E9121C" w:rsidP="003D229D">
      <w:pPr>
        <w:pStyle w:val="3-BodyText"/>
        <w:rPr>
          <w:lang w:val="en-GB"/>
        </w:rPr>
      </w:pPr>
      <w:r>
        <w:rPr>
          <w:lang w:val="en-GB"/>
        </w:rPr>
        <w:t>In terms of safety, the PBAC considered that the claim that talazoparib + enzalutamide was inferior compared to enzalutamide monotherapy was reasonable, particularly as the combination therapy was associated with more Grade 3 and 4 adverse events and more serious adverse events, including anaemia.</w:t>
      </w:r>
    </w:p>
    <w:p w14:paraId="044F6A41" w14:textId="363DDD82" w:rsidR="00EC2FC5" w:rsidRDefault="00A717A7" w:rsidP="003D229D">
      <w:pPr>
        <w:pStyle w:val="3-BodyText"/>
        <w:rPr>
          <w:lang w:val="en-GB"/>
        </w:rPr>
      </w:pPr>
      <w:r>
        <w:rPr>
          <w:lang w:val="en-GB"/>
        </w:rPr>
        <w:t xml:space="preserve">The PBAC noted </w:t>
      </w:r>
      <w:r w:rsidR="00EC2FC5">
        <w:rPr>
          <w:lang w:val="en-GB"/>
        </w:rPr>
        <w:t xml:space="preserve">that </w:t>
      </w:r>
      <w:r>
        <w:rPr>
          <w:lang w:val="en-GB"/>
        </w:rPr>
        <w:t xml:space="preserve">the uncertainty </w:t>
      </w:r>
      <w:r w:rsidR="00EC2FC5">
        <w:rPr>
          <w:lang w:val="en-GB"/>
        </w:rPr>
        <w:t xml:space="preserve">associated </w:t>
      </w:r>
      <w:r>
        <w:rPr>
          <w:lang w:val="en-GB"/>
        </w:rPr>
        <w:t xml:space="preserve">with </w:t>
      </w:r>
      <w:r w:rsidR="00E9121C">
        <w:rPr>
          <w:lang w:val="en-GB"/>
        </w:rPr>
        <w:t xml:space="preserve">the magnitude of the clinical benefit in patients with a </w:t>
      </w:r>
      <w:r w:rsidR="00E9121C" w:rsidRPr="00A01609">
        <w:rPr>
          <w:i/>
          <w:iCs/>
          <w:lang w:val="en-GB"/>
        </w:rPr>
        <w:t>BRCA1/2</w:t>
      </w:r>
      <w:r w:rsidR="00E9121C">
        <w:rPr>
          <w:lang w:val="en-GB"/>
        </w:rPr>
        <w:t xml:space="preserve"> pathogenic variant </w:t>
      </w:r>
      <w:r>
        <w:rPr>
          <w:lang w:val="en-GB"/>
        </w:rPr>
        <w:t>impacted on the economic evaluation</w:t>
      </w:r>
      <w:r w:rsidR="00EC2FC5">
        <w:rPr>
          <w:lang w:val="en-GB"/>
        </w:rPr>
        <w:t xml:space="preserve"> (see paragraph </w:t>
      </w:r>
      <w:r w:rsidR="00EC2FC5">
        <w:rPr>
          <w:lang w:val="en-GB"/>
        </w:rPr>
        <w:fldChar w:fldCharType="begin" w:fldLock="1"/>
      </w:r>
      <w:r w:rsidR="00EC2FC5">
        <w:rPr>
          <w:lang w:val="en-GB"/>
        </w:rPr>
        <w:instrText xml:space="preserve"> REF _Ref164077117 \r \h </w:instrText>
      </w:r>
      <w:r w:rsidR="003D229D">
        <w:rPr>
          <w:lang w:val="en-GB"/>
        </w:rPr>
        <w:instrText xml:space="preserve"> \* MERGEFORMAT </w:instrText>
      </w:r>
      <w:r w:rsidR="00EC2FC5">
        <w:rPr>
          <w:lang w:val="en-GB"/>
        </w:rPr>
      </w:r>
      <w:r w:rsidR="00EC2FC5">
        <w:rPr>
          <w:lang w:val="en-GB"/>
        </w:rPr>
        <w:fldChar w:fldCharType="separate"/>
      </w:r>
      <w:r w:rsidR="007A6415">
        <w:rPr>
          <w:lang w:val="en-GB"/>
        </w:rPr>
        <w:t>6.69</w:t>
      </w:r>
      <w:r w:rsidR="00EC2FC5">
        <w:rPr>
          <w:lang w:val="en-GB"/>
        </w:rPr>
        <w:fldChar w:fldCharType="end"/>
      </w:r>
      <w:r w:rsidR="00EC2FC5">
        <w:rPr>
          <w:lang w:val="en-GB"/>
        </w:rPr>
        <w:t>)</w:t>
      </w:r>
      <w:r>
        <w:rPr>
          <w:lang w:val="en-GB"/>
        </w:rPr>
        <w:t>. T</w:t>
      </w:r>
      <w:r w:rsidR="00E9121C">
        <w:rPr>
          <w:lang w:val="en-GB"/>
        </w:rPr>
        <w:t xml:space="preserve">he PBAC considered that the base case ICER of </w:t>
      </w:r>
      <w:r w:rsidR="002F61D4" w:rsidRPr="002F61D4">
        <w:rPr>
          <w:lang w:val="en-GB"/>
        </w:rPr>
        <w:t>$55,000 to &lt; $75,000</w:t>
      </w:r>
      <w:r w:rsidR="00E9121C">
        <w:rPr>
          <w:lang w:val="en-GB"/>
        </w:rPr>
        <w:t xml:space="preserve"> per quality adjusted life year (QALY) was likely underestimated. The PBAC noted that in the pre-PBAC response the sponsor accepted the revised base case proposed by the ESC in which: (i) the time horizon was reduced from 10 to 7.</w:t>
      </w:r>
      <w:r w:rsidR="00913305">
        <w:rPr>
          <w:lang w:val="en-GB"/>
        </w:rPr>
        <w:t>5 </w:t>
      </w:r>
      <w:r w:rsidR="00E9121C">
        <w:rPr>
          <w:lang w:val="en-GB"/>
        </w:rPr>
        <w:t xml:space="preserve">years, (ii) the time to treatment discontinuation (TTD) for the enzalutamide component of the combination therapy was assumed to equal rPFS; and (iii) </w:t>
      </w:r>
      <w:r w:rsidR="00EC2FC5">
        <w:rPr>
          <w:lang w:val="en-GB"/>
        </w:rPr>
        <w:t xml:space="preserve">the </w:t>
      </w:r>
      <w:r w:rsidR="00E9121C">
        <w:rPr>
          <w:lang w:val="en-GB"/>
        </w:rPr>
        <w:t>overall, rather than treatment specific, utility value w</w:t>
      </w:r>
      <w:r w:rsidR="00EC2FC5">
        <w:rPr>
          <w:lang w:val="en-GB"/>
        </w:rPr>
        <w:t>as</w:t>
      </w:r>
      <w:r w:rsidR="00E9121C">
        <w:rPr>
          <w:lang w:val="en-GB"/>
        </w:rPr>
        <w:t xml:space="preserve"> applied to the progression free health state</w:t>
      </w:r>
      <w:r w:rsidR="00022209">
        <w:rPr>
          <w:lang w:val="en-GB"/>
        </w:rPr>
        <w:t xml:space="preserve"> </w:t>
      </w:r>
      <w:r w:rsidR="00022209" w:rsidRPr="00565C8B">
        <w:rPr>
          <w:lang w:val="en-GB"/>
        </w:rPr>
        <w:t>and disutilities associated with adverse events were incorporated</w:t>
      </w:r>
      <w:r w:rsidR="00E9121C">
        <w:rPr>
          <w:lang w:val="en-GB"/>
        </w:rPr>
        <w:t xml:space="preserve">. The PBAC </w:t>
      </w:r>
      <w:r w:rsidR="001E66CB">
        <w:rPr>
          <w:lang w:val="en-GB"/>
        </w:rPr>
        <w:t>noted</w:t>
      </w:r>
      <w:r w:rsidR="00104459">
        <w:rPr>
          <w:lang w:val="en-GB"/>
        </w:rPr>
        <w:t xml:space="preserve"> that the revised base case included more conservative inputs, </w:t>
      </w:r>
      <w:r w:rsidR="001E66CB">
        <w:rPr>
          <w:lang w:val="en-GB"/>
        </w:rPr>
        <w:t>and</w:t>
      </w:r>
      <w:r w:rsidR="00E9121C">
        <w:rPr>
          <w:lang w:val="en-GB"/>
        </w:rPr>
        <w:t xml:space="preserve"> resulted in an ICER of </w:t>
      </w:r>
      <w:r w:rsidR="00DC66A2" w:rsidRPr="002F61D4">
        <w:rPr>
          <w:lang w:val="en-GB"/>
        </w:rPr>
        <w:t>$75,000 to &lt; $95,000</w:t>
      </w:r>
      <w:r w:rsidR="00022209" w:rsidRPr="00565C8B">
        <w:rPr>
          <w:lang w:val="en-GB"/>
        </w:rPr>
        <w:t xml:space="preserve"> </w:t>
      </w:r>
      <w:r w:rsidR="00E9121C">
        <w:rPr>
          <w:lang w:val="en-GB"/>
        </w:rPr>
        <w:t>per QALY.</w:t>
      </w:r>
      <w:r w:rsidR="001E66CB">
        <w:rPr>
          <w:lang w:val="en-GB"/>
        </w:rPr>
        <w:t xml:space="preserve"> T</w:t>
      </w:r>
      <w:r w:rsidR="00EC2FC5">
        <w:rPr>
          <w:lang w:val="en-GB"/>
        </w:rPr>
        <w:t xml:space="preserve">he PBAC considered that the incremental benefit modelled in the revised base case of 0.78 QALYs was clinically plausible, particularly when compared to that from the olaparib + abiraterone model which was considered in November 2023 (incremental QALYs = 2.79; see paragraphs </w:t>
      </w:r>
      <w:r w:rsidR="00EC2FC5">
        <w:rPr>
          <w:lang w:val="en-GB"/>
        </w:rPr>
        <w:fldChar w:fldCharType="begin" w:fldLock="1"/>
      </w:r>
      <w:r w:rsidR="00EC2FC5">
        <w:rPr>
          <w:lang w:val="en-GB"/>
        </w:rPr>
        <w:instrText xml:space="preserve"> REF _Ref164079989 \r \h </w:instrText>
      </w:r>
      <w:r w:rsidR="003D229D">
        <w:rPr>
          <w:lang w:val="en-GB"/>
        </w:rPr>
        <w:instrText xml:space="preserve"> \* MERGEFORMAT </w:instrText>
      </w:r>
      <w:r w:rsidR="00EC2FC5">
        <w:rPr>
          <w:lang w:val="en-GB"/>
        </w:rPr>
      </w:r>
      <w:r w:rsidR="00EC2FC5">
        <w:rPr>
          <w:lang w:val="en-GB"/>
        </w:rPr>
        <w:fldChar w:fldCharType="separate"/>
      </w:r>
      <w:r w:rsidR="007A6415">
        <w:rPr>
          <w:lang w:val="en-GB"/>
        </w:rPr>
        <w:t>6.72</w:t>
      </w:r>
      <w:r w:rsidR="00EC2FC5">
        <w:rPr>
          <w:lang w:val="en-GB"/>
        </w:rPr>
        <w:fldChar w:fldCharType="end"/>
      </w:r>
      <w:r w:rsidR="00EC2FC5">
        <w:rPr>
          <w:lang w:val="en-GB"/>
        </w:rPr>
        <w:t xml:space="preserve"> and </w:t>
      </w:r>
      <w:r w:rsidR="00EC2FC5">
        <w:rPr>
          <w:lang w:val="en-GB"/>
        </w:rPr>
        <w:fldChar w:fldCharType="begin" w:fldLock="1"/>
      </w:r>
      <w:r w:rsidR="00EC2FC5">
        <w:rPr>
          <w:lang w:val="en-GB"/>
        </w:rPr>
        <w:instrText xml:space="preserve"> REF _Ref164079997 \r \h </w:instrText>
      </w:r>
      <w:r w:rsidR="003D229D">
        <w:rPr>
          <w:lang w:val="en-GB"/>
        </w:rPr>
        <w:instrText xml:space="preserve"> \* MERGEFORMAT </w:instrText>
      </w:r>
      <w:r w:rsidR="00EC2FC5">
        <w:rPr>
          <w:lang w:val="en-GB"/>
        </w:rPr>
      </w:r>
      <w:r w:rsidR="00EC2FC5">
        <w:rPr>
          <w:lang w:val="en-GB"/>
        </w:rPr>
        <w:fldChar w:fldCharType="separate"/>
      </w:r>
      <w:r w:rsidR="007A6415">
        <w:rPr>
          <w:lang w:val="en-GB"/>
        </w:rPr>
        <w:t>6.73</w:t>
      </w:r>
      <w:r w:rsidR="00EC2FC5">
        <w:rPr>
          <w:lang w:val="en-GB"/>
        </w:rPr>
        <w:fldChar w:fldCharType="end"/>
      </w:r>
      <w:r w:rsidR="00EC2FC5">
        <w:rPr>
          <w:lang w:val="en-GB"/>
        </w:rPr>
        <w:t>)</w:t>
      </w:r>
      <w:bookmarkStart w:id="100" w:name="_Ref163116811"/>
      <w:r w:rsidR="00EC2FC5">
        <w:rPr>
          <w:lang w:val="en-GB"/>
        </w:rPr>
        <w:t>.</w:t>
      </w:r>
    </w:p>
    <w:p w14:paraId="39793D93" w14:textId="67BE2599" w:rsidR="00E9121C" w:rsidRPr="00EC2FC5" w:rsidRDefault="00E9121C" w:rsidP="003D229D">
      <w:pPr>
        <w:pStyle w:val="3-BodyText"/>
        <w:rPr>
          <w:lang w:val="en-GB"/>
        </w:rPr>
      </w:pPr>
      <w:r w:rsidRPr="00EC2FC5">
        <w:rPr>
          <w:lang w:val="en-GB"/>
        </w:rPr>
        <w:t>The PBAC considered</w:t>
      </w:r>
      <w:r w:rsidR="00BF4313" w:rsidRPr="00EC2FC5">
        <w:rPr>
          <w:lang w:val="en-GB"/>
        </w:rPr>
        <w:t xml:space="preserve">, </w:t>
      </w:r>
      <w:r w:rsidRPr="00EC2FC5">
        <w:rPr>
          <w:lang w:val="en-GB"/>
        </w:rPr>
        <w:t>given the uncertainties associated with</w:t>
      </w:r>
      <w:r w:rsidR="00BF4313" w:rsidRPr="00EC2FC5">
        <w:rPr>
          <w:lang w:val="en-GB"/>
        </w:rPr>
        <w:t xml:space="preserve"> both</w:t>
      </w:r>
      <w:r w:rsidRPr="00EC2FC5">
        <w:rPr>
          <w:lang w:val="en-GB"/>
        </w:rPr>
        <w:t xml:space="preserve"> </w:t>
      </w:r>
      <w:r w:rsidR="00BF4313" w:rsidRPr="00EC2FC5">
        <w:rPr>
          <w:lang w:val="en-GB"/>
        </w:rPr>
        <w:t xml:space="preserve">the clinical data presented and </w:t>
      </w:r>
      <w:r w:rsidRPr="00EC2FC5">
        <w:rPr>
          <w:lang w:val="en-GB"/>
        </w:rPr>
        <w:t xml:space="preserve">the clinical need for combination therapy, </w:t>
      </w:r>
      <w:r w:rsidR="00D5001D">
        <w:rPr>
          <w:lang w:val="en-GB"/>
        </w:rPr>
        <w:t xml:space="preserve">that for talazoparib + enzalutamide </w:t>
      </w:r>
      <w:r w:rsidRPr="00EC2FC5">
        <w:rPr>
          <w:lang w:val="en-GB"/>
        </w:rPr>
        <w:t xml:space="preserve">to be considered cost effective the ICER </w:t>
      </w:r>
      <w:r w:rsidR="00D5001D">
        <w:rPr>
          <w:lang w:val="en-GB"/>
        </w:rPr>
        <w:t xml:space="preserve">should be </w:t>
      </w:r>
      <w:r w:rsidRPr="00EC2FC5">
        <w:rPr>
          <w:lang w:val="en-GB"/>
        </w:rPr>
        <w:t>no more than $</w:t>
      </w:r>
      <w:r w:rsidR="0053726A">
        <w:rPr>
          <w:lang w:val="en-GB"/>
        </w:rPr>
        <w:t>55</w:t>
      </w:r>
      <w:r w:rsidRPr="00DC66A2">
        <w:rPr>
          <w:lang w:val="en-GB"/>
        </w:rPr>
        <w:t>,000</w:t>
      </w:r>
      <w:r w:rsidR="0053726A">
        <w:rPr>
          <w:lang w:val="en-GB"/>
        </w:rPr>
        <w:t xml:space="preserve"> to &lt; $75,000</w:t>
      </w:r>
      <w:r w:rsidRPr="00EC2FC5">
        <w:rPr>
          <w:lang w:val="en-GB"/>
        </w:rPr>
        <w:t xml:space="preserve"> per QALY.</w:t>
      </w:r>
      <w:bookmarkEnd w:id="100"/>
      <w:r w:rsidRPr="00EC2FC5">
        <w:rPr>
          <w:lang w:val="en-GB"/>
        </w:rPr>
        <w:t xml:space="preserve"> </w:t>
      </w:r>
    </w:p>
    <w:p w14:paraId="1CE0F983" w14:textId="00888A02" w:rsidR="00E9121C" w:rsidRDefault="00E9121C" w:rsidP="003D229D">
      <w:pPr>
        <w:pStyle w:val="3-BodyText"/>
        <w:rPr>
          <w:lang w:val="en-GB"/>
        </w:rPr>
      </w:pPr>
      <w:bookmarkStart w:id="101" w:name="_Ref163116877"/>
      <w:r w:rsidRPr="00E9121C">
        <w:rPr>
          <w:lang w:val="en-GB"/>
        </w:rPr>
        <w:t xml:space="preserve">The PBAC considered that the financial impact estimates provided in the submission, were highly uncertain for the reasons outlined in paragraph </w:t>
      </w:r>
      <w:r w:rsidRPr="00E9121C">
        <w:rPr>
          <w:lang w:val="en-GB"/>
        </w:rPr>
        <w:fldChar w:fldCharType="begin" w:fldLock="1"/>
      </w:r>
      <w:r w:rsidRPr="00E9121C">
        <w:rPr>
          <w:lang w:val="en-GB"/>
        </w:rPr>
        <w:instrText xml:space="preserve"> REF _Ref159313758 \r \h </w:instrText>
      </w:r>
      <w:r w:rsidR="003D229D">
        <w:rPr>
          <w:lang w:val="en-GB"/>
        </w:rPr>
        <w:instrText xml:space="preserve"> \* MERGEFORMAT </w:instrText>
      </w:r>
      <w:r w:rsidRPr="00E9121C">
        <w:rPr>
          <w:lang w:val="en-GB"/>
        </w:rPr>
      </w:r>
      <w:r w:rsidRPr="00E9121C">
        <w:rPr>
          <w:lang w:val="en-GB"/>
        </w:rPr>
        <w:fldChar w:fldCharType="separate"/>
      </w:r>
      <w:r w:rsidR="007A6415">
        <w:rPr>
          <w:lang w:val="en-GB"/>
        </w:rPr>
        <w:t>6.82</w:t>
      </w:r>
      <w:r w:rsidRPr="00E9121C">
        <w:rPr>
          <w:lang w:val="en-GB"/>
        </w:rPr>
        <w:fldChar w:fldCharType="end"/>
      </w:r>
      <w:r w:rsidRPr="00E9121C">
        <w:rPr>
          <w:lang w:val="en-GB"/>
        </w:rPr>
        <w:t>. The PBAC particularly noted that: (i) the eligible patient population would likely decrease over the forward estimates due to the listing of NHAs earlier in the treatment algorithm; and (ii) the assumed uptake rates of talazoparib + enzalutamide were high considering the age of the population and the increased toxicity associated with combination therapy</w:t>
      </w:r>
      <w:r>
        <w:rPr>
          <w:lang w:val="en-GB"/>
        </w:rPr>
        <w:t xml:space="preserve"> and the uncertain benefit compared to sequential therapy</w:t>
      </w:r>
      <w:r w:rsidRPr="00E9121C">
        <w:rPr>
          <w:lang w:val="en-GB"/>
        </w:rPr>
        <w:t xml:space="preserve">. </w:t>
      </w:r>
      <w:r>
        <w:rPr>
          <w:lang w:val="en-GB"/>
        </w:rPr>
        <w:t xml:space="preserve">The PBAC considered that an uptake rate of no more than </w:t>
      </w:r>
      <w:r w:rsidR="00D62519" w:rsidRPr="00CD40AA">
        <w:rPr>
          <w:color w:val="000000"/>
          <w:w w:val="15"/>
          <w:shd w:val="solid" w:color="000000" w:fill="000000"/>
          <w:fitText w:val="-20" w:id="-961821696"/>
          <w:lang w:val="en-GB"/>
          <w14:textFill>
            <w14:solidFill>
              <w14:srgbClr w14:val="000000">
                <w14:alpha w14:val="100000"/>
              </w14:srgbClr>
            </w14:solidFill>
          </w14:textFill>
        </w:rPr>
        <w:t xml:space="preserve">|  </w:t>
      </w:r>
      <w:r w:rsidR="00D62519" w:rsidRPr="00CD40AA">
        <w:rPr>
          <w:color w:val="000000"/>
          <w:spacing w:val="-69"/>
          <w:w w:val="15"/>
          <w:shd w:val="solid" w:color="000000" w:fill="000000"/>
          <w:fitText w:val="-20" w:id="-961821696"/>
          <w:lang w:val="en-GB"/>
          <w14:textFill>
            <w14:solidFill>
              <w14:srgbClr w14:val="000000">
                <w14:alpha w14:val="100000"/>
              </w14:srgbClr>
            </w14:solidFill>
          </w14:textFill>
        </w:rPr>
        <w:t>|</w:t>
      </w:r>
      <w:r>
        <w:rPr>
          <w:lang w:val="en-GB"/>
        </w:rPr>
        <w:t xml:space="preserve">% would be more reasonable. </w:t>
      </w:r>
      <w:r w:rsidRPr="00E9121C">
        <w:rPr>
          <w:lang w:val="en-GB"/>
        </w:rPr>
        <w:t>The PBAC also noted that the estimates did not include the costs of enzalutamide either in combination with talazoparib or as monotherapy (see paragraph</w:t>
      </w:r>
      <w:r w:rsidR="00DE1B31">
        <w:rPr>
          <w:lang w:val="en-GB"/>
        </w:rPr>
        <w:t xml:space="preserve"> </w:t>
      </w:r>
      <w:r w:rsidR="00DE1B31">
        <w:rPr>
          <w:lang w:val="en-GB"/>
        </w:rPr>
        <w:fldChar w:fldCharType="begin" w:fldLock="1"/>
      </w:r>
      <w:r w:rsidR="00DE1B31">
        <w:rPr>
          <w:lang w:val="en-GB"/>
        </w:rPr>
        <w:instrText xml:space="preserve"> REF _Ref164160431 \r \h </w:instrText>
      </w:r>
      <w:r w:rsidR="003D229D">
        <w:rPr>
          <w:lang w:val="en-GB"/>
        </w:rPr>
        <w:instrText xml:space="preserve"> \* MERGEFORMAT </w:instrText>
      </w:r>
      <w:r w:rsidR="00DE1B31">
        <w:rPr>
          <w:lang w:val="en-GB"/>
        </w:rPr>
      </w:r>
      <w:r w:rsidR="00DE1B31">
        <w:rPr>
          <w:lang w:val="en-GB"/>
        </w:rPr>
        <w:fldChar w:fldCharType="separate"/>
      </w:r>
      <w:r w:rsidR="007A6415">
        <w:rPr>
          <w:lang w:val="en-GB"/>
        </w:rPr>
        <w:t>6.85</w:t>
      </w:r>
      <w:r w:rsidR="00DE1B31">
        <w:rPr>
          <w:lang w:val="en-GB"/>
        </w:rPr>
        <w:fldChar w:fldCharType="end"/>
      </w:r>
      <w:r w:rsidRPr="00E9121C">
        <w:rPr>
          <w:lang w:val="en-GB"/>
        </w:rPr>
        <w:t xml:space="preserve">). </w:t>
      </w:r>
      <w:bookmarkEnd w:id="101"/>
    </w:p>
    <w:p w14:paraId="516EC108" w14:textId="5CFB412B" w:rsidR="00E9121C" w:rsidRPr="00E9121C" w:rsidRDefault="00E9121C" w:rsidP="003D229D">
      <w:pPr>
        <w:pStyle w:val="3-BodyText"/>
        <w:rPr>
          <w:lang w:val="en-GB"/>
        </w:rPr>
      </w:pPr>
      <w:r>
        <w:rPr>
          <w:lang w:val="en-GB"/>
        </w:rPr>
        <w:t>Noting the uncertain</w:t>
      </w:r>
      <w:r w:rsidR="00EC2FC5">
        <w:rPr>
          <w:lang w:val="en-GB"/>
        </w:rPr>
        <w:t xml:space="preserve">ties related to the </w:t>
      </w:r>
      <w:r>
        <w:rPr>
          <w:lang w:val="en-GB"/>
        </w:rPr>
        <w:t>benefit of combination versus sequential treatment</w:t>
      </w:r>
      <w:r w:rsidR="00EC2FC5">
        <w:rPr>
          <w:lang w:val="en-GB"/>
        </w:rPr>
        <w:t>, the extent of use of combination treatment and the treatment duration of combination therapy</w:t>
      </w:r>
      <w:r>
        <w:rPr>
          <w:lang w:val="en-GB"/>
        </w:rPr>
        <w:t>, the PBAC considered that it would be appropriate for talazoparib to join the existing olaparib monotherapy risk sharing arrangement (RSA).</w:t>
      </w:r>
    </w:p>
    <w:p w14:paraId="5A6CB002" w14:textId="1EC118E9" w:rsidR="00BF4313" w:rsidRDefault="00E9121C" w:rsidP="003D229D">
      <w:pPr>
        <w:pStyle w:val="3-BodyText"/>
        <w:rPr>
          <w:lang w:val="en-GB"/>
        </w:rPr>
      </w:pPr>
      <w:r>
        <w:rPr>
          <w:lang w:val="en-GB"/>
        </w:rPr>
        <w:lastRenderedPageBreak/>
        <w:t xml:space="preserve">The PBAC considered that the </w:t>
      </w:r>
      <w:r w:rsidR="00BF4313">
        <w:rPr>
          <w:lang w:val="en-GB"/>
        </w:rPr>
        <w:t xml:space="preserve">phase agnostic </w:t>
      </w:r>
      <w:r>
        <w:rPr>
          <w:lang w:val="en-GB"/>
        </w:rPr>
        <w:t>restriction</w:t>
      </w:r>
      <w:r w:rsidR="00BF4313">
        <w:rPr>
          <w:lang w:val="en-GB"/>
        </w:rPr>
        <w:t xml:space="preserve"> proposed by the </w:t>
      </w:r>
      <w:r>
        <w:rPr>
          <w:lang w:val="en-GB"/>
        </w:rPr>
        <w:t>Secretariat amendments was reasonable.</w:t>
      </w:r>
    </w:p>
    <w:p w14:paraId="358F97E0" w14:textId="6F5B8379" w:rsidR="006E4BFC" w:rsidRDefault="006E4BFC" w:rsidP="003D229D">
      <w:pPr>
        <w:pStyle w:val="3-BodyText"/>
        <w:rPr>
          <w:lang w:val="en-GB"/>
        </w:rPr>
      </w:pPr>
      <w:r w:rsidRPr="00BF4313">
        <w:rPr>
          <w:lang w:val="en-GB"/>
        </w:rPr>
        <w:t>The PBAC considered the outstanding issues could be easily resolved in a simple resubmission for</w:t>
      </w:r>
      <w:r w:rsidR="00BF4313">
        <w:rPr>
          <w:lang w:val="en-GB"/>
        </w:rPr>
        <w:t xml:space="preserve"> talazoparib</w:t>
      </w:r>
      <w:r w:rsidRPr="00BF4313">
        <w:rPr>
          <w:lang w:val="en-GB"/>
        </w:rPr>
        <w:t xml:space="preserve"> using the early re-entry pathway. If the sponsor accepts this pathway, the following changes may address these outstanding issues without requiring further re-evaluation. </w:t>
      </w:r>
    </w:p>
    <w:p w14:paraId="73B6349F" w14:textId="39A8F3F1" w:rsidR="00EC2FC5" w:rsidRPr="00FF51A7" w:rsidRDefault="00EC2FC5" w:rsidP="00FF51A7">
      <w:pPr>
        <w:pStyle w:val="ListParagraph"/>
        <w:numPr>
          <w:ilvl w:val="1"/>
          <w:numId w:val="8"/>
        </w:numPr>
        <w:rPr>
          <w:lang w:val="en-GB"/>
        </w:rPr>
      </w:pPr>
      <w:r w:rsidRPr="00FF51A7">
        <w:rPr>
          <w:lang w:val="en-GB"/>
        </w:rPr>
        <w:t xml:space="preserve">Noting that the final analyses were expected in July 2024, present any additional available rPFS and OS data.  </w:t>
      </w:r>
    </w:p>
    <w:p w14:paraId="4ECA491C" w14:textId="14C8EF3A" w:rsidR="00BF4313" w:rsidRDefault="00BF4313" w:rsidP="00FF51A7">
      <w:pPr>
        <w:pStyle w:val="ListParagraph"/>
        <w:numPr>
          <w:ilvl w:val="1"/>
          <w:numId w:val="8"/>
        </w:numPr>
        <w:rPr>
          <w:lang w:val="en-GB"/>
        </w:rPr>
      </w:pPr>
      <w:r>
        <w:rPr>
          <w:lang w:val="en-GB"/>
        </w:rPr>
        <w:t xml:space="preserve">The price of talazoparib should be reduced to result in an ICER of </w:t>
      </w:r>
      <w:r w:rsidRPr="0077496D">
        <w:rPr>
          <w:lang w:val="en-GB"/>
        </w:rPr>
        <w:t>no more than</w:t>
      </w:r>
      <w:r>
        <w:rPr>
          <w:lang w:val="en-GB"/>
        </w:rPr>
        <w:t xml:space="preserve"> </w:t>
      </w:r>
      <w:r w:rsidR="0053726A" w:rsidRPr="00EC2FC5">
        <w:rPr>
          <w:lang w:val="en-GB"/>
        </w:rPr>
        <w:t>$</w:t>
      </w:r>
      <w:r w:rsidR="0053726A">
        <w:rPr>
          <w:lang w:val="en-GB"/>
        </w:rPr>
        <w:t>55</w:t>
      </w:r>
      <w:r w:rsidR="0053726A" w:rsidRPr="00DC66A2">
        <w:rPr>
          <w:lang w:val="en-GB"/>
        </w:rPr>
        <w:t>,000</w:t>
      </w:r>
      <w:r w:rsidR="0053726A">
        <w:rPr>
          <w:lang w:val="en-GB"/>
        </w:rPr>
        <w:t xml:space="preserve"> to &lt; $75,000</w:t>
      </w:r>
      <w:r w:rsidR="0053726A" w:rsidRPr="00EC2FC5">
        <w:rPr>
          <w:lang w:val="en-GB"/>
        </w:rPr>
        <w:t xml:space="preserve"> </w:t>
      </w:r>
      <w:r>
        <w:rPr>
          <w:lang w:val="en-GB"/>
        </w:rPr>
        <w:t>per QALY</w:t>
      </w:r>
      <w:r w:rsidR="00784C3F">
        <w:rPr>
          <w:lang w:val="en-GB"/>
        </w:rPr>
        <w:t xml:space="preserve"> for the revised base case analysis</w:t>
      </w:r>
      <w:r>
        <w:rPr>
          <w:lang w:val="en-GB"/>
        </w:rPr>
        <w:t xml:space="preserve"> as per paragraph </w:t>
      </w:r>
      <w:r>
        <w:rPr>
          <w:lang w:val="en-GB"/>
        </w:rPr>
        <w:fldChar w:fldCharType="begin" w:fldLock="1"/>
      </w:r>
      <w:r>
        <w:rPr>
          <w:lang w:val="en-GB"/>
        </w:rPr>
        <w:instrText xml:space="preserve"> REF _Ref163116811 \r \h </w:instrText>
      </w:r>
      <w:r w:rsidR="003D229D">
        <w:rPr>
          <w:lang w:val="en-GB"/>
        </w:rPr>
        <w:instrText xml:space="preserve"> \* MERGEFORMAT </w:instrText>
      </w:r>
      <w:r>
        <w:rPr>
          <w:lang w:val="en-GB"/>
        </w:rPr>
      </w:r>
      <w:r>
        <w:rPr>
          <w:lang w:val="en-GB"/>
        </w:rPr>
        <w:fldChar w:fldCharType="separate"/>
      </w:r>
      <w:r w:rsidR="007A6415">
        <w:rPr>
          <w:lang w:val="en-GB"/>
        </w:rPr>
        <w:t>7.11</w:t>
      </w:r>
      <w:r>
        <w:rPr>
          <w:lang w:val="en-GB"/>
        </w:rPr>
        <w:fldChar w:fldCharType="end"/>
      </w:r>
      <w:r w:rsidR="00EC2FC5">
        <w:rPr>
          <w:lang w:val="en-GB"/>
        </w:rPr>
        <w:t>. The PBAC noted that if additional clinical data were available these should be included as a sensitivity analysis</w:t>
      </w:r>
      <w:r>
        <w:rPr>
          <w:lang w:val="en-GB"/>
        </w:rPr>
        <w:t>;</w:t>
      </w:r>
    </w:p>
    <w:p w14:paraId="7FDC1E80" w14:textId="3193452B" w:rsidR="00BF4313" w:rsidRDefault="00BF4313" w:rsidP="00FF51A7">
      <w:pPr>
        <w:pStyle w:val="ListParagraph"/>
        <w:numPr>
          <w:ilvl w:val="1"/>
          <w:numId w:val="8"/>
        </w:numPr>
        <w:rPr>
          <w:lang w:val="en-GB"/>
        </w:rPr>
      </w:pPr>
      <w:r>
        <w:rPr>
          <w:lang w:val="en-GB"/>
        </w:rPr>
        <w:t xml:space="preserve">The utilisation and financial impact estimates should be revised as per paragraph </w:t>
      </w:r>
      <w:r>
        <w:rPr>
          <w:lang w:val="en-GB"/>
        </w:rPr>
        <w:fldChar w:fldCharType="begin" w:fldLock="1"/>
      </w:r>
      <w:r>
        <w:rPr>
          <w:lang w:val="en-GB"/>
        </w:rPr>
        <w:instrText xml:space="preserve"> REF _Ref163116877 \r \h </w:instrText>
      </w:r>
      <w:r w:rsidR="003D229D">
        <w:rPr>
          <w:lang w:val="en-GB"/>
        </w:rPr>
        <w:instrText xml:space="preserve"> \* MERGEFORMAT </w:instrText>
      </w:r>
      <w:r>
        <w:rPr>
          <w:lang w:val="en-GB"/>
        </w:rPr>
      </w:r>
      <w:r>
        <w:rPr>
          <w:lang w:val="en-GB"/>
        </w:rPr>
        <w:fldChar w:fldCharType="separate"/>
      </w:r>
      <w:r w:rsidR="007A6415">
        <w:rPr>
          <w:lang w:val="en-GB"/>
        </w:rPr>
        <w:t>7.13</w:t>
      </w:r>
      <w:r>
        <w:rPr>
          <w:lang w:val="en-GB"/>
        </w:rPr>
        <w:fldChar w:fldCharType="end"/>
      </w:r>
      <w:r w:rsidR="00EC2FC5">
        <w:rPr>
          <w:lang w:val="en-GB"/>
        </w:rPr>
        <w:t>,</w:t>
      </w:r>
      <w:r>
        <w:rPr>
          <w:lang w:val="en-GB"/>
        </w:rPr>
        <w:t xml:space="preserve"> appropriately include the costs associated with enzalutamide</w:t>
      </w:r>
      <w:r w:rsidR="00EC2FC5">
        <w:rPr>
          <w:lang w:val="en-GB"/>
        </w:rPr>
        <w:t xml:space="preserve"> and apply any cost offsets consistently with the economic </w:t>
      </w:r>
      <w:proofErr w:type="gramStart"/>
      <w:r w:rsidR="00EC2FC5">
        <w:rPr>
          <w:lang w:val="en-GB"/>
        </w:rPr>
        <w:t>model</w:t>
      </w:r>
      <w:r>
        <w:rPr>
          <w:lang w:val="en-GB"/>
        </w:rPr>
        <w:t>;</w:t>
      </w:r>
      <w:proofErr w:type="gramEnd"/>
    </w:p>
    <w:p w14:paraId="601262E8" w14:textId="66EEDDEF" w:rsidR="00BF4313" w:rsidRPr="00BF4313" w:rsidRDefault="00BF4313" w:rsidP="00FF51A7">
      <w:pPr>
        <w:pStyle w:val="ListParagraph"/>
        <w:numPr>
          <w:ilvl w:val="1"/>
          <w:numId w:val="8"/>
        </w:numPr>
        <w:rPr>
          <w:lang w:val="en-GB"/>
        </w:rPr>
      </w:pPr>
      <w:r w:rsidRPr="00BF4313">
        <w:rPr>
          <w:lang w:val="en-GB"/>
        </w:rPr>
        <w:t>A proposal to join the current olaparib RSA should be included.</w:t>
      </w:r>
    </w:p>
    <w:p w14:paraId="1735026C" w14:textId="74C50245" w:rsidR="006E4BFC" w:rsidRPr="00BF4313" w:rsidRDefault="006E4BFC" w:rsidP="003D229D">
      <w:pPr>
        <w:pStyle w:val="3-BodyText"/>
        <w:rPr>
          <w:bCs/>
          <w:lang w:val="en-GB"/>
        </w:rPr>
      </w:pPr>
      <w:r w:rsidRPr="00BF4313">
        <w:rPr>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r w:rsidR="00BF4313">
        <w:rPr>
          <w:lang w:val="en-GB"/>
        </w:rPr>
        <w:t xml:space="preserve"> </w:t>
      </w:r>
      <w:r w:rsidRPr="00BF4313">
        <w:rPr>
          <w:bCs/>
          <w:lang w:val="en-GB"/>
        </w:rPr>
        <w:t xml:space="preserve">The PBAC noted that this submission is eligible for an Independent Review. </w:t>
      </w:r>
    </w:p>
    <w:p w14:paraId="67AAAF97" w14:textId="77777777" w:rsidR="006E4BFC" w:rsidRPr="00525B39" w:rsidRDefault="006E4BFC" w:rsidP="006E4BFC">
      <w:pPr>
        <w:spacing w:before="240"/>
        <w:jc w:val="both"/>
        <w:rPr>
          <w:rFonts w:asciiTheme="minorHAnsi" w:hAnsiTheme="minorHAnsi"/>
          <w:b/>
          <w:bCs/>
          <w:snapToGrid w:val="0"/>
          <w:lang w:val="en-GB"/>
        </w:rPr>
      </w:pPr>
      <w:r w:rsidRPr="00525B39">
        <w:rPr>
          <w:rFonts w:asciiTheme="minorHAnsi" w:hAnsiTheme="minorHAnsi"/>
          <w:b/>
          <w:bCs/>
          <w:snapToGrid w:val="0"/>
          <w:lang w:val="en-GB"/>
        </w:rPr>
        <w:t>Outcome:</w:t>
      </w:r>
    </w:p>
    <w:p w14:paraId="37963238" w14:textId="7E6783D6" w:rsidR="006E4BFC" w:rsidRPr="00525B39" w:rsidRDefault="006E4BFC" w:rsidP="00565C8B">
      <w:pPr>
        <w:jc w:val="both"/>
        <w:rPr>
          <w:rFonts w:asciiTheme="minorHAnsi" w:hAnsiTheme="minorHAnsi"/>
          <w:b/>
          <w:bCs/>
          <w:snapToGrid w:val="0"/>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bookmarkEnd w:id="97"/>
    <w:bookmarkEnd w:id="98"/>
    <w:p w14:paraId="7C928B0E" w14:textId="77777777" w:rsidR="003E0D3E" w:rsidRPr="00565C8B" w:rsidRDefault="003E0D3E" w:rsidP="00565C8B">
      <w:pPr>
        <w:pStyle w:val="2-SectionHeading"/>
      </w:pPr>
      <w:r w:rsidRPr="00565C8B">
        <w:t>Context for Decision</w:t>
      </w:r>
    </w:p>
    <w:p w14:paraId="1CED9598" w14:textId="77777777" w:rsidR="003E0D3E" w:rsidRPr="00311EEF" w:rsidRDefault="003E0D3E" w:rsidP="003E0D3E">
      <w:pPr>
        <w:spacing w:after="120"/>
        <w:ind w:left="720"/>
        <w:jc w:val="both"/>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90A549" w14:textId="2B91F886" w:rsidR="003E0D3E" w:rsidRPr="00311EEF" w:rsidRDefault="003E0D3E" w:rsidP="00565C8B">
      <w:pPr>
        <w:pStyle w:val="2-SectionHeading"/>
      </w:pPr>
      <w:r w:rsidRPr="00311EEF">
        <w:t>Sponsor’s Comment</w:t>
      </w:r>
    </w:p>
    <w:p w14:paraId="673B12E4" w14:textId="7419E7D8" w:rsidR="003E0D3E" w:rsidRDefault="003E0D3E" w:rsidP="00565C8B">
      <w:pPr>
        <w:spacing w:after="120"/>
        <w:ind w:left="720"/>
        <w:jc w:val="both"/>
        <w:rPr>
          <w:rFonts w:asciiTheme="minorHAnsi" w:hAnsiTheme="minorHAnsi" w:cstheme="minorHAnsi"/>
        </w:rPr>
      </w:pPr>
      <w:r w:rsidRPr="00C07617">
        <w:rPr>
          <w:rFonts w:asciiTheme="minorHAnsi" w:hAnsiTheme="minorHAnsi"/>
          <w:bCs/>
        </w:rPr>
        <w:t>The sponsor had no comment.</w:t>
      </w:r>
    </w:p>
    <w:sectPr w:rsidR="003E0D3E" w:rsidSect="00CD4502">
      <w:headerReference w:type="even" r:id="rId27"/>
      <w:headerReference w:type="default" r:id="rId28"/>
      <w:footerReference w:type="even" r:id="rId29"/>
      <w:footerReference w:type="default" r:id="rId30"/>
      <w:headerReference w:type="first" r:id="rId31"/>
      <w:footerReference w:type="first" r:id="rId3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124F5" w14:textId="77777777" w:rsidR="00F44F39" w:rsidRDefault="00F44F39" w:rsidP="00124A51">
      <w:r>
        <w:separator/>
      </w:r>
    </w:p>
    <w:p w14:paraId="40739D47" w14:textId="77777777" w:rsidR="00F44F39" w:rsidRDefault="00F44F39"/>
  </w:endnote>
  <w:endnote w:type="continuationSeparator" w:id="0">
    <w:p w14:paraId="04B4AB84" w14:textId="77777777" w:rsidR="00F44F39" w:rsidRDefault="00F44F39" w:rsidP="00124A51">
      <w:r>
        <w:continuationSeparator/>
      </w:r>
    </w:p>
    <w:p w14:paraId="22248F57" w14:textId="77777777" w:rsidR="00F44F39" w:rsidRDefault="00F44F39"/>
  </w:endnote>
  <w:endnote w:type="continuationNotice" w:id="1">
    <w:p w14:paraId="47F1CB6C" w14:textId="77777777" w:rsidR="00F44F39" w:rsidRDefault="00F44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Microsoft JhengHei UI Light">
    <w:panose1 w:val="020B0304030504040204"/>
    <w:charset w:val="88"/>
    <w:family w:val="swiss"/>
    <w:pitch w:val="variable"/>
    <w:sig w:usb0="800002A7" w:usb1="28CF4400" w:usb2="00000016" w:usb3="00000000" w:csb0="00100009" w:csb1="00000000"/>
  </w:font>
  <w:font w:name="ArialNarrow">
    <w:altName w:val="Arial"/>
    <w:charset w:val="00"/>
    <w:family w:val="swiss"/>
    <w:pitch w:val="variable"/>
    <w:sig w:usb0="00000287" w:usb1="00000800" w:usb2="00000000" w:usb3="00000000" w:csb0="0000009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4C75" w14:textId="77777777" w:rsidR="00D62519" w:rsidRDefault="00D62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3242" w14:textId="77777777" w:rsidR="00DE6B49" w:rsidRDefault="00DE6B49" w:rsidP="003F5244">
    <w:pPr>
      <w:pStyle w:val="Footer"/>
      <w:tabs>
        <w:tab w:val="clear" w:pos="9026"/>
        <w:tab w:val="left" w:pos="6510"/>
      </w:tabs>
    </w:pPr>
  </w:p>
  <w:p w14:paraId="37484CD3" w14:textId="2F284080" w:rsidR="00812D13" w:rsidRPr="006E4BFC" w:rsidRDefault="00000000" w:rsidP="0041034B">
    <w:pPr>
      <w:pStyle w:val="Footer"/>
      <w:jc w:val="center"/>
      <w:rPr>
        <w:b/>
        <w:bCs/>
      </w:rPr>
    </w:pPr>
    <w:sdt>
      <w:sdtPr>
        <w:id w:val="1036156457"/>
        <w:docPartObj>
          <w:docPartGallery w:val="Page Numbers (Bottom of Page)"/>
          <w:docPartUnique/>
        </w:docPartObj>
      </w:sdtPr>
      <w:sdtEndPr>
        <w:rPr>
          <w:b/>
          <w:bCs/>
          <w:noProof/>
        </w:rPr>
      </w:sdtEndPr>
      <w:sdtContent>
        <w:r w:rsidR="00812D13" w:rsidRPr="006E4BFC">
          <w:rPr>
            <w:b/>
            <w:bCs/>
          </w:rPr>
          <w:fldChar w:fldCharType="begin"/>
        </w:r>
        <w:r w:rsidR="00812D13" w:rsidRPr="006E4BFC">
          <w:rPr>
            <w:b/>
            <w:bCs/>
          </w:rPr>
          <w:instrText xml:space="preserve"> PAGE   \* MERGEFORMAT </w:instrText>
        </w:r>
        <w:r w:rsidR="00812D13" w:rsidRPr="006E4BFC">
          <w:rPr>
            <w:b/>
            <w:bCs/>
          </w:rPr>
          <w:fldChar w:fldCharType="separate"/>
        </w:r>
        <w:r w:rsidR="00812D13" w:rsidRPr="006E4BFC">
          <w:rPr>
            <w:b/>
            <w:bCs/>
            <w:noProof/>
          </w:rPr>
          <w:t>2</w:t>
        </w:r>
        <w:r w:rsidR="00812D13" w:rsidRPr="006E4BFC">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EB02A" w14:textId="77777777" w:rsidR="00D62519" w:rsidRDefault="00D62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84B21" w14:textId="77777777" w:rsidR="00F44F39" w:rsidRDefault="00F44F39" w:rsidP="00124A51">
      <w:r>
        <w:separator/>
      </w:r>
    </w:p>
    <w:p w14:paraId="1A572714" w14:textId="77777777" w:rsidR="00F44F39" w:rsidRDefault="00F44F39"/>
  </w:footnote>
  <w:footnote w:type="continuationSeparator" w:id="0">
    <w:p w14:paraId="6508821B" w14:textId="77777777" w:rsidR="00F44F39" w:rsidRDefault="00F44F39" w:rsidP="00124A51">
      <w:r>
        <w:continuationSeparator/>
      </w:r>
    </w:p>
    <w:p w14:paraId="12742E30" w14:textId="77777777" w:rsidR="00F44F39" w:rsidRDefault="00F44F39"/>
  </w:footnote>
  <w:footnote w:type="continuationNotice" w:id="1">
    <w:p w14:paraId="7A9532FF" w14:textId="77777777" w:rsidR="00F44F39" w:rsidRDefault="00F44F39"/>
  </w:footnote>
  <w:footnote w:id="2">
    <w:p w14:paraId="0EFD63EB" w14:textId="71830D71" w:rsidR="00812D13" w:rsidRPr="00E3632C" w:rsidRDefault="00812D13" w:rsidP="00E3632C">
      <w:pPr>
        <w:pStyle w:val="FootnoteText"/>
        <w:jc w:val="both"/>
        <w:rPr>
          <w:rFonts w:ascii="Arial Narrow" w:hAnsi="Arial Narrow"/>
          <w:sz w:val="18"/>
          <w:szCs w:val="18"/>
        </w:rPr>
      </w:pPr>
      <w:r w:rsidRPr="00E3632C">
        <w:rPr>
          <w:rStyle w:val="FootnoteReference"/>
          <w:rFonts w:ascii="Arial Narrow" w:hAnsi="Arial Narrow"/>
          <w:sz w:val="18"/>
          <w:szCs w:val="18"/>
        </w:rPr>
        <w:footnoteRef/>
      </w:r>
      <w:r w:rsidRPr="00E3632C">
        <w:rPr>
          <w:rFonts w:ascii="Arial Narrow" w:hAnsi="Arial Narrow"/>
          <w:sz w:val="18"/>
          <w:szCs w:val="18"/>
        </w:rPr>
        <w:t xml:space="preserve"> Genetic testing, PeterMac 2023. Accessed on </w:t>
      </w:r>
      <w:r>
        <w:rPr>
          <w:rFonts w:ascii="Arial Narrow" w:hAnsi="Arial Narrow"/>
          <w:sz w:val="18"/>
          <w:szCs w:val="18"/>
        </w:rPr>
        <w:t>4</w:t>
      </w:r>
      <w:r w:rsidRPr="00E3632C">
        <w:rPr>
          <w:rFonts w:ascii="Arial Narrow" w:hAnsi="Arial Narrow"/>
          <w:sz w:val="18"/>
          <w:szCs w:val="18"/>
        </w:rPr>
        <w:t>/</w:t>
      </w:r>
      <w:r>
        <w:rPr>
          <w:rFonts w:ascii="Arial Narrow" w:hAnsi="Arial Narrow"/>
          <w:sz w:val="18"/>
          <w:szCs w:val="18"/>
        </w:rPr>
        <w:t>01</w:t>
      </w:r>
      <w:r w:rsidRPr="00E3632C">
        <w:rPr>
          <w:rFonts w:ascii="Arial Narrow" w:hAnsi="Arial Narrow"/>
          <w:sz w:val="18"/>
          <w:szCs w:val="18"/>
        </w:rPr>
        <w:t>/202</w:t>
      </w:r>
      <w:r>
        <w:rPr>
          <w:rFonts w:ascii="Arial Narrow" w:hAnsi="Arial Narrow"/>
          <w:sz w:val="18"/>
          <w:szCs w:val="18"/>
        </w:rPr>
        <w:t>4</w:t>
      </w:r>
      <w:r w:rsidRPr="00E3632C">
        <w:rPr>
          <w:rFonts w:ascii="Arial Narrow" w:hAnsi="Arial Narrow"/>
          <w:sz w:val="18"/>
          <w:szCs w:val="18"/>
        </w:rPr>
        <w:t>: https://www.petermac.org/health-professionals/services-for-health-professionals/genetic-testing</w:t>
      </w:r>
    </w:p>
  </w:footnote>
  <w:footnote w:id="3">
    <w:p w14:paraId="43A567F4" w14:textId="1547CC91" w:rsidR="00EC2FC5" w:rsidRDefault="00EC2FC5">
      <w:pPr>
        <w:pStyle w:val="FootnoteText"/>
      </w:pPr>
      <w:r w:rsidRPr="00EC2FC5">
        <w:rPr>
          <w:rStyle w:val="FootnoteReference"/>
        </w:rPr>
        <w:footnoteRef/>
      </w:r>
      <w:r w:rsidRPr="00EC2FC5">
        <w:t xml:space="preserve"> </w:t>
      </w:r>
      <w:r w:rsidRPr="002E7BAB">
        <w:rPr>
          <w:rFonts w:asciiTheme="minorHAnsi" w:hAnsiTheme="minorHAnsi"/>
          <w:bCs/>
          <w:snapToGrid w:val="0"/>
        </w:rPr>
        <w:t>Cherny NI, Dafni U, Bogaerts J, et al: ESMO-Magnitude of Clinical Benefit Scale version 1.1. Annals of Oncology 28:2340-2366, 2017</w:t>
      </w:r>
    </w:p>
  </w:footnote>
  <w:footnote w:id="4">
    <w:p w14:paraId="0C92D8A7" w14:textId="0F4CFA24" w:rsidR="00812D13" w:rsidRDefault="00812D13" w:rsidP="00C20728">
      <w:pPr>
        <w:pStyle w:val="TableFigureFooter"/>
        <w:jc w:val="both"/>
      </w:pPr>
      <w:r>
        <w:rPr>
          <w:rStyle w:val="FootnoteReference"/>
        </w:rPr>
        <w:footnoteRef/>
      </w:r>
      <w:r>
        <w:t xml:space="preserve"> </w:t>
      </w:r>
      <w:r w:rsidRPr="006D3AD0">
        <w:t>NICE. National Institute for Health and Care Excellence. NICE health technology evaluations: the manual. 31 January 2022. www.nice.org.uk/process/pmg36. Accessed 15 December 2022.</w:t>
      </w:r>
    </w:p>
  </w:footnote>
  <w:footnote w:id="5">
    <w:p w14:paraId="2D2A70EA" w14:textId="77777777" w:rsidR="00812D13" w:rsidRPr="002B1F00" w:rsidRDefault="00812D13" w:rsidP="00C20728">
      <w:pPr>
        <w:pStyle w:val="TableFigureFooter"/>
        <w:jc w:val="both"/>
        <w:rPr>
          <w:szCs w:val="18"/>
        </w:rPr>
      </w:pPr>
      <w:r>
        <w:rPr>
          <w:rStyle w:val="FootnoteReference"/>
        </w:rPr>
        <w:footnoteRef/>
      </w:r>
      <w:r>
        <w:t xml:space="preserve"> </w:t>
      </w:r>
      <w:r w:rsidRPr="002B1F00">
        <w:rPr>
          <w:szCs w:val="18"/>
        </w:rPr>
        <w:t>Hernández-Alava M. et al. Econometric modelling of multiple self-reports of health states: The switch from EQ-5D-3L to EQ-5D-5L in evaluating drug therapies for rheumatoid arthritis. J Health Econ. 2017 Sep</w:t>
      </w:r>
      <w:r>
        <w:rPr>
          <w:szCs w:val="18"/>
        </w:rPr>
        <w:t xml:space="preserve">. </w:t>
      </w:r>
      <w:r w:rsidRPr="002B1F00">
        <w:rPr>
          <w:szCs w:val="18"/>
        </w:rPr>
        <w:t xml:space="preserve">55:139-152. </w:t>
      </w:r>
    </w:p>
  </w:footnote>
  <w:footnote w:id="6">
    <w:p w14:paraId="503A9228" w14:textId="77777777" w:rsidR="00812D13" w:rsidRPr="002B1F00" w:rsidRDefault="00812D13" w:rsidP="00C20728">
      <w:pPr>
        <w:pStyle w:val="TableFigureFooter"/>
        <w:jc w:val="both"/>
        <w:rPr>
          <w:szCs w:val="18"/>
        </w:rPr>
      </w:pPr>
      <w:r>
        <w:rPr>
          <w:rStyle w:val="FootnoteReference"/>
        </w:rPr>
        <w:footnoteRef/>
      </w:r>
      <w:r>
        <w:t xml:space="preserve"> </w:t>
      </w:r>
      <w:r w:rsidRPr="002B1F00">
        <w:rPr>
          <w:szCs w:val="18"/>
        </w:rPr>
        <w:t xml:space="preserve">Devlin N. et al. Valuing health-related quality of life: An EQ-5D-5L value set for England. Health Econ. 2018 Jan;27(1):7-22. </w:t>
      </w:r>
    </w:p>
  </w:footnote>
  <w:footnote w:id="7">
    <w:p w14:paraId="7205D781" w14:textId="77777777" w:rsidR="00812D13" w:rsidRDefault="00812D13" w:rsidP="00C20728">
      <w:pPr>
        <w:pStyle w:val="TableFigureFooter"/>
        <w:jc w:val="both"/>
      </w:pPr>
      <w:r>
        <w:rPr>
          <w:rStyle w:val="FootnoteReference"/>
        </w:rPr>
        <w:footnoteRef/>
      </w:r>
      <w:r>
        <w:t xml:space="preserve"> </w:t>
      </w:r>
      <w:r>
        <w:rPr>
          <w:rStyle w:val="FooterTableFigureChar"/>
        </w:rPr>
        <w:t xml:space="preserve">Interim value sets for the EQ-5D-5L. 2017. Accessed on 01/08/2023: </w:t>
      </w:r>
      <w:hyperlink r:id="rId1" w:history="1">
        <w:r>
          <w:rPr>
            <w:rStyle w:val="FooterTableFigureChar"/>
          </w:rPr>
          <w:t>https://euroqol.org/wp-content/uploads/2017/02/EQ-5D-5L_Crosswalk_model_and__methodology.pdf</w:t>
        </w:r>
      </w:hyperlink>
    </w:p>
  </w:footnote>
  <w:footnote w:id="8">
    <w:p w14:paraId="65295AEF" w14:textId="77777777" w:rsidR="00812D13" w:rsidRDefault="00812D13" w:rsidP="00565C8B">
      <w:pPr>
        <w:pStyle w:val="TableFigureFooter"/>
        <w:spacing w:after="0"/>
      </w:pPr>
      <w:r>
        <w:rPr>
          <w:rStyle w:val="FootnoteReference"/>
        </w:rPr>
        <w:footnoteRef/>
      </w:r>
      <w:r>
        <w:t xml:space="preserve"> Norman R. et al. The Use of a Discrete Choice Experiment Including Both Duration and Dead for the Development of an EQ-5D-5L Value Set for Australia.</w:t>
      </w:r>
      <w:r>
        <w:rPr>
          <w:rStyle w:val="TableFooterChar"/>
        </w:rPr>
        <w:t xml:space="preserve"> Pharmacoeconomics. 2023 Apr;41(4):427-38.</w:t>
      </w:r>
    </w:p>
  </w:footnote>
  <w:footnote w:id="9">
    <w:p w14:paraId="1C6AD2C7" w14:textId="77777777" w:rsidR="00812D13" w:rsidRDefault="00812D13" w:rsidP="0031403F">
      <w:pPr>
        <w:pStyle w:val="FootnoteText"/>
      </w:pPr>
      <w:r>
        <w:rPr>
          <w:rStyle w:val="FootnoteReference"/>
        </w:rPr>
        <w:footnoteRef/>
      </w:r>
      <w:r>
        <w:t xml:space="preserve"> </w:t>
      </w:r>
      <w:r w:rsidRPr="006E5336">
        <w:rPr>
          <w:rStyle w:val="TableFooterChar"/>
        </w:rPr>
        <w:t>Sayyid RK, et al. PARP Inhibitor Combinations in First Line mCRPC: A Systematic Review and Meta-Analysis. BJU Int. 2023 Jul 17. Online ahead of print.</w:t>
      </w:r>
    </w:p>
  </w:footnote>
  <w:footnote w:id="10">
    <w:p w14:paraId="0D532DFE" w14:textId="77777777" w:rsidR="00812D13" w:rsidRDefault="00812D13" w:rsidP="00F0045B">
      <w:pPr>
        <w:pStyle w:val="FootnoteText"/>
        <w:jc w:val="both"/>
      </w:pPr>
      <w:r>
        <w:rPr>
          <w:rStyle w:val="FootnoteReference"/>
        </w:rPr>
        <w:footnoteRef/>
      </w:r>
      <w:r>
        <w:t xml:space="preserve"> </w:t>
      </w:r>
      <w:r w:rsidRPr="00894C40">
        <w:rPr>
          <w:rFonts w:ascii="Arial Narrow" w:hAnsi="Arial Narrow"/>
          <w:sz w:val="18"/>
          <w:szCs w:val="18"/>
        </w:rPr>
        <w:t>Sullivan P. et al., Quality of life findings from a multicentre, multinational, observational study of patients with metastatic hormone-refractory prostate cancer. Qual Life Res. 2007 May;16(4):571-5.</w:t>
      </w:r>
    </w:p>
  </w:footnote>
  <w:footnote w:id="11">
    <w:p w14:paraId="1B663197" w14:textId="77777777" w:rsidR="00812D13" w:rsidRDefault="00812D13" w:rsidP="00F0045B">
      <w:pPr>
        <w:pStyle w:val="FootnoteText"/>
        <w:jc w:val="both"/>
      </w:pPr>
      <w:r>
        <w:rPr>
          <w:rStyle w:val="FootnoteReference"/>
        </w:rPr>
        <w:footnoteRef/>
      </w:r>
      <w:r>
        <w:t xml:space="preserve"> </w:t>
      </w:r>
      <w:r w:rsidRPr="00894C40">
        <w:rPr>
          <w:rFonts w:ascii="Arial Narrow" w:hAnsi="Arial Narrow"/>
          <w:sz w:val="18"/>
          <w:szCs w:val="18"/>
        </w:rPr>
        <w:t>Sullivan P. et al., Quality of life findings from a multicentre, multinational, observational study of patients with metastatic hormone-refractory prostate cancer. Qual Life Res. 2007 May;16(4):571-5.</w:t>
      </w:r>
    </w:p>
  </w:footnote>
  <w:footnote w:id="12">
    <w:p w14:paraId="7101B674" w14:textId="77777777" w:rsidR="00812D13" w:rsidRPr="002B1F00" w:rsidRDefault="00812D13" w:rsidP="002D535E">
      <w:pPr>
        <w:pStyle w:val="FootnoteText"/>
        <w:rPr>
          <w:rFonts w:ascii="Arial Narrow" w:hAnsi="Arial Narrow"/>
          <w:sz w:val="18"/>
          <w:szCs w:val="18"/>
        </w:rPr>
      </w:pPr>
      <w:r>
        <w:rPr>
          <w:rStyle w:val="FootnoteReference"/>
        </w:rPr>
        <w:footnoteRef/>
      </w:r>
      <w:r>
        <w:t xml:space="preserve"> </w:t>
      </w:r>
      <w:r w:rsidRPr="002B1F00">
        <w:rPr>
          <w:rFonts w:ascii="Arial Narrow" w:hAnsi="Arial Narrow"/>
          <w:sz w:val="18"/>
          <w:szCs w:val="18"/>
        </w:rPr>
        <w:t>Hernández-Alava M. et al. Econometric modelling of multiple self-reports of health states: The switch from EQ-5D-3L to EQ-5D-5L in evaluating drug therapies for rheumatoid arthritis. J Health Econ. 2017 Sep</w:t>
      </w:r>
      <w:r>
        <w:rPr>
          <w:rFonts w:ascii="Arial Narrow" w:hAnsi="Arial Narrow"/>
          <w:sz w:val="18"/>
          <w:szCs w:val="18"/>
        </w:rPr>
        <w:t xml:space="preserve">. </w:t>
      </w:r>
      <w:r w:rsidRPr="002B1F00">
        <w:rPr>
          <w:rFonts w:ascii="Arial Narrow" w:hAnsi="Arial Narrow"/>
          <w:sz w:val="18"/>
          <w:szCs w:val="18"/>
        </w:rPr>
        <w:t xml:space="preserve">55:139-152. </w:t>
      </w:r>
    </w:p>
  </w:footnote>
  <w:footnote w:id="13">
    <w:p w14:paraId="3B355208" w14:textId="77777777" w:rsidR="00812D13" w:rsidRDefault="00812D13" w:rsidP="002D535E">
      <w:pPr>
        <w:pStyle w:val="FootnoteText"/>
      </w:pPr>
      <w:r>
        <w:rPr>
          <w:rStyle w:val="FootnoteReference"/>
        </w:rPr>
        <w:footnoteRef/>
      </w:r>
      <w:r>
        <w:t xml:space="preserve"> </w:t>
      </w:r>
      <w:r>
        <w:rPr>
          <w:rFonts w:ascii="Arial Narrow" w:hAnsi="Arial Narrow"/>
          <w:sz w:val="18"/>
          <w:szCs w:val="18"/>
        </w:rPr>
        <w:t>Norman R. et al. The Use of a Discrete Choice Experiment Including Both Duration and Dead for the Development of an EQ-5D-5L Value Set for Australia.</w:t>
      </w:r>
      <w:r>
        <w:rPr>
          <w:rStyle w:val="TableFooterChar"/>
        </w:rPr>
        <w:t xml:space="preserve"> Pharmacoeconomics. 2023 Apr;41(4):427-38.</w:t>
      </w:r>
    </w:p>
  </w:footnote>
  <w:footnote w:id="14">
    <w:p w14:paraId="558BBAAB" w14:textId="77777777" w:rsidR="00812D13" w:rsidRDefault="00812D13" w:rsidP="0012318A">
      <w:pPr>
        <w:pStyle w:val="FootnoteText"/>
        <w:jc w:val="both"/>
      </w:pPr>
      <w:r>
        <w:rPr>
          <w:rStyle w:val="FootnoteReference"/>
        </w:rPr>
        <w:footnoteRef/>
      </w:r>
      <w:r>
        <w:t xml:space="preserve"> </w:t>
      </w:r>
      <w:r w:rsidRPr="00894C40">
        <w:rPr>
          <w:rFonts w:ascii="Arial Narrow" w:hAnsi="Arial Narrow"/>
          <w:sz w:val="18"/>
          <w:szCs w:val="18"/>
        </w:rPr>
        <w:t>Sullivan P. et al., Quality of life findings from a multicentre, multinational, observational study of patients with metastatic hormone-refractory prostate cancer. Qual Life Res. 2007 May;16(4):571-5.</w:t>
      </w:r>
    </w:p>
  </w:footnote>
  <w:footnote w:id="15">
    <w:p w14:paraId="1F93E9CC" w14:textId="2A556F57" w:rsidR="00812D13" w:rsidRPr="00935AD9" w:rsidRDefault="00812D13">
      <w:pPr>
        <w:pStyle w:val="FootnoteText"/>
        <w:rPr>
          <w:rFonts w:ascii="Arial Narrow" w:hAnsi="Arial Narrow"/>
          <w:sz w:val="18"/>
          <w:szCs w:val="18"/>
        </w:rPr>
      </w:pPr>
      <w:r w:rsidRPr="00935AD9">
        <w:rPr>
          <w:rStyle w:val="FootnoteReference"/>
          <w:rFonts w:ascii="Arial Narrow" w:hAnsi="Arial Narrow"/>
          <w:sz w:val="18"/>
          <w:szCs w:val="18"/>
        </w:rPr>
        <w:footnoteRef/>
      </w:r>
      <w:r w:rsidRPr="00935AD9">
        <w:rPr>
          <w:rFonts w:ascii="Arial Narrow" w:hAnsi="Arial Narrow"/>
          <w:sz w:val="18"/>
          <w:szCs w:val="18"/>
        </w:rPr>
        <w:t xml:space="preserve"> see Table 9, apalutamide, PSD, July 2022</w:t>
      </w:r>
    </w:p>
  </w:footnote>
  <w:footnote w:id="16">
    <w:p w14:paraId="7FC79291" w14:textId="77777777" w:rsidR="00812D13" w:rsidRPr="00FD5213" w:rsidRDefault="00812D13" w:rsidP="002804DC">
      <w:pPr>
        <w:pStyle w:val="FootnoteText"/>
        <w:jc w:val="both"/>
        <w:rPr>
          <w:rFonts w:ascii="Arial Narrow" w:hAnsi="Arial Narrow"/>
          <w:sz w:val="18"/>
          <w:szCs w:val="18"/>
        </w:rPr>
      </w:pPr>
      <w:r>
        <w:rPr>
          <w:rStyle w:val="FootnoteReference"/>
        </w:rPr>
        <w:footnoteRef/>
      </w:r>
      <w:r>
        <w:t xml:space="preserve"> </w:t>
      </w:r>
      <w:r w:rsidRPr="00FD5213">
        <w:rPr>
          <w:rFonts w:ascii="Arial Narrow" w:hAnsi="Arial Narrow"/>
          <w:sz w:val="18"/>
          <w:szCs w:val="18"/>
        </w:rPr>
        <w:t xml:space="preserve">Sullivan, P. et al. 2007. Quality of life findings from a multicentre, multinational, observational study of patients with metastatic hormone-refractory prostate cancer."  Qual Life Res 16 (4):571-5.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C4CB" w14:textId="77777777" w:rsidR="00D62519" w:rsidRDefault="00D62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0DC9" w14:textId="575A5E86" w:rsidR="00812D13" w:rsidRPr="00195452" w:rsidRDefault="003962B6" w:rsidP="008F1CBD">
    <w:pPr>
      <w:pStyle w:val="Header"/>
      <w:rPr>
        <w:rFonts w:asciiTheme="minorHAnsi" w:hAnsiTheme="minorHAnsi"/>
        <w:i/>
        <w:color w:val="808080"/>
      </w:rPr>
    </w:pPr>
    <w:r w:rsidRPr="003962B6">
      <w:rPr>
        <w:rFonts w:asciiTheme="minorHAnsi" w:hAnsiTheme="minorHAnsi"/>
        <w:i/>
        <w:color w:val="808080"/>
      </w:rPr>
      <w:t xml:space="preserve">Public Summary Document </w:t>
    </w:r>
    <w:r w:rsidR="006E4BFC">
      <w:rPr>
        <w:rFonts w:asciiTheme="minorHAnsi" w:hAnsiTheme="minorHAnsi"/>
        <w:i/>
        <w:color w:val="808080"/>
      </w:rPr>
      <w:t xml:space="preserve">- </w:t>
    </w:r>
    <w:r w:rsidR="00812D13">
      <w:rPr>
        <w:rFonts w:asciiTheme="minorHAnsi" w:hAnsiTheme="minorHAnsi"/>
        <w:i/>
        <w:color w:val="808080"/>
      </w:rPr>
      <w:t xml:space="preserve">March 2024 </w:t>
    </w:r>
    <w:r w:rsidR="00812D13" w:rsidRPr="00195452">
      <w:rPr>
        <w:rFonts w:asciiTheme="minorHAnsi" w:hAnsiTheme="minorHAnsi"/>
        <w:i/>
        <w:color w:val="808080"/>
      </w:rPr>
      <w:t>PBAC Meeting</w:t>
    </w:r>
  </w:p>
  <w:p w14:paraId="03AF943B" w14:textId="77777777" w:rsidR="00812D13" w:rsidRPr="008C7ECB" w:rsidRDefault="00812D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B6A1" w14:textId="77777777" w:rsidR="00D62519" w:rsidRDefault="00D62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D9A34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b/>
      </w:rPr>
    </w:lvl>
    <w:lvl w:ilvl="1">
      <w:start w:val="1"/>
      <w:numFmt w:val="none"/>
      <w:suff w:val="nothing"/>
      <w:lvlText w:val=""/>
      <w:lvlJc w:val="left"/>
      <w:pPr>
        <w:ind w:left="720" w:hanging="720"/>
      </w:pPr>
    </w:lvl>
    <w:lvl w:ilvl="2">
      <w:start w:val="1"/>
      <w:numFmt w:val="none"/>
      <w:lvlRestart w:val="1"/>
      <w:suff w:val="nothing"/>
      <w:lvlText w:val=""/>
      <w:lvlJc w:val="left"/>
      <w:pPr>
        <w:ind w:left="720" w:hanging="720"/>
      </w:pPr>
    </w:lvl>
    <w:lvl w:ilvl="3">
      <w:start w:val="1"/>
      <w:numFmt w:val="none"/>
      <w:lvlRestart w:val="1"/>
      <w:suff w:val="nothing"/>
      <w:lvlText w:val=""/>
      <w:lvlJc w:val="left"/>
      <w:pPr>
        <w:ind w:left="1080" w:hanging="1080"/>
      </w:pPr>
    </w:lvl>
    <w:lvl w:ilvl="4">
      <w:start w:val="1"/>
      <w:numFmt w:val="decimal"/>
      <w:lvlRestart w:val="1"/>
      <w:lvlText w:val="%1.%5"/>
      <w:lvlJc w:val="left"/>
      <w:pPr>
        <w:ind w:left="1080" w:hanging="1080"/>
      </w:pPr>
      <w:rPr>
        <w:rFonts w:asciiTheme="minorHAnsi" w:hAnsiTheme="minorHAnsi" w:cs="Times New Roman" w:hint="default"/>
        <w:b w:val="0"/>
        <w:i w:val="0"/>
        <w:strike w:val="0"/>
        <w:dstrike w:val="0"/>
        <w:color w:val="auto"/>
        <w:sz w:val="24"/>
        <w:u w:val="none"/>
        <w:effect w:val="none"/>
      </w:rPr>
    </w:lvl>
    <w:lvl w:ilvl="5">
      <w:start w:val="1"/>
      <w:numFmt w:val="decimal"/>
      <w:lvlRestart w:val="1"/>
      <w:lvlText w:val="%6"/>
      <w:lvlJc w:val="left"/>
      <w:pPr>
        <w:ind w:left="720" w:hanging="720"/>
      </w:pPr>
    </w:lvl>
    <w:lvl w:ilvl="6">
      <w:start w:val="1"/>
      <w:numFmt w:val="none"/>
      <w:suff w:val="nothing"/>
      <w:lvlText w:val=""/>
      <w:lvlJc w:val="left"/>
      <w:pPr>
        <w:ind w:left="720" w:hanging="72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617AC2"/>
    <w:multiLevelType w:val="multilevel"/>
    <w:tmpl w:val="134EDE46"/>
    <w:lvl w:ilvl="0">
      <w:start w:val="1"/>
      <w:numFmt w:val="bullet"/>
      <w:pStyle w:val="MainBodyBulletPoint"/>
      <w:lvlText w:val="-"/>
      <w:lvlJc w:val="left"/>
      <w:pPr>
        <w:ind w:left="669" w:hanging="360"/>
      </w:pPr>
      <w:rPr>
        <w:rFonts w:ascii="Courier New" w:hAnsi="Courier New"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bullet"/>
      <w:lvlText w:val=""/>
      <w:lvlJc w:val="left"/>
      <w:pPr>
        <w:ind w:left="1389" w:hanging="476"/>
      </w:pPr>
      <w:rPr>
        <w:rFonts w:ascii="Symbol" w:hAnsi="Symbol" w:hint="default"/>
      </w:rPr>
    </w:lvl>
    <w:lvl w:ilvl="2">
      <w:start w:val="1"/>
      <w:numFmt w:val="bullet"/>
      <w:lvlText w:val=""/>
      <w:lvlJc w:val="left"/>
      <w:pPr>
        <w:ind w:left="2109" w:hanging="360"/>
      </w:pPr>
      <w:rPr>
        <w:rFonts w:ascii="Wingdings" w:hAnsi="Wingdings" w:hint="default"/>
      </w:rPr>
    </w:lvl>
    <w:lvl w:ilvl="3">
      <w:start w:val="1"/>
      <w:numFmt w:val="bullet"/>
      <w:lvlText w:val=""/>
      <w:lvlJc w:val="left"/>
      <w:pPr>
        <w:ind w:left="2829" w:hanging="360"/>
      </w:pPr>
      <w:rPr>
        <w:rFonts w:ascii="Symbol" w:hAnsi="Symbol" w:hint="default"/>
      </w:rPr>
    </w:lvl>
    <w:lvl w:ilvl="4">
      <w:start w:val="1"/>
      <w:numFmt w:val="bullet"/>
      <w:lvlText w:val="o"/>
      <w:lvlJc w:val="left"/>
      <w:pPr>
        <w:ind w:left="3549" w:hanging="360"/>
      </w:pPr>
      <w:rPr>
        <w:rFonts w:ascii="Courier New" w:hAnsi="Courier New" w:cs="Courier New" w:hint="default"/>
      </w:rPr>
    </w:lvl>
    <w:lvl w:ilvl="5">
      <w:start w:val="1"/>
      <w:numFmt w:val="bullet"/>
      <w:lvlText w:val=""/>
      <w:lvlJc w:val="left"/>
      <w:pPr>
        <w:ind w:left="4269" w:hanging="360"/>
      </w:pPr>
      <w:rPr>
        <w:rFonts w:ascii="Wingdings" w:hAnsi="Wingdings" w:hint="default"/>
      </w:rPr>
    </w:lvl>
    <w:lvl w:ilvl="6">
      <w:start w:val="1"/>
      <w:numFmt w:val="bullet"/>
      <w:lvlText w:val=""/>
      <w:lvlJc w:val="left"/>
      <w:pPr>
        <w:ind w:left="4989" w:hanging="360"/>
      </w:pPr>
      <w:rPr>
        <w:rFonts w:ascii="Symbol" w:hAnsi="Symbol" w:hint="default"/>
      </w:rPr>
    </w:lvl>
    <w:lvl w:ilvl="7">
      <w:start w:val="1"/>
      <w:numFmt w:val="bullet"/>
      <w:lvlText w:val="o"/>
      <w:lvlJc w:val="left"/>
      <w:pPr>
        <w:ind w:left="5709" w:hanging="360"/>
      </w:pPr>
      <w:rPr>
        <w:rFonts w:ascii="Courier New" w:hAnsi="Courier New" w:cs="Courier New" w:hint="default"/>
      </w:rPr>
    </w:lvl>
    <w:lvl w:ilvl="8">
      <w:start w:val="1"/>
      <w:numFmt w:val="bullet"/>
      <w:lvlText w:val=""/>
      <w:lvlJc w:val="left"/>
      <w:pPr>
        <w:ind w:left="6429" w:hanging="360"/>
      </w:pPr>
      <w:rPr>
        <w:rFonts w:ascii="Wingdings" w:hAnsi="Wingdings" w:hint="default"/>
      </w:rPr>
    </w:lvl>
  </w:abstractNum>
  <w:abstractNum w:abstractNumId="5" w15:restartNumberingAfterBreak="0">
    <w:nsid w:val="099A17EB"/>
    <w:multiLevelType w:val="hybridMultilevel"/>
    <w:tmpl w:val="A2D43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A36824"/>
    <w:multiLevelType w:val="hybridMultilevel"/>
    <w:tmpl w:val="F8DC9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367D42"/>
    <w:multiLevelType w:val="hybridMultilevel"/>
    <w:tmpl w:val="AA0AC5A8"/>
    <w:lvl w:ilvl="0" w:tplc="214A809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0" w15:restartNumberingAfterBreak="0">
    <w:nsid w:val="1148347E"/>
    <w:multiLevelType w:val="hybridMultilevel"/>
    <w:tmpl w:val="16D65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4548D1"/>
    <w:multiLevelType w:val="hybridMultilevel"/>
    <w:tmpl w:val="58FAED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E636880"/>
    <w:multiLevelType w:val="hybridMultilevel"/>
    <w:tmpl w:val="A350B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070F0F"/>
    <w:multiLevelType w:val="hybridMultilevel"/>
    <w:tmpl w:val="AFC4A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3D3017"/>
    <w:multiLevelType w:val="multilevel"/>
    <w:tmpl w:val="885EE1BE"/>
    <w:lvl w:ilvl="0">
      <w:start w:val="1"/>
      <w:numFmt w:val="decimal"/>
      <w:lvlText w:val="%1"/>
      <w:lvlJc w:val="left"/>
      <w:pPr>
        <w:ind w:left="862"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9A18BF"/>
    <w:multiLevelType w:val="multilevel"/>
    <w:tmpl w:val="7FBCC762"/>
    <w:lvl w:ilvl="0">
      <w:start w:val="1"/>
      <w:numFmt w:val="bullet"/>
      <w:lvlText w:val=""/>
      <w:lvlJc w:val="left"/>
      <w:pPr>
        <w:ind w:left="720" w:hanging="720"/>
      </w:pPr>
      <w:rPr>
        <w:rFonts w:ascii="Symbol" w:hAnsi="Symbol" w:hint="default"/>
        <w:b/>
      </w:rPr>
    </w:lvl>
    <w:lvl w:ilvl="1">
      <w:start w:val="1"/>
      <w:numFmt w:val="bullet"/>
      <w:lvlText w:val=""/>
      <w:lvlJc w:val="left"/>
      <w:pPr>
        <w:ind w:left="218" w:hanging="360"/>
      </w:pPr>
      <w:rPr>
        <w:rFonts w:ascii="Symbol" w:hAnsi="Symbol" w:hint="default"/>
      </w:rPr>
    </w:lvl>
    <w:lvl w:ilvl="2">
      <w:start w:val="1"/>
      <w:numFmt w:val="decimal"/>
      <w:lvlText w:val="%1.%2.%3"/>
      <w:lvlJc w:val="left"/>
      <w:pPr>
        <w:ind w:left="578" w:hanging="720"/>
      </w:pPr>
      <w:rPr>
        <w:rFonts w:hint="default"/>
      </w:rPr>
    </w:lvl>
    <w:lvl w:ilvl="3">
      <w:start w:val="1"/>
      <w:numFmt w:val="decimal"/>
      <w:lvlText w:val="%1.%2.%3.%4"/>
      <w:lvlJc w:val="left"/>
      <w:pPr>
        <w:ind w:left="938" w:hanging="108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1658" w:hanging="1800"/>
      </w:pPr>
      <w:rPr>
        <w:rFonts w:hint="default"/>
      </w:rPr>
    </w:lvl>
  </w:abstractNum>
  <w:abstractNum w:abstractNumId="16"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BDA1479"/>
    <w:multiLevelType w:val="hybridMultilevel"/>
    <w:tmpl w:val="AD54FF9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AE6772"/>
    <w:multiLevelType w:val="hybridMultilevel"/>
    <w:tmpl w:val="8F4CDEBC"/>
    <w:lvl w:ilvl="0" w:tplc="0C090003">
      <w:start w:val="1"/>
      <w:numFmt w:val="bullet"/>
      <w:lvlText w:val="o"/>
      <w:lvlJc w:val="left"/>
      <w:pPr>
        <w:ind w:left="530" w:hanging="360"/>
      </w:pPr>
      <w:rPr>
        <w:rFonts w:ascii="Courier New" w:hAnsi="Courier New" w:cs="Courier New" w:hint="default"/>
      </w:rPr>
    </w:lvl>
    <w:lvl w:ilvl="1" w:tplc="FFFFFFFF">
      <w:start w:val="1"/>
      <w:numFmt w:val="bullet"/>
      <w:lvlText w:val="o"/>
      <w:lvlJc w:val="left"/>
      <w:pPr>
        <w:ind w:left="1250" w:hanging="360"/>
      </w:pPr>
      <w:rPr>
        <w:rFonts w:ascii="Courier New" w:hAnsi="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22" w15:restartNumberingAfterBreak="0">
    <w:nsid w:val="37404E79"/>
    <w:multiLevelType w:val="hybridMultilevel"/>
    <w:tmpl w:val="01D47F80"/>
    <w:lvl w:ilvl="0" w:tplc="0C090001">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FD78DC"/>
    <w:multiLevelType w:val="multilevel"/>
    <w:tmpl w:val="EC4E2E26"/>
    <w:lvl w:ilvl="0">
      <w:start w:val="1"/>
      <w:numFmt w:val="bullet"/>
      <w:pStyle w:val="TableListParagraph"/>
      <w:lvlText w:val=""/>
      <w:lvlJc w:val="left"/>
      <w:pPr>
        <w:ind w:left="144" w:hanging="144"/>
      </w:pPr>
      <w:rPr>
        <w:rFonts w:ascii="Symbol" w:hAnsi="Symbol" w:hint="default"/>
      </w:rPr>
    </w:lvl>
    <w:lvl w:ilvl="1">
      <w:start w:val="1"/>
      <w:numFmt w:val="bullet"/>
      <w:lvlText w:val="–"/>
      <w:lvlJc w:val="left"/>
      <w:pPr>
        <w:ind w:left="288" w:hanging="144"/>
      </w:pPr>
      <w:rPr>
        <w:rFonts w:ascii="Calibri" w:hAnsi="Calibri" w:hint="default"/>
      </w:rPr>
    </w:lvl>
    <w:lvl w:ilvl="2">
      <w:start w:val="1"/>
      <w:numFmt w:val="bullet"/>
      <w:lvlText w:val="–"/>
      <w:lvlJc w:val="left"/>
      <w:pPr>
        <w:ind w:left="432" w:hanging="144"/>
      </w:pPr>
      <w:rPr>
        <w:rFonts w:ascii="Calibri" w:hAnsi="Calibri" w:hint="default"/>
      </w:rPr>
    </w:lvl>
    <w:lvl w:ilvl="3">
      <w:start w:val="1"/>
      <w:numFmt w:val="bullet"/>
      <w:lvlText w:val="–"/>
      <w:lvlJc w:val="left"/>
      <w:pPr>
        <w:ind w:left="576" w:hanging="144"/>
      </w:pPr>
      <w:rPr>
        <w:rFonts w:ascii="Calibri" w:hAnsi="Calibri" w:hint="default"/>
      </w:rPr>
    </w:lvl>
    <w:lvl w:ilvl="4">
      <w:start w:val="1"/>
      <w:numFmt w:val="bullet"/>
      <w:lvlText w:val="–"/>
      <w:lvlJc w:val="left"/>
      <w:pPr>
        <w:ind w:left="720" w:hanging="144"/>
      </w:pPr>
      <w:rPr>
        <w:rFonts w:ascii="Calibri" w:hAnsi="Calibri" w:hint="default"/>
      </w:rPr>
    </w:lvl>
    <w:lvl w:ilvl="5">
      <w:start w:val="1"/>
      <w:numFmt w:val="bullet"/>
      <w:lvlText w:val="–"/>
      <w:lvlJc w:val="left"/>
      <w:pPr>
        <w:ind w:left="864" w:hanging="144"/>
      </w:pPr>
      <w:rPr>
        <w:rFonts w:ascii="Calibri" w:hAnsi="Calibri" w:hint="default"/>
      </w:rPr>
    </w:lvl>
    <w:lvl w:ilvl="6">
      <w:start w:val="1"/>
      <w:numFmt w:val="bullet"/>
      <w:lvlText w:val="–"/>
      <w:lvlJc w:val="left"/>
      <w:pPr>
        <w:ind w:left="1008" w:hanging="144"/>
      </w:pPr>
      <w:rPr>
        <w:rFonts w:ascii="Calibri" w:hAnsi="Calibri" w:hint="default"/>
      </w:rPr>
    </w:lvl>
    <w:lvl w:ilvl="7">
      <w:start w:val="1"/>
      <w:numFmt w:val="bullet"/>
      <w:lvlText w:val="–"/>
      <w:lvlJc w:val="left"/>
      <w:pPr>
        <w:ind w:left="1152" w:hanging="144"/>
      </w:pPr>
      <w:rPr>
        <w:rFonts w:ascii="Calibri" w:hAnsi="Calibri" w:hint="default"/>
      </w:rPr>
    </w:lvl>
    <w:lvl w:ilvl="8">
      <w:start w:val="1"/>
      <w:numFmt w:val="bullet"/>
      <w:lvlRestart w:val="0"/>
      <w:lvlText w:val="–"/>
      <w:lvlJc w:val="left"/>
      <w:pPr>
        <w:ind w:left="1296" w:hanging="144"/>
      </w:pPr>
      <w:rPr>
        <w:rFonts w:ascii="Calibri" w:hAnsi="Calibri"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5E0F9F"/>
    <w:multiLevelType w:val="hybridMultilevel"/>
    <w:tmpl w:val="114614D8"/>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26" w15:restartNumberingAfterBreak="0">
    <w:nsid w:val="455C1665"/>
    <w:multiLevelType w:val="hybridMultilevel"/>
    <w:tmpl w:val="92A07DE2"/>
    <w:lvl w:ilvl="0" w:tplc="16726BDE">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 w15:restartNumberingAfterBreak="0">
    <w:nsid w:val="458D67A6"/>
    <w:multiLevelType w:val="hybridMultilevel"/>
    <w:tmpl w:val="B9EABE00"/>
    <w:lvl w:ilvl="0" w:tplc="04090001">
      <w:start w:val="1"/>
      <w:numFmt w:val="bullet"/>
      <w:pStyle w:val="ListParagraph"/>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6986FE5"/>
    <w:multiLevelType w:val="hybridMultilevel"/>
    <w:tmpl w:val="03624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8EC3C96"/>
    <w:multiLevelType w:val="hybridMultilevel"/>
    <w:tmpl w:val="B852D4F4"/>
    <w:lvl w:ilvl="0" w:tplc="C56EAA9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CE2425A"/>
    <w:multiLevelType w:val="hybridMultilevel"/>
    <w:tmpl w:val="7EE81BA4"/>
    <w:lvl w:ilvl="0" w:tplc="5B7CFF8E">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D77663"/>
    <w:multiLevelType w:val="hybridMultilevel"/>
    <w:tmpl w:val="2048E8EE"/>
    <w:lvl w:ilvl="0" w:tplc="55B6AA02">
      <w:start w:val="1"/>
      <w:numFmt w:val="decimal"/>
      <w:pStyle w:val="Ntabletext"/>
      <w:lvlText w:val="%1"/>
      <w:lvlJc w:val="left"/>
      <w:pPr>
        <w:ind w:left="360" w:hanging="360"/>
      </w:pPr>
      <w:rPr>
        <w:rFonts w:ascii="Calibri" w:hAnsi="Calibri" w:cs="Times New Roman" w:hint="default"/>
        <w:b w:val="0"/>
        <w:i w:val="0"/>
        <w:color w:val="auto"/>
        <w:sz w:val="2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2" w15:restartNumberingAfterBreak="0">
    <w:nsid w:val="4E5F6121"/>
    <w:multiLevelType w:val="hybridMultilevel"/>
    <w:tmpl w:val="D8D85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03178C"/>
    <w:multiLevelType w:val="hybridMultilevel"/>
    <w:tmpl w:val="FB86C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1B4822"/>
    <w:multiLevelType w:val="hybridMultilevel"/>
    <w:tmpl w:val="4F48ED20"/>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48E0578"/>
    <w:multiLevelType w:val="hybridMultilevel"/>
    <w:tmpl w:val="D8A6DA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7773C90"/>
    <w:multiLevelType w:val="hybridMultilevel"/>
    <w:tmpl w:val="8A08D19C"/>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7E658EC"/>
    <w:multiLevelType w:val="hybridMultilevel"/>
    <w:tmpl w:val="CA06F7D6"/>
    <w:lvl w:ilvl="0" w:tplc="0C090001">
      <w:start w:val="1"/>
      <w:numFmt w:val="bullet"/>
      <w:lvlText w:val=""/>
      <w:lvlJc w:val="left"/>
      <w:pPr>
        <w:ind w:left="720" w:hanging="360"/>
      </w:pPr>
      <w:rPr>
        <w:rFonts w:ascii="Symbol" w:hAnsi="Symbol" w:hint="default"/>
      </w:rPr>
    </w:lvl>
    <w:lvl w:ilvl="1" w:tplc="81785210">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24E0BC6"/>
    <w:multiLevelType w:val="hybridMultilevel"/>
    <w:tmpl w:val="B518EC60"/>
    <w:lvl w:ilvl="0" w:tplc="0C09001B">
      <w:start w:val="1"/>
      <w:numFmt w:val="lowerRoman"/>
      <w:lvlText w:val="%1."/>
      <w:lvlJc w:val="right"/>
      <w:pPr>
        <w:ind w:left="890" w:hanging="360"/>
      </w:pPr>
      <w:rPr>
        <w:rFonts w:hint="default"/>
      </w:rPr>
    </w:lvl>
    <w:lvl w:ilvl="1" w:tplc="04090003">
      <w:start w:val="1"/>
      <w:numFmt w:val="bullet"/>
      <w:lvlText w:val="o"/>
      <w:lvlJc w:val="left"/>
      <w:pPr>
        <w:ind w:left="1610" w:hanging="360"/>
      </w:pPr>
      <w:rPr>
        <w:rFonts w:ascii="Courier New" w:hAnsi="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41" w15:restartNumberingAfterBreak="0">
    <w:nsid w:val="63CF52D6"/>
    <w:multiLevelType w:val="hybridMultilevel"/>
    <w:tmpl w:val="C0B207E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65AE0A44"/>
    <w:multiLevelType w:val="hybridMultilevel"/>
    <w:tmpl w:val="05A4D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E463787"/>
    <w:multiLevelType w:val="hybridMultilevel"/>
    <w:tmpl w:val="0BAC0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7263561"/>
    <w:multiLevelType w:val="multilevel"/>
    <w:tmpl w:val="6F00EAE6"/>
    <w:lvl w:ilvl="0">
      <w:start w:val="1"/>
      <w:numFmt w:val="decimal"/>
      <w:lvlText w:val="%1"/>
      <w:lvlJc w:val="left"/>
      <w:pPr>
        <w:ind w:left="862"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84D033C"/>
    <w:multiLevelType w:val="multilevel"/>
    <w:tmpl w:val="F306EAE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578" w:hanging="720"/>
      </w:pPr>
      <w:rPr>
        <w:i w:val="0"/>
        <w:iCs w:val="0"/>
        <w:color w:val="auto"/>
        <w:specVanish w:val="0"/>
      </w:rPr>
    </w:lvl>
    <w:lvl w:ilvl="2">
      <w:start w:val="1"/>
      <w:numFmt w:val="decimal"/>
      <w:lvlText w:val="%1.%2.%3"/>
      <w:lvlJc w:val="left"/>
      <w:pPr>
        <w:ind w:left="578" w:hanging="720"/>
      </w:pPr>
      <w:rPr>
        <w:rFonts w:hint="default"/>
      </w:rPr>
    </w:lvl>
    <w:lvl w:ilvl="3">
      <w:start w:val="1"/>
      <w:numFmt w:val="decimal"/>
      <w:lvlText w:val="%1.%2.%3.%4"/>
      <w:lvlJc w:val="left"/>
      <w:pPr>
        <w:ind w:left="938" w:hanging="108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1658" w:hanging="1800"/>
      </w:pPr>
      <w:rPr>
        <w:rFonts w:hint="default"/>
      </w:rPr>
    </w:lvl>
  </w:abstractNum>
  <w:abstractNum w:abstractNumId="49" w15:restartNumberingAfterBreak="0">
    <w:nsid w:val="7DC95B7A"/>
    <w:multiLevelType w:val="hybridMultilevel"/>
    <w:tmpl w:val="7DA242A8"/>
    <w:lvl w:ilvl="0" w:tplc="5086A13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7E636346"/>
    <w:multiLevelType w:val="hybridMultilevel"/>
    <w:tmpl w:val="821281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0663358">
    <w:abstractNumId w:val="48"/>
  </w:num>
  <w:num w:numId="2" w16cid:durableId="887376788">
    <w:abstractNumId w:val="24"/>
  </w:num>
  <w:num w:numId="3" w16cid:durableId="786779150">
    <w:abstractNumId w:val="27"/>
  </w:num>
  <w:num w:numId="4" w16cid:durableId="795833202">
    <w:abstractNumId w:val="48"/>
  </w:num>
  <w:num w:numId="5" w16cid:durableId="106320079">
    <w:abstractNumId w:val="42"/>
  </w:num>
  <w:num w:numId="6" w16cid:durableId="1745255712">
    <w:abstractNumId w:val="4"/>
  </w:num>
  <w:num w:numId="7" w16cid:durableId="1705473124">
    <w:abstractNumId w:val="11"/>
  </w:num>
  <w:num w:numId="8" w16cid:durableId="136144648">
    <w:abstractNumId w:val="27"/>
  </w:num>
  <w:num w:numId="9" w16cid:durableId="19335124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8516398">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4667821">
    <w:abstractNumId w:val="35"/>
  </w:num>
  <w:num w:numId="12" w16cid:durableId="1432626718">
    <w:abstractNumId w:val="2"/>
  </w:num>
  <w:num w:numId="13" w16cid:durableId="1174799851">
    <w:abstractNumId w:val="26"/>
  </w:num>
  <w:num w:numId="14" w16cid:durableId="1099175193">
    <w:abstractNumId w:val="46"/>
  </w:num>
  <w:num w:numId="15" w16cid:durableId="281421724">
    <w:abstractNumId w:val="41"/>
  </w:num>
  <w:num w:numId="16" w16cid:durableId="585841974">
    <w:abstractNumId w:val="49"/>
  </w:num>
  <w:num w:numId="17" w16cid:durableId="112675907">
    <w:abstractNumId w:val="50"/>
  </w:num>
  <w:num w:numId="18" w16cid:durableId="10592106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7025669">
    <w:abstractNumId w:val="38"/>
  </w:num>
  <w:num w:numId="20" w16cid:durableId="1368722736">
    <w:abstractNumId w:val="32"/>
  </w:num>
  <w:num w:numId="21" w16cid:durableId="1918585568">
    <w:abstractNumId w:val="19"/>
  </w:num>
  <w:num w:numId="22" w16cid:durableId="1302929871">
    <w:abstractNumId w:val="22"/>
  </w:num>
  <w:num w:numId="23" w16cid:durableId="258635772">
    <w:abstractNumId w:val="6"/>
  </w:num>
  <w:num w:numId="24" w16cid:durableId="1650792917">
    <w:abstractNumId w:val="33"/>
  </w:num>
  <w:num w:numId="25" w16cid:durableId="763257922">
    <w:abstractNumId w:val="23"/>
  </w:num>
  <w:num w:numId="26" w16cid:durableId="743841579">
    <w:abstractNumId w:val="30"/>
  </w:num>
  <w:num w:numId="27" w16cid:durableId="1270511017">
    <w:abstractNumId w:val="10"/>
  </w:num>
  <w:num w:numId="28" w16cid:durableId="1819226114">
    <w:abstractNumId w:val="48"/>
    <w:lvlOverride w:ilvl="0">
      <w:startOverride w:val="1"/>
    </w:lvlOverride>
  </w:num>
  <w:num w:numId="29" w16cid:durableId="1376852769">
    <w:abstractNumId w:val="40"/>
  </w:num>
  <w:num w:numId="30" w16cid:durableId="318190041">
    <w:abstractNumId w:val="43"/>
  </w:num>
  <w:num w:numId="31" w16cid:durableId="796683311">
    <w:abstractNumId w:val="16"/>
  </w:num>
  <w:num w:numId="32" w16cid:durableId="173736699">
    <w:abstractNumId w:val="28"/>
  </w:num>
  <w:num w:numId="33" w16cid:durableId="1836410195">
    <w:abstractNumId w:val="44"/>
  </w:num>
  <w:num w:numId="34" w16cid:durableId="1395470370">
    <w:abstractNumId w:val="21"/>
  </w:num>
  <w:num w:numId="35" w16cid:durableId="74474133">
    <w:abstractNumId w:val="34"/>
  </w:num>
  <w:num w:numId="36" w16cid:durableId="641542915">
    <w:abstractNumId w:val="37"/>
  </w:num>
  <w:num w:numId="37" w16cid:durableId="421491246">
    <w:abstractNumId w:val="13"/>
  </w:num>
  <w:num w:numId="38" w16cid:durableId="1814563333">
    <w:abstractNumId w:val="8"/>
  </w:num>
  <w:num w:numId="39" w16cid:durableId="908536620">
    <w:abstractNumId w:val="29"/>
  </w:num>
  <w:num w:numId="40" w16cid:durableId="761297180">
    <w:abstractNumId w:val="0"/>
  </w:num>
  <w:num w:numId="41" w16cid:durableId="1598830006">
    <w:abstractNumId w:val="3"/>
  </w:num>
  <w:num w:numId="42" w16cid:durableId="1822035258">
    <w:abstractNumId w:val="36"/>
  </w:num>
  <w:num w:numId="43" w16cid:durableId="321543914">
    <w:abstractNumId w:val="7"/>
  </w:num>
  <w:num w:numId="44" w16cid:durableId="109321512">
    <w:abstractNumId w:val="1"/>
  </w:num>
  <w:num w:numId="45" w16cid:durableId="1175419683">
    <w:abstractNumId w:val="18"/>
  </w:num>
  <w:num w:numId="46" w16cid:durableId="1334452642">
    <w:abstractNumId w:val="20"/>
  </w:num>
  <w:num w:numId="47" w16cid:durableId="149448745">
    <w:abstractNumId w:val="17"/>
  </w:num>
  <w:num w:numId="48" w16cid:durableId="1297443176">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58040539">
    <w:abstractNumId w:val="45"/>
  </w:num>
  <w:num w:numId="50" w16cid:durableId="565187296">
    <w:abstractNumId w:val="14"/>
  </w:num>
  <w:num w:numId="51" w16cid:durableId="1044527745">
    <w:abstractNumId w:val="12"/>
  </w:num>
  <w:num w:numId="52" w16cid:durableId="105659255">
    <w:abstractNumId w:val="5"/>
  </w:num>
  <w:num w:numId="53" w16cid:durableId="1292320823">
    <w:abstractNumId w:val="25"/>
  </w:num>
  <w:num w:numId="54" w16cid:durableId="335765755">
    <w:abstractNumId w:val="47"/>
  </w:num>
  <w:num w:numId="55" w16cid:durableId="1712802569">
    <w:abstractNumId w:val="9"/>
  </w:num>
  <w:num w:numId="56" w16cid:durableId="890312183">
    <w:abstractNumId w:val="48"/>
  </w:num>
  <w:num w:numId="57" w16cid:durableId="2075468461">
    <w:abstractNumId w:val="15"/>
  </w:num>
  <w:num w:numId="58" w16cid:durableId="2129544188">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5F5"/>
    <w:rsid w:val="00000790"/>
    <w:rsid w:val="0000110B"/>
    <w:rsid w:val="00001AB0"/>
    <w:rsid w:val="0000269A"/>
    <w:rsid w:val="00002EEC"/>
    <w:rsid w:val="00003499"/>
    <w:rsid w:val="000034E8"/>
    <w:rsid w:val="000039B7"/>
    <w:rsid w:val="0000414D"/>
    <w:rsid w:val="00004CAB"/>
    <w:rsid w:val="000056B9"/>
    <w:rsid w:val="0000639A"/>
    <w:rsid w:val="00006D35"/>
    <w:rsid w:val="000077F2"/>
    <w:rsid w:val="0001010D"/>
    <w:rsid w:val="00013247"/>
    <w:rsid w:val="000149D6"/>
    <w:rsid w:val="00015886"/>
    <w:rsid w:val="00015B49"/>
    <w:rsid w:val="000162EF"/>
    <w:rsid w:val="00017114"/>
    <w:rsid w:val="0001724B"/>
    <w:rsid w:val="000207C9"/>
    <w:rsid w:val="00021130"/>
    <w:rsid w:val="00021459"/>
    <w:rsid w:val="00021F60"/>
    <w:rsid w:val="00022209"/>
    <w:rsid w:val="0002225F"/>
    <w:rsid w:val="00023763"/>
    <w:rsid w:val="0002415D"/>
    <w:rsid w:val="00024698"/>
    <w:rsid w:val="00024EB5"/>
    <w:rsid w:val="000274B8"/>
    <w:rsid w:val="000306CB"/>
    <w:rsid w:val="000316B6"/>
    <w:rsid w:val="00032108"/>
    <w:rsid w:val="000337F9"/>
    <w:rsid w:val="00033863"/>
    <w:rsid w:val="000341C4"/>
    <w:rsid w:val="00035DC0"/>
    <w:rsid w:val="00036829"/>
    <w:rsid w:val="00037215"/>
    <w:rsid w:val="0003763E"/>
    <w:rsid w:val="00040572"/>
    <w:rsid w:val="00040831"/>
    <w:rsid w:val="00040895"/>
    <w:rsid w:val="000410A0"/>
    <w:rsid w:val="000435EE"/>
    <w:rsid w:val="00043C37"/>
    <w:rsid w:val="00045017"/>
    <w:rsid w:val="00045A2B"/>
    <w:rsid w:val="0004698F"/>
    <w:rsid w:val="00046D64"/>
    <w:rsid w:val="000508C2"/>
    <w:rsid w:val="00050C98"/>
    <w:rsid w:val="00050E97"/>
    <w:rsid w:val="000539D0"/>
    <w:rsid w:val="00053FA7"/>
    <w:rsid w:val="000540B8"/>
    <w:rsid w:val="00054621"/>
    <w:rsid w:val="000546D7"/>
    <w:rsid w:val="00054A8D"/>
    <w:rsid w:val="00055C04"/>
    <w:rsid w:val="000566A9"/>
    <w:rsid w:val="0005685B"/>
    <w:rsid w:val="00056CD3"/>
    <w:rsid w:val="00056ECF"/>
    <w:rsid w:val="00060193"/>
    <w:rsid w:val="0006041B"/>
    <w:rsid w:val="000604DF"/>
    <w:rsid w:val="000614BC"/>
    <w:rsid w:val="00061706"/>
    <w:rsid w:val="00062588"/>
    <w:rsid w:val="000627F6"/>
    <w:rsid w:val="000634DA"/>
    <w:rsid w:val="000648C6"/>
    <w:rsid w:val="00064F52"/>
    <w:rsid w:val="000653B5"/>
    <w:rsid w:val="00066119"/>
    <w:rsid w:val="00066360"/>
    <w:rsid w:val="00066AF8"/>
    <w:rsid w:val="00066CDE"/>
    <w:rsid w:val="000679CC"/>
    <w:rsid w:val="000709AB"/>
    <w:rsid w:val="00070E67"/>
    <w:rsid w:val="00071248"/>
    <w:rsid w:val="000717BD"/>
    <w:rsid w:val="00071AB7"/>
    <w:rsid w:val="00071C23"/>
    <w:rsid w:val="000720B9"/>
    <w:rsid w:val="000737F7"/>
    <w:rsid w:val="0007601D"/>
    <w:rsid w:val="0007672F"/>
    <w:rsid w:val="00076973"/>
    <w:rsid w:val="00076B54"/>
    <w:rsid w:val="00076FCE"/>
    <w:rsid w:val="000774F0"/>
    <w:rsid w:val="00080909"/>
    <w:rsid w:val="00080D86"/>
    <w:rsid w:val="000812CA"/>
    <w:rsid w:val="000812D2"/>
    <w:rsid w:val="00081D1E"/>
    <w:rsid w:val="00081E63"/>
    <w:rsid w:val="0008251E"/>
    <w:rsid w:val="0008258D"/>
    <w:rsid w:val="00082F3F"/>
    <w:rsid w:val="000837B9"/>
    <w:rsid w:val="00083E99"/>
    <w:rsid w:val="0008468E"/>
    <w:rsid w:val="00084976"/>
    <w:rsid w:val="00084C9D"/>
    <w:rsid w:val="00084F39"/>
    <w:rsid w:val="00084FA8"/>
    <w:rsid w:val="000856C5"/>
    <w:rsid w:val="00085C31"/>
    <w:rsid w:val="000902D9"/>
    <w:rsid w:val="00090C7E"/>
    <w:rsid w:val="000911AC"/>
    <w:rsid w:val="00091DB1"/>
    <w:rsid w:val="00092600"/>
    <w:rsid w:val="0009262B"/>
    <w:rsid w:val="00092C6E"/>
    <w:rsid w:val="00093310"/>
    <w:rsid w:val="00093713"/>
    <w:rsid w:val="00093850"/>
    <w:rsid w:val="00093E39"/>
    <w:rsid w:val="0009445C"/>
    <w:rsid w:val="00095200"/>
    <w:rsid w:val="00095FE5"/>
    <w:rsid w:val="00096284"/>
    <w:rsid w:val="000978C7"/>
    <w:rsid w:val="00097CF4"/>
    <w:rsid w:val="000A0245"/>
    <w:rsid w:val="000A10F6"/>
    <w:rsid w:val="000A1BC0"/>
    <w:rsid w:val="000A2F9E"/>
    <w:rsid w:val="000A337E"/>
    <w:rsid w:val="000A3E47"/>
    <w:rsid w:val="000A41B5"/>
    <w:rsid w:val="000A4464"/>
    <w:rsid w:val="000A49DA"/>
    <w:rsid w:val="000A4A48"/>
    <w:rsid w:val="000A4A75"/>
    <w:rsid w:val="000A522B"/>
    <w:rsid w:val="000A6039"/>
    <w:rsid w:val="000A7453"/>
    <w:rsid w:val="000A7D08"/>
    <w:rsid w:val="000B0121"/>
    <w:rsid w:val="000B0670"/>
    <w:rsid w:val="000B0E75"/>
    <w:rsid w:val="000B2485"/>
    <w:rsid w:val="000B2DCB"/>
    <w:rsid w:val="000B2FE2"/>
    <w:rsid w:val="000B3DAB"/>
    <w:rsid w:val="000B4F10"/>
    <w:rsid w:val="000B5CE0"/>
    <w:rsid w:val="000B5F82"/>
    <w:rsid w:val="000B6CAC"/>
    <w:rsid w:val="000B725B"/>
    <w:rsid w:val="000B7612"/>
    <w:rsid w:val="000B78AE"/>
    <w:rsid w:val="000B7FD1"/>
    <w:rsid w:val="000C0AE7"/>
    <w:rsid w:val="000C2E0E"/>
    <w:rsid w:val="000C2EA2"/>
    <w:rsid w:val="000C3D6E"/>
    <w:rsid w:val="000C3DF9"/>
    <w:rsid w:val="000C4CF2"/>
    <w:rsid w:val="000C57B3"/>
    <w:rsid w:val="000C656B"/>
    <w:rsid w:val="000C6713"/>
    <w:rsid w:val="000C7B10"/>
    <w:rsid w:val="000D0A0C"/>
    <w:rsid w:val="000D1BFC"/>
    <w:rsid w:val="000D1D5D"/>
    <w:rsid w:val="000D281A"/>
    <w:rsid w:val="000D2848"/>
    <w:rsid w:val="000D326A"/>
    <w:rsid w:val="000D4941"/>
    <w:rsid w:val="000D51FB"/>
    <w:rsid w:val="000D61BE"/>
    <w:rsid w:val="000D751A"/>
    <w:rsid w:val="000D7862"/>
    <w:rsid w:val="000E0640"/>
    <w:rsid w:val="000E1253"/>
    <w:rsid w:val="000E135D"/>
    <w:rsid w:val="000E2103"/>
    <w:rsid w:val="000E2A41"/>
    <w:rsid w:val="000E2BB8"/>
    <w:rsid w:val="000E2ED5"/>
    <w:rsid w:val="000E4A6F"/>
    <w:rsid w:val="000E6A30"/>
    <w:rsid w:val="000E6F10"/>
    <w:rsid w:val="000E7107"/>
    <w:rsid w:val="000E7C7B"/>
    <w:rsid w:val="000E7CA8"/>
    <w:rsid w:val="000F00BA"/>
    <w:rsid w:val="000F079A"/>
    <w:rsid w:val="000F2CB1"/>
    <w:rsid w:val="000F316A"/>
    <w:rsid w:val="000F3532"/>
    <w:rsid w:val="000F3C74"/>
    <w:rsid w:val="000F4BB8"/>
    <w:rsid w:val="000F4F11"/>
    <w:rsid w:val="000F4FA9"/>
    <w:rsid w:val="000F53FB"/>
    <w:rsid w:val="000F56B7"/>
    <w:rsid w:val="000F6045"/>
    <w:rsid w:val="000F6D56"/>
    <w:rsid w:val="000F7127"/>
    <w:rsid w:val="000F7B54"/>
    <w:rsid w:val="001000B3"/>
    <w:rsid w:val="0010075B"/>
    <w:rsid w:val="00100F8A"/>
    <w:rsid w:val="00101C27"/>
    <w:rsid w:val="00102A1E"/>
    <w:rsid w:val="0010370E"/>
    <w:rsid w:val="00103767"/>
    <w:rsid w:val="00103855"/>
    <w:rsid w:val="00104459"/>
    <w:rsid w:val="0010452E"/>
    <w:rsid w:val="00105AE2"/>
    <w:rsid w:val="001060C6"/>
    <w:rsid w:val="00106904"/>
    <w:rsid w:val="00106B80"/>
    <w:rsid w:val="001101A5"/>
    <w:rsid w:val="0011032E"/>
    <w:rsid w:val="00110547"/>
    <w:rsid w:val="00110713"/>
    <w:rsid w:val="0011093C"/>
    <w:rsid w:val="00112280"/>
    <w:rsid w:val="0011348B"/>
    <w:rsid w:val="001143B6"/>
    <w:rsid w:val="00115982"/>
    <w:rsid w:val="00116C53"/>
    <w:rsid w:val="00117C69"/>
    <w:rsid w:val="00121799"/>
    <w:rsid w:val="001222FC"/>
    <w:rsid w:val="00122D8A"/>
    <w:rsid w:val="0012318A"/>
    <w:rsid w:val="0012355C"/>
    <w:rsid w:val="001238DE"/>
    <w:rsid w:val="00123902"/>
    <w:rsid w:val="00123996"/>
    <w:rsid w:val="00124A51"/>
    <w:rsid w:val="00126621"/>
    <w:rsid w:val="00126B1D"/>
    <w:rsid w:val="0012761F"/>
    <w:rsid w:val="001301E9"/>
    <w:rsid w:val="001308D2"/>
    <w:rsid w:val="001313EB"/>
    <w:rsid w:val="00131CA2"/>
    <w:rsid w:val="00131D82"/>
    <w:rsid w:val="001320CD"/>
    <w:rsid w:val="00132B0D"/>
    <w:rsid w:val="00132B22"/>
    <w:rsid w:val="00132F22"/>
    <w:rsid w:val="0013346E"/>
    <w:rsid w:val="00133D36"/>
    <w:rsid w:val="001341FE"/>
    <w:rsid w:val="00134284"/>
    <w:rsid w:val="00134B16"/>
    <w:rsid w:val="00134F06"/>
    <w:rsid w:val="00135892"/>
    <w:rsid w:val="00137645"/>
    <w:rsid w:val="001379D0"/>
    <w:rsid w:val="00137BFD"/>
    <w:rsid w:val="00137C00"/>
    <w:rsid w:val="0014015A"/>
    <w:rsid w:val="001407A0"/>
    <w:rsid w:val="00140E99"/>
    <w:rsid w:val="00141699"/>
    <w:rsid w:val="001417F2"/>
    <w:rsid w:val="00142AEC"/>
    <w:rsid w:val="00143111"/>
    <w:rsid w:val="00143F67"/>
    <w:rsid w:val="00145234"/>
    <w:rsid w:val="00145540"/>
    <w:rsid w:val="001456B0"/>
    <w:rsid w:val="0014631C"/>
    <w:rsid w:val="001474BD"/>
    <w:rsid w:val="001478FD"/>
    <w:rsid w:val="00152F6D"/>
    <w:rsid w:val="001547AB"/>
    <w:rsid w:val="00154E96"/>
    <w:rsid w:val="00155BCA"/>
    <w:rsid w:val="001568C6"/>
    <w:rsid w:val="00156F8F"/>
    <w:rsid w:val="00157130"/>
    <w:rsid w:val="001576B1"/>
    <w:rsid w:val="0016047B"/>
    <w:rsid w:val="00160A4C"/>
    <w:rsid w:val="001611B5"/>
    <w:rsid w:val="00161C3C"/>
    <w:rsid w:val="00161FBB"/>
    <w:rsid w:val="00162913"/>
    <w:rsid w:val="00162A7D"/>
    <w:rsid w:val="00163EFF"/>
    <w:rsid w:val="00163F66"/>
    <w:rsid w:val="0016478E"/>
    <w:rsid w:val="00165EC4"/>
    <w:rsid w:val="001661FB"/>
    <w:rsid w:val="001671A0"/>
    <w:rsid w:val="0016767F"/>
    <w:rsid w:val="0016779A"/>
    <w:rsid w:val="00167F62"/>
    <w:rsid w:val="00170BFC"/>
    <w:rsid w:val="00171D3D"/>
    <w:rsid w:val="00172C57"/>
    <w:rsid w:val="00173565"/>
    <w:rsid w:val="00173B07"/>
    <w:rsid w:val="00173F5B"/>
    <w:rsid w:val="00174C60"/>
    <w:rsid w:val="001751FA"/>
    <w:rsid w:val="00177E75"/>
    <w:rsid w:val="00181C10"/>
    <w:rsid w:val="00181D9C"/>
    <w:rsid w:val="00182BBC"/>
    <w:rsid w:val="00182F5A"/>
    <w:rsid w:val="001837FF"/>
    <w:rsid w:val="00184B0E"/>
    <w:rsid w:val="00184F98"/>
    <w:rsid w:val="00186090"/>
    <w:rsid w:val="00186290"/>
    <w:rsid w:val="001863E0"/>
    <w:rsid w:val="00186BF0"/>
    <w:rsid w:val="00186C4F"/>
    <w:rsid w:val="00187145"/>
    <w:rsid w:val="0018752F"/>
    <w:rsid w:val="00187AA3"/>
    <w:rsid w:val="0019002C"/>
    <w:rsid w:val="001906ED"/>
    <w:rsid w:val="00192F3A"/>
    <w:rsid w:val="00193522"/>
    <w:rsid w:val="0019368F"/>
    <w:rsid w:val="00193838"/>
    <w:rsid w:val="00194AD8"/>
    <w:rsid w:val="00195222"/>
    <w:rsid w:val="00195452"/>
    <w:rsid w:val="00195A2A"/>
    <w:rsid w:val="00197081"/>
    <w:rsid w:val="001971BB"/>
    <w:rsid w:val="001975D8"/>
    <w:rsid w:val="00197A55"/>
    <w:rsid w:val="001A0373"/>
    <w:rsid w:val="001A0D03"/>
    <w:rsid w:val="001A178E"/>
    <w:rsid w:val="001A2653"/>
    <w:rsid w:val="001A3C57"/>
    <w:rsid w:val="001A43FA"/>
    <w:rsid w:val="001A4670"/>
    <w:rsid w:val="001A47C5"/>
    <w:rsid w:val="001A59FB"/>
    <w:rsid w:val="001A5E9E"/>
    <w:rsid w:val="001A6142"/>
    <w:rsid w:val="001A6354"/>
    <w:rsid w:val="001A6366"/>
    <w:rsid w:val="001A7AE8"/>
    <w:rsid w:val="001B0062"/>
    <w:rsid w:val="001B1719"/>
    <w:rsid w:val="001B182C"/>
    <w:rsid w:val="001B204E"/>
    <w:rsid w:val="001B2372"/>
    <w:rsid w:val="001B3443"/>
    <w:rsid w:val="001B4988"/>
    <w:rsid w:val="001B4D20"/>
    <w:rsid w:val="001B4F98"/>
    <w:rsid w:val="001B66C3"/>
    <w:rsid w:val="001B7F84"/>
    <w:rsid w:val="001C091E"/>
    <w:rsid w:val="001C15FE"/>
    <w:rsid w:val="001C2A9B"/>
    <w:rsid w:val="001C2C11"/>
    <w:rsid w:val="001C37D7"/>
    <w:rsid w:val="001C3DD6"/>
    <w:rsid w:val="001C3E33"/>
    <w:rsid w:val="001C405E"/>
    <w:rsid w:val="001C4299"/>
    <w:rsid w:val="001C4874"/>
    <w:rsid w:val="001C5D85"/>
    <w:rsid w:val="001C5F94"/>
    <w:rsid w:val="001C64AE"/>
    <w:rsid w:val="001C6E66"/>
    <w:rsid w:val="001C7F9F"/>
    <w:rsid w:val="001D0343"/>
    <w:rsid w:val="001D0A15"/>
    <w:rsid w:val="001D1100"/>
    <w:rsid w:val="001D1391"/>
    <w:rsid w:val="001D2420"/>
    <w:rsid w:val="001D25D7"/>
    <w:rsid w:val="001D4F6D"/>
    <w:rsid w:val="001D50B2"/>
    <w:rsid w:val="001D65C4"/>
    <w:rsid w:val="001D71F4"/>
    <w:rsid w:val="001D7645"/>
    <w:rsid w:val="001D77C6"/>
    <w:rsid w:val="001E198D"/>
    <w:rsid w:val="001E1AA4"/>
    <w:rsid w:val="001E1E86"/>
    <w:rsid w:val="001E238E"/>
    <w:rsid w:val="001E2483"/>
    <w:rsid w:val="001E29E7"/>
    <w:rsid w:val="001E2B1E"/>
    <w:rsid w:val="001E2CFF"/>
    <w:rsid w:val="001E2F24"/>
    <w:rsid w:val="001E30D4"/>
    <w:rsid w:val="001E31FD"/>
    <w:rsid w:val="001E34DF"/>
    <w:rsid w:val="001E404E"/>
    <w:rsid w:val="001E4739"/>
    <w:rsid w:val="001E4A47"/>
    <w:rsid w:val="001E4AE0"/>
    <w:rsid w:val="001E52EB"/>
    <w:rsid w:val="001E53B4"/>
    <w:rsid w:val="001E61D2"/>
    <w:rsid w:val="001E66CB"/>
    <w:rsid w:val="001E6A3A"/>
    <w:rsid w:val="001E740C"/>
    <w:rsid w:val="001E7497"/>
    <w:rsid w:val="001E7CFC"/>
    <w:rsid w:val="001F1235"/>
    <w:rsid w:val="001F1359"/>
    <w:rsid w:val="001F1CB3"/>
    <w:rsid w:val="001F1EB6"/>
    <w:rsid w:val="001F295A"/>
    <w:rsid w:val="001F38B5"/>
    <w:rsid w:val="001F3DFE"/>
    <w:rsid w:val="001F4081"/>
    <w:rsid w:val="001F5E17"/>
    <w:rsid w:val="001F61FB"/>
    <w:rsid w:val="001F6446"/>
    <w:rsid w:val="001F67C2"/>
    <w:rsid w:val="001F7361"/>
    <w:rsid w:val="002011B0"/>
    <w:rsid w:val="00203181"/>
    <w:rsid w:val="00203783"/>
    <w:rsid w:val="00203821"/>
    <w:rsid w:val="0020385F"/>
    <w:rsid w:val="00204031"/>
    <w:rsid w:val="00205754"/>
    <w:rsid w:val="002068A0"/>
    <w:rsid w:val="00207021"/>
    <w:rsid w:val="0020732F"/>
    <w:rsid w:val="00207D00"/>
    <w:rsid w:val="002105C1"/>
    <w:rsid w:val="00210C6E"/>
    <w:rsid w:val="002116FD"/>
    <w:rsid w:val="00212505"/>
    <w:rsid w:val="00212F82"/>
    <w:rsid w:val="00213CCE"/>
    <w:rsid w:val="00213EF5"/>
    <w:rsid w:val="00215374"/>
    <w:rsid w:val="00215A2E"/>
    <w:rsid w:val="00216BF5"/>
    <w:rsid w:val="002217B5"/>
    <w:rsid w:val="002217E4"/>
    <w:rsid w:val="00222ED5"/>
    <w:rsid w:val="00223B49"/>
    <w:rsid w:val="00223D5A"/>
    <w:rsid w:val="00224A1C"/>
    <w:rsid w:val="00224DD4"/>
    <w:rsid w:val="0022742B"/>
    <w:rsid w:val="002278A0"/>
    <w:rsid w:val="002309CC"/>
    <w:rsid w:val="00230FA3"/>
    <w:rsid w:val="0023133D"/>
    <w:rsid w:val="00231BA9"/>
    <w:rsid w:val="00231F37"/>
    <w:rsid w:val="0023209F"/>
    <w:rsid w:val="00233A7F"/>
    <w:rsid w:val="00233C01"/>
    <w:rsid w:val="00233C30"/>
    <w:rsid w:val="0023413C"/>
    <w:rsid w:val="002346F0"/>
    <w:rsid w:val="0023484C"/>
    <w:rsid w:val="00234B15"/>
    <w:rsid w:val="0023629D"/>
    <w:rsid w:val="002365E2"/>
    <w:rsid w:val="00237255"/>
    <w:rsid w:val="002377AF"/>
    <w:rsid w:val="00237B86"/>
    <w:rsid w:val="00240491"/>
    <w:rsid w:val="002424AF"/>
    <w:rsid w:val="0024276E"/>
    <w:rsid w:val="00243628"/>
    <w:rsid w:val="002439DC"/>
    <w:rsid w:val="002441D2"/>
    <w:rsid w:val="00244CF8"/>
    <w:rsid w:val="00244DC8"/>
    <w:rsid w:val="002458BA"/>
    <w:rsid w:val="00245CE9"/>
    <w:rsid w:val="00245E90"/>
    <w:rsid w:val="0024636C"/>
    <w:rsid w:val="00246A89"/>
    <w:rsid w:val="00247925"/>
    <w:rsid w:val="00250FB0"/>
    <w:rsid w:val="00251006"/>
    <w:rsid w:val="002524D5"/>
    <w:rsid w:val="002534A3"/>
    <w:rsid w:val="00253B1D"/>
    <w:rsid w:val="00253D96"/>
    <w:rsid w:val="00254DCF"/>
    <w:rsid w:val="0025534B"/>
    <w:rsid w:val="002553C8"/>
    <w:rsid w:val="00255BB7"/>
    <w:rsid w:val="00255D29"/>
    <w:rsid w:val="0025678F"/>
    <w:rsid w:val="00257541"/>
    <w:rsid w:val="00257A39"/>
    <w:rsid w:val="00257AC4"/>
    <w:rsid w:val="00257BBE"/>
    <w:rsid w:val="002608B9"/>
    <w:rsid w:val="00260E95"/>
    <w:rsid w:val="00260EEA"/>
    <w:rsid w:val="002619D5"/>
    <w:rsid w:val="00261EEF"/>
    <w:rsid w:val="00262A1A"/>
    <w:rsid w:val="00262A87"/>
    <w:rsid w:val="00263281"/>
    <w:rsid w:val="00264995"/>
    <w:rsid w:val="00264D26"/>
    <w:rsid w:val="002654B9"/>
    <w:rsid w:val="00266186"/>
    <w:rsid w:val="00266311"/>
    <w:rsid w:val="002666D2"/>
    <w:rsid w:val="00266C14"/>
    <w:rsid w:val="00267642"/>
    <w:rsid w:val="00267AEA"/>
    <w:rsid w:val="00267E27"/>
    <w:rsid w:val="00267E37"/>
    <w:rsid w:val="00267EEF"/>
    <w:rsid w:val="002700E6"/>
    <w:rsid w:val="00270CF2"/>
    <w:rsid w:val="0027186E"/>
    <w:rsid w:val="0027294B"/>
    <w:rsid w:val="00272AAC"/>
    <w:rsid w:val="00273EB4"/>
    <w:rsid w:val="00274682"/>
    <w:rsid w:val="00275158"/>
    <w:rsid w:val="00275C5A"/>
    <w:rsid w:val="00275F35"/>
    <w:rsid w:val="00277651"/>
    <w:rsid w:val="002804DC"/>
    <w:rsid w:val="0028098B"/>
    <w:rsid w:val="00280C9D"/>
    <w:rsid w:val="00280F6D"/>
    <w:rsid w:val="00281014"/>
    <w:rsid w:val="00281967"/>
    <w:rsid w:val="002826BA"/>
    <w:rsid w:val="00285BCE"/>
    <w:rsid w:val="0028665D"/>
    <w:rsid w:val="002873E1"/>
    <w:rsid w:val="00287790"/>
    <w:rsid w:val="0029095D"/>
    <w:rsid w:val="0029138A"/>
    <w:rsid w:val="0029281D"/>
    <w:rsid w:val="00293A9A"/>
    <w:rsid w:val="00293B4D"/>
    <w:rsid w:val="0029401A"/>
    <w:rsid w:val="00297C39"/>
    <w:rsid w:val="002A026A"/>
    <w:rsid w:val="002A14AB"/>
    <w:rsid w:val="002A14E7"/>
    <w:rsid w:val="002A18EA"/>
    <w:rsid w:val="002A20A4"/>
    <w:rsid w:val="002A2ADE"/>
    <w:rsid w:val="002A2F50"/>
    <w:rsid w:val="002A486F"/>
    <w:rsid w:val="002A573E"/>
    <w:rsid w:val="002A65F1"/>
    <w:rsid w:val="002A6F53"/>
    <w:rsid w:val="002A7943"/>
    <w:rsid w:val="002A7AA5"/>
    <w:rsid w:val="002B03E0"/>
    <w:rsid w:val="002B05A1"/>
    <w:rsid w:val="002B09A4"/>
    <w:rsid w:val="002B1C1F"/>
    <w:rsid w:val="002B2026"/>
    <w:rsid w:val="002B2FDF"/>
    <w:rsid w:val="002B38DB"/>
    <w:rsid w:val="002B3CD8"/>
    <w:rsid w:val="002B432F"/>
    <w:rsid w:val="002B43A7"/>
    <w:rsid w:val="002B5005"/>
    <w:rsid w:val="002B51EA"/>
    <w:rsid w:val="002B62B3"/>
    <w:rsid w:val="002B665A"/>
    <w:rsid w:val="002B6754"/>
    <w:rsid w:val="002B6CCE"/>
    <w:rsid w:val="002C0582"/>
    <w:rsid w:val="002C05F6"/>
    <w:rsid w:val="002C0C99"/>
    <w:rsid w:val="002C1DDC"/>
    <w:rsid w:val="002C2510"/>
    <w:rsid w:val="002C2669"/>
    <w:rsid w:val="002C2775"/>
    <w:rsid w:val="002C27C1"/>
    <w:rsid w:val="002C36E3"/>
    <w:rsid w:val="002C5099"/>
    <w:rsid w:val="002C520D"/>
    <w:rsid w:val="002C582D"/>
    <w:rsid w:val="002C5889"/>
    <w:rsid w:val="002C71CE"/>
    <w:rsid w:val="002D08F8"/>
    <w:rsid w:val="002D1400"/>
    <w:rsid w:val="002D1822"/>
    <w:rsid w:val="002D42F6"/>
    <w:rsid w:val="002D4AC1"/>
    <w:rsid w:val="002D535E"/>
    <w:rsid w:val="002D577C"/>
    <w:rsid w:val="002D65CA"/>
    <w:rsid w:val="002D7832"/>
    <w:rsid w:val="002E1071"/>
    <w:rsid w:val="002E15B9"/>
    <w:rsid w:val="002E20E4"/>
    <w:rsid w:val="002E2158"/>
    <w:rsid w:val="002E3FF1"/>
    <w:rsid w:val="002E4CD7"/>
    <w:rsid w:val="002E4F02"/>
    <w:rsid w:val="002E5993"/>
    <w:rsid w:val="002E5C6D"/>
    <w:rsid w:val="002E5F1B"/>
    <w:rsid w:val="002E7722"/>
    <w:rsid w:val="002E7BAB"/>
    <w:rsid w:val="002F07BA"/>
    <w:rsid w:val="002F0DA9"/>
    <w:rsid w:val="002F1014"/>
    <w:rsid w:val="002F1E3B"/>
    <w:rsid w:val="002F26B4"/>
    <w:rsid w:val="002F61D4"/>
    <w:rsid w:val="002F643C"/>
    <w:rsid w:val="002F6AA2"/>
    <w:rsid w:val="002F6AF6"/>
    <w:rsid w:val="002F71C0"/>
    <w:rsid w:val="002F74F1"/>
    <w:rsid w:val="002F7550"/>
    <w:rsid w:val="002F7AB4"/>
    <w:rsid w:val="002F7E66"/>
    <w:rsid w:val="0030002F"/>
    <w:rsid w:val="00301017"/>
    <w:rsid w:val="0030155F"/>
    <w:rsid w:val="003015C0"/>
    <w:rsid w:val="00304871"/>
    <w:rsid w:val="0030587B"/>
    <w:rsid w:val="00306D98"/>
    <w:rsid w:val="0030786C"/>
    <w:rsid w:val="00307D2E"/>
    <w:rsid w:val="0031031A"/>
    <w:rsid w:val="00310981"/>
    <w:rsid w:val="003118F9"/>
    <w:rsid w:val="00311D9B"/>
    <w:rsid w:val="003124D9"/>
    <w:rsid w:val="00312594"/>
    <w:rsid w:val="00313966"/>
    <w:rsid w:val="0031403F"/>
    <w:rsid w:val="00315498"/>
    <w:rsid w:val="00316474"/>
    <w:rsid w:val="00316B58"/>
    <w:rsid w:val="00317D6A"/>
    <w:rsid w:val="00321F0D"/>
    <w:rsid w:val="00322107"/>
    <w:rsid w:val="00322355"/>
    <w:rsid w:val="00322846"/>
    <w:rsid w:val="00322965"/>
    <w:rsid w:val="00323710"/>
    <w:rsid w:val="003242A6"/>
    <w:rsid w:val="00324A7E"/>
    <w:rsid w:val="003253A3"/>
    <w:rsid w:val="00326DA7"/>
    <w:rsid w:val="003270E4"/>
    <w:rsid w:val="00330DAA"/>
    <w:rsid w:val="00330F5C"/>
    <w:rsid w:val="00333650"/>
    <w:rsid w:val="0033545C"/>
    <w:rsid w:val="003366C9"/>
    <w:rsid w:val="003371B0"/>
    <w:rsid w:val="00340D49"/>
    <w:rsid w:val="00340DF1"/>
    <w:rsid w:val="00341B84"/>
    <w:rsid w:val="00343F70"/>
    <w:rsid w:val="00344025"/>
    <w:rsid w:val="003469ED"/>
    <w:rsid w:val="00346A75"/>
    <w:rsid w:val="0034761A"/>
    <w:rsid w:val="00350AC2"/>
    <w:rsid w:val="003517F9"/>
    <w:rsid w:val="00351BA9"/>
    <w:rsid w:val="00352037"/>
    <w:rsid w:val="00354F64"/>
    <w:rsid w:val="00355FAC"/>
    <w:rsid w:val="0035620E"/>
    <w:rsid w:val="003572EE"/>
    <w:rsid w:val="003575BE"/>
    <w:rsid w:val="00357AD1"/>
    <w:rsid w:val="0036011B"/>
    <w:rsid w:val="00360345"/>
    <w:rsid w:val="003615F2"/>
    <w:rsid w:val="00361A05"/>
    <w:rsid w:val="0036212D"/>
    <w:rsid w:val="003622F6"/>
    <w:rsid w:val="003624C4"/>
    <w:rsid w:val="00363B00"/>
    <w:rsid w:val="003644D4"/>
    <w:rsid w:val="00364839"/>
    <w:rsid w:val="003654AC"/>
    <w:rsid w:val="00365BB3"/>
    <w:rsid w:val="00366ACF"/>
    <w:rsid w:val="00367ACE"/>
    <w:rsid w:val="00367B91"/>
    <w:rsid w:val="003710CF"/>
    <w:rsid w:val="00371375"/>
    <w:rsid w:val="00372676"/>
    <w:rsid w:val="0037358A"/>
    <w:rsid w:val="003747DE"/>
    <w:rsid w:val="003750F6"/>
    <w:rsid w:val="003760FC"/>
    <w:rsid w:val="00376627"/>
    <w:rsid w:val="003771C6"/>
    <w:rsid w:val="0037726A"/>
    <w:rsid w:val="003776E3"/>
    <w:rsid w:val="003776FB"/>
    <w:rsid w:val="0038167F"/>
    <w:rsid w:val="00382DB6"/>
    <w:rsid w:val="0038364E"/>
    <w:rsid w:val="0038365C"/>
    <w:rsid w:val="0038369B"/>
    <w:rsid w:val="00383B78"/>
    <w:rsid w:val="0038426A"/>
    <w:rsid w:val="0038460E"/>
    <w:rsid w:val="00384FFF"/>
    <w:rsid w:val="00385A9D"/>
    <w:rsid w:val="00385C54"/>
    <w:rsid w:val="00385D69"/>
    <w:rsid w:val="00385D6B"/>
    <w:rsid w:val="00386EB2"/>
    <w:rsid w:val="00387121"/>
    <w:rsid w:val="003902B1"/>
    <w:rsid w:val="0039179C"/>
    <w:rsid w:val="003920E1"/>
    <w:rsid w:val="00392AAB"/>
    <w:rsid w:val="00392F97"/>
    <w:rsid w:val="00393B9E"/>
    <w:rsid w:val="003962B6"/>
    <w:rsid w:val="00396896"/>
    <w:rsid w:val="00396FD0"/>
    <w:rsid w:val="003A119D"/>
    <w:rsid w:val="003A1A7A"/>
    <w:rsid w:val="003A2056"/>
    <w:rsid w:val="003A2392"/>
    <w:rsid w:val="003A2831"/>
    <w:rsid w:val="003A2A2D"/>
    <w:rsid w:val="003A3CB6"/>
    <w:rsid w:val="003A3E0F"/>
    <w:rsid w:val="003A3ED1"/>
    <w:rsid w:val="003A44AB"/>
    <w:rsid w:val="003A44DB"/>
    <w:rsid w:val="003A4C14"/>
    <w:rsid w:val="003A4C45"/>
    <w:rsid w:val="003A4F3F"/>
    <w:rsid w:val="003A7BD0"/>
    <w:rsid w:val="003B35B8"/>
    <w:rsid w:val="003B3971"/>
    <w:rsid w:val="003B47E9"/>
    <w:rsid w:val="003B52E3"/>
    <w:rsid w:val="003B55D1"/>
    <w:rsid w:val="003B5B61"/>
    <w:rsid w:val="003B6236"/>
    <w:rsid w:val="003B674E"/>
    <w:rsid w:val="003B758A"/>
    <w:rsid w:val="003B75F4"/>
    <w:rsid w:val="003C0D15"/>
    <w:rsid w:val="003C1654"/>
    <w:rsid w:val="003C4451"/>
    <w:rsid w:val="003C5542"/>
    <w:rsid w:val="003C61AC"/>
    <w:rsid w:val="003C7857"/>
    <w:rsid w:val="003C7C15"/>
    <w:rsid w:val="003C7D19"/>
    <w:rsid w:val="003C7D2F"/>
    <w:rsid w:val="003D0C5A"/>
    <w:rsid w:val="003D1828"/>
    <w:rsid w:val="003D1A13"/>
    <w:rsid w:val="003D1DE4"/>
    <w:rsid w:val="003D1E9A"/>
    <w:rsid w:val="003D229D"/>
    <w:rsid w:val="003D2422"/>
    <w:rsid w:val="003D2F81"/>
    <w:rsid w:val="003D39A1"/>
    <w:rsid w:val="003D3FBF"/>
    <w:rsid w:val="003D4A08"/>
    <w:rsid w:val="003D4A30"/>
    <w:rsid w:val="003D7452"/>
    <w:rsid w:val="003D79BB"/>
    <w:rsid w:val="003D7C98"/>
    <w:rsid w:val="003D7D9D"/>
    <w:rsid w:val="003E0283"/>
    <w:rsid w:val="003E0543"/>
    <w:rsid w:val="003E0D3E"/>
    <w:rsid w:val="003E4DB7"/>
    <w:rsid w:val="003E55E4"/>
    <w:rsid w:val="003E5603"/>
    <w:rsid w:val="003E58D9"/>
    <w:rsid w:val="003E5E72"/>
    <w:rsid w:val="003E699A"/>
    <w:rsid w:val="003E7031"/>
    <w:rsid w:val="003E749E"/>
    <w:rsid w:val="003F01CF"/>
    <w:rsid w:val="003F0985"/>
    <w:rsid w:val="003F2AE3"/>
    <w:rsid w:val="003F2AFE"/>
    <w:rsid w:val="003F4156"/>
    <w:rsid w:val="003F41FB"/>
    <w:rsid w:val="003F4434"/>
    <w:rsid w:val="003F46E4"/>
    <w:rsid w:val="003F4920"/>
    <w:rsid w:val="003F498E"/>
    <w:rsid w:val="003F5244"/>
    <w:rsid w:val="003F59A7"/>
    <w:rsid w:val="003F5ADF"/>
    <w:rsid w:val="003F65EE"/>
    <w:rsid w:val="003F6D1C"/>
    <w:rsid w:val="003F727A"/>
    <w:rsid w:val="003F7A1D"/>
    <w:rsid w:val="004001D6"/>
    <w:rsid w:val="004001E7"/>
    <w:rsid w:val="00400B29"/>
    <w:rsid w:val="00400C3E"/>
    <w:rsid w:val="00401230"/>
    <w:rsid w:val="004021F1"/>
    <w:rsid w:val="00402812"/>
    <w:rsid w:val="004037CA"/>
    <w:rsid w:val="004042AF"/>
    <w:rsid w:val="0040456A"/>
    <w:rsid w:val="0040504B"/>
    <w:rsid w:val="004059F4"/>
    <w:rsid w:val="00407559"/>
    <w:rsid w:val="00407FE5"/>
    <w:rsid w:val="004101B0"/>
    <w:rsid w:val="00410326"/>
    <w:rsid w:val="0041034B"/>
    <w:rsid w:val="00410708"/>
    <w:rsid w:val="00410EC7"/>
    <w:rsid w:val="004119DA"/>
    <w:rsid w:val="00411B39"/>
    <w:rsid w:val="004127A7"/>
    <w:rsid w:val="00412F8E"/>
    <w:rsid w:val="004139EE"/>
    <w:rsid w:val="00413A1E"/>
    <w:rsid w:val="00414476"/>
    <w:rsid w:val="00414679"/>
    <w:rsid w:val="00414C2E"/>
    <w:rsid w:val="004151CF"/>
    <w:rsid w:val="00416364"/>
    <w:rsid w:val="0042047F"/>
    <w:rsid w:val="00420AA6"/>
    <w:rsid w:val="00420B9F"/>
    <w:rsid w:val="004210FA"/>
    <w:rsid w:val="0042192C"/>
    <w:rsid w:val="004221E7"/>
    <w:rsid w:val="00422255"/>
    <w:rsid w:val="00422260"/>
    <w:rsid w:val="00422F18"/>
    <w:rsid w:val="00423B7B"/>
    <w:rsid w:val="0042413F"/>
    <w:rsid w:val="004244EB"/>
    <w:rsid w:val="0042464F"/>
    <w:rsid w:val="004263C7"/>
    <w:rsid w:val="00426896"/>
    <w:rsid w:val="00427A3C"/>
    <w:rsid w:val="00427EF7"/>
    <w:rsid w:val="0043099A"/>
    <w:rsid w:val="00430C6A"/>
    <w:rsid w:val="00431441"/>
    <w:rsid w:val="004319F8"/>
    <w:rsid w:val="00431E55"/>
    <w:rsid w:val="00431E60"/>
    <w:rsid w:val="004321F6"/>
    <w:rsid w:val="00433044"/>
    <w:rsid w:val="00433F33"/>
    <w:rsid w:val="00434088"/>
    <w:rsid w:val="00436237"/>
    <w:rsid w:val="004364A1"/>
    <w:rsid w:val="004375B9"/>
    <w:rsid w:val="00440304"/>
    <w:rsid w:val="00440E28"/>
    <w:rsid w:val="00440F07"/>
    <w:rsid w:val="00441D5B"/>
    <w:rsid w:val="00442289"/>
    <w:rsid w:val="004428D0"/>
    <w:rsid w:val="00444185"/>
    <w:rsid w:val="004443A7"/>
    <w:rsid w:val="0044442C"/>
    <w:rsid w:val="00444670"/>
    <w:rsid w:val="00444C8C"/>
    <w:rsid w:val="004458F8"/>
    <w:rsid w:val="00445941"/>
    <w:rsid w:val="004464EB"/>
    <w:rsid w:val="0044774B"/>
    <w:rsid w:val="00447D26"/>
    <w:rsid w:val="00447DFC"/>
    <w:rsid w:val="0045134D"/>
    <w:rsid w:val="004527A9"/>
    <w:rsid w:val="00455B8D"/>
    <w:rsid w:val="00455D45"/>
    <w:rsid w:val="00457099"/>
    <w:rsid w:val="00462271"/>
    <w:rsid w:val="004633DE"/>
    <w:rsid w:val="0046354D"/>
    <w:rsid w:val="00464595"/>
    <w:rsid w:val="004648F3"/>
    <w:rsid w:val="004658B5"/>
    <w:rsid w:val="00467568"/>
    <w:rsid w:val="00471E7A"/>
    <w:rsid w:val="00471EA5"/>
    <w:rsid w:val="00472112"/>
    <w:rsid w:val="00472A79"/>
    <w:rsid w:val="00473105"/>
    <w:rsid w:val="00473F19"/>
    <w:rsid w:val="00474E78"/>
    <w:rsid w:val="00475609"/>
    <w:rsid w:val="00475E22"/>
    <w:rsid w:val="00476AAF"/>
    <w:rsid w:val="00477CD8"/>
    <w:rsid w:val="0048088E"/>
    <w:rsid w:val="00480F2B"/>
    <w:rsid w:val="0048238A"/>
    <w:rsid w:val="00482720"/>
    <w:rsid w:val="00482E22"/>
    <w:rsid w:val="00483013"/>
    <w:rsid w:val="00483377"/>
    <w:rsid w:val="004835E7"/>
    <w:rsid w:val="0048481A"/>
    <w:rsid w:val="004859E1"/>
    <w:rsid w:val="004867E2"/>
    <w:rsid w:val="00487C3A"/>
    <w:rsid w:val="004905AA"/>
    <w:rsid w:val="00490871"/>
    <w:rsid w:val="00490B17"/>
    <w:rsid w:val="00491B3A"/>
    <w:rsid w:val="00492096"/>
    <w:rsid w:val="00492862"/>
    <w:rsid w:val="00492CFD"/>
    <w:rsid w:val="00494207"/>
    <w:rsid w:val="00494600"/>
    <w:rsid w:val="00494915"/>
    <w:rsid w:val="00494DD5"/>
    <w:rsid w:val="00495965"/>
    <w:rsid w:val="004962D2"/>
    <w:rsid w:val="004A0DA1"/>
    <w:rsid w:val="004A0F08"/>
    <w:rsid w:val="004A13D6"/>
    <w:rsid w:val="004A20D8"/>
    <w:rsid w:val="004A2247"/>
    <w:rsid w:val="004A45B0"/>
    <w:rsid w:val="004A52E9"/>
    <w:rsid w:val="004A6040"/>
    <w:rsid w:val="004A6597"/>
    <w:rsid w:val="004A7848"/>
    <w:rsid w:val="004A793B"/>
    <w:rsid w:val="004B0EC2"/>
    <w:rsid w:val="004B16D0"/>
    <w:rsid w:val="004B1CB4"/>
    <w:rsid w:val="004B1F40"/>
    <w:rsid w:val="004B2427"/>
    <w:rsid w:val="004B2A74"/>
    <w:rsid w:val="004B2F18"/>
    <w:rsid w:val="004B3C1C"/>
    <w:rsid w:val="004B3DDB"/>
    <w:rsid w:val="004B44FD"/>
    <w:rsid w:val="004B5438"/>
    <w:rsid w:val="004B57EB"/>
    <w:rsid w:val="004B5CFC"/>
    <w:rsid w:val="004B666E"/>
    <w:rsid w:val="004B66F9"/>
    <w:rsid w:val="004B6F79"/>
    <w:rsid w:val="004B774D"/>
    <w:rsid w:val="004C07F2"/>
    <w:rsid w:val="004C098D"/>
    <w:rsid w:val="004C0C8D"/>
    <w:rsid w:val="004C213C"/>
    <w:rsid w:val="004C21F9"/>
    <w:rsid w:val="004C2AC2"/>
    <w:rsid w:val="004C4AED"/>
    <w:rsid w:val="004C5A2F"/>
    <w:rsid w:val="004C7FEE"/>
    <w:rsid w:val="004D028F"/>
    <w:rsid w:val="004D1EEE"/>
    <w:rsid w:val="004D2C2D"/>
    <w:rsid w:val="004D3D4C"/>
    <w:rsid w:val="004D4205"/>
    <w:rsid w:val="004D4A3F"/>
    <w:rsid w:val="004D4C1F"/>
    <w:rsid w:val="004D69B5"/>
    <w:rsid w:val="004D7227"/>
    <w:rsid w:val="004D7B5E"/>
    <w:rsid w:val="004E08BF"/>
    <w:rsid w:val="004E0D9E"/>
    <w:rsid w:val="004E0E7F"/>
    <w:rsid w:val="004E0EB8"/>
    <w:rsid w:val="004E18E9"/>
    <w:rsid w:val="004E1BB3"/>
    <w:rsid w:val="004E2ADC"/>
    <w:rsid w:val="004E43B2"/>
    <w:rsid w:val="004E4D85"/>
    <w:rsid w:val="004E56F1"/>
    <w:rsid w:val="004E5FF9"/>
    <w:rsid w:val="004E6ED1"/>
    <w:rsid w:val="004F0743"/>
    <w:rsid w:val="004F0A98"/>
    <w:rsid w:val="004F171B"/>
    <w:rsid w:val="004F1D02"/>
    <w:rsid w:val="004F2679"/>
    <w:rsid w:val="004F2F21"/>
    <w:rsid w:val="004F3DE5"/>
    <w:rsid w:val="004F524B"/>
    <w:rsid w:val="004F5942"/>
    <w:rsid w:val="004F6913"/>
    <w:rsid w:val="004F6C81"/>
    <w:rsid w:val="004F6EAB"/>
    <w:rsid w:val="004F7865"/>
    <w:rsid w:val="00500365"/>
    <w:rsid w:val="0050174E"/>
    <w:rsid w:val="00501854"/>
    <w:rsid w:val="0050219B"/>
    <w:rsid w:val="00502F5F"/>
    <w:rsid w:val="005033E2"/>
    <w:rsid w:val="00503F17"/>
    <w:rsid w:val="00503F3A"/>
    <w:rsid w:val="00504DB2"/>
    <w:rsid w:val="00506928"/>
    <w:rsid w:val="00506C40"/>
    <w:rsid w:val="00506CC0"/>
    <w:rsid w:val="005077EF"/>
    <w:rsid w:val="00507AE2"/>
    <w:rsid w:val="00510C04"/>
    <w:rsid w:val="00511678"/>
    <w:rsid w:val="00511AD5"/>
    <w:rsid w:val="00511CE8"/>
    <w:rsid w:val="00511DC7"/>
    <w:rsid w:val="005142C5"/>
    <w:rsid w:val="00514A5A"/>
    <w:rsid w:val="0051501B"/>
    <w:rsid w:val="005152B5"/>
    <w:rsid w:val="00515886"/>
    <w:rsid w:val="00515B0F"/>
    <w:rsid w:val="005200CD"/>
    <w:rsid w:val="0052028D"/>
    <w:rsid w:val="00520875"/>
    <w:rsid w:val="0052123C"/>
    <w:rsid w:val="00521319"/>
    <w:rsid w:val="00521A00"/>
    <w:rsid w:val="00522BC8"/>
    <w:rsid w:val="00522D85"/>
    <w:rsid w:val="00523C28"/>
    <w:rsid w:val="005270BC"/>
    <w:rsid w:val="0052758C"/>
    <w:rsid w:val="00531272"/>
    <w:rsid w:val="005314B0"/>
    <w:rsid w:val="0053166A"/>
    <w:rsid w:val="0053176B"/>
    <w:rsid w:val="005317AD"/>
    <w:rsid w:val="00532601"/>
    <w:rsid w:val="005341B3"/>
    <w:rsid w:val="005349CB"/>
    <w:rsid w:val="00536F42"/>
    <w:rsid w:val="00537182"/>
    <w:rsid w:val="0053726A"/>
    <w:rsid w:val="005402A7"/>
    <w:rsid w:val="005411A2"/>
    <w:rsid w:val="00541EDD"/>
    <w:rsid w:val="00542743"/>
    <w:rsid w:val="00542C2D"/>
    <w:rsid w:val="00543531"/>
    <w:rsid w:val="00543DB7"/>
    <w:rsid w:val="00544603"/>
    <w:rsid w:val="0054469C"/>
    <w:rsid w:val="0054471C"/>
    <w:rsid w:val="00544B08"/>
    <w:rsid w:val="00545667"/>
    <w:rsid w:val="0054638D"/>
    <w:rsid w:val="005478BD"/>
    <w:rsid w:val="005479E3"/>
    <w:rsid w:val="0055196F"/>
    <w:rsid w:val="00551985"/>
    <w:rsid w:val="00551D82"/>
    <w:rsid w:val="00551F58"/>
    <w:rsid w:val="0055202A"/>
    <w:rsid w:val="00552BD3"/>
    <w:rsid w:val="005532A0"/>
    <w:rsid w:val="0055334C"/>
    <w:rsid w:val="00555109"/>
    <w:rsid w:val="0055556F"/>
    <w:rsid w:val="0055646E"/>
    <w:rsid w:val="00556695"/>
    <w:rsid w:val="0055674E"/>
    <w:rsid w:val="00556B35"/>
    <w:rsid w:val="0055741A"/>
    <w:rsid w:val="0056068A"/>
    <w:rsid w:val="005611B7"/>
    <w:rsid w:val="005611C8"/>
    <w:rsid w:val="005618D4"/>
    <w:rsid w:val="00563797"/>
    <w:rsid w:val="00564867"/>
    <w:rsid w:val="00564DD8"/>
    <w:rsid w:val="00565C79"/>
    <w:rsid w:val="00565C8B"/>
    <w:rsid w:val="00565DF0"/>
    <w:rsid w:val="005662BF"/>
    <w:rsid w:val="00566663"/>
    <w:rsid w:val="0056696F"/>
    <w:rsid w:val="00566C20"/>
    <w:rsid w:val="00567118"/>
    <w:rsid w:val="0056711C"/>
    <w:rsid w:val="0056725C"/>
    <w:rsid w:val="005678D6"/>
    <w:rsid w:val="00567AFD"/>
    <w:rsid w:val="0057153C"/>
    <w:rsid w:val="00572269"/>
    <w:rsid w:val="0057244A"/>
    <w:rsid w:val="00572F26"/>
    <w:rsid w:val="00573050"/>
    <w:rsid w:val="00573C35"/>
    <w:rsid w:val="005744F4"/>
    <w:rsid w:val="005750C5"/>
    <w:rsid w:val="005752DE"/>
    <w:rsid w:val="00575D60"/>
    <w:rsid w:val="00575D8D"/>
    <w:rsid w:val="0057614D"/>
    <w:rsid w:val="00576972"/>
    <w:rsid w:val="00577248"/>
    <w:rsid w:val="005801DE"/>
    <w:rsid w:val="0058026C"/>
    <w:rsid w:val="00582254"/>
    <w:rsid w:val="00582CA4"/>
    <w:rsid w:val="00583699"/>
    <w:rsid w:val="00584CAB"/>
    <w:rsid w:val="0058578A"/>
    <w:rsid w:val="00585C81"/>
    <w:rsid w:val="00585CDD"/>
    <w:rsid w:val="00586FAF"/>
    <w:rsid w:val="00587058"/>
    <w:rsid w:val="00591172"/>
    <w:rsid w:val="00591957"/>
    <w:rsid w:val="00591C06"/>
    <w:rsid w:val="005925DF"/>
    <w:rsid w:val="005949EE"/>
    <w:rsid w:val="00594F94"/>
    <w:rsid w:val="00597BF9"/>
    <w:rsid w:val="00597C4F"/>
    <w:rsid w:val="005A0C11"/>
    <w:rsid w:val="005A293B"/>
    <w:rsid w:val="005A309A"/>
    <w:rsid w:val="005A3396"/>
    <w:rsid w:val="005A373D"/>
    <w:rsid w:val="005A533D"/>
    <w:rsid w:val="005A7E88"/>
    <w:rsid w:val="005B0B58"/>
    <w:rsid w:val="005B0F56"/>
    <w:rsid w:val="005B1B7F"/>
    <w:rsid w:val="005B1D42"/>
    <w:rsid w:val="005B2C03"/>
    <w:rsid w:val="005B2D28"/>
    <w:rsid w:val="005B2D6B"/>
    <w:rsid w:val="005B3CCC"/>
    <w:rsid w:val="005B4922"/>
    <w:rsid w:val="005B4E53"/>
    <w:rsid w:val="005B5485"/>
    <w:rsid w:val="005B5857"/>
    <w:rsid w:val="005B6230"/>
    <w:rsid w:val="005B69C9"/>
    <w:rsid w:val="005B71A1"/>
    <w:rsid w:val="005B7767"/>
    <w:rsid w:val="005C0E01"/>
    <w:rsid w:val="005C19C4"/>
    <w:rsid w:val="005C1B83"/>
    <w:rsid w:val="005C25FF"/>
    <w:rsid w:val="005C2B7D"/>
    <w:rsid w:val="005C2D55"/>
    <w:rsid w:val="005C2EDA"/>
    <w:rsid w:val="005C346B"/>
    <w:rsid w:val="005C4E52"/>
    <w:rsid w:val="005C5ABC"/>
    <w:rsid w:val="005C606D"/>
    <w:rsid w:val="005C62EF"/>
    <w:rsid w:val="005C70FC"/>
    <w:rsid w:val="005D044D"/>
    <w:rsid w:val="005D0ABD"/>
    <w:rsid w:val="005D1895"/>
    <w:rsid w:val="005D18AD"/>
    <w:rsid w:val="005D24CD"/>
    <w:rsid w:val="005D2612"/>
    <w:rsid w:val="005D26B4"/>
    <w:rsid w:val="005D272B"/>
    <w:rsid w:val="005D7A52"/>
    <w:rsid w:val="005E013E"/>
    <w:rsid w:val="005E03FE"/>
    <w:rsid w:val="005E0D70"/>
    <w:rsid w:val="005E1995"/>
    <w:rsid w:val="005E1B84"/>
    <w:rsid w:val="005E2088"/>
    <w:rsid w:val="005E379C"/>
    <w:rsid w:val="005E4CE8"/>
    <w:rsid w:val="005E58D1"/>
    <w:rsid w:val="005E6CBC"/>
    <w:rsid w:val="005E6D0C"/>
    <w:rsid w:val="005E72FF"/>
    <w:rsid w:val="005E73C0"/>
    <w:rsid w:val="005F07ED"/>
    <w:rsid w:val="005F10F2"/>
    <w:rsid w:val="005F26BA"/>
    <w:rsid w:val="005F2706"/>
    <w:rsid w:val="005F31BA"/>
    <w:rsid w:val="005F4082"/>
    <w:rsid w:val="005F454E"/>
    <w:rsid w:val="005F6A8F"/>
    <w:rsid w:val="005F6BB7"/>
    <w:rsid w:val="005F6D03"/>
    <w:rsid w:val="005F74A2"/>
    <w:rsid w:val="005F7588"/>
    <w:rsid w:val="00602368"/>
    <w:rsid w:val="006034A4"/>
    <w:rsid w:val="00603546"/>
    <w:rsid w:val="00603DB9"/>
    <w:rsid w:val="0060494A"/>
    <w:rsid w:val="0060583A"/>
    <w:rsid w:val="00606DA5"/>
    <w:rsid w:val="00606FBA"/>
    <w:rsid w:val="006072D5"/>
    <w:rsid w:val="00607669"/>
    <w:rsid w:val="006076F4"/>
    <w:rsid w:val="00607AFD"/>
    <w:rsid w:val="00607BD7"/>
    <w:rsid w:val="0061058A"/>
    <w:rsid w:val="006110C9"/>
    <w:rsid w:val="00611B12"/>
    <w:rsid w:val="00611C1B"/>
    <w:rsid w:val="00612176"/>
    <w:rsid w:val="00612F97"/>
    <w:rsid w:val="00612FAD"/>
    <w:rsid w:val="0061345D"/>
    <w:rsid w:val="00614873"/>
    <w:rsid w:val="00615470"/>
    <w:rsid w:val="0061549B"/>
    <w:rsid w:val="006157B4"/>
    <w:rsid w:val="00616238"/>
    <w:rsid w:val="00616802"/>
    <w:rsid w:val="00617965"/>
    <w:rsid w:val="00617E12"/>
    <w:rsid w:val="00617E91"/>
    <w:rsid w:val="00620C25"/>
    <w:rsid w:val="00620CBC"/>
    <w:rsid w:val="00621477"/>
    <w:rsid w:val="00621518"/>
    <w:rsid w:val="00621ADA"/>
    <w:rsid w:val="00621EFF"/>
    <w:rsid w:val="0062252E"/>
    <w:rsid w:val="00623F7B"/>
    <w:rsid w:val="00624BD4"/>
    <w:rsid w:val="00624F7B"/>
    <w:rsid w:val="00625274"/>
    <w:rsid w:val="00625C7C"/>
    <w:rsid w:val="00626237"/>
    <w:rsid w:val="006279C4"/>
    <w:rsid w:val="00630AD4"/>
    <w:rsid w:val="0063158F"/>
    <w:rsid w:val="00631D6B"/>
    <w:rsid w:val="00632183"/>
    <w:rsid w:val="006330A1"/>
    <w:rsid w:val="00633F49"/>
    <w:rsid w:val="0063479F"/>
    <w:rsid w:val="006353F0"/>
    <w:rsid w:val="006357B5"/>
    <w:rsid w:val="006364A1"/>
    <w:rsid w:val="0063678E"/>
    <w:rsid w:val="00637BFD"/>
    <w:rsid w:val="00637C5C"/>
    <w:rsid w:val="006415B1"/>
    <w:rsid w:val="00641C4E"/>
    <w:rsid w:val="00641C8D"/>
    <w:rsid w:val="00641FB3"/>
    <w:rsid w:val="0064434C"/>
    <w:rsid w:val="00646488"/>
    <w:rsid w:val="006471CC"/>
    <w:rsid w:val="006471E1"/>
    <w:rsid w:val="006472FE"/>
    <w:rsid w:val="006474C3"/>
    <w:rsid w:val="00647A29"/>
    <w:rsid w:val="0065012E"/>
    <w:rsid w:val="0065079F"/>
    <w:rsid w:val="006507F7"/>
    <w:rsid w:val="006528CF"/>
    <w:rsid w:val="00652A28"/>
    <w:rsid w:val="00652EF5"/>
    <w:rsid w:val="0065379F"/>
    <w:rsid w:val="00653BC7"/>
    <w:rsid w:val="006558B0"/>
    <w:rsid w:val="00656188"/>
    <w:rsid w:val="0065699F"/>
    <w:rsid w:val="0065710A"/>
    <w:rsid w:val="0065715A"/>
    <w:rsid w:val="00660BEE"/>
    <w:rsid w:val="00660F12"/>
    <w:rsid w:val="006610F1"/>
    <w:rsid w:val="00661C6B"/>
    <w:rsid w:val="00662790"/>
    <w:rsid w:val="00662D3E"/>
    <w:rsid w:val="00662F0F"/>
    <w:rsid w:val="00663401"/>
    <w:rsid w:val="006635E2"/>
    <w:rsid w:val="006637F2"/>
    <w:rsid w:val="0066423E"/>
    <w:rsid w:val="00664636"/>
    <w:rsid w:val="00665851"/>
    <w:rsid w:val="0066692E"/>
    <w:rsid w:val="00667BE3"/>
    <w:rsid w:val="00671004"/>
    <w:rsid w:val="006715F6"/>
    <w:rsid w:val="006716E7"/>
    <w:rsid w:val="00672646"/>
    <w:rsid w:val="00674E42"/>
    <w:rsid w:val="00675C4E"/>
    <w:rsid w:val="00676563"/>
    <w:rsid w:val="00676A9D"/>
    <w:rsid w:val="00677456"/>
    <w:rsid w:val="00680287"/>
    <w:rsid w:val="00680879"/>
    <w:rsid w:val="006813F8"/>
    <w:rsid w:val="0068152C"/>
    <w:rsid w:val="00682112"/>
    <w:rsid w:val="00682BA6"/>
    <w:rsid w:val="00683230"/>
    <w:rsid w:val="006839EB"/>
    <w:rsid w:val="006847D8"/>
    <w:rsid w:val="006847F2"/>
    <w:rsid w:val="00686957"/>
    <w:rsid w:val="00686ED7"/>
    <w:rsid w:val="006872BA"/>
    <w:rsid w:val="006873DD"/>
    <w:rsid w:val="00690725"/>
    <w:rsid w:val="00690795"/>
    <w:rsid w:val="00691393"/>
    <w:rsid w:val="00691648"/>
    <w:rsid w:val="006917D7"/>
    <w:rsid w:val="00692093"/>
    <w:rsid w:val="00694064"/>
    <w:rsid w:val="006940B9"/>
    <w:rsid w:val="0069434C"/>
    <w:rsid w:val="00694A1E"/>
    <w:rsid w:val="00694F44"/>
    <w:rsid w:val="00696A8C"/>
    <w:rsid w:val="00696EF9"/>
    <w:rsid w:val="00696F51"/>
    <w:rsid w:val="006975DB"/>
    <w:rsid w:val="006979A5"/>
    <w:rsid w:val="006A016F"/>
    <w:rsid w:val="006A0DF7"/>
    <w:rsid w:val="006A2953"/>
    <w:rsid w:val="006A4321"/>
    <w:rsid w:val="006A43D9"/>
    <w:rsid w:val="006A45C9"/>
    <w:rsid w:val="006A4D3B"/>
    <w:rsid w:val="006A6B99"/>
    <w:rsid w:val="006A74D1"/>
    <w:rsid w:val="006A7B62"/>
    <w:rsid w:val="006A7E5F"/>
    <w:rsid w:val="006B0704"/>
    <w:rsid w:val="006B0B1C"/>
    <w:rsid w:val="006B0B9D"/>
    <w:rsid w:val="006B0E6C"/>
    <w:rsid w:val="006B2159"/>
    <w:rsid w:val="006B261B"/>
    <w:rsid w:val="006B271B"/>
    <w:rsid w:val="006B2994"/>
    <w:rsid w:val="006B2C90"/>
    <w:rsid w:val="006B35E6"/>
    <w:rsid w:val="006B38CF"/>
    <w:rsid w:val="006B465A"/>
    <w:rsid w:val="006B5C39"/>
    <w:rsid w:val="006B6DD0"/>
    <w:rsid w:val="006C0399"/>
    <w:rsid w:val="006C15F7"/>
    <w:rsid w:val="006C22A9"/>
    <w:rsid w:val="006C2A8E"/>
    <w:rsid w:val="006C2B06"/>
    <w:rsid w:val="006C2DA3"/>
    <w:rsid w:val="006C3255"/>
    <w:rsid w:val="006C3C5F"/>
    <w:rsid w:val="006C3D0B"/>
    <w:rsid w:val="006C3ED1"/>
    <w:rsid w:val="006C3F26"/>
    <w:rsid w:val="006C3F8C"/>
    <w:rsid w:val="006C5C26"/>
    <w:rsid w:val="006C670C"/>
    <w:rsid w:val="006D0D17"/>
    <w:rsid w:val="006D30B1"/>
    <w:rsid w:val="006D3299"/>
    <w:rsid w:val="006D3AD0"/>
    <w:rsid w:val="006D3C7D"/>
    <w:rsid w:val="006D4531"/>
    <w:rsid w:val="006D4659"/>
    <w:rsid w:val="006D5933"/>
    <w:rsid w:val="006D5D5F"/>
    <w:rsid w:val="006D68FB"/>
    <w:rsid w:val="006E0504"/>
    <w:rsid w:val="006E0FF5"/>
    <w:rsid w:val="006E1A04"/>
    <w:rsid w:val="006E2868"/>
    <w:rsid w:val="006E32CA"/>
    <w:rsid w:val="006E3815"/>
    <w:rsid w:val="006E46EB"/>
    <w:rsid w:val="006E4BFC"/>
    <w:rsid w:val="006E54D3"/>
    <w:rsid w:val="006E54E8"/>
    <w:rsid w:val="006E55D0"/>
    <w:rsid w:val="006E5D78"/>
    <w:rsid w:val="006E6CC4"/>
    <w:rsid w:val="006E6D72"/>
    <w:rsid w:val="006F16CF"/>
    <w:rsid w:val="006F23E1"/>
    <w:rsid w:val="006F306C"/>
    <w:rsid w:val="006F3D78"/>
    <w:rsid w:val="006F433D"/>
    <w:rsid w:val="006F44FF"/>
    <w:rsid w:val="006F63A5"/>
    <w:rsid w:val="006F63C3"/>
    <w:rsid w:val="006F7D4D"/>
    <w:rsid w:val="006F7E8B"/>
    <w:rsid w:val="006F7FD9"/>
    <w:rsid w:val="00700186"/>
    <w:rsid w:val="00701078"/>
    <w:rsid w:val="0070142B"/>
    <w:rsid w:val="0070276E"/>
    <w:rsid w:val="00702F8F"/>
    <w:rsid w:val="007039AA"/>
    <w:rsid w:val="00704059"/>
    <w:rsid w:val="00705161"/>
    <w:rsid w:val="00705218"/>
    <w:rsid w:val="007079FC"/>
    <w:rsid w:val="00707CB0"/>
    <w:rsid w:val="00707D63"/>
    <w:rsid w:val="00711A36"/>
    <w:rsid w:val="0071244B"/>
    <w:rsid w:val="007125D3"/>
    <w:rsid w:val="00712BDA"/>
    <w:rsid w:val="0071418B"/>
    <w:rsid w:val="0071462A"/>
    <w:rsid w:val="00714C26"/>
    <w:rsid w:val="0071529C"/>
    <w:rsid w:val="007156FB"/>
    <w:rsid w:val="007170DA"/>
    <w:rsid w:val="007172AD"/>
    <w:rsid w:val="0071751E"/>
    <w:rsid w:val="00717546"/>
    <w:rsid w:val="00720801"/>
    <w:rsid w:val="007215AE"/>
    <w:rsid w:val="00721EE8"/>
    <w:rsid w:val="00722A8F"/>
    <w:rsid w:val="00722B1B"/>
    <w:rsid w:val="00723FC2"/>
    <w:rsid w:val="0072416F"/>
    <w:rsid w:val="00725EEC"/>
    <w:rsid w:val="00727C94"/>
    <w:rsid w:val="00727EA3"/>
    <w:rsid w:val="0073158D"/>
    <w:rsid w:val="00731B0A"/>
    <w:rsid w:val="00731EAE"/>
    <w:rsid w:val="00733073"/>
    <w:rsid w:val="00735033"/>
    <w:rsid w:val="00735328"/>
    <w:rsid w:val="0073685B"/>
    <w:rsid w:val="00737560"/>
    <w:rsid w:val="00740200"/>
    <w:rsid w:val="00742192"/>
    <w:rsid w:val="007443E9"/>
    <w:rsid w:val="00744847"/>
    <w:rsid w:val="007449BF"/>
    <w:rsid w:val="007463FE"/>
    <w:rsid w:val="007469C0"/>
    <w:rsid w:val="00746BC0"/>
    <w:rsid w:val="007502EB"/>
    <w:rsid w:val="007510B4"/>
    <w:rsid w:val="0075138F"/>
    <w:rsid w:val="007514FD"/>
    <w:rsid w:val="00752142"/>
    <w:rsid w:val="007523F9"/>
    <w:rsid w:val="0075357E"/>
    <w:rsid w:val="00753774"/>
    <w:rsid w:val="00753B29"/>
    <w:rsid w:val="007550D0"/>
    <w:rsid w:val="00756C3B"/>
    <w:rsid w:val="00756D19"/>
    <w:rsid w:val="00757164"/>
    <w:rsid w:val="007573E8"/>
    <w:rsid w:val="007574F6"/>
    <w:rsid w:val="00760C4E"/>
    <w:rsid w:val="00760F9E"/>
    <w:rsid w:val="007616E6"/>
    <w:rsid w:val="007627BE"/>
    <w:rsid w:val="00763AA1"/>
    <w:rsid w:val="00764F03"/>
    <w:rsid w:val="00765B1A"/>
    <w:rsid w:val="00765DC1"/>
    <w:rsid w:val="007727CE"/>
    <w:rsid w:val="00772906"/>
    <w:rsid w:val="00773B43"/>
    <w:rsid w:val="0077496D"/>
    <w:rsid w:val="0077562B"/>
    <w:rsid w:val="0077649E"/>
    <w:rsid w:val="007765B0"/>
    <w:rsid w:val="00777335"/>
    <w:rsid w:val="0077734E"/>
    <w:rsid w:val="007803CE"/>
    <w:rsid w:val="00780BF5"/>
    <w:rsid w:val="007821F8"/>
    <w:rsid w:val="007843F2"/>
    <w:rsid w:val="007846FA"/>
    <w:rsid w:val="00784C3F"/>
    <w:rsid w:val="00784F63"/>
    <w:rsid w:val="00785A9F"/>
    <w:rsid w:val="00785B0C"/>
    <w:rsid w:val="00786930"/>
    <w:rsid w:val="007874C5"/>
    <w:rsid w:val="007925DF"/>
    <w:rsid w:val="0079362B"/>
    <w:rsid w:val="00794912"/>
    <w:rsid w:val="00794C91"/>
    <w:rsid w:val="00796114"/>
    <w:rsid w:val="00796CFC"/>
    <w:rsid w:val="00797040"/>
    <w:rsid w:val="007A08AA"/>
    <w:rsid w:val="007A0A12"/>
    <w:rsid w:val="007A132D"/>
    <w:rsid w:val="007A1345"/>
    <w:rsid w:val="007A1611"/>
    <w:rsid w:val="007A2722"/>
    <w:rsid w:val="007A2775"/>
    <w:rsid w:val="007A2DDB"/>
    <w:rsid w:val="007A2E01"/>
    <w:rsid w:val="007A35C1"/>
    <w:rsid w:val="007A3F20"/>
    <w:rsid w:val="007A44E3"/>
    <w:rsid w:val="007A6415"/>
    <w:rsid w:val="007A70BA"/>
    <w:rsid w:val="007A7D08"/>
    <w:rsid w:val="007B0D68"/>
    <w:rsid w:val="007B10A4"/>
    <w:rsid w:val="007B16BB"/>
    <w:rsid w:val="007B251D"/>
    <w:rsid w:val="007B2524"/>
    <w:rsid w:val="007B3533"/>
    <w:rsid w:val="007B3681"/>
    <w:rsid w:val="007B4F58"/>
    <w:rsid w:val="007B528D"/>
    <w:rsid w:val="007B63CA"/>
    <w:rsid w:val="007B77D1"/>
    <w:rsid w:val="007C07C7"/>
    <w:rsid w:val="007C0D53"/>
    <w:rsid w:val="007C0F65"/>
    <w:rsid w:val="007C148D"/>
    <w:rsid w:val="007C1CD9"/>
    <w:rsid w:val="007C30EE"/>
    <w:rsid w:val="007C32EF"/>
    <w:rsid w:val="007C361D"/>
    <w:rsid w:val="007C4AB4"/>
    <w:rsid w:val="007C4B84"/>
    <w:rsid w:val="007C4E63"/>
    <w:rsid w:val="007C544F"/>
    <w:rsid w:val="007C6AE3"/>
    <w:rsid w:val="007C70FF"/>
    <w:rsid w:val="007C7C25"/>
    <w:rsid w:val="007C7C74"/>
    <w:rsid w:val="007C7CE2"/>
    <w:rsid w:val="007D004F"/>
    <w:rsid w:val="007D0253"/>
    <w:rsid w:val="007D025C"/>
    <w:rsid w:val="007D035F"/>
    <w:rsid w:val="007D06B2"/>
    <w:rsid w:val="007D0B38"/>
    <w:rsid w:val="007D1800"/>
    <w:rsid w:val="007D1A7F"/>
    <w:rsid w:val="007D42F3"/>
    <w:rsid w:val="007D5440"/>
    <w:rsid w:val="007D58B2"/>
    <w:rsid w:val="007D59ED"/>
    <w:rsid w:val="007D6851"/>
    <w:rsid w:val="007D69EB"/>
    <w:rsid w:val="007D711D"/>
    <w:rsid w:val="007E028F"/>
    <w:rsid w:val="007E11C0"/>
    <w:rsid w:val="007E128F"/>
    <w:rsid w:val="007E174E"/>
    <w:rsid w:val="007E1DFD"/>
    <w:rsid w:val="007E3DF7"/>
    <w:rsid w:val="007E464E"/>
    <w:rsid w:val="007E4747"/>
    <w:rsid w:val="007E4B29"/>
    <w:rsid w:val="007E5FFD"/>
    <w:rsid w:val="007E6350"/>
    <w:rsid w:val="007F04B6"/>
    <w:rsid w:val="007F1017"/>
    <w:rsid w:val="007F10D6"/>
    <w:rsid w:val="007F26F2"/>
    <w:rsid w:val="007F4A3F"/>
    <w:rsid w:val="007F4A61"/>
    <w:rsid w:val="007F5255"/>
    <w:rsid w:val="007F56CC"/>
    <w:rsid w:val="007F61C2"/>
    <w:rsid w:val="007F6B0D"/>
    <w:rsid w:val="00800042"/>
    <w:rsid w:val="00800456"/>
    <w:rsid w:val="00800752"/>
    <w:rsid w:val="008013C4"/>
    <w:rsid w:val="00801FAF"/>
    <w:rsid w:val="00802CF0"/>
    <w:rsid w:val="00803400"/>
    <w:rsid w:val="00804245"/>
    <w:rsid w:val="0080498A"/>
    <w:rsid w:val="00805142"/>
    <w:rsid w:val="00805FCE"/>
    <w:rsid w:val="0080700D"/>
    <w:rsid w:val="00807A8B"/>
    <w:rsid w:val="0081066D"/>
    <w:rsid w:val="00811383"/>
    <w:rsid w:val="00811F31"/>
    <w:rsid w:val="00812149"/>
    <w:rsid w:val="00812723"/>
    <w:rsid w:val="00812CAC"/>
    <w:rsid w:val="00812D13"/>
    <w:rsid w:val="008131B8"/>
    <w:rsid w:val="008144EF"/>
    <w:rsid w:val="00814CC6"/>
    <w:rsid w:val="00816361"/>
    <w:rsid w:val="008166EF"/>
    <w:rsid w:val="00816FEF"/>
    <w:rsid w:val="008178CB"/>
    <w:rsid w:val="00820A8C"/>
    <w:rsid w:val="008215EA"/>
    <w:rsid w:val="008215FB"/>
    <w:rsid w:val="00822089"/>
    <w:rsid w:val="008220CC"/>
    <w:rsid w:val="00822481"/>
    <w:rsid w:val="00822D7B"/>
    <w:rsid w:val="00822DBF"/>
    <w:rsid w:val="00823174"/>
    <w:rsid w:val="00825751"/>
    <w:rsid w:val="00825F49"/>
    <w:rsid w:val="008264EB"/>
    <w:rsid w:val="008268CE"/>
    <w:rsid w:val="00826EA5"/>
    <w:rsid w:val="00827C23"/>
    <w:rsid w:val="00833B05"/>
    <w:rsid w:val="00835026"/>
    <w:rsid w:val="0083526E"/>
    <w:rsid w:val="00835A9F"/>
    <w:rsid w:val="008362B4"/>
    <w:rsid w:val="00840BD4"/>
    <w:rsid w:val="00840CA2"/>
    <w:rsid w:val="008415F3"/>
    <w:rsid w:val="0084374F"/>
    <w:rsid w:val="0084495C"/>
    <w:rsid w:val="00844A22"/>
    <w:rsid w:val="00845A25"/>
    <w:rsid w:val="00845CA8"/>
    <w:rsid w:val="008460B1"/>
    <w:rsid w:val="00847703"/>
    <w:rsid w:val="00847DF5"/>
    <w:rsid w:val="00850F87"/>
    <w:rsid w:val="00850FE1"/>
    <w:rsid w:val="00851C1D"/>
    <w:rsid w:val="00851F8B"/>
    <w:rsid w:val="0085309D"/>
    <w:rsid w:val="00853E1B"/>
    <w:rsid w:val="00856897"/>
    <w:rsid w:val="00856C00"/>
    <w:rsid w:val="00856E9A"/>
    <w:rsid w:val="00857710"/>
    <w:rsid w:val="00857A3E"/>
    <w:rsid w:val="0086054E"/>
    <w:rsid w:val="0086075D"/>
    <w:rsid w:val="00861C29"/>
    <w:rsid w:val="00861E5B"/>
    <w:rsid w:val="00862502"/>
    <w:rsid w:val="00862CC1"/>
    <w:rsid w:val="008642A7"/>
    <w:rsid w:val="00864ABF"/>
    <w:rsid w:val="00865781"/>
    <w:rsid w:val="00865F2B"/>
    <w:rsid w:val="008660D4"/>
    <w:rsid w:val="00867E05"/>
    <w:rsid w:val="00870CE4"/>
    <w:rsid w:val="00871BBC"/>
    <w:rsid w:val="00871FA9"/>
    <w:rsid w:val="008728E9"/>
    <w:rsid w:val="008746D0"/>
    <w:rsid w:val="00877FA7"/>
    <w:rsid w:val="00880B95"/>
    <w:rsid w:val="00880DC8"/>
    <w:rsid w:val="008814DE"/>
    <w:rsid w:val="00882874"/>
    <w:rsid w:val="00882E3C"/>
    <w:rsid w:val="0088308A"/>
    <w:rsid w:val="00883787"/>
    <w:rsid w:val="00884C6C"/>
    <w:rsid w:val="0088552B"/>
    <w:rsid w:val="008855E4"/>
    <w:rsid w:val="00886CD2"/>
    <w:rsid w:val="0089083D"/>
    <w:rsid w:val="00891E6F"/>
    <w:rsid w:val="0089275D"/>
    <w:rsid w:val="00892A36"/>
    <w:rsid w:val="00893239"/>
    <w:rsid w:val="00894489"/>
    <w:rsid w:val="00894CD6"/>
    <w:rsid w:val="008963A5"/>
    <w:rsid w:val="00896941"/>
    <w:rsid w:val="00896D5D"/>
    <w:rsid w:val="008978F0"/>
    <w:rsid w:val="00897929"/>
    <w:rsid w:val="008A19D3"/>
    <w:rsid w:val="008A2352"/>
    <w:rsid w:val="008A2A55"/>
    <w:rsid w:val="008A3158"/>
    <w:rsid w:val="008A3363"/>
    <w:rsid w:val="008A3371"/>
    <w:rsid w:val="008A36C0"/>
    <w:rsid w:val="008A3C3E"/>
    <w:rsid w:val="008A5C33"/>
    <w:rsid w:val="008A60B5"/>
    <w:rsid w:val="008A7369"/>
    <w:rsid w:val="008A79DE"/>
    <w:rsid w:val="008B0333"/>
    <w:rsid w:val="008B1219"/>
    <w:rsid w:val="008B1757"/>
    <w:rsid w:val="008B18C6"/>
    <w:rsid w:val="008B1C33"/>
    <w:rsid w:val="008B1DE6"/>
    <w:rsid w:val="008B367A"/>
    <w:rsid w:val="008B3AFD"/>
    <w:rsid w:val="008B4B6F"/>
    <w:rsid w:val="008B6EF7"/>
    <w:rsid w:val="008B7992"/>
    <w:rsid w:val="008B7D7E"/>
    <w:rsid w:val="008C08FA"/>
    <w:rsid w:val="008C0BA8"/>
    <w:rsid w:val="008C0FF7"/>
    <w:rsid w:val="008C2331"/>
    <w:rsid w:val="008C3BB3"/>
    <w:rsid w:val="008C4099"/>
    <w:rsid w:val="008C5610"/>
    <w:rsid w:val="008C5739"/>
    <w:rsid w:val="008C5C53"/>
    <w:rsid w:val="008C6030"/>
    <w:rsid w:val="008C7282"/>
    <w:rsid w:val="008C7AB5"/>
    <w:rsid w:val="008C7ECB"/>
    <w:rsid w:val="008D029B"/>
    <w:rsid w:val="008D0FD0"/>
    <w:rsid w:val="008D1708"/>
    <w:rsid w:val="008D29E8"/>
    <w:rsid w:val="008D3B86"/>
    <w:rsid w:val="008D4063"/>
    <w:rsid w:val="008D43FD"/>
    <w:rsid w:val="008D4755"/>
    <w:rsid w:val="008D4C3D"/>
    <w:rsid w:val="008D55D5"/>
    <w:rsid w:val="008D5AF6"/>
    <w:rsid w:val="008D743C"/>
    <w:rsid w:val="008E0557"/>
    <w:rsid w:val="008E0D3C"/>
    <w:rsid w:val="008E1B9E"/>
    <w:rsid w:val="008E55AB"/>
    <w:rsid w:val="008E612C"/>
    <w:rsid w:val="008E69F8"/>
    <w:rsid w:val="008E7F2E"/>
    <w:rsid w:val="008F02DF"/>
    <w:rsid w:val="008F120A"/>
    <w:rsid w:val="008F1B6C"/>
    <w:rsid w:val="008F1CBD"/>
    <w:rsid w:val="008F27E0"/>
    <w:rsid w:val="008F48EB"/>
    <w:rsid w:val="008F4F0B"/>
    <w:rsid w:val="008F52C3"/>
    <w:rsid w:val="008F6D8E"/>
    <w:rsid w:val="0090016A"/>
    <w:rsid w:val="00900EAC"/>
    <w:rsid w:val="0090163B"/>
    <w:rsid w:val="00901FBC"/>
    <w:rsid w:val="0090379F"/>
    <w:rsid w:val="0090406E"/>
    <w:rsid w:val="009046C4"/>
    <w:rsid w:val="00904733"/>
    <w:rsid w:val="009062A5"/>
    <w:rsid w:val="00906823"/>
    <w:rsid w:val="00907699"/>
    <w:rsid w:val="00910FA7"/>
    <w:rsid w:val="00911272"/>
    <w:rsid w:val="00911339"/>
    <w:rsid w:val="00911341"/>
    <w:rsid w:val="00911476"/>
    <w:rsid w:val="009114A7"/>
    <w:rsid w:val="00911689"/>
    <w:rsid w:val="00913054"/>
    <w:rsid w:val="00913305"/>
    <w:rsid w:val="009135D6"/>
    <w:rsid w:val="00914C77"/>
    <w:rsid w:val="00914EFD"/>
    <w:rsid w:val="009157F8"/>
    <w:rsid w:val="00916C31"/>
    <w:rsid w:val="00917D65"/>
    <w:rsid w:val="00917E79"/>
    <w:rsid w:val="00917F97"/>
    <w:rsid w:val="0092049D"/>
    <w:rsid w:val="00921ACB"/>
    <w:rsid w:val="0092369B"/>
    <w:rsid w:val="009276D5"/>
    <w:rsid w:val="009278F9"/>
    <w:rsid w:val="009316E4"/>
    <w:rsid w:val="00931940"/>
    <w:rsid w:val="0093213B"/>
    <w:rsid w:val="009333BB"/>
    <w:rsid w:val="00933E24"/>
    <w:rsid w:val="009347FE"/>
    <w:rsid w:val="00934988"/>
    <w:rsid w:val="00934E3E"/>
    <w:rsid w:val="00935AD9"/>
    <w:rsid w:val="0093647A"/>
    <w:rsid w:val="009368F5"/>
    <w:rsid w:val="00937089"/>
    <w:rsid w:val="009373BA"/>
    <w:rsid w:val="00941C73"/>
    <w:rsid w:val="00941F4C"/>
    <w:rsid w:val="0094266C"/>
    <w:rsid w:val="00943548"/>
    <w:rsid w:val="00944F8A"/>
    <w:rsid w:val="00945714"/>
    <w:rsid w:val="009462B0"/>
    <w:rsid w:val="00950A1D"/>
    <w:rsid w:val="009510A2"/>
    <w:rsid w:val="009522F6"/>
    <w:rsid w:val="00952B2B"/>
    <w:rsid w:val="00952C62"/>
    <w:rsid w:val="00953257"/>
    <w:rsid w:val="009541AE"/>
    <w:rsid w:val="0095474C"/>
    <w:rsid w:val="00956C34"/>
    <w:rsid w:val="009575E7"/>
    <w:rsid w:val="00957D92"/>
    <w:rsid w:val="00962129"/>
    <w:rsid w:val="00962CB9"/>
    <w:rsid w:val="00964312"/>
    <w:rsid w:val="00965B8A"/>
    <w:rsid w:val="00970420"/>
    <w:rsid w:val="00970590"/>
    <w:rsid w:val="0097071F"/>
    <w:rsid w:val="009717AC"/>
    <w:rsid w:val="009725B2"/>
    <w:rsid w:val="00973355"/>
    <w:rsid w:val="009748A3"/>
    <w:rsid w:val="00975051"/>
    <w:rsid w:val="009751C1"/>
    <w:rsid w:val="00980722"/>
    <w:rsid w:val="00980DF4"/>
    <w:rsid w:val="009811F1"/>
    <w:rsid w:val="0098179B"/>
    <w:rsid w:val="0098182B"/>
    <w:rsid w:val="0098200A"/>
    <w:rsid w:val="00982A7F"/>
    <w:rsid w:val="009834D0"/>
    <w:rsid w:val="00983833"/>
    <w:rsid w:val="00983E57"/>
    <w:rsid w:val="00983F9C"/>
    <w:rsid w:val="009849D6"/>
    <w:rsid w:val="00984EA5"/>
    <w:rsid w:val="00985DE2"/>
    <w:rsid w:val="0098675D"/>
    <w:rsid w:val="00986D85"/>
    <w:rsid w:val="00987616"/>
    <w:rsid w:val="00987BA4"/>
    <w:rsid w:val="009918ED"/>
    <w:rsid w:val="00991A9E"/>
    <w:rsid w:val="009926E0"/>
    <w:rsid w:val="0099451E"/>
    <w:rsid w:val="00996060"/>
    <w:rsid w:val="00996B1A"/>
    <w:rsid w:val="009A00BF"/>
    <w:rsid w:val="009A03D9"/>
    <w:rsid w:val="009A0A12"/>
    <w:rsid w:val="009A13E9"/>
    <w:rsid w:val="009A18F6"/>
    <w:rsid w:val="009A1DE1"/>
    <w:rsid w:val="009A222B"/>
    <w:rsid w:val="009A2664"/>
    <w:rsid w:val="009A2D14"/>
    <w:rsid w:val="009A2DCC"/>
    <w:rsid w:val="009A392C"/>
    <w:rsid w:val="009A5ABC"/>
    <w:rsid w:val="009A76AF"/>
    <w:rsid w:val="009A7E1D"/>
    <w:rsid w:val="009A7F10"/>
    <w:rsid w:val="009B1AB8"/>
    <w:rsid w:val="009B1B01"/>
    <w:rsid w:val="009B1F87"/>
    <w:rsid w:val="009B3726"/>
    <w:rsid w:val="009B3E26"/>
    <w:rsid w:val="009B7373"/>
    <w:rsid w:val="009C03C0"/>
    <w:rsid w:val="009C0737"/>
    <w:rsid w:val="009C088F"/>
    <w:rsid w:val="009C0B49"/>
    <w:rsid w:val="009C1196"/>
    <w:rsid w:val="009C1271"/>
    <w:rsid w:val="009C17C3"/>
    <w:rsid w:val="009C3129"/>
    <w:rsid w:val="009C3706"/>
    <w:rsid w:val="009C3A3A"/>
    <w:rsid w:val="009C47DA"/>
    <w:rsid w:val="009C5532"/>
    <w:rsid w:val="009C59EC"/>
    <w:rsid w:val="009C6CEA"/>
    <w:rsid w:val="009C7A3F"/>
    <w:rsid w:val="009C7B85"/>
    <w:rsid w:val="009D0254"/>
    <w:rsid w:val="009D0A87"/>
    <w:rsid w:val="009D1A64"/>
    <w:rsid w:val="009D3B5A"/>
    <w:rsid w:val="009D3FFB"/>
    <w:rsid w:val="009D4330"/>
    <w:rsid w:val="009D4B04"/>
    <w:rsid w:val="009D5B91"/>
    <w:rsid w:val="009D701A"/>
    <w:rsid w:val="009D792E"/>
    <w:rsid w:val="009E0DFE"/>
    <w:rsid w:val="009E31F6"/>
    <w:rsid w:val="009E4A86"/>
    <w:rsid w:val="009E4C07"/>
    <w:rsid w:val="009E51BF"/>
    <w:rsid w:val="009E55B2"/>
    <w:rsid w:val="009E5949"/>
    <w:rsid w:val="009E5D8F"/>
    <w:rsid w:val="009E6290"/>
    <w:rsid w:val="009E6775"/>
    <w:rsid w:val="009E777F"/>
    <w:rsid w:val="009E7E84"/>
    <w:rsid w:val="009F1945"/>
    <w:rsid w:val="009F2407"/>
    <w:rsid w:val="009F2517"/>
    <w:rsid w:val="009F43DA"/>
    <w:rsid w:val="009F6120"/>
    <w:rsid w:val="009F63E8"/>
    <w:rsid w:val="009F761E"/>
    <w:rsid w:val="009F7A05"/>
    <w:rsid w:val="009F7F10"/>
    <w:rsid w:val="00A00D76"/>
    <w:rsid w:val="00A01184"/>
    <w:rsid w:val="00A01449"/>
    <w:rsid w:val="00A01609"/>
    <w:rsid w:val="00A017B3"/>
    <w:rsid w:val="00A018E2"/>
    <w:rsid w:val="00A02BA0"/>
    <w:rsid w:val="00A034F9"/>
    <w:rsid w:val="00A037C2"/>
    <w:rsid w:val="00A03D43"/>
    <w:rsid w:val="00A04380"/>
    <w:rsid w:val="00A04786"/>
    <w:rsid w:val="00A05472"/>
    <w:rsid w:val="00A05C32"/>
    <w:rsid w:val="00A0653F"/>
    <w:rsid w:val="00A07E57"/>
    <w:rsid w:val="00A11441"/>
    <w:rsid w:val="00A11A1A"/>
    <w:rsid w:val="00A11CD0"/>
    <w:rsid w:val="00A13948"/>
    <w:rsid w:val="00A1555B"/>
    <w:rsid w:val="00A155C5"/>
    <w:rsid w:val="00A16AD8"/>
    <w:rsid w:val="00A176F9"/>
    <w:rsid w:val="00A17E34"/>
    <w:rsid w:val="00A2021E"/>
    <w:rsid w:val="00A20C3B"/>
    <w:rsid w:val="00A217DF"/>
    <w:rsid w:val="00A21C95"/>
    <w:rsid w:val="00A21CF3"/>
    <w:rsid w:val="00A23838"/>
    <w:rsid w:val="00A24813"/>
    <w:rsid w:val="00A24F88"/>
    <w:rsid w:val="00A25708"/>
    <w:rsid w:val="00A264A0"/>
    <w:rsid w:val="00A26DA7"/>
    <w:rsid w:val="00A27A0A"/>
    <w:rsid w:val="00A27AEC"/>
    <w:rsid w:val="00A27C98"/>
    <w:rsid w:val="00A302BA"/>
    <w:rsid w:val="00A30E29"/>
    <w:rsid w:val="00A320DB"/>
    <w:rsid w:val="00A32AE6"/>
    <w:rsid w:val="00A33C06"/>
    <w:rsid w:val="00A33E60"/>
    <w:rsid w:val="00A3481C"/>
    <w:rsid w:val="00A34CE2"/>
    <w:rsid w:val="00A35D16"/>
    <w:rsid w:val="00A37297"/>
    <w:rsid w:val="00A37BCD"/>
    <w:rsid w:val="00A40390"/>
    <w:rsid w:val="00A405E0"/>
    <w:rsid w:val="00A4061E"/>
    <w:rsid w:val="00A40876"/>
    <w:rsid w:val="00A41509"/>
    <w:rsid w:val="00A41689"/>
    <w:rsid w:val="00A41905"/>
    <w:rsid w:val="00A42432"/>
    <w:rsid w:val="00A42592"/>
    <w:rsid w:val="00A43B9D"/>
    <w:rsid w:val="00A43C59"/>
    <w:rsid w:val="00A4430D"/>
    <w:rsid w:val="00A453F1"/>
    <w:rsid w:val="00A45A03"/>
    <w:rsid w:val="00A50033"/>
    <w:rsid w:val="00A50ECD"/>
    <w:rsid w:val="00A5105C"/>
    <w:rsid w:val="00A518F3"/>
    <w:rsid w:val="00A51D1A"/>
    <w:rsid w:val="00A52729"/>
    <w:rsid w:val="00A53390"/>
    <w:rsid w:val="00A53675"/>
    <w:rsid w:val="00A5527B"/>
    <w:rsid w:val="00A558FF"/>
    <w:rsid w:val="00A55E2C"/>
    <w:rsid w:val="00A564D7"/>
    <w:rsid w:val="00A56B6A"/>
    <w:rsid w:val="00A578DC"/>
    <w:rsid w:val="00A57BD2"/>
    <w:rsid w:val="00A6099A"/>
    <w:rsid w:val="00A609DE"/>
    <w:rsid w:val="00A61015"/>
    <w:rsid w:val="00A639BE"/>
    <w:rsid w:val="00A63A90"/>
    <w:rsid w:val="00A640E2"/>
    <w:rsid w:val="00A64D65"/>
    <w:rsid w:val="00A6681B"/>
    <w:rsid w:val="00A669CD"/>
    <w:rsid w:val="00A6725B"/>
    <w:rsid w:val="00A67471"/>
    <w:rsid w:val="00A6757C"/>
    <w:rsid w:val="00A67AA5"/>
    <w:rsid w:val="00A67ABC"/>
    <w:rsid w:val="00A70605"/>
    <w:rsid w:val="00A7069C"/>
    <w:rsid w:val="00A7130D"/>
    <w:rsid w:val="00A7171D"/>
    <w:rsid w:val="00A717A7"/>
    <w:rsid w:val="00A71DA8"/>
    <w:rsid w:val="00A71E20"/>
    <w:rsid w:val="00A7231B"/>
    <w:rsid w:val="00A73134"/>
    <w:rsid w:val="00A7365A"/>
    <w:rsid w:val="00A76001"/>
    <w:rsid w:val="00A777B2"/>
    <w:rsid w:val="00A80E4E"/>
    <w:rsid w:val="00A825D4"/>
    <w:rsid w:val="00A82812"/>
    <w:rsid w:val="00A828F6"/>
    <w:rsid w:val="00A82B73"/>
    <w:rsid w:val="00A8370D"/>
    <w:rsid w:val="00A83BBF"/>
    <w:rsid w:val="00A8515E"/>
    <w:rsid w:val="00A8625F"/>
    <w:rsid w:val="00A86E8B"/>
    <w:rsid w:val="00A87164"/>
    <w:rsid w:val="00A87A5C"/>
    <w:rsid w:val="00A87F78"/>
    <w:rsid w:val="00A9060B"/>
    <w:rsid w:val="00A93072"/>
    <w:rsid w:val="00A93403"/>
    <w:rsid w:val="00A938BD"/>
    <w:rsid w:val="00A93953"/>
    <w:rsid w:val="00A93C1C"/>
    <w:rsid w:val="00A959D8"/>
    <w:rsid w:val="00A9652F"/>
    <w:rsid w:val="00AA0918"/>
    <w:rsid w:val="00AA098B"/>
    <w:rsid w:val="00AA0B7E"/>
    <w:rsid w:val="00AA113D"/>
    <w:rsid w:val="00AA12E2"/>
    <w:rsid w:val="00AA149C"/>
    <w:rsid w:val="00AA1FD4"/>
    <w:rsid w:val="00AA236F"/>
    <w:rsid w:val="00AA3B65"/>
    <w:rsid w:val="00AA4096"/>
    <w:rsid w:val="00AA5AC7"/>
    <w:rsid w:val="00AA6BD5"/>
    <w:rsid w:val="00AA6BD8"/>
    <w:rsid w:val="00AA6BF0"/>
    <w:rsid w:val="00AA6C7D"/>
    <w:rsid w:val="00AA74E7"/>
    <w:rsid w:val="00AA7FD6"/>
    <w:rsid w:val="00AB042A"/>
    <w:rsid w:val="00AB0819"/>
    <w:rsid w:val="00AB09D7"/>
    <w:rsid w:val="00AB11AD"/>
    <w:rsid w:val="00AB11BE"/>
    <w:rsid w:val="00AB19EF"/>
    <w:rsid w:val="00AB2495"/>
    <w:rsid w:val="00AB2D34"/>
    <w:rsid w:val="00AB33B8"/>
    <w:rsid w:val="00AB3430"/>
    <w:rsid w:val="00AB37B9"/>
    <w:rsid w:val="00AB4AD1"/>
    <w:rsid w:val="00AB5027"/>
    <w:rsid w:val="00AB5E07"/>
    <w:rsid w:val="00AB5ED0"/>
    <w:rsid w:val="00AB68E2"/>
    <w:rsid w:val="00AB7198"/>
    <w:rsid w:val="00AB7CFA"/>
    <w:rsid w:val="00AC05E3"/>
    <w:rsid w:val="00AC090C"/>
    <w:rsid w:val="00AC2B40"/>
    <w:rsid w:val="00AC2E33"/>
    <w:rsid w:val="00AC5B42"/>
    <w:rsid w:val="00AC5B48"/>
    <w:rsid w:val="00AC6769"/>
    <w:rsid w:val="00AC6AC4"/>
    <w:rsid w:val="00AD1450"/>
    <w:rsid w:val="00AD15E8"/>
    <w:rsid w:val="00AD1F48"/>
    <w:rsid w:val="00AD356D"/>
    <w:rsid w:val="00AD448A"/>
    <w:rsid w:val="00AD532B"/>
    <w:rsid w:val="00AD6502"/>
    <w:rsid w:val="00AD7045"/>
    <w:rsid w:val="00AD796C"/>
    <w:rsid w:val="00AE004F"/>
    <w:rsid w:val="00AE0695"/>
    <w:rsid w:val="00AE0F80"/>
    <w:rsid w:val="00AE3E7E"/>
    <w:rsid w:val="00AE40F6"/>
    <w:rsid w:val="00AE6164"/>
    <w:rsid w:val="00AE6875"/>
    <w:rsid w:val="00AE76D1"/>
    <w:rsid w:val="00AE7DE3"/>
    <w:rsid w:val="00AE7E53"/>
    <w:rsid w:val="00AF0EC9"/>
    <w:rsid w:val="00AF1315"/>
    <w:rsid w:val="00AF19BF"/>
    <w:rsid w:val="00AF1A46"/>
    <w:rsid w:val="00AF24D5"/>
    <w:rsid w:val="00AF2BF6"/>
    <w:rsid w:val="00AF2DC3"/>
    <w:rsid w:val="00AF2F5E"/>
    <w:rsid w:val="00AF4283"/>
    <w:rsid w:val="00AF4895"/>
    <w:rsid w:val="00AF5135"/>
    <w:rsid w:val="00AF6FAB"/>
    <w:rsid w:val="00B01839"/>
    <w:rsid w:val="00B01B4E"/>
    <w:rsid w:val="00B022AD"/>
    <w:rsid w:val="00B02599"/>
    <w:rsid w:val="00B02BCD"/>
    <w:rsid w:val="00B02DDC"/>
    <w:rsid w:val="00B033E5"/>
    <w:rsid w:val="00B03874"/>
    <w:rsid w:val="00B03A63"/>
    <w:rsid w:val="00B04DC0"/>
    <w:rsid w:val="00B04E04"/>
    <w:rsid w:val="00B0591B"/>
    <w:rsid w:val="00B106D4"/>
    <w:rsid w:val="00B1087A"/>
    <w:rsid w:val="00B11B05"/>
    <w:rsid w:val="00B11CAB"/>
    <w:rsid w:val="00B11F2D"/>
    <w:rsid w:val="00B128B3"/>
    <w:rsid w:val="00B129A4"/>
    <w:rsid w:val="00B12FD0"/>
    <w:rsid w:val="00B135F3"/>
    <w:rsid w:val="00B17D8C"/>
    <w:rsid w:val="00B201A4"/>
    <w:rsid w:val="00B201D1"/>
    <w:rsid w:val="00B213A6"/>
    <w:rsid w:val="00B21699"/>
    <w:rsid w:val="00B21F58"/>
    <w:rsid w:val="00B22713"/>
    <w:rsid w:val="00B22E04"/>
    <w:rsid w:val="00B230BE"/>
    <w:rsid w:val="00B235B0"/>
    <w:rsid w:val="00B241A3"/>
    <w:rsid w:val="00B24DF6"/>
    <w:rsid w:val="00B262AF"/>
    <w:rsid w:val="00B26640"/>
    <w:rsid w:val="00B27356"/>
    <w:rsid w:val="00B27A61"/>
    <w:rsid w:val="00B27EA6"/>
    <w:rsid w:val="00B305CF"/>
    <w:rsid w:val="00B30C6D"/>
    <w:rsid w:val="00B33119"/>
    <w:rsid w:val="00B33128"/>
    <w:rsid w:val="00B3406F"/>
    <w:rsid w:val="00B34FE2"/>
    <w:rsid w:val="00B35166"/>
    <w:rsid w:val="00B357D8"/>
    <w:rsid w:val="00B35AA5"/>
    <w:rsid w:val="00B360F4"/>
    <w:rsid w:val="00B365FB"/>
    <w:rsid w:val="00B366C9"/>
    <w:rsid w:val="00B368D1"/>
    <w:rsid w:val="00B36A00"/>
    <w:rsid w:val="00B3792B"/>
    <w:rsid w:val="00B37BFC"/>
    <w:rsid w:val="00B37D85"/>
    <w:rsid w:val="00B40358"/>
    <w:rsid w:val="00B41614"/>
    <w:rsid w:val="00B42851"/>
    <w:rsid w:val="00B42E32"/>
    <w:rsid w:val="00B42F80"/>
    <w:rsid w:val="00B430BA"/>
    <w:rsid w:val="00B435CB"/>
    <w:rsid w:val="00B43EF4"/>
    <w:rsid w:val="00B4433B"/>
    <w:rsid w:val="00B44E8B"/>
    <w:rsid w:val="00B45E43"/>
    <w:rsid w:val="00B465EC"/>
    <w:rsid w:val="00B46CFF"/>
    <w:rsid w:val="00B46D23"/>
    <w:rsid w:val="00B4795D"/>
    <w:rsid w:val="00B47A8F"/>
    <w:rsid w:val="00B50389"/>
    <w:rsid w:val="00B505C8"/>
    <w:rsid w:val="00B5091A"/>
    <w:rsid w:val="00B50DB8"/>
    <w:rsid w:val="00B53095"/>
    <w:rsid w:val="00B53654"/>
    <w:rsid w:val="00B53871"/>
    <w:rsid w:val="00B53905"/>
    <w:rsid w:val="00B540A7"/>
    <w:rsid w:val="00B546DB"/>
    <w:rsid w:val="00B54B5B"/>
    <w:rsid w:val="00B5518F"/>
    <w:rsid w:val="00B5562E"/>
    <w:rsid w:val="00B55862"/>
    <w:rsid w:val="00B55C3D"/>
    <w:rsid w:val="00B55D65"/>
    <w:rsid w:val="00B562C0"/>
    <w:rsid w:val="00B56305"/>
    <w:rsid w:val="00B56495"/>
    <w:rsid w:val="00B56B7C"/>
    <w:rsid w:val="00B57000"/>
    <w:rsid w:val="00B60939"/>
    <w:rsid w:val="00B60AFD"/>
    <w:rsid w:val="00B61B7B"/>
    <w:rsid w:val="00B62715"/>
    <w:rsid w:val="00B62739"/>
    <w:rsid w:val="00B628BE"/>
    <w:rsid w:val="00B63C2D"/>
    <w:rsid w:val="00B65611"/>
    <w:rsid w:val="00B6703D"/>
    <w:rsid w:val="00B671C0"/>
    <w:rsid w:val="00B706FE"/>
    <w:rsid w:val="00B70E8E"/>
    <w:rsid w:val="00B7124E"/>
    <w:rsid w:val="00B73C05"/>
    <w:rsid w:val="00B7455D"/>
    <w:rsid w:val="00B75467"/>
    <w:rsid w:val="00B76C92"/>
    <w:rsid w:val="00B805B2"/>
    <w:rsid w:val="00B80EFD"/>
    <w:rsid w:val="00B818A4"/>
    <w:rsid w:val="00B82447"/>
    <w:rsid w:val="00B82D42"/>
    <w:rsid w:val="00B83218"/>
    <w:rsid w:val="00B83739"/>
    <w:rsid w:val="00B840E2"/>
    <w:rsid w:val="00B84117"/>
    <w:rsid w:val="00B8449B"/>
    <w:rsid w:val="00B84D2C"/>
    <w:rsid w:val="00B8541A"/>
    <w:rsid w:val="00B858F0"/>
    <w:rsid w:val="00B85AA2"/>
    <w:rsid w:val="00B8649C"/>
    <w:rsid w:val="00B8695D"/>
    <w:rsid w:val="00B869CF"/>
    <w:rsid w:val="00B87E87"/>
    <w:rsid w:val="00B87F0A"/>
    <w:rsid w:val="00B91C9D"/>
    <w:rsid w:val="00B92D0B"/>
    <w:rsid w:val="00B92FDB"/>
    <w:rsid w:val="00B9322D"/>
    <w:rsid w:val="00B946C8"/>
    <w:rsid w:val="00B94945"/>
    <w:rsid w:val="00B94DD6"/>
    <w:rsid w:val="00B967DA"/>
    <w:rsid w:val="00BA05D7"/>
    <w:rsid w:val="00BA0ABE"/>
    <w:rsid w:val="00BA1C4F"/>
    <w:rsid w:val="00BA322D"/>
    <w:rsid w:val="00BA3BF1"/>
    <w:rsid w:val="00BA3F2B"/>
    <w:rsid w:val="00BA5775"/>
    <w:rsid w:val="00BA5BFA"/>
    <w:rsid w:val="00BA63FA"/>
    <w:rsid w:val="00BB00B3"/>
    <w:rsid w:val="00BB0651"/>
    <w:rsid w:val="00BB0902"/>
    <w:rsid w:val="00BB0BDD"/>
    <w:rsid w:val="00BB0FE3"/>
    <w:rsid w:val="00BB176C"/>
    <w:rsid w:val="00BB1894"/>
    <w:rsid w:val="00BB2A73"/>
    <w:rsid w:val="00BB33A4"/>
    <w:rsid w:val="00BB3A45"/>
    <w:rsid w:val="00BB3F42"/>
    <w:rsid w:val="00BB4ACC"/>
    <w:rsid w:val="00BB59D7"/>
    <w:rsid w:val="00BB703E"/>
    <w:rsid w:val="00BB732D"/>
    <w:rsid w:val="00BB7405"/>
    <w:rsid w:val="00BC3631"/>
    <w:rsid w:val="00BC3F22"/>
    <w:rsid w:val="00BC4459"/>
    <w:rsid w:val="00BC44DC"/>
    <w:rsid w:val="00BC591F"/>
    <w:rsid w:val="00BC5CBF"/>
    <w:rsid w:val="00BC77EF"/>
    <w:rsid w:val="00BC7D14"/>
    <w:rsid w:val="00BC7D6D"/>
    <w:rsid w:val="00BD07D2"/>
    <w:rsid w:val="00BD0FA5"/>
    <w:rsid w:val="00BD14F9"/>
    <w:rsid w:val="00BD2108"/>
    <w:rsid w:val="00BD2852"/>
    <w:rsid w:val="00BD2B45"/>
    <w:rsid w:val="00BD2FA6"/>
    <w:rsid w:val="00BD314C"/>
    <w:rsid w:val="00BD3A3E"/>
    <w:rsid w:val="00BD4EAE"/>
    <w:rsid w:val="00BD68A3"/>
    <w:rsid w:val="00BD6938"/>
    <w:rsid w:val="00BD6CF3"/>
    <w:rsid w:val="00BD718F"/>
    <w:rsid w:val="00BD7F72"/>
    <w:rsid w:val="00BE096A"/>
    <w:rsid w:val="00BE0ECA"/>
    <w:rsid w:val="00BE2180"/>
    <w:rsid w:val="00BE21F2"/>
    <w:rsid w:val="00BE4275"/>
    <w:rsid w:val="00BE5196"/>
    <w:rsid w:val="00BE70B5"/>
    <w:rsid w:val="00BE75D1"/>
    <w:rsid w:val="00BF06AE"/>
    <w:rsid w:val="00BF0F95"/>
    <w:rsid w:val="00BF2433"/>
    <w:rsid w:val="00BF2D7B"/>
    <w:rsid w:val="00BF2E6E"/>
    <w:rsid w:val="00BF4313"/>
    <w:rsid w:val="00BF469E"/>
    <w:rsid w:val="00BF46D6"/>
    <w:rsid w:val="00BF4802"/>
    <w:rsid w:val="00BF4EAC"/>
    <w:rsid w:val="00BF5575"/>
    <w:rsid w:val="00BF61C9"/>
    <w:rsid w:val="00BF6C94"/>
    <w:rsid w:val="00BF7286"/>
    <w:rsid w:val="00BF7FB6"/>
    <w:rsid w:val="00C00424"/>
    <w:rsid w:val="00C00BB0"/>
    <w:rsid w:val="00C02781"/>
    <w:rsid w:val="00C02903"/>
    <w:rsid w:val="00C04251"/>
    <w:rsid w:val="00C04326"/>
    <w:rsid w:val="00C05DA3"/>
    <w:rsid w:val="00C07E24"/>
    <w:rsid w:val="00C105B3"/>
    <w:rsid w:val="00C11780"/>
    <w:rsid w:val="00C1179F"/>
    <w:rsid w:val="00C11CCF"/>
    <w:rsid w:val="00C11ECE"/>
    <w:rsid w:val="00C12771"/>
    <w:rsid w:val="00C127B9"/>
    <w:rsid w:val="00C128FA"/>
    <w:rsid w:val="00C12C14"/>
    <w:rsid w:val="00C15316"/>
    <w:rsid w:val="00C15F04"/>
    <w:rsid w:val="00C1684E"/>
    <w:rsid w:val="00C16AE7"/>
    <w:rsid w:val="00C179B3"/>
    <w:rsid w:val="00C17E3F"/>
    <w:rsid w:val="00C200AA"/>
    <w:rsid w:val="00C2066F"/>
    <w:rsid w:val="00C20728"/>
    <w:rsid w:val="00C20E78"/>
    <w:rsid w:val="00C22350"/>
    <w:rsid w:val="00C237A0"/>
    <w:rsid w:val="00C237ED"/>
    <w:rsid w:val="00C23F7F"/>
    <w:rsid w:val="00C24632"/>
    <w:rsid w:val="00C25418"/>
    <w:rsid w:val="00C257F0"/>
    <w:rsid w:val="00C25B5E"/>
    <w:rsid w:val="00C25CA0"/>
    <w:rsid w:val="00C25D9C"/>
    <w:rsid w:val="00C26BEB"/>
    <w:rsid w:val="00C26DA9"/>
    <w:rsid w:val="00C2778B"/>
    <w:rsid w:val="00C31649"/>
    <w:rsid w:val="00C323D1"/>
    <w:rsid w:val="00C3266A"/>
    <w:rsid w:val="00C341BE"/>
    <w:rsid w:val="00C3434C"/>
    <w:rsid w:val="00C34EE1"/>
    <w:rsid w:val="00C40385"/>
    <w:rsid w:val="00C407DD"/>
    <w:rsid w:val="00C4135A"/>
    <w:rsid w:val="00C41768"/>
    <w:rsid w:val="00C433A8"/>
    <w:rsid w:val="00C4359B"/>
    <w:rsid w:val="00C448F4"/>
    <w:rsid w:val="00C454D5"/>
    <w:rsid w:val="00C475AA"/>
    <w:rsid w:val="00C50AEF"/>
    <w:rsid w:val="00C5160A"/>
    <w:rsid w:val="00C527C7"/>
    <w:rsid w:val="00C53C98"/>
    <w:rsid w:val="00C541D5"/>
    <w:rsid w:val="00C56759"/>
    <w:rsid w:val="00C56943"/>
    <w:rsid w:val="00C56FCF"/>
    <w:rsid w:val="00C57222"/>
    <w:rsid w:val="00C575E4"/>
    <w:rsid w:val="00C579E2"/>
    <w:rsid w:val="00C57B6C"/>
    <w:rsid w:val="00C61661"/>
    <w:rsid w:val="00C61A59"/>
    <w:rsid w:val="00C628A6"/>
    <w:rsid w:val="00C63A7D"/>
    <w:rsid w:val="00C64344"/>
    <w:rsid w:val="00C64650"/>
    <w:rsid w:val="00C65108"/>
    <w:rsid w:val="00C65576"/>
    <w:rsid w:val="00C66165"/>
    <w:rsid w:val="00C665B7"/>
    <w:rsid w:val="00C671D9"/>
    <w:rsid w:val="00C70496"/>
    <w:rsid w:val="00C7060A"/>
    <w:rsid w:val="00C7151A"/>
    <w:rsid w:val="00C717E3"/>
    <w:rsid w:val="00C71901"/>
    <w:rsid w:val="00C71977"/>
    <w:rsid w:val="00C71F60"/>
    <w:rsid w:val="00C7204B"/>
    <w:rsid w:val="00C72241"/>
    <w:rsid w:val="00C73524"/>
    <w:rsid w:val="00C73880"/>
    <w:rsid w:val="00C73A54"/>
    <w:rsid w:val="00C74935"/>
    <w:rsid w:val="00C750C8"/>
    <w:rsid w:val="00C7560F"/>
    <w:rsid w:val="00C75E4E"/>
    <w:rsid w:val="00C8020B"/>
    <w:rsid w:val="00C80316"/>
    <w:rsid w:val="00C80A0E"/>
    <w:rsid w:val="00C81717"/>
    <w:rsid w:val="00C8213F"/>
    <w:rsid w:val="00C8303F"/>
    <w:rsid w:val="00C83276"/>
    <w:rsid w:val="00C84BC2"/>
    <w:rsid w:val="00C85154"/>
    <w:rsid w:val="00C85A70"/>
    <w:rsid w:val="00C85D09"/>
    <w:rsid w:val="00C86882"/>
    <w:rsid w:val="00C86B71"/>
    <w:rsid w:val="00C8797A"/>
    <w:rsid w:val="00C900B8"/>
    <w:rsid w:val="00C90197"/>
    <w:rsid w:val="00C90B2B"/>
    <w:rsid w:val="00C90C71"/>
    <w:rsid w:val="00C919B7"/>
    <w:rsid w:val="00C91FB2"/>
    <w:rsid w:val="00C91FD1"/>
    <w:rsid w:val="00C931CF"/>
    <w:rsid w:val="00C938CF"/>
    <w:rsid w:val="00C93CBA"/>
    <w:rsid w:val="00C94053"/>
    <w:rsid w:val="00C9624D"/>
    <w:rsid w:val="00C969DA"/>
    <w:rsid w:val="00CA079B"/>
    <w:rsid w:val="00CA08F2"/>
    <w:rsid w:val="00CA2886"/>
    <w:rsid w:val="00CA2B0F"/>
    <w:rsid w:val="00CA2C77"/>
    <w:rsid w:val="00CA444F"/>
    <w:rsid w:val="00CA5245"/>
    <w:rsid w:val="00CA5DDE"/>
    <w:rsid w:val="00CA5EAA"/>
    <w:rsid w:val="00CA71F4"/>
    <w:rsid w:val="00CA7B09"/>
    <w:rsid w:val="00CB12A5"/>
    <w:rsid w:val="00CB1CAC"/>
    <w:rsid w:val="00CB24A4"/>
    <w:rsid w:val="00CB2F2A"/>
    <w:rsid w:val="00CB44E4"/>
    <w:rsid w:val="00CB5B1A"/>
    <w:rsid w:val="00CB5B5C"/>
    <w:rsid w:val="00CB680A"/>
    <w:rsid w:val="00CB6B22"/>
    <w:rsid w:val="00CB7F5F"/>
    <w:rsid w:val="00CC1B39"/>
    <w:rsid w:val="00CC1BFA"/>
    <w:rsid w:val="00CC1D46"/>
    <w:rsid w:val="00CC1DB4"/>
    <w:rsid w:val="00CC2093"/>
    <w:rsid w:val="00CC20A3"/>
    <w:rsid w:val="00CC27F6"/>
    <w:rsid w:val="00CC2E9F"/>
    <w:rsid w:val="00CC35EA"/>
    <w:rsid w:val="00CC3848"/>
    <w:rsid w:val="00CC6D5E"/>
    <w:rsid w:val="00CC778E"/>
    <w:rsid w:val="00CC7CFB"/>
    <w:rsid w:val="00CD0200"/>
    <w:rsid w:val="00CD1295"/>
    <w:rsid w:val="00CD1917"/>
    <w:rsid w:val="00CD206E"/>
    <w:rsid w:val="00CD2BD2"/>
    <w:rsid w:val="00CD3571"/>
    <w:rsid w:val="00CD375A"/>
    <w:rsid w:val="00CD37B7"/>
    <w:rsid w:val="00CD3F77"/>
    <w:rsid w:val="00CD40AA"/>
    <w:rsid w:val="00CD441A"/>
    <w:rsid w:val="00CD4502"/>
    <w:rsid w:val="00CD547E"/>
    <w:rsid w:val="00CD55C3"/>
    <w:rsid w:val="00CD587F"/>
    <w:rsid w:val="00CD5DEA"/>
    <w:rsid w:val="00CD5DEF"/>
    <w:rsid w:val="00CD6ADC"/>
    <w:rsid w:val="00CD7193"/>
    <w:rsid w:val="00CD7389"/>
    <w:rsid w:val="00CE09E8"/>
    <w:rsid w:val="00CE2B88"/>
    <w:rsid w:val="00CE382A"/>
    <w:rsid w:val="00CE38C8"/>
    <w:rsid w:val="00CE4F0D"/>
    <w:rsid w:val="00CE524F"/>
    <w:rsid w:val="00CE58CC"/>
    <w:rsid w:val="00CE5A57"/>
    <w:rsid w:val="00CE5EB0"/>
    <w:rsid w:val="00CE6206"/>
    <w:rsid w:val="00CE625E"/>
    <w:rsid w:val="00CE6274"/>
    <w:rsid w:val="00CE6D55"/>
    <w:rsid w:val="00CE77B6"/>
    <w:rsid w:val="00CE7DCB"/>
    <w:rsid w:val="00CF082B"/>
    <w:rsid w:val="00CF11CE"/>
    <w:rsid w:val="00CF2B8D"/>
    <w:rsid w:val="00CF2C04"/>
    <w:rsid w:val="00CF3A1B"/>
    <w:rsid w:val="00CF456B"/>
    <w:rsid w:val="00CF4F3F"/>
    <w:rsid w:val="00CF5A22"/>
    <w:rsid w:val="00CF7673"/>
    <w:rsid w:val="00D0262E"/>
    <w:rsid w:val="00D03679"/>
    <w:rsid w:val="00D03A82"/>
    <w:rsid w:val="00D04DA0"/>
    <w:rsid w:val="00D05929"/>
    <w:rsid w:val="00D05E3D"/>
    <w:rsid w:val="00D06139"/>
    <w:rsid w:val="00D06DE3"/>
    <w:rsid w:val="00D102EF"/>
    <w:rsid w:val="00D110BD"/>
    <w:rsid w:val="00D11B91"/>
    <w:rsid w:val="00D13675"/>
    <w:rsid w:val="00D13DD2"/>
    <w:rsid w:val="00D141E1"/>
    <w:rsid w:val="00D15314"/>
    <w:rsid w:val="00D15B48"/>
    <w:rsid w:val="00D169C5"/>
    <w:rsid w:val="00D17C0F"/>
    <w:rsid w:val="00D17D6C"/>
    <w:rsid w:val="00D204CD"/>
    <w:rsid w:val="00D2155B"/>
    <w:rsid w:val="00D23866"/>
    <w:rsid w:val="00D23AE4"/>
    <w:rsid w:val="00D23D11"/>
    <w:rsid w:val="00D244B6"/>
    <w:rsid w:val="00D246C9"/>
    <w:rsid w:val="00D2708F"/>
    <w:rsid w:val="00D2754D"/>
    <w:rsid w:val="00D277A9"/>
    <w:rsid w:val="00D27B27"/>
    <w:rsid w:val="00D30D5B"/>
    <w:rsid w:val="00D3141D"/>
    <w:rsid w:val="00D31C37"/>
    <w:rsid w:val="00D33BE9"/>
    <w:rsid w:val="00D33F93"/>
    <w:rsid w:val="00D34B13"/>
    <w:rsid w:val="00D357FF"/>
    <w:rsid w:val="00D35FAA"/>
    <w:rsid w:val="00D365FC"/>
    <w:rsid w:val="00D4156B"/>
    <w:rsid w:val="00D424C7"/>
    <w:rsid w:val="00D42A4F"/>
    <w:rsid w:val="00D43B2A"/>
    <w:rsid w:val="00D43CF1"/>
    <w:rsid w:val="00D43D83"/>
    <w:rsid w:val="00D44BDC"/>
    <w:rsid w:val="00D44C07"/>
    <w:rsid w:val="00D47575"/>
    <w:rsid w:val="00D47E4B"/>
    <w:rsid w:val="00D5001D"/>
    <w:rsid w:val="00D50C2B"/>
    <w:rsid w:val="00D51AB9"/>
    <w:rsid w:val="00D5243B"/>
    <w:rsid w:val="00D533EC"/>
    <w:rsid w:val="00D54BEB"/>
    <w:rsid w:val="00D5502F"/>
    <w:rsid w:val="00D551A6"/>
    <w:rsid w:val="00D561ED"/>
    <w:rsid w:val="00D56A95"/>
    <w:rsid w:val="00D57224"/>
    <w:rsid w:val="00D57C35"/>
    <w:rsid w:val="00D600F3"/>
    <w:rsid w:val="00D604C1"/>
    <w:rsid w:val="00D60509"/>
    <w:rsid w:val="00D6076E"/>
    <w:rsid w:val="00D62519"/>
    <w:rsid w:val="00D630CA"/>
    <w:rsid w:val="00D63235"/>
    <w:rsid w:val="00D63599"/>
    <w:rsid w:val="00D6374C"/>
    <w:rsid w:val="00D63872"/>
    <w:rsid w:val="00D66A19"/>
    <w:rsid w:val="00D66A3D"/>
    <w:rsid w:val="00D6735A"/>
    <w:rsid w:val="00D67D13"/>
    <w:rsid w:val="00D7093E"/>
    <w:rsid w:val="00D70ADC"/>
    <w:rsid w:val="00D70F16"/>
    <w:rsid w:val="00D72617"/>
    <w:rsid w:val="00D7276B"/>
    <w:rsid w:val="00D72F57"/>
    <w:rsid w:val="00D73B67"/>
    <w:rsid w:val="00D73E38"/>
    <w:rsid w:val="00D741B7"/>
    <w:rsid w:val="00D74722"/>
    <w:rsid w:val="00D7508E"/>
    <w:rsid w:val="00D76A44"/>
    <w:rsid w:val="00D77C99"/>
    <w:rsid w:val="00D813DE"/>
    <w:rsid w:val="00D815EF"/>
    <w:rsid w:val="00D81949"/>
    <w:rsid w:val="00D81CE6"/>
    <w:rsid w:val="00D81F26"/>
    <w:rsid w:val="00D822E2"/>
    <w:rsid w:val="00D83149"/>
    <w:rsid w:val="00D833E9"/>
    <w:rsid w:val="00D843F2"/>
    <w:rsid w:val="00D851B0"/>
    <w:rsid w:val="00D85374"/>
    <w:rsid w:val="00D856DF"/>
    <w:rsid w:val="00D86231"/>
    <w:rsid w:val="00D86D2B"/>
    <w:rsid w:val="00D90D3B"/>
    <w:rsid w:val="00D912AB"/>
    <w:rsid w:val="00D91923"/>
    <w:rsid w:val="00D9238B"/>
    <w:rsid w:val="00D93753"/>
    <w:rsid w:val="00D94D77"/>
    <w:rsid w:val="00D95348"/>
    <w:rsid w:val="00D96DC3"/>
    <w:rsid w:val="00D97526"/>
    <w:rsid w:val="00D9796D"/>
    <w:rsid w:val="00DA151B"/>
    <w:rsid w:val="00DA30E9"/>
    <w:rsid w:val="00DA3167"/>
    <w:rsid w:val="00DA3DD5"/>
    <w:rsid w:val="00DA3F27"/>
    <w:rsid w:val="00DA4DC3"/>
    <w:rsid w:val="00DA5B86"/>
    <w:rsid w:val="00DA77A5"/>
    <w:rsid w:val="00DA7A2B"/>
    <w:rsid w:val="00DB0E36"/>
    <w:rsid w:val="00DB1899"/>
    <w:rsid w:val="00DB206A"/>
    <w:rsid w:val="00DB30F9"/>
    <w:rsid w:val="00DB3632"/>
    <w:rsid w:val="00DB3DBF"/>
    <w:rsid w:val="00DB3E4B"/>
    <w:rsid w:val="00DB4120"/>
    <w:rsid w:val="00DB484F"/>
    <w:rsid w:val="00DB4881"/>
    <w:rsid w:val="00DB48A0"/>
    <w:rsid w:val="00DB5409"/>
    <w:rsid w:val="00DB5CF5"/>
    <w:rsid w:val="00DB7260"/>
    <w:rsid w:val="00DB72A5"/>
    <w:rsid w:val="00DC04F6"/>
    <w:rsid w:val="00DC0573"/>
    <w:rsid w:val="00DC0690"/>
    <w:rsid w:val="00DC1D65"/>
    <w:rsid w:val="00DC1FB1"/>
    <w:rsid w:val="00DC3B2D"/>
    <w:rsid w:val="00DC3C57"/>
    <w:rsid w:val="00DC42D8"/>
    <w:rsid w:val="00DC4672"/>
    <w:rsid w:val="00DC5501"/>
    <w:rsid w:val="00DC5B34"/>
    <w:rsid w:val="00DC5DE4"/>
    <w:rsid w:val="00DC66A2"/>
    <w:rsid w:val="00DC7154"/>
    <w:rsid w:val="00DC7A74"/>
    <w:rsid w:val="00DC7E8A"/>
    <w:rsid w:val="00DD04D0"/>
    <w:rsid w:val="00DD095B"/>
    <w:rsid w:val="00DD0F78"/>
    <w:rsid w:val="00DD273C"/>
    <w:rsid w:val="00DD2AF7"/>
    <w:rsid w:val="00DD3F28"/>
    <w:rsid w:val="00DD41D0"/>
    <w:rsid w:val="00DD4446"/>
    <w:rsid w:val="00DD4537"/>
    <w:rsid w:val="00DD4E15"/>
    <w:rsid w:val="00DD6468"/>
    <w:rsid w:val="00DD6B9D"/>
    <w:rsid w:val="00DE1B31"/>
    <w:rsid w:val="00DE2304"/>
    <w:rsid w:val="00DE3138"/>
    <w:rsid w:val="00DE3671"/>
    <w:rsid w:val="00DE37F8"/>
    <w:rsid w:val="00DE38BF"/>
    <w:rsid w:val="00DE4273"/>
    <w:rsid w:val="00DE4A05"/>
    <w:rsid w:val="00DE4FCB"/>
    <w:rsid w:val="00DE5D07"/>
    <w:rsid w:val="00DE619F"/>
    <w:rsid w:val="00DE6B49"/>
    <w:rsid w:val="00DE72A7"/>
    <w:rsid w:val="00DE7832"/>
    <w:rsid w:val="00DF06F2"/>
    <w:rsid w:val="00DF18FC"/>
    <w:rsid w:val="00DF3BF5"/>
    <w:rsid w:val="00DF42CA"/>
    <w:rsid w:val="00DF451E"/>
    <w:rsid w:val="00DF557B"/>
    <w:rsid w:val="00DF5BB5"/>
    <w:rsid w:val="00DF5D2B"/>
    <w:rsid w:val="00DF6341"/>
    <w:rsid w:val="00DF6C26"/>
    <w:rsid w:val="00E009E7"/>
    <w:rsid w:val="00E00E8E"/>
    <w:rsid w:val="00E017DC"/>
    <w:rsid w:val="00E01D22"/>
    <w:rsid w:val="00E02530"/>
    <w:rsid w:val="00E05630"/>
    <w:rsid w:val="00E06B2D"/>
    <w:rsid w:val="00E06DBB"/>
    <w:rsid w:val="00E07064"/>
    <w:rsid w:val="00E076F8"/>
    <w:rsid w:val="00E0772E"/>
    <w:rsid w:val="00E07BE7"/>
    <w:rsid w:val="00E10149"/>
    <w:rsid w:val="00E10849"/>
    <w:rsid w:val="00E11340"/>
    <w:rsid w:val="00E11CC9"/>
    <w:rsid w:val="00E122A1"/>
    <w:rsid w:val="00E1546E"/>
    <w:rsid w:val="00E16372"/>
    <w:rsid w:val="00E16AD8"/>
    <w:rsid w:val="00E16C69"/>
    <w:rsid w:val="00E16EF3"/>
    <w:rsid w:val="00E1711D"/>
    <w:rsid w:val="00E17FFA"/>
    <w:rsid w:val="00E207F1"/>
    <w:rsid w:val="00E20E4D"/>
    <w:rsid w:val="00E20ED6"/>
    <w:rsid w:val="00E21358"/>
    <w:rsid w:val="00E213E2"/>
    <w:rsid w:val="00E2249B"/>
    <w:rsid w:val="00E22A0D"/>
    <w:rsid w:val="00E230BB"/>
    <w:rsid w:val="00E23BA7"/>
    <w:rsid w:val="00E244F6"/>
    <w:rsid w:val="00E258DB"/>
    <w:rsid w:val="00E276D3"/>
    <w:rsid w:val="00E2771E"/>
    <w:rsid w:val="00E27A62"/>
    <w:rsid w:val="00E27B53"/>
    <w:rsid w:val="00E3005B"/>
    <w:rsid w:val="00E311EF"/>
    <w:rsid w:val="00E31251"/>
    <w:rsid w:val="00E3165C"/>
    <w:rsid w:val="00E32180"/>
    <w:rsid w:val="00E3349B"/>
    <w:rsid w:val="00E33E9A"/>
    <w:rsid w:val="00E3444C"/>
    <w:rsid w:val="00E34948"/>
    <w:rsid w:val="00E34A2A"/>
    <w:rsid w:val="00E3632C"/>
    <w:rsid w:val="00E36D4B"/>
    <w:rsid w:val="00E37454"/>
    <w:rsid w:val="00E37569"/>
    <w:rsid w:val="00E400A1"/>
    <w:rsid w:val="00E401B2"/>
    <w:rsid w:val="00E40D03"/>
    <w:rsid w:val="00E41E30"/>
    <w:rsid w:val="00E4284F"/>
    <w:rsid w:val="00E42969"/>
    <w:rsid w:val="00E42F73"/>
    <w:rsid w:val="00E4355F"/>
    <w:rsid w:val="00E43C3C"/>
    <w:rsid w:val="00E43D70"/>
    <w:rsid w:val="00E4451C"/>
    <w:rsid w:val="00E4571E"/>
    <w:rsid w:val="00E460D7"/>
    <w:rsid w:val="00E466F3"/>
    <w:rsid w:val="00E46E26"/>
    <w:rsid w:val="00E47946"/>
    <w:rsid w:val="00E47B2C"/>
    <w:rsid w:val="00E504A2"/>
    <w:rsid w:val="00E50F38"/>
    <w:rsid w:val="00E51560"/>
    <w:rsid w:val="00E51821"/>
    <w:rsid w:val="00E51E80"/>
    <w:rsid w:val="00E524D2"/>
    <w:rsid w:val="00E52611"/>
    <w:rsid w:val="00E52DBE"/>
    <w:rsid w:val="00E52F74"/>
    <w:rsid w:val="00E533C6"/>
    <w:rsid w:val="00E53FC8"/>
    <w:rsid w:val="00E54347"/>
    <w:rsid w:val="00E54C06"/>
    <w:rsid w:val="00E54DA6"/>
    <w:rsid w:val="00E55424"/>
    <w:rsid w:val="00E55915"/>
    <w:rsid w:val="00E55BB5"/>
    <w:rsid w:val="00E55CA4"/>
    <w:rsid w:val="00E55F5C"/>
    <w:rsid w:val="00E56443"/>
    <w:rsid w:val="00E572B4"/>
    <w:rsid w:val="00E611DF"/>
    <w:rsid w:val="00E61363"/>
    <w:rsid w:val="00E61386"/>
    <w:rsid w:val="00E623BC"/>
    <w:rsid w:val="00E6272F"/>
    <w:rsid w:val="00E641F5"/>
    <w:rsid w:val="00E64AD7"/>
    <w:rsid w:val="00E64D9F"/>
    <w:rsid w:val="00E653A9"/>
    <w:rsid w:val="00E659D5"/>
    <w:rsid w:val="00E65E2A"/>
    <w:rsid w:val="00E65E79"/>
    <w:rsid w:val="00E6623B"/>
    <w:rsid w:val="00E66BA2"/>
    <w:rsid w:val="00E67416"/>
    <w:rsid w:val="00E67CDE"/>
    <w:rsid w:val="00E718B6"/>
    <w:rsid w:val="00E723BA"/>
    <w:rsid w:val="00E725DF"/>
    <w:rsid w:val="00E72BD5"/>
    <w:rsid w:val="00E73581"/>
    <w:rsid w:val="00E73BC3"/>
    <w:rsid w:val="00E747B4"/>
    <w:rsid w:val="00E749CB"/>
    <w:rsid w:val="00E759B3"/>
    <w:rsid w:val="00E76061"/>
    <w:rsid w:val="00E77746"/>
    <w:rsid w:val="00E77802"/>
    <w:rsid w:val="00E80CF0"/>
    <w:rsid w:val="00E82DF4"/>
    <w:rsid w:val="00E833F7"/>
    <w:rsid w:val="00E83693"/>
    <w:rsid w:val="00E83BDF"/>
    <w:rsid w:val="00E84FC7"/>
    <w:rsid w:val="00E86FCC"/>
    <w:rsid w:val="00E87A1D"/>
    <w:rsid w:val="00E90390"/>
    <w:rsid w:val="00E9051A"/>
    <w:rsid w:val="00E9094A"/>
    <w:rsid w:val="00E90B16"/>
    <w:rsid w:val="00E9121C"/>
    <w:rsid w:val="00E91D35"/>
    <w:rsid w:val="00E926A5"/>
    <w:rsid w:val="00E93217"/>
    <w:rsid w:val="00E94C60"/>
    <w:rsid w:val="00E962CC"/>
    <w:rsid w:val="00E97934"/>
    <w:rsid w:val="00E97B08"/>
    <w:rsid w:val="00E97F64"/>
    <w:rsid w:val="00EA17C3"/>
    <w:rsid w:val="00EA1B83"/>
    <w:rsid w:val="00EA22A9"/>
    <w:rsid w:val="00EA27A6"/>
    <w:rsid w:val="00EA2CAA"/>
    <w:rsid w:val="00EA3374"/>
    <w:rsid w:val="00EA3864"/>
    <w:rsid w:val="00EA3D0F"/>
    <w:rsid w:val="00EA404D"/>
    <w:rsid w:val="00EA59EC"/>
    <w:rsid w:val="00EA6D99"/>
    <w:rsid w:val="00EA777C"/>
    <w:rsid w:val="00EA77D6"/>
    <w:rsid w:val="00EA7F1C"/>
    <w:rsid w:val="00EB03DB"/>
    <w:rsid w:val="00EB15B6"/>
    <w:rsid w:val="00EB388B"/>
    <w:rsid w:val="00EB3D06"/>
    <w:rsid w:val="00EB4916"/>
    <w:rsid w:val="00EB4BFF"/>
    <w:rsid w:val="00EB51A3"/>
    <w:rsid w:val="00EB5B42"/>
    <w:rsid w:val="00EB6B8A"/>
    <w:rsid w:val="00EB6F8A"/>
    <w:rsid w:val="00EB76CD"/>
    <w:rsid w:val="00EC00C9"/>
    <w:rsid w:val="00EC0DD9"/>
    <w:rsid w:val="00EC123E"/>
    <w:rsid w:val="00EC2649"/>
    <w:rsid w:val="00EC2FC5"/>
    <w:rsid w:val="00EC31ED"/>
    <w:rsid w:val="00EC3EB0"/>
    <w:rsid w:val="00EC57C9"/>
    <w:rsid w:val="00EC5836"/>
    <w:rsid w:val="00EC6441"/>
    <w:rsid w:val="00EC688C"/>
    <w:rsid w:val="00EC7095"/>
    <w:rsid w:val="00ED110D"/>
    <w:rsid w:val="00ED12E3"/>
    <w:rsid w:val="00ED2026"/>
    <w:rsid w:val="00ED3C2F"/>
    <w:rsid w:val="00ED4B04"/>
    <w:rsid w:val="00ED57EA"/>
    <w:rsid w:val="00ED5BD4"/>
    <w:rsid w:val="00ED6486"/>
    <w:rsid w:val="00EE079E"/>
    <w:rsid w:val="00EE07D3"/>
    <w:rsid w:val="00EE0E6F"/>
    <w:rsid w:val="00EE1996"/>
    <w:rsid w:val="00EE1AFA"/>
    <w:rsid w:val="00EE1C01"/>
    <w:rsid w:val="00EE22AF"/>
    <w:rsid w:val="00EE2352"/>
    <w:rsid w:val="00EE2AA7"/>
    <w:rsid w:val="00EE4A3C"/>
    <w:rsid w:val="00EE57DF"/>
    <w:rsid w:val="00EE662F"/>
    <w:rsid w:val="00EE6CAB"/>
    <w:rsid w:val="00EF0171"/>
    <w:rsid w:val="00EF1B25"/>
    <w:rsid w:val="00EF1DA0"/>
    <w:rsid w:val="00EF3306"/>
    <w:rsid w:val="00EF4747"/>
    <w:rsid w:val="00EF4A16"/>
    <w:rsid w:val="00EF4BF8"/>
    <w:rsid w:val="00EF4F6D"/>
    <w:rsid w:val="00EF615A"/>
    <w:rsid w:val="00EF6AC4"/>
    <w:rsid w:val="00EF6B11"/>
    <w:rsid w:val="00F0045B"/>
    <w:rsid w:val="00F00FDF"/>
    <w:rsid w:val="00F01BAB"/>
    <w:rsid w:val="00F02253"/>
    <w:rsid w:val="00F03C2E"/>
    <w:rsid w:val="00F04A66"/>
    <w:rsid w:val="00F04B4B"/>
    <w:rsid w:val="00F0516C"/>
    <w:rsid w:val="00F067A2"/>
    <w:rsid w:val="00F0746F"/>
    <w:rsid w:val="00F07B9E"/>
    <w:rsid w:val="00F1116F"/>
    <w:rsid w:val="00F11F11"/>
    <w:rsid w:val="00F1263A"/>
    <w:rsid w:val="00F13554"/>
    <w:rsid w:val="00F139C5"/>
    <w:rsid w:val="00F14FE2"/>
    <w:rsid w:val="00F15B77"/>
    <w:rsid w:val="00F16D4C"/>
    <w:rsid w:val="00F16EB0"/>
    <w:rsid w:val="00F201C3"/>
    <w:rsid w:val="00F20480"/>
    <w:rsid w:val="00F21236"/>
    <w:rsid w:val="00F22191"/>
    <w:rsid w:val="00F22CA5"/>
    <w:rsid w:val="00F24837"/>
    <w:rsid w:val="00F2575F"/>
    <w:rsid w:val="00F27565"/>
    <w:rsid w:val="00F3036D"/>
    <w:rsid w:val="00F310D4"/>
    <w:rsid w:val="00F315AB"/>
    <w:rsid w:val="00F31D5A"/>
    <w:rsid w:val="00F33975"/>
    <w:rsid w:val="00F33DE9"/>
    <w:rsid w:val="00F342CA"/>
    <w:rsid w:val="00F35163"/>
    <w:rsid w:val="00F35199"/>
    <w:rsid w:val="00F35E6D"/>
    <w:rsid w:val="00F35EF4"/>
    <w:rsid w:val="00F3619A"/>
    <w:rsid w:val="00F40AAA"/>
    <w:rsid w:val="00F40BA7"/>
    <w:rsid w:val="00F40F9D"/>
    <w:rsid w:val="00F41ACD"/>
    <w:rsid w:val="00F42CD7"/>
    <w:rsid w:val="00F42F4E"/>
    <w:rsid w:val="00F43D97"/>
    <w:rsid w:val="00F44F39"/>
    <w:rsid w:val="00F46CB6"/>
    <w:rsid w:val="00F4756D"/>
    <w:rsid w:val="00F47DE8"/>
    <w:rsid w:val="00F5139E"/>
    <w:rsid w:val="00F5206E"/>
    <w:rsid w:val="00F5369A"/>
    <w:rsid w:val="00F542C1"/>
    <w:rsid w:val="00F550E3"/>
    <w:rsid w:val="00F55E73"/>
    <w:rsid w:val="00F55EDA"/>
    <w:rsid w:val="00F56C80"/>
    <w:rsid w:val="00F57404"/>
    <w:rsid w:val="00F60092"/>
    <w:rsid w:val="00F6095A"/>
    <w:rsid w:val="00F617BF"/>
    <w:rsid w:val="00F61C18"/>
    <w:rsid w:val="00F62E63"/>
    <w:rsid w:val="00F63583"/>
    <w:rsid w:val="00F645BB"/>
    <w:rsid w:val="00F65180"/>
    <w:rsid w:val="00F65E0E"/>
    <w:rsid w:val="00F65F4B"/>
    <w:rsid w:val="00F663E5"/>
    <w:rsid w:val="00F67A69"/>
    <w:rsid w:val="00F67DB0"/>
    <w:rsid w:val="00F707D7"/>
    <w:rsid w:val="00F70B97"/>
    <w:rsid w:val="00F70BFF"/>
    <w:rsid w:val="00F70C9D"/>
    <w:rsid w:val="00F7272A"/>
    <w:rsid w:val="00F72E93"/>
    <w:rsid w:val="00F73E08"/>
    <w:rsid w:val="00F74CD9"/>
    <w:rsid w:val="00F74E5C"/>
    <w:rsid w:val="00F76962"/>
    <w:rsid w:val="00F76B26"/>
    <w:rsid w:val="00F76F63"/>
    <w:rsid w:val="00F80A7B"/>
    <w:rsid w:val="00F80E5D"/>
    <w:rsid w:val="00F81E78"/>
    <w:rsid w:val="00F8202D"/>
    <w:rsid w:val="00F822E2"/>
    <w:rsid w:val="00F82E7A"/>
    <w:rsid w:val="00F83916"/>
    <w:rsid w:val="00F83EB4"/>
    <w:rsid w:val="00F85179"/>
    <w:rsid w:val="00F851CE"/>
    <w:rsid w:val="00F87090"/>
    <w:rsid w:val="00F87733"/>
    <w:rsid w:val="00F87EB3"/>
    <w:rsid w:val="00F906C6"/>
    <w:rsid w:val="00F9090E"/>
    <w:rsid w:val="00F91219"/>
    <w:rsid w:val="00F919DA"/>
    <w:rsid w:val="00F92444"/>
    <w:rsid w:val="00F9393E"/>
    <w:rsid w:val="00F94425"/>
    <w:rsid w:val="00F95D60"/>
    <w:rsid w:val="00F96FD0"/>
    <w:rsid w:val="00F97A78"/>
    <w:rsid w:val="00FA0A77"/>
    <w:rsid w:val="00FA0B20"/>
    <w:rsid w:val="00FA1B99"/>
    <w:rsid w:val="00FA24E7"/>
    <w:rsid w:val="00FA2880"/>
    <w:rsid w:val="00FA3385"/>
    <w:rsid w:val="00FA3817"/>
    <w:rsid w:val="00FA4D1C"/>
    <w:rsid w:val="00FA5EE6"/>
    <w:rsid w:val="00FA7956"/>
    <w:rsid w:val="00FB076D"/>
    <w:rsid w:val="00FB0824"/>
    <w:rsid w:val="00FB2CFF"/>
    <w:rsid w:val="00FB2FCB"/>
    <w:rsid w:val="00FB4C9C"/>
    <w:rsid w:val="00FB7C55"/>
    <w:rsid w:val="00FC0453"/>
    <w:rsid w:val="00FC0701"/>
    <w:rsid w:val="00FC1074"/>
    <w:rsid w:val="00FC15CC"/>
    <w:rsid w:val="00FC1884"/>
    <w:rsid w:val="00FC1C22"/>
    <w:rsid w:val="00FC216F"/>
    <w:rsid w:val="00FC26FA"/>
    <w:rsid w:val="00FC3361"/>
    <w:rsid w:val="00FC371D"/>
    <w:rsid w:val="00FC5B9C"/>
    <w:rsid w:val="00FC5F0B"/>
    <w:rsid w:val="00FD2100"/>
    <w:rsid w:val="00FD436C"/>
    <w:rsid w:val="00FD446D"/>
    <w:rsid w:val="00FD4F2C"/>
    <w:rsid w:val="00FD5925"/>
    <w:rsid w:val="00FD5FEE"/>
    <w:rsid w:val="00FD6394"/>
    <w:rsid w:val="00FD6CE8"/>
    <w:rsid w:val="00FD7B3E"/>
    <w:rsid w:val="00FE0DC5"/>
    <w:rsid w:val="00FE0E6C"/>
    <w:rsid w:val="00FE1CDC"/>
    <w:rsid w:val="00FE2891"/>
    <w:rsid w:val="00FE2E26"/>
    <w:rsid w:val="00FE2EEF"/>
    <w:rsid w:val="00FE38AF"/>
    <w:rsid w:val="00FE3F07"/>
    <w:rsid w:val="00FE48E9"/>
    <w:rsid w:val="00FE5134"/>
    <w:rsid w:val="00FE5BD0"/>
    <w:rsid w:val="00FE5DC5"/>
    <w:rsid w:val="00FE70C3"/>
    <w:rsid w:val="00FE7CC9"/>
    <w:rsid w:val="00FF001A"/>
    <w:rsid w:val="00FF0226"/>
    <w:rsid w:val="00FF03A4"/>
    <w:rsid w:val="00FF1A8B"/>
    <w:rsid w:val="00FF251B"/>
    <w:rsid w:val="00FF2AD9"/>
    <w:rsid w:val="00FF359F"/>
    <w:rsid w:val="00FF3DCF"/>
    <w:rsid w:val="00FF492C"/>
    <w:rsid w:val="00FF4A21"/>
    <w:rsid w:val="00FF4E7B"/>
    <w:rsid w:val="00FF4F15"/>
    <w:rsid w:val="00FF51A7"/>
    <w:rsid w:val="00FF5302"/>
    <w:rsid w:val="00FF5AA3"/>
    <w:rsid w:val="00FF5AD8"/>
    <w:rsid w:val="00FF713F"/>
    <w:rsid w:val="00FF7520"/>
    <w:rsid w:val="14AC839C"/>
    <w:rsid w:val="3C097EED"/>
    <w:rsid w:val="459F265C"/>
    <w:rsid w:val="5296D1C1"/>
    <w:rsid w:val="6936243D"/>
    <w:rsid w:val="7140ADBF"/>
    <w:rsid w:val="7AE79005"/>
    <w:rsid w:val="7C8360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3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7DA"/>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uiPriority w:val="1"/>
    <w:qFormat/>
    <w:rsid w:val="00E2771E"/>
    <w:rPr>
      <w:rFonts w:ascii="Arial Narrow" w:hAnsi="Arial Narrow"/>
      <w:sz w:val="18"/>
    </w:rPr>
  </w:style>
  <w:style w:type="character" w:customStyle="1" w:styleId="TableFooterChar">
    <w:name w:val="Table Footer Char"/>
    <w:link w:val="TableFooter"/>
    <w:uiPriority w:val="1"/>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1,Summary Bullets"/>
    <w:next w:val="ListBullet"/>
    <w:link w:val="ListParagraphChar"/>
    <w:uiPriority w:val="34"/>
    <w:qFormat/>
    <w:rsid w:val="00BB00B3"/>
    <w:pPr>
      <w:numPr>
        <w:numId w:val="8"/>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PBAC table,MSD Table Grid,Table Grid No Line,MP Table Grid,Dossier table,Summary Table,Section 3- footnotes,Lash Style Table,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uiPriority w:val="99"/>
    <w:rsid w:val="00D0262E"/>
    <w:pPr>
      <w:ind w:left="660"/>
    </w:pPr>
    <w:rPr>
      <w:rFonts w:asciiTheme="minorHAnsi" w:hAnsiTheme="minorHAnsi"/>
      <w:sz w:val="20"/>
    </w:rPr>
  </w:style>
  <w:style w:type="paragraph" w:styleId="TOC5">
    <w:name w:val="toc 5"/>
    <w:basedOn w:val="Normal"/>
    <w:next w:val="Normal"/>
    <w:autoRedefine/>
    <w:uiPriority w:val="99"/>
    <w:rsid w:val="00D0262E"/>
    <w:pPr>
      <w:ind w:left="880"/>
    </w:pPr>
    <w:rPr>
      <w:rFonts w:asciiTheme="minorHAnsi" w:hAnsiTheme="minorHAnsi"/>
      <w:sz w:val="20"/>
    </w:rPr>
  </w:style>
  <w:style w:type="paragraph" w:styleId="TOC6">
    <w:name w:val="toc 6"/>
    <w:basedOn w:val="Normal"/>
    <w:next w:val="Normal"/>
    <w:autoRedefine/>
    <w:uiPriority w:val="39"/>
    <w:rsid w:val="00D0262E"/>
    <w:pPr>
      <w:ind w:left="1100"/>
    </w:pPr>
    <w:rPr>
      <w:rFonts w:asciiTheme="minorHAnsi" w:hAnsiTheme="minorHAnsi"/>
      <w:sz w:val="20"/>
    </w:rPr>
  </w:style>
  <w:style w:type="paragraph" w:styleId="TOC7">
    <w:name w:val="toc 7"/>
    <w:basedOn w:val="Normal"/>
    <w:next w:val="Normal"/>
    <w:autoRedefine/>
    <w:uiPriority w:val="99"/>
    <w:rsid w:val="00D0262E"/>
    <w:pPr>
      <w:ind w:left="1320"/>
    </w:pPr>
    <w:rPr>
      <w:rFonts w:asciiTheme="minorHAnsi" w:hAnsiTheme="minorHAnsi"/>
      <w:sz w:val="20"/>
    </w:rPr>
  </w:style>
  <w:style w:type="paragraph" w:styleId="TOC8">
    <w:name w:val="toc 8"/>
    <w:basedOn w:val="Normal"/>
    <w:next w:val="Normal"/>
    <w:autoRedefine/>
    <w:uiPriority w:val="99"/>
    <w:rsid w:val="00D0262E"/>
    <w:pPr>
      <w:ind w:left="1540"/>
    </w:pPr>
    <w:rPr>
      <w:rFonts w:asciiTheme="minorHAnsi" w:hAnsiTheme="minorHAnsi"/>
      <w:sz w:val="20"/>
    </w:rPr>
  </w:style>
  <w:style w:type="paragraph" w:styleId="TOC9">
    <w:name w:val="toc 9"/>
    <w:basedOn w:val="Normal"/>
    <w:next w:val="Normal"/>
    <w:autoRedefine/>
    <w:uiPriority w:val="99"/>
    <w:rsid w:val="00D0262E"/>
    <w:pPr>
      <w:ind w:left="1760"/>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uiPriority w:val="99"/>
    <w:qFormat/>
    <w:rsid w:val="003D229D"/>
    <w:pPr>
      <w:numPr>
        <w:ilvl w:val="1"/>
        <w:numId w:val="4"/>
      </w:numPr>
      <w:ind w:left="720"/>
    </w:pPr>
  </w:style>
  <w:style w:type="character" w:customStyle="1" w:styleId="3-BodyTextChar">
    <w:name w:val="3-Body Text Char"/>
    <w:basedOn w:val="ListParagraphChar"/>
    <w:link w:val="3-BodyText"/>
    <w:uiPriority w:val="99"/>
    <w:rsid w:val="003D229D"/>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uiPriority w:val="99"/>
    <w:rsid w:val="00D30D5B"/>
    <w:rPr>
      <w:rFonts w:ascii="Calibri" w:hAnsi="Calibri" w:cstheme="minorBidi"/>
      <w:i/>
      <w:sz w:val="22"/>
      <w:szCs w:val="22"/>
      <w:lang w:eastAsia="en-US"/>
    </w:rPr>
  </w:style>
  <w:style w:type="paragraph" w:customStyle="1" w:styleId="Default">
    <w:name w:val="Default"/>
    <w:uiPriority w:val="99"/>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Summarybox1">
    <w:name w:val="Summary box1"/>
    <w:basedOn w:val="TableNormal"/>
    <w:next w:val="TableGrid"/>
    <w:uiPriority w:val="59"/>
    <w:rsid w:val="00F65180"/>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qFormat/>
    <w:rsid w:val="00F65180"/>
    <w:pPr>
      <w:keepNext/>
      <w:keepLines/>
      <w:suppressLineNumbers/>
      <w:spacing w:after="80"/>
      <w:textboxTightWrap w:val="allLines"/>
    </w:pPr>
    <w:rPr>
      <w:rFonts w:ascii="Arial Narrow" w:hAnsi="Arial Narrow" w:cs="Arial"/>
      <w:szCs w:val="24"/>
      <w:lang w:eastAsia="en-GB"/>
    </w:rPr>
  </w:style>
  <w:style w:type="paragraph" w:customStyle="1" w:styleId="PBACTblFignote">
    <w:name w:val="PBAC Tbl/Fig note"/>
    <w:uiPriority w:val="99"/>
    <w:qFormat/>
    <w:rsid w:val="00621EFF"/>
    <w:pPr>
      <w:keepNext/>
      <w:keepLines/>
      <w:spacing w:after="360"/>
      <w:contextualSpacing/>
      <w:textboxTightWrap w:val="allLines"/>
    </w:pPr>
    <w:rPr>
      <w:rFonts w:ascii="Arial Narrow" w:hAnsi="Arial Narrow" w:cs="Arial"/>
      <w:sz w:val="16"/>
      <w:szCs w:val="24"/>
      <w:lang w:eastAsia="en-GB"/>
    </w:rPr>
  </w:style>
  <w:style w:type="table" w:customStyle="1" w:styleId="PBACTableStyle">
    <w:name w:val="PBAC Table Style"/>
    <w:basedOn w:val="TableGrid1"/>
    <w:uiPriority w:val="99"/>
    <w:rsid w:val="008B18C6"/>
    <w:pPr>
      <w:widowControl w:val="0"/>
      <w:spacing w:before="120"/>
      <w:contextualSpacing/>
      <w:jc w:val="center"/>
    </w:pPr>
    <w:rPr>
      <w:rFonts w:ascii="Arial Narrow" w:eastAsiaTheme="minorHAnsi" w:hAnsi="Arial Narrow" w:cstheme="minorBidi"/>
      <w:color w:val="000000" w:themeColor="text1"/>
      <w:lang w:val="en-US"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Emoji" w:hAnsi="Segoe UI Emoji"/>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Emoji" w:hAnsi="Segoe UI Emoji"/>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Emoji" w:hAnsi="Segoe UI Emoji"/>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8B18C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unhideWhenUsed/>
    <w:rsid w:val="00690725"/>
    <w:rPr>
      <w:sz w:val="20"/>
      <w:szCs w:val="20"/>
    </w:rPr>
  </w:style>
  <w:style w:type="character" w:customStyle="1" w:styleId="FootnoteTextChar">
    <w:name w:val="Footnote Text Char"/>
    <w:basedOn w:val="DefaultParagraphFont"/>
    <w:link w:val="FootnoteText"/>
    <w:uiPriority w:val="99"/>
    <w:rsid w:val="00690725"/>
    <w:rPr>
      <w:rFonts w:ascii="Calibri" w:hAnsi="Calibri" w:cs="Arial"/>
    </w:rPr>
  </w:style>
  <w:style w:type="character" w:styleId="FootnoteReference">
    <w:name w:val="footnote reference"/>
    <w:basedOn w:val="DefaultParagraphFont"/>
    <w:uiPriority w:val="99"/>
    <w:semiHidden/>
    <w:unhideWhenUsed/>
    <w:rsid w:val="00690725"/>
    <w:rPr>
      <w:vertAlign w:val="superscript"/>
    </w:rPr>
  </w:style>
  <w:style w:type="character" w:styleId="UnresolvedMention">
    <w:name w:val="Unresolved Mention"/>
    <w:basedOn w:val="DefaultParagraphFont"/>
    <w:uiPriority w:val="99"/>
    <w:semiHidden/>
    <w:unhideWhenUsed/>
    <w:rsid w:val="00690725"/>
    <w:rPr>
      <w:color w:val="605E5C"/>
      <w:shd w:val="clear" w:color="auto" w:fill="E1DFDD"/>
    </w:rPr>
  </w:style>
  <w:style w:type="character" w:customStyle="1" w:styleId="Heading5Char">
    <w:name w:val="Heading 5 Char"/>
    <w:basedOn w:val="DefaultParagraphFont"/>
    <w:link w:val="Heading5"/>
    <w:rsid w:val="00B671C0"/>
    <w:rPr>
      <w:rFonts w:ascii="Calibri" w:hAnsi="Calibri" w:cs="Arial"/>
      <w:b/>
      <w:bCs/>
      <w:iCs/>
      <w:sz w:val="26"/>
      <w:szCs w:val="26"/>
    </w:rPr>
  </w:style>
  <w:style w:type="character" w:styleId="HTMLCite">
    <w:name w:val="HTML Cite"/>
    <w:basedOn w:val="DefaultParagraphFont"/>
    <w:uiPriority w:val="99"/>
    <w:semiHidden/>
    <w:unhideWhenUsed/>
    <w:rsid w:val="009B1B01"/>
    <w:rPr>
      <w:i/>
      <w:iCs/>
    </w:rPr>
  </w:style>
  <w:style w:type="paragraph" w:customStyle="1" w:styleId="PBACESHeading1">
    <w:name w:val="PBAC ES Heading 1"/>
    <w:basedOn w:val="Heading1"/>
    <w:next w:val="ListParagraph"/>
    <w:uiPriority w:val="1"/>
    <w:qFormat/>
    <w:rsid w:val="009B1B01"/>
    <w:pPr>
      <w:keepNext/>
      <w:keepLines/>
      <w:tabs>
        <w:tab w:val="left" w:pos="1077"/>
      </w:tabs>
      <w:spacing w:before="240" w:after="120"/>
    </w:pPr>
    <w:rPr>
      <w:rFonts w:asciiTheme="minorHAnsi" w:hAnsiTheme="minorHAnsi"/>
      <w:caps w:val="0"/>
      <w:snapToGrid w:val="0"/>
      <w:szCs w:val="32"/>
      <w:lang w:eastAsia="en-US"/>
    </w:rPr>
  </w:style>
  <w:style w:type="paragraph" w:customStyle="1" w:styleId="PBACESHeading2">
    <w:name w:val="PBAC ES Heading 2"/>
    <w:basedOn w:val="Heading2"/>
    <w:link w:val="PBACESHeading2Char"/>
    <w:uiPriority w:val="1"/>
    <w:qFormat/>
    <w:rsid w:val="009B1B01"/>
    <w:pPr>
      <w:keepNext/>
      <w:keepLines/>
      <w:spacing w:before="360" w:after="120"/>
      <w:ind w:left="720" w:hanging="720"/>
    </w:pPr>
    <w:rPr>
      <w:rFonts w:asciiTheme="majorHAnsi" w:eastAsiaTheme="majorEastAsia" w:hAnsiTheme="majorHAnsi" w:cstheme="majorBidi"/>
      <w:snapToGrid w:val="0"/>
      <w:szCs w:val="28"/>
      <w:lang w:eastAsia="en-GB"/>
    </w:rPr>
  </w:style>
  <w:style w:type="paragraph" w:customStyle="1" w:styleId="PBACESHeadingCAPS">
    <w:name w:val="PBAC ES Heading CAPS"/>
    <w:basedOn w:val="PBACESHeading2"/>
    <w:link w:val="PBACESHeadingCAPSChar"/>
    <w:uiPriority w:val="1"/>
    <w:qFormat/>
    <w:rsid w:val="009B1B01"/>
    <w:rPr>
      <w:i w:val="0"/>
      <w:smallCaps/>
      <w:sz w:val="32"/>
    </w:rPr>
  </w:style>
  <w:style w:type="paragraph" w:customStyle="1" w:styleId="PBACESHeading3">
    <w:name w:val="PBAC ES Heading 3"/>
    <w:basedOn w:val="PBACESHeading2"/>
    <w:uiPriority w:val="1"/>
    <w:qFormat/>
    <w:rsid w:val="009B1B01"/>
    <w:pPr>
      <w:ind w:left="1080" w:hanging="1080"/>
    </w:pPr>
    <w:rPr>
      <w:i w:val="0"/>
      <w:sz w:val="24"/>
    </w:rPr>
  </w:style>
  <w:style w:type="character" w:customStyle="1" w:styleId="PBACESHeadingCAPSChar">
    <w:name w:val="PBAC ES Heading CAPS Char"/>
    <w:basedOn w:val="DefaultParagraphFont"/>
    <w:link w:val="PBACESHeadingCAPS"/>
    <w:uiPriority w:val="1"/>
    <w:rsid w:val="009B1B01"/>
    <w:rPr>
      <w:rFonts w:asciiTheme="majorHAnsi" w:eastAsiaTheme="majorEastAsia" w:hAnsiTheme="majorHAnsi" w:cstheme="majorBidi"/>
      <w:b/>
      <w:smallCaps/>
      <w:snapToGrid w:val="0"/>
      <w:sz w:val="32"/>
      <w:szCs w:val="28"/>
      <w:lang w:eastAsia="en-GB"/>
    </w:rPr>
  </w:style>
  <w:style w:type="paragraph" w:customStyle="1" w:styleId="MSACHeading1">
    <w:name w:val="MSAC Heading 1"/>
    <w:basedOn w:val="Heading1"/>
    <w:next w:val="Normal"/>
    <w:uiPriority w:val="1"/>
    <w:qFormat/>
    <w:rsid w:val="009B1B01"/>
    <w:pPr>
      <w:keepNext/>
      <w:keepLines/>
      <w:spacing w:before="160" w:after="240" w:line="259" w:lineRule="auto"/>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9B1B01"/>
    <w:pPr>
      <w:keepNext/>
      <w:keepLines/>
      <w:spacing w:before="360" w:after="120"/>
      <w:ind w:left="720" w:hanging="720"/>
    </w:pPr>
    <w:rPr>
      <w:rFonts w:ascii="Cambria" w:eastAsiaTheme="majorEastAsia" w:hAnsi="Cambria" w:cstheme="majorBidi"/>
      <w:i w:val="0"/>
      <w:snapToGrid w:val="0"/>
      <w:sz w:val="24"/>
      <w:szCs w:val="28"/>
      <w:lang w:eastAsia="en-GB"/>
    </w:rPr>
  </w:style>
  <w:style w:type="character" w:customStyle="1" w:styleId="PBACESHeading2Char">
    <w:name w:val="PBAC ES Heading 2 Char"/>
    <w:basedOn w:val="Heading2Char"/>
    <w:link w:val="PBACESHeading2"/>
    <w:uiPriority w:val="1"/>
    <w:rsid w:val="009B1B01"/>
    <w:rPr>
      <w:rFonts w:asciiTheme="majorHAnsi" w:eastAsiaTheme="majorEastAsia" w:hAnsiTheme="majorHAnsi" w:cstheme="majorBidi"/>
      <w:b/>
      <w:i/>
      <w:snapToGrid w:val="0"/>
      <w:sz w:val="28"/>
      <w:szCs w:val="28"/>
      <w:lang w:eastAsia="en-GB"/>
    </w:rPr>
  </w:style>
  <w:style w:type="paragraph" w:customStyle="1" w:styleId="TableHeading0">
    <w:name w:val="Table Heading"/>
    <w:basedOn w:val="Normal"/>
    <w:link w:val="TableHeadingChar"/>
    <w:qFormat/>
    <w:rsid w:val="009B1B01"/>
    <w:pPr>
      <w:keepNext/>
      <w:keepLines/>
      <w:spacing w:before="20" w:after="20" w:line="276" w:lineRule="auto"/>
    </w:pPr>
    <w:rPr>
      <w:rFonts w:ascii="Arial Narrow" w:eastAsiaTheme="majorEastAsia" w:hAnsi="Arial Narrow"/>
      <w:b/>
      <w:sz w:val="20"/>
      <w:szCs w:val="20"/>
      <w:lang w:bidi="en-US"/>
    </w:rPr>
  </w:style>
  <w:style w:type="character" w:customStyle="1" w:styleId="TableHeadingChar">
    <w:name w:val="Table Heading Char"/>
    <w:basedOn w:val="DefaultParagraphFont"/>
    <w:link w:val="TableHeading0"/>
    <w:locked/>
    <w:rsid w:val="009B1B01"/>
    <w:rPr>
      <w:rFonts w:ascii="Arial Narrow" w:eastAsiaTheme="majorEastAsia" w:hAnsi="Arial Narrow" w:cs="Arial"/>
      <w:b/>
      <w:lang w:bidi="en-US"/>
    </w:rPr>
  </w:style>
  <w:style w:type="character" w:customStyle="1" w:styleId="MainBodyBulletPointChar">
    <w:name w:val="MainBody Bullet Point Char"/>
    <w:basedOn w:val="DefaultParagraphFont"/>
    <w:link w:val="MainBodyBulletPoint"/>
    <w:uiPriority w:val="1"/>
    <w:locked/>
    <w:rsid w:val="009B1B01"/>
    <w:rPr>
      <w:rFonts w:ascii="Calibri" w:hAnsi="Calibri"/>
      <w:sz w:val="24"/>
      <w:szCs w:val="24"/>
      <w:lang w:eastAsia="en-GB"/>
    </w:rPr>
  </w:style>
  <w:style w:type="paragraph" w:customStyle="1" w:styleId="MainBodyBulletPoint">
    <w:name w:val="MainBody Bullet Point"/>
    <w:basedOn w:val="Normal"/>
    <w:link w:val="MainBodyBulletPointChar"/>
    <w:uiPriority w:val="1"/>
    <w:qFormat/>
    <w:rsid w:val="009B1B01"/>
    <w:pPr>
      <w:numPr>
        <w:numId w:val="6"/>
      </w:numPr>
      <w:spacing w:before="120" w:after="120"/>
    </w:pPr>
    <w:rPr>
      <w:rFonts w:cs="Times New Roman"/>
      <w:lang w:eastAsia="en-GB"/>
    </w:rPr>
  </w:style>
  <w:style w:type="character" w:customStyle="1" w:styleId="Heading1Char">
    <w:name w:val="Heading 1 Char"/>
    <w:basedOn w:val="DefaultParagraphFont"/>
    <w:link w:val="Heading1"/>
    <w:uiPriority w:val="1"/>
    <w:rsid w:val="00A405E0"/>
    <w:rPr>
      <w:rFonts w:ascii="Calibri" w:hAnsi="Calibri" w:cs="Arial"/>
      <w:b/>
      <w:caps/>
      <w:sz w:val="32"/>
      <w:szCs w:val="24"/>
    </w:rPr>
  </w:style>
  <w:style w:type="character" w:customStyle="1" w:styleId="Heading3Char">
    <w:name w:val="Heading 3 Char"/>
    <w:basedOn w:val="DefaultParagraphFont"/>
    <w:link w:val="Heading3"/>
    <w:rsid w:val="00A405E0"/>
    <w:rPr>
      <w:rFonts w:ascii="Calibri" w:hAnsi="Calibri" w:cs="Arial"/>
      <w:sz w:val="24"/>
      <w:szCs w:val="24"/>
      <w:u w:val="single"/>
    </w:rPr>
  </w:style>
  <w:style w:type="character" w:customStyle="1" w:styleId="Heading4Char">
    <w:name w:val="Heading 4 Char"/>
    <w:basedOn w:val="DefaultParagraphFont"/>
    <w:link w:val="Heading4"/>
    <w:rsid w:val="00A405E0"/>
    <w:rPr>
      <w:rFonts w:ascii="Calibri" w:hAnsi="Calibri" w:cs="Arial"/>
      <w:b/>
      <w:bCs/>
      <w:i/>
      <w:sz w:val="26"/>
      <w:szCs w:val="28"/>
    </w:rPr>
  </w:style>
  <w:style w:type="character" w:customStyle="1" w:styleId="Heading6Char">
    <w:name w:val="Heading 6 Char"/>
    <w:basedOn w:val="DefaultParagraphFont"/>
    <w:link w:val="Heading6"/>
    <w:rsid w:val="00A405E0"/>
    <w:rPr>
      <w:rFonts w:ascii="Calibri" w:hAnsi="Calibri" w:cs="Arial"/>
      <w:b/>
      <w:bCs/>
      <w:i/>
      <w:sz w:val="24"/>
      <w:szCs w:val="24"/>
    </w:rPr>
  </w:style>
  <w:style w:type="paragraph" w:customStyle="1" w:styleId="msonormal0">
    <w:name w:val="msonormal"/>
    <w:basedOn w:val="Normal"/>
    <w:uiPriority w:val="99"/>
    <w:rsid w:val="00A405E0"/>
    <w:pPr>
      <w:spacing w:before="100" w:after="100"/>
    </w:pPr>
    <w:rPr>
      <w:rFonts w:ascii="Times New Roman" w:hAnsi="Times New Roman" w:cs="Times New Roman"/>
      <w:lang w:val="en-GB"/>
    </w:rPr>
  </w:style>
  <w:style w:type="character" w:customStyle="1" w:styleId="CommentTextChar1">
    <w:name w:val="Comment Text Char1"/>
    <w:aliases w:val="Comment Text Char Char Char Char1,Comment Text Char Char Char2"/>
    <w:basedOn w:val="DefaultParagraphFont"/>
    <w:uiPriority w:val="99"/>
    <w:semiHidden/>
    <w:rsid w:val="00A405E0"/>
    <w:rPr>
      <w:rFonts w:ascii="Calibri" w:hAnsi="Calibri" w:cs="Arial"/>
    </w:rPr>
  </w:style>
  <w:style w:type="character" w:customStyle="1" w:styleId="HeaderChar1">
    <w:name w:val="Header Char1"/>
    <w:aliases w:val="Page Header Char1,Header title Char1,he=header Char1,cntr/bld Char1"/>
    <w:basedOn w:val="DefaultParagraphFont"/>
    <w:semiHidden/>
    <w:rsid w:val="00A405E0"/>
    <w:rPr>
      <w:rFonts w:ascii="Calibri" w:hAnsi="Calibri" w:cs="Arial"/>
      <w:sz w:val="24"/>
      <w:szCs w:val="24"/>
    </w:rPr>
  </w:style>
  <w:style w:type="paragraph" w:styleId="TableofFigures">
    <w:name w:val="table of figures"/>
    <w:basedOn w:val="Normal"/>
    <w:next w:val="Normal"/>
    <w:uiPriority w:val="99"/>
    <w:semiHidden/>
    <w:unhideWhenUsed/>
    <w:rsid w:val="00A405E0"/>
    <w:pPr>
      <w:jc w:val="both"/>
    </w:pPr>
  </w:style>
  <w:style w:type="paragraph" w:customStyle="1" w:styleId="PBACESText">
    <w:name w:val="PBAC ES Text"/>
    <w:basedOn w:val="Normal"/>
    <w:qFormat/>
    <w:rsid w:val="00A405E0"/>
    <w:pPr>
      <w:spacing w:before="60" w:after="80"/>
    </w:pPr>
    <w:rPr>
      <w:sz w:val="22"/>
      <w:lang w:val="en-US" w:eastAsia="en-GB"/>
    </w:rPr>
  </w:style>
  <w:style w:type="character" w:customStyle="1" w:styleId="TableNumberChar">
    <w:name w:val="Table Number Char"/>
    <w:basedOn w:val="DefaultParagraphFont"/>
    <w:link w:val="TableNumber"/>
    <w:locked/>
    <w:rsid w:val="00A405E0"/>
    <w:rPr>
      <w:rFonts w:ascii="Arial Narrow" w:hAnsi="Arial Narrow"/>
      <w:szCs w:val="24"/>
      <w:lang w:eastAsia="en-GB"/>
    </w:rPr>
  </w:style>
  <w:style w:type="paragraph" w:customStyle="1" w:styleId="TableNumber">
    <w:name w:val="Table Number"/>
    <w:basedOn w:val="Normal"/>
    <w:link w:val="TableNumberChar"/>
    <w:qFormat/>
    <w:rsid w:val="00A405E0"/>
    <w:pPr>
      <w:widowControl w:val="0"/>
      <w:tabs>
        <w:tab w:val="decimal" w:pos="396"/>
      </w:tabs>
      <w:spacing w:before="40" w:after="40" w:line="252" w:lineRule="auto"/>
      <w:jc w:val="center"/>
    </w:pPr>
    <w:rPr>
      <w:rFonts w:ascii="Arial Narrow" w:hAnsi="Arial Narrow" w:cs="Times New Roman"/>
      <w:sz w:val="20"/>
      <w:lang w:eastAsia="en-GB"/>
    </w:rPr>
  </w:style>
  <w:style w:type="character" w:customStyle="1" w:styleId="InstructionalTextChar">
    <w:name w:val="Instructional Text Char"/>
    <w:basedOn w:val="DefaultParagraphFont"/>
    <w:link w:val="InstructionalText"/>
    <w:uiPriority w:val="3"/>
    <w:locked/>
    <w:rsid w:val="00A405E0"/>
    <w:rPr>
      <w:rFonts w:asciiTheme="minorHAnsi" w:hAnsiTheme="minorHAnsi" w:cs="Calibri"/>
      <w:color w:val="0070C0"/>
      <w:sz w:val="24"/>
      <w:szCs w:val="24"/>
      <w:lang w:eastAsia="en-GB"/>
    </w:rPr>
  </w:style>
  <w:style w:type="paragraph" w:customStyle="1" w:styleId="InstructionalText">
    <w:name w:val="Instructional Text"/>
    <w:basedOn w:val="Normal"/>
    <w:link w:val="InstructionalTextChar"/>
    <w:uiPriority w:val="3"/>
    <w:qFormat/>
    <w:rsid w:val="00A405E0"/>
    <w:pPr>
      <w:spacing w:before="120" w:after="160"/>
      <w:jc w:val="both"/>
    </w:pPr>
    <w:rPr>
      <w:rFonts w:asciiTheme="minorHAnsi" w:hAnsiTheme="minorHAnsi" w:cs="Calibri"/>
      <w:color w:val="0070C0"/>
      <w:lang w:eastAsia="en-GB"/>
    </w:rPr>
  </w:style>
  <w:style w:type="paragraph" w:customStyle="1" w:styleId="xl110">
    <w:name w:val="xl110"/>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1">
    <w:name w:val="xl111"/>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2">
    <w:name w:val="xl112"/>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3">
    <w:name w:val="xl113"/>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4">
    <w:name w:val="xl114"/>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5">
    <w:name w:val="xl115"/>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6">
    <w:name w:val="xl116"/>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7">
    <w:name w:val="xl117"/>
    <w:basedOn w:val="Normal"/>
    <w:uiPriority w:val="99"/>
    <w:rsid w:val="00A405E0"/>
    <w:pPr>
      <w:spacing w:before="100" w:beforeAutospacing="1" w:after="100" w:afterAutospacing="1"/>
    </w:pPr>
    <w:rPr>
      <w:rFonts w:ascii="Arial Narrow" w:hAnsi="Arial Narrow" w:cs="Times New Roman"/>
      <w:b/>
      <w:bCs/>
      <w:color w:val="7030A0"/>
      <w:sz w:val="20"/>
      <w:szCs w:val="20"/>
    </w:rPr>
  </w:style>
  <w:style w:type="paragraph" w:customStyle="1" w:styleId="xl118">
    <w:name w:val="xl118"/>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9">
    <w:name w:val="xl119"/>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0">
    <w:name w:val="xl120"/>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1">
    <w:name w:val="xl121"/>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2">
    <w:name w:val="xl122"/>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3">
    <w:name w:val="xl123"/>
    <w:basedOn w:val="Normal"/>
    <w:uiPriority w:val="99"/>
    <w:rsid w:val="00A405E0"/>
    <w:pPr>
      <w:spacing w:before="100" w:beforeAutospacing="1" w:after="100" w:afterAutospacing="1"/>
    </w:pPr>
    <w:rPr>
      <w:rFonts w:ascii="Arial Narrow" w:hAnsi="Arial Narrow" w:cs="Times New Roman"/>
      <w:color w:val="BFBFBF"/>
      <w:sz w:val="20"/>
      <w:szCs w:val="20"/>
    </w:rPr>
  </w:style>
  <w:style w:type="paragraph" w:customStyle="1" w:styleId="xl124">
    <w:name w:val="xl124"/>
    <w:basedOn w:val="Normal"/>
    <w:uiPriority w:val="99"/>
    <w:rsid w:val="00A405E0"/>
    <w:pPr>
      <w:spacing w:before="100" w:beforeAutospacing="1" w:after="100" w:afterAutospacing="1"/>
    </w:pPr>
    <w:rPr>
      <w:rFonts w:ascii="Arial Narrow" w:hAnsi="Arial Narrow" w:cs="Times New Roman"/>
      <w:color w:val="BFBFBF"/>
      <w:sz w:val="20"/>
      <w:szCs w:val="20"/>
    </w:rPr>
  </w:style>
  <w:style w:type="paragraph" w:customStyle="1" w:styleId="xl125">
    <w:name w:val="xl125"/>
    <w:basedOn w:val="Normal"/>
    <w:uiPriority w:val="99"/>
    <w:rsid w:val="00A405E0"/>
    <w:pPr>
      <w:spacing w:before="100" w:beforeAutospacing="1" w:after="100" w:afterAutospacing="1"/>
    </w:pPr>
    <w:rPr>
      <w:rFonts w:ascii="Arial Narrow" w:hAnsi="Arial Narrow" w:cs="Times New Roman"/>
      <w:sz w:val="20"/>
      <w:szCs w:val="20"/>
    </w:rPr>
  </w:style>
  <w:style w:type="paragraph" w:customStyle="1" w:styleId="xl126">
    <w:name w:val="xl126"/>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27">
    <w:name w:val="xl127"/>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28">
    <w:name w:val="xl128"/>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29">
    <w:name w:val="xl129"/>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0">
    <w:name w:val="xl130"/>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1">
    <w:name w:val="xl131"/>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2">
    <w:name w:val="xl132"/>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3">
    <w:name w:val="xl133"/>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4">
    <w:name w:val="xl134"/>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5">
    <w:name w:val="xl135"/>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6">
    <w:name w:val="xl136"/>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7">
    <w:name w:val="xl137"/>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8">
    <w:name w:val="xl138"/>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39">
    <w:name w:val="xl139"/>
    <w:basedOn w:val="Normal"/>
    <w:uiPriority w:val="99"/>
    <w:rsid w:val="00A405E0"/>
    <w:pPr>
      <w:shd w:val="clear" w:color="auto" w:fill="E7E6E6"/>
      <w:spacing w:before="100" w:beforeAutospacing="1" w:after="100" w:afterAutospacing="1"/>
      <w:jc w:val="center"/>
    </w:pPr>
    <w:rPr>
      <w:rFonts w:ascii="Arial Narrow" w:hAnsi="Arial Narrow" w:cs="Times New Roman"/>
      <w:color w:val="7030A0"/>
      <w:sz w:val="20"/>
      <w:szCs w:val="20"/>
    </w:rPr>
  </w:style>
  <w:style w:type="paragraph" w:customStyle="1" w:styleId="xl140">
    <w:name w:val="xl140"/>
    <w:basedOn w:val="Normal"/>
    <w:uiPriority w:val="99"/>
    <w:rsid w:val="00A405E0"/>
    <w:pPr>
      <w:shd w:val="clear" w:color="auto" w:fill="E7E6E6"/>
      <w:spacing w:before="100" w:beforeAutospacing="1" w:after="100" w:afterAutospacing="1"/>
      <w:jc w:val="center"/>
    </w:pPr>
    <w:rPr>
      <w:rFonts w:ascii="Arial Narrow" w:hAnsi="Arial Narrow" w:cs="Times New Roman"/>
      <w:color w:val="7030A0"/>
      <w:sz w:val="20"/>
      <w:szCs w:val="20"/>
    </w:rPr>
  </w:style>
  <w:style w:type="paragraph" w:customStyle="1" w:styleId="xl141">
    <w:name w:val="xl141"/>
    <w:basedOn w:val="Normal"/>
    <w:uiPriority w:val="99"/>
    <w:rsid w:val="00A405E0"/>
    <w:pPr>
      <w:shd w:val="clear" w:color="auto" w:fill="FCE4D6"/>
      <w:spacing w:before="100" w:beforeAutospacing="1" w:after="100" w:afterAutospacing="1"/>
      <w:jc w:val="center"/>
    </w:pPr>
    <w:rPr>
      <w:rFonts w:ascii="Arial Narrow" w:hAnsi="Arial Narrow" w:cs="Times New Roman"/>
      <w:color w:val="7030A0"/>
      <w:sz w:val="20"/>
      <w:szCs w:val="20"/>
    </w:rPr>
  </w:style>
  <w:style w:type="paragraph" w:customStyle="1" w:styleId="xl142">
    <w:name w:val="xl142"/>
    <w:basedOn w:val="Normal"/>
    <w:uiPriority w:val="99"/>
    <w:rsid w:val="00A405E0"/>
    <w:pPr>
      <w:shd w:val="clear" w:color="auto" w:fill="FCE4D6"/>
      <w:spacing w:before="100" w:beforeAutospacing="1" w:after="100" w:afterAutospacing="1"/>
      <w:jc w:val="center"/>
    </w:pPr>
    <w:rPr>
      <w:rFonts w:ascii="Arial Narrow" w:hAnsi="Arial Narrow" w:cs="Times New Roman"/>
      <w:color w:val="7030A0"/>
      <w:sz w:val="20"/>
      <w:szCs w:val="20"/>
    </w:rPr>
  </w:style>
  <w:style w:type="paragraph" w:customStyle="1" w:styleId="xl143">
    <w:name w:val="xl143"/>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44">
    <w:name w:val="xl144"/>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45">
    <w:name w:val="xl145"/>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46">
    <w:name w:val="xl146"/>
    <w:basedOn w:val="Normal"/>
    <w:uiPriority w:val="99"/>
    <w:rsid w:val="00A405E0"/>
    <w:pPr>
      <w:pBdr>
        <w:top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47">
    <w:name w:val="xl14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48">
    <w:name w:val="xl148"/>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49">
    <w:name w:val="xl149"/>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50">
    <w:name w:val="xl150"/>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51">
    <w:name w:val="xl151"/>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52">
    <w:name w:val="xl152"/>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53">
    <w:name w:val="xl153"/>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4">
    <w:name w:val="xl154"/>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5">
    <w:name w:val="xl155"/>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6">
    <w:name w:val="xl156"/>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7">
    <w:name w:val="xl15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8">
    <w:name w:val="xl158"/>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9">
    <w:name w:val="xl159"/>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60">
    <w:name w:val="xl160"/>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61">
    <w:name w:val="xl161"/>
    <w:basedOn w:val="Normal"/>
    <w:uiPriority w:val="99"/>
    <w:rsid w:val="00A405E0"/>
    <w:pPr>
      <w:pBdr>
        <w:top w:val="single" w:sz="8" w:space="0" w:color="auto"/>
        <w:left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2">
    <w:name w:val="xl162"/>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3">
    <w:name w:val="xl163"/>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4">
    <w:name w:val="xl164"/>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5">
    <w:name w:val="xl165"/>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6">
    <w:name w:val="xl166"/>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7">
    <w:name w:val="xl167"/>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8">
    <w:name w:val="xl168"/>
    <w:basedOn w:val="Normal"/>
    <w:uiPriority w:val="99"/>
    <w:rsid w:val="00A405E0"/>
    <w:pPr>
      <w:pBdr>
        <w:top w:val="single" w:sz="8" w:space="0" w:color="auto"/>
        <w:right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9">
    <w:name w:val="xl169"/>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0">
    <w:name w:val="xl170"/>
    <w:basedOn w:val="Normal"/>
    <w:uiPriority w:val="99"/>
    <w:rsid w:val="00A405E0"/>
    <w:pPr>
      <w:pBdr>
        <w:top w:val="single" w:sz="4" w:space="0" w:color="auto"/>
        <w:bottom w:val="single" w:sz="4" w:space="0" w:color="auto"/>
      </w:pBdr>
      <w:shd w:val="clear" w:color="auto" w:fill="E7E6E6"/>
      <w:spacing w:before="100" w:beforeAutospacing="1" w:after="100" w:afterAutospacing="1"/>
    </w:pPr>
    <w:rPr>
      <w:rFonts w:ascii="Arial Narrow" w:hAnsi="Arial Narrow" w:cs="Times New Roman"/>
      <w:b/>
      <w:bCs/>
      <w:color w:val="7030A0"/>
      <w:sz w:val="20"/>
      <w:szCs w:val="20"/>
    </w:rPr>
  </w:style>
  <w:style w:type="paragraph" w:customStyle="1" w:styleId="xl171">
    <w:name w:val="xl171"/>
    <w:basedOn w:val="Normal"/>
    <w:uiPriority w:val="99"/>
    <w:rsid w:val="00A405E0"/>
    <w:pPr>
      <w:pBdr>
        <w:top w:val="single" w:sz="4" w:space="0" w:color="auto"/>
        <w:bottom w:val="single" w:sz="4" w:space="0" w:color="auto"/>
      </w:pBdr>
      <w:shd w:val="clear" w:color="auto" w:fill="E7E6E6"/>
      <w:spacing w:before="100" w:beforeAutospacing="1" w:after="100" w:afterAutospacing="1"/>
    </w:pPr>
    <w:rPr>
      <w:rFonts w:ascii="Arial Narrow" w:hAnsi="Arial Narrow" w:cs="Times New Roman"/>
      <w:b/>
      <w:bCs/>
      <w:color w:val="7030A0"/>
      <w:sz w:val="20"/>
      <w:szCs w:val="20"/>
    </w:rPr>
  </w:style>
  <w:style w:type="paragraph" w:customStyle="1" w:styleId="xl172">
    <w:name w:val="xl172"/>
    <w:basedOn w:val="Normal"/>
    <w:uiPriority w:val="99"/>
    <w:rsid w:val="00A405E0"/>
    <w:pPr>
      <w:pBdr>
        <w:top w:val="single" w:sz="4" w:space="0" w:color="auto"/>
        <w:bottom w:val="single" w:sz="4" w:space="0" w:color="auto"/>
      </w:pBdr>
      <w:shd w:val="clear" w:color="auto" w:fill="FCE4D6"/>
      <w:spacing w:before="100" w:beforeAutospacing="1" w:after="100" w:afterAutospacing="1"/>
    </w:pPr>
    <w:rPr>
      <w:rFonts w:ascii="Arial Narrow" w:hAnsi="Arial Narrow" w:cs="Times New Roman"/>
      <w:b/>
      <w:bCs/>
      <w:color w:val="7030A0"/>
      <w:sz w:val="20"/>
      <w:szCs w:val="20"/>
    </w:rPr>
  </w:style>
  <w:style w:type="paragraph" w:customStyle="1" w:styleId="xl173">
    <w:name w:val="xl173"/>
    <w:basedOn w:val="Normal"/>
    <w:uiPriority w:val="99"/>
    <w:rsid w:val="00A405E0"/>
    <w:pPr>
      <w:pBdr>
        <w:top w:val="single" w:sz="4" w:space="0" w:color="auto"/>
        <w:bottom w:val="single" w:sz="4" w:space="0" w:color="auto"/>
      </w:pBdr>
      <w:shd w:val="clear" w:color="auto" w:fill="FCE4D6"/>
      <w:spacing w:before="100" w:beforeAutospacing="1" w:after="100" w:afterAutospacing="1"/>
    </w:pPr>
    <w:rPr>
      <w:rFonts w:ascii="Arial Narrow" w:hAnsi="Arial Narrow" w:cs="Times New Roman"/>
      <w:b/>
      <w:bCs/>
      <w:color w:val="7030A0"/>
      <w:sz w:val="20"/>
      <w:szCs w:val="20"/>
    </w:rPr>
  </w:style>
  <w:style w:type="paragraph" w:customStyle="1" w:styleId="xl174">
    <w:name w:val="xl174"/>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5">
    <w:name w:val="xl175"/>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6">
    <w:name w:val="xl176"/>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7">
    <w:name w:val="xl177"/>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8">
    <w:name w:val="xl178"/>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9">
    <w:name w:val="xl179"/>
    <w:basedOn w:val="Normal"/>
    <w:uiPriority w:val="99"/>
    <w:rsid w:val="00A405E0"/>
    <w:pPr>
      <w:spacing w:before="100" w:beforeAutospacing="1" w:after="100" w:afterAutospacing="1"/>
    </w:pPr>
    <w:rPr>
      <w:rFonts w:ascii="Arial Narrow" w:hAnsi="Arial Narrow" w:cs="Times New Roman"/>
      <w:b/>
      <w:bCs/>
      <w:color w:val="7030A0"/>
      <w:sz w:val="20"/>
      <w:szCs w:val="20"/>
    </w:rPr>
  </w:style>
  <w:style w:type="paragraph" w:customStyle="1" w:styleId="xl180">
    <w:name w:val="xl180"/>
    <w:basedOn w:val="Normal"/>
    <w:uiPriority w:val="99"/>
    <w:rsid w:val="00A405E0"/>
    <w:pPr>
      <w:spacing w:before="100" w:beforeAutospacing="1" w:after="100" w:afterAutospacing="1"/>
      <w:jc w:val="center"/>
    </w:pPr>
    <w:rPr>
      <w:rFonts w:ascii="Arial Narrow" w:hAnsi="Arial Narrow" w:cs="Times New Roman"/>
      <w:b/>
      <w:bCs/>
      <w:color w:val="7030A0"/>
      <w:sz w:val="20"/>
      <w:szCs w:val="20"/>
    </w:rPr>
  </w:style>
  <w:style w:type="paragraph" w:customStyle="1" w:styleId="xl181">
    <w:name w:val="xl181"/>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82">
    <w:name w:val="xl182"/>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83">
    <w:name w:val="xl183"/>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84">
    <w:name w:val="xl184"/>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85">
    <w:name w:val="xl185"/>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86">
    <w:name w:val="xl186"/>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87">
    <w:name w:val="xl18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88">
    <w:name w:val="xl188"/>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89">
    <w:name w:val="xl189"/>
    <w:basedOn w:val="Normal"/>
    <w:uiPriority w:val="99"/>
    <w:rsid w:val="00A405E0"/>
    <w:pPr>
      <w:pBdr>
        <w:top w:val="single" w:sz="4" w:space="0" w:color="auto"/>
      </w:pBdr>
      <w:shd w:val="clear" w:color="auto" w:fill="FFFF00"/>
      <w:spacing w:before="100" w:beforeAutospacing="1" w:after="100" w:afterAutospacing="1"/>
    </w:pPr>
    <w:rPr>
      <w:rFonts w:ascii="Arial Narrow" w:hAnsi="Arial Narrow" w:cs="Times New Roman"/>
      <w:i/>
      <w:iCs/>
      <w:color w:val="7030A0"/>
      <w:sz w:val="20"/>
      <w:szCs w:val="20"/>
    </w:rPr>
  </w:style>
  <w:style w:type="paragraph" w:customStyle="1" w:styleId="xl190">
    <w:name w:val="xl190"/>
    <w:basedOn w:val="Normal"/>
    <w:uiPriority w:val="99"/>
    <w:rsid w:val="00A405E0"/>
    <w:pPr>
      <w:shd w:val="clear" w:color="auto" w:fill="FFFF00"/>
      <w:spacing w:before="100" w:beforeAutospacing="1" w:after="100" w:afterAutospacing="1"/>
    </w:pPr>
    <w:rPr>
      <w:rFonts w:ascii="Arial Narrow" w:hAnsi="Arial Narrow" w:cs="Times New Roman"/>
      <w:i/>
      <w:iCs/>
      <w:color w:val="7030A0"/>
      <w:sz w:val="20"/>
      <w:szCs w:val="20"/>
    </w:rPr>
  </w:style>
  <w:style w:type="paragraph" w:customStyle="1" w:styleId="xl191">
    <w:name w:val="xl191"/>
    <w:basedOn w:val="Normal"/>
    <w:uiPriority w:val="99"/>
    <w:rsid w:val="00A405E0"/>
    <w:pPr>
      <w:shd w:val="clear" w:color="auto" w:fill="FFFF00"/>
      <w:spacing w:before="100" w:beforeAutospacing="1" w:after="100" w:afterAutospacing="1"/>
    </w:pPr>
    <w:rPr>
      <w:rFonts w:ascii="Arial Narrow" w:hAnsi="Arial Narrow" w:cs="Times New Roman"/>
      <w:color w:val="7030A0"/>
      <w:sz w:val="20"/>
      <w:szCs w:val="20"/>
    </w:rPr>
  </w:style>
  <w:style w:type="paragraph" w:customStyle="1" w:styleId="xl192">
    <w:name w:val="xl192"/>
    <w:basedOn w:val="Normal"/>
    <w:uiPriority w:val="99"/>
    <w:rsid w:val="00A405E0"/>
    <w:pPr>
      <w:shd w:val="clear" w:color="auto" w:fill="E7E6E6"/>
      <w:spacing w:before="100" w:beforeAutospacing="1" w:after="100" w:afterAutospacing="1"/>
      <w:jc w:val="center"/>
    </w:pPr>
    <w:rPr>
      <w:rFonts w:ascii="Arial Narrow" w:hAnsi="Arial Narrow" w:cs="Times New Roman"/>
      <w:b/>
      <w:bCs/>
      <w:color w:val="7030A0"/>
      <w:sz w:val="20"/>
      <w:szCs w:val="20"/>
    </w:rPr>
  </w:style>
  <w:style w:type="paragraph" w:customStyle="1" w:styleId="xl193">
    <w:name w:val="xl193"/>
    <w:basedOn w:val="Normal"/>
    <w:uiPriority w:val="99"/>
    <w:rsid w:val="00A405E0"/>
    <w:pPr>
      <w:shd w:val="clear" w:color="auto" w:fill="FCE4D6"/>
      <w:spacing w:before="100" w:beforeAutospacing="1" w:after="100" w:afterAutospacing="1"/>
      <w:jc w:val="center"/>
    </w:pPr>
    <w:rPr>
      <w:rFonts w:ascii="Arial Narrow" w:hAnsi="Arial Narrow" w:cs="Times New Roman"/>
      <w:b/>
      <w:bCs/>
      <w:color w:val="7030A0"/>
      <w:sz w:val="20"/>
      <w:szCs w:val="20"/>
    </w:rPr>
  </w:style>
  <w:style w:type="paragraph" w:customStyle="1" w:styleId="xl194">
    <w:name w:val="xl194"/>
    <w:basedOn w:val="Normal"/>
    <w:uiPriority w:val="99"/>
    <w:rsid w:val="00A405E0"/>
    <w:pPr>
      <w:shd w:val="clear" w:color="auto" w:fill="FFFF00"/>
      <w:spacing w:before="100" w:beforeAutospacing="1" w:after="100" w:afterAutospacing="1"/>
    </w:pPr>
    <w:rPr>
      <w:rFonts w:ascii="Arial Narrow" w:hAnsi="Arial Narrow" w:cs="Times New Roman"/>
      <w:i/>
      <w:iCs/>
      <w:color w:val="7030A0"/>
      <w:sz w:val="20"/>
      <w:szCs w:val="20"/>
    </w:rPr>
  </w:style>
  <w:style w:type="paragraph" w:customStyle="1" w:styleId="xl195">
    <w:name w:val="xl195"/>
    <w:basedOn w:val="Normal"/>
    <w:uiPriority w:val="99"/>
    <w:rsid w:val="00A405E0"/>
    <w:pPr>
      <w:pBdr>
        <w:top w:val="single" w:sz="4" w:space="0" w:color="auto"/>
        <w:bottom w:val="single" w:sz="4" w:space="0" w:color="auto"/>
      </w:pBdr>
      <w:spacing w:before="100" w:beforeAutospacing="1" w:after="100" w:afterAutospacing="1"/>
      <w:jc w:val="center"/>
    </w:pPr>
    <w:rPr>
      <w:rFonts w:ascii="Arial Narrow" w:hAnsi="Arial Narrow" w:cs="Times New Roman"/>
      <w:b/>
      <w:bCs/>
      <w:color w:val="7030A0"/>
      <w:sz w:val="20"/>
      <w:szCs w:val="20"/>
    </w:rPr>
  </w:style>
  <w:style w:type="paragraph" w:customStyle="1" w:styleId="xl196">
    <w:name w:val="xl196"/>
    <w:basedOn w:val="Normal"/>
    <w:uiPriority w:val="99"/>
    <w:rsid w:val="00A405E0"/>
    <w:pPr>
      <w:pBdr>
        <w:top w:val="single" w:sz="4" w:space="0" w:color="auto"/>
      </w:pBdr>
      <w:spacing w:before="100" w:beforeAutospacing="1" w:after="100" w:afterAutospacing="1"/>
      <w:jc w:val="center"/>
    </w:pPr>
    <w:rPr>
      <w:rFonts w:ascii="Arial Narrow" w:hAnsi="Arial Narrow" w:cs="Times New Roman"/>
      <w:color w:val="7030A0"/>
      <w:sz w:val="20"/>
      <w:szCs w:val="20"/>
    </w:rPr>
  </w:style>
  <w:style w:type="paragraph" w:customStyle="1" w:styleId="xl197">
    <w:name w:val="xl19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98">
    <w:name w:val="xl198"/>
    <w:basedOn w:val="Normal"/>
    <w:uiPriority w:val="99"/>
    <w:rsid w:val="00A405E0"/>
    <w:pPr>
      <w:pBdr>
        <w:top w:val="single" w:sz="4" w:space="0" w:color="auto"/>
      </w:pBdr>
      <w:spacing w:before="100" w:beforeAutospacing="1" w:after="100" w:afterAutospacing="1"/>
    </w:pPr>
    <w:rPr>
      <w:rFonts w:ascii="Arial Narrow" w:hAnsi="Arial Narrow" w:cs="Times New Roman"/>
      <w:b/>
      <w:bCs/>
      <w:color w:val="7030A0"/>
      <w:sz w:val="20"/>
      <w:szCs w:val="20"/>
    </w:rPr>
  </w:style>
  <w:style w:type="table" w:customStyle="1" w:styleId="PBACTableStyle1">
    <w:name w:val="PBAC Table Style1"/>
    <w:basedOn w:val="TableGrid1"/>
    <w:uiPriority w:val="99"/>
    <w:rsid w:val="00A405E0"/>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Microsoft JhengHei UI Light" w:hAnsi="Microsoft JhengHei UI Light"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Microsoft JhengHei UI Light" w:hAnsi="Microsoft JhengHei UI Light"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Microsoft JhengHei UI Light" w:hAnsi="Microsoft JhengHei UI Light"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
    <w:name w:val="PBAC Table Style2"/>
    <w:basedOn w:val="TableGrid1"/>
    <w:uiPriority w:val="99"/>
    <w:rsid w:val="00A405E0"/>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Microsoft JhengHei UI Light" w:hAnsi="Microsoft JhengHei UI Light"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Microsoft JhengHei UI Light" w:hAnsi="Microsoft JhengHei UI Light"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Microsoft JhengHei UI Light" w:hAnsi="Microsoft JhengHei UI Light"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ASDTable2">
    <w:name w:val="ASD Table2"/>
    <w:basedOn w:val="TableNormal"/>
    <w:uiPriority w:val="39"/>
    <w:rsid w:val="00A405E0"/>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ILILLYTABLE">
    <w:name w:val="ELI_LILLY TABLE"/>
    <w:basedOn w:val="TableNormal"/>
    <w:uiPriority w:val="99"/>
    <w:rsid w:val="00A405E0"/>
    <w:pPr>
      <w:spacing w:before="20" w:after="20"/>
      <w:ind w:left="113" w:right="113"/>
    </w:pPr>
    <w:rPr>
      <w:rFonts w:ascii="Calibri" w:eastAsia="Calibri" w:hAnsi="Calibri"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i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cPr>
    </w:tblStylePr>
  </w:style>
  <w:style w:type="numbering" w:customStyle="1" w:styleId="Style1">
    <w:name w:val="Style1"/>
    <w:uiPriority w:val="99"/>
    <w:rsid w:val="00A405E0"/>
    <w:pPr>
      <w:numPr>
        <w:numId w:val="12"/>
      </w:numPr>
    </w:pPr>
  </w:style>
  <w:style w:type="paragraph" w:customStyle="1" w:styleId="SyneviNormal">
    <w:name w:val="Synevi Normal"/>
    <w:basedOn w:val="Normal"/>
    <w:link w:val="SyneviNormalChar"/>
    <w:qFormat/>
    <w:rsid w:val="002C520D"/>
    <w:pPr>
      <w:spacing w:line="360" w:lineRule="auto"/>
      <w:jc w:val="both"/>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2C520D"/>
    <w:rPr>
      <w:rFonts w:asciiTheme="minorHAnsi" w:hAnsiTheme="minorHAnsi"/>
      <w:sz w:val="22"/>
      <w:lang w:val="en-US" w:eastAsia="en-US"/>
    </w:rPr>
  </w:style>
  <w:style w:type="table" w:customStyle="1" w:styleId="Summarybox13">
    <w:name w:val="Summary box13"/>
    <w:basedOn w:val="TableNormal"/>
    <w:next w:val="TableGrid"/>
    <w:uiPriority w:val="39"/>
    <w:rsid w:val="001463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
    <w:qFormat/>
    <w:rsid w:val="007D711D"/>
    <w:pPr>
      <w:keepNext/>
      <w:numPr>
        <w:numId w:val="16"/>
      </w:numPr>
      <w:tabs>
        <w:tab w:val="left" w:pos="416"/>
        <w:tab w:val="left" w:pos="582"/>
      </w:tabs>
      <w:contextualSpacing/>
      <w:jc w:val="both"/>
    </w:pPr>
    <w:rPr>
      <w:rFonts w:ascii="Arial Narrow" w:hAnsi="Arial Narrow" w:cs="Times New Roman"/>
      <w:sz w:val="20"/>
      <w:szCs w:val="20"/>
      <w:lang w:eastAsia="en-US"/>
    </w:rPr>
  </w:style>
  <w:style w:type="table" w:customStyle="1" w:styleId="Summarybox11">
    <w:name w:val="Summary box11"/>
    <w:basedOn w:val="TableNormal"/>
    <w:uiPriority w:val="59"/>
    <w:rsid w:val="007D711D"/>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0">
    <w:name w:val="Table heading Char"/>
    <w:basedOn w:val="DefaultParagraphFont"/>
    <w:link w:val="Tableheading1"/>
    <w:locked/>
    <w:rsid w:val="007D711D"/>
    <w:rPr>
      <w:b/>
    </w:rPr>
  </w:style>
  <w:style w:type="paragraph" w:customStyle="1" w:styleId="Tableheading1">
    <w:name w:val="Table heading"/>
    <w:basedOn w:val="Normal"/>
    <w:link w:val="TableheadingChar0"/>
    <w:qFormat/>
    <w:rsid w:val="007D711D"/>
    <w:pPr>
      <w:keepNext/>
      <w:keepLines/>
    </w:pPr>
    <w:rPr>
      <w:rFonts w:ascii="Times New Roman" w:hAnsi="Times New Roman" w:cs="Times New Roman"/>
      <w:b/>
      <w:sz w:val="20"/>
      <w:szCs w:val="20"/>
    </w:rPr>
  </w:style>
  <w:style w:type="paragraph" w:customStyle="1" w:styleId="Ntabletext">
    <w:name w:val="N table text"/>
    <w:basedOn w:val="Tabletext"/>
    <w:qFormat/>
    <w:rsid w:val="007D711D"/>
    <w:pPr>
      <w:keepNext/>
      <w:numPr>
        <w:numId w:val="18"/>
      </w:numPr>
      <w:tabs>
        <w:tab w:val="num" w:pos="360"/>
      </w:tabs>
      <w:ind w:left="0" w:firstLine="0"/>
      <w:contextualSpacing/>
      <w:jc w:val="both"/>
    </w:pPr>
    <w:rPr>
      <w:rFonts w:asciiTheme="minorHAnsi" w:eastAsiaTheme="minorHAnsi" w:hAnsiTheme="minorHAnsi" w:cstheme="minorBidi"/>
      <w:snapToGrid/>
      <w:szCs w:val="20"/>
      <w:lang w:eastAsia="en-US"/>
    </w:rPr>
  </w:style>
  <w:style w:type="table" w:customStyle="1" w:styleId="Summarybox10">
    <w:name w:val="Summary box10"/>
    <w:basedOn w:val="TableNormal"/>
    <w:uiPriority w:val="59"/>
    <w:rsid w:val="007D711D"/>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qFormat/>
    <w:rsid w:val="007D711D"/>
    <w:pPr>
      <w:keepNext/>
      <w:jc w:val="both"/>
    </w:pPr>
    <w:rPr>
      <w:rFonts w:eastAsiaTheme="minorHAnsi" w:cstheme="minorBidi"/>
      <w:sz w:val="20"/>
      <w:szCs w:val="22"/>
      <w:lang w:eastAsia="en-US"/>
    </w:rPr>
  </w:style>
  <w:style w:type="table" w:customStyle="1" w:styleId="LightShading1">
    <w:name w:val="Light Shading1"/>
    <w:basedOn w:val="TableNormal"/>
    <w:next w:val="LightShading"/>
    <w:uiPriority w:val="60"/>
    <w:rsid w:val="007D711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7D711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ListParagraph">
    <w:name w:val="Table List Paragraph"/>
    <w:basedOn w:val="TableText0"/>
    <w:link w:val="TableListParagraphChar"/>
    <w:uiPriority w:val="3"/>
    <w:qFormat/>
    <w:rsid w:val="007D711D"/>
    <w:pPr>
      <w:numPr>
        <w:numId w:val="25"/>
      </w:numPr>
    </w:pPr>
    <w:rPr>
      <w:rFonts w:ascii="Arial" w:eastAsiaTheme="minorHAnsi" w:hAnsi="Arial" w:cstheme="minorBidi"/>
      <w:bCs w:val="0"/>
      <w:sz w:val="18"/>
      <w:szCs w:val="22"/>
      <w:lang w:val="en-US" w:eastAsia="en-US"/>
    </w:rPr>
  </w:style>
  <w:style w:type="character" w:customStyle="1" w:styleId="TableListParagraphChar">
    <w:name w:val="Table List Paragraph Char"/>
    <w:basedOn w:val="TableTextChar0"/>
    <w:link w:val="TableListParagraph"/>
    <w:uiPriority w:val="3"/>
    <w:rsid w:val="007D711D"/>
    <w:rPr>
      <w:rFonts w:ascii="Arial" w:eastAsiaTheme="minorHAnsi" w:hAnsi="Arial" w:cstheme="minorBidi"/>
      <w:bCs w:val="0"/>
      <w:sz w:val="18"/>
      <w:szCs w:val="22"/>
      <w:lang w:val="en-US" w:eastAsia="en-US"/>
    </w:rPr>
  </w:style>
  <w:style w:type="table" w:styleId="GridTable1Light">
    <w:name w:val="Grid Table 1 Light"/>
    <w:basedOn w:val="TableNormal"/>
    <w:uiPriority w:val="46"/>
    <w:rsid w:val="005C0E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5C0E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Caption"/>
    <w:basedOn w:val="Caption"/>
    <w:next w:val="Normal"/>
    <w:qFormat/>
    <w:rsid w:val="00BB0651"/>
    <w:pPr>
      <w:keepLines w:val="0"/>
      <w:tabs>
        <w:tab w:val="left" w:pos="1701"/>
      </w:tabs>
      <w:spacing w:before="180" w:after="120" w:line="276" w:lineRule="auto"/>
      <w:ind w:left="1701" w:hanging="1701"/>
      <w:outlineLvl w:val="2"/>
    </w:pPr>
    <w:rPr>
      <w:rFonts w:ascii="Arial" w:hAnsi="Arial" w:cs="Times New Roman"/>
      <w:szCs w:val="20"/>
    </w:rPr>
  </w:style>
  <w:style w:type="paragraph" w:customStyle="1" w:styleId="TextUnderTable">
    <w:name w:val="Text Under Table"/>
    <w:basedOn w:val="Normal"/>
    <w:link w:val="TextUnderTableChar"/>
    <w:qFormat/>
    <w:rsid w:val="00BB0651"/>
    <w:pPr>
      <w:keepNext/>
      <w:keepLines/>
      <w:spacing w:before="120" w:after="120" w:line="276" w:lineRule="auto"/>
      <w:contextualSpacing/>
    </w:pPr>
    <w:rPr>
      <w:rFonts w:ascii="Arial" w:hAnsi="Arial" w:cs="Times New Roman"/>
      <w:i/>
      <w:sz w:val="18"/>
      <w:szCs w:val="22"/>
    </w:rPr>
  </w:style>
  <w:style w:type="character" w:customStyle="1" w:styleId="TextUnderTableChar">
    <w:name w:val="Text Under Table Char"/>
    <w:link w:val="TextUnderTable"/>
    <w:rsid w:val="00BB0651"/>
    <w:rPr>
      <w:rFonts w:ascii="Arial" w:hAnsi="Arial"/>
      <w:i/>
      <w:sz w:val="18"/>
      <w:szCs w:val="22"/>
    </w:rPr>
  </w:style>
  <w:style w:type="character" w:styleId="PlaceholderText">
    <w:name w:val="Placeholder Text"/>
    <w:basedOn w:val="DefaultParagraphFont"/>
    <w:uiPriority w:val="99"/>
    <w:semiHidden/>
    <w:rsid w:val="00DC4672"/>
    <w:rPr>
      <w:color w:val="808080"/>
    </w:rPr>
  </w:style>
  <w:style w:type="paragraph" w:customStyle="1" w:styleId="3-SubsectionHeading">
    <w:name w:val="3-Subsection Heading"/>
    <w:basedOn w:val="Heading2"/>
    <w:next w:val="Normal"/>
    <w:link w:val="3-SubsectionHeadingChar"/>
    <w:qFormat/>
    <w:rsid w:val="006E4BFC"/>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E4BFC"/>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3E0D3E"/>
    <w:pPr>
      <w:numPr>
        <w:ilvl w:val="1"/>
      </w:numPr>
      <w:spacing w:before="120" w:after="180" w:line="240" w:lineRule="atLeast"/>
      <w:ind w:left="1080" w:hanging="360"/>
      <w:contextualSpacing w:val="0"/>
    </w:pPr>
    <w:rPr>
      <w:rFonts w:ascii="Cambria" w:eastAsia="Cambria" w:hAnsi="Cambria" w:cs="Times New Roman"/>
      <w:sz w:val="22"/>
      <w:szCs w:val="22"/>
      <w:lang w:eastAsia="en-US"/>
    </w:rPr>
  </w:style>
  <w:style w:type="paragraph" w:customStyle="1" w:styleId="Numberbullet3">
    <w:name w:val="Number bullet 3"/>
    <w:basedOn w:val="ListBullet3"/>
    <w:qFormat/>
    <w:rsid w:val="003E0D3E"/>
    <w:pPr>
      <w:numPr>
        <w:ilvl w:val="2"/>
        <w:numId w:val="55"/>
      </w:numPr>
      <w:spacing w:before="120" w:after="180" w:line="240" w:lineRule="atLeast"/>
      <w:ind w:left="1800" w:hanging="180"/>
      <w:contextualSpacing w:val="0"/>
    </w:pPr>
    <w:rPr>
      <w:rFonts w:ascii="Cambria" w:eastAsia="Cambria" w:hAnsi="Cambria" w:cs="Times New Roman"/>
      <w:sz w:val="22"/>
      <w:szCs w:val="22"/>
      <w:lang w:eastAsia="en-US"/>
    </w:rPr>
  </w:style>
  <w:style w:type="numbering" w:customStyle="1" w:styleId="NumberBullet">
    <w:name w:val="NumberBullet"/>
    <w:uiPriority w:val="99"/>
    <w:locked/>
    <w:rsid w:val="003E0D3E"/>
    <w:pPr>
      <w:numPr>
        <w:numId w:val="55"/>
      </w:numPr>
    </w:pPr>
  </w:style>
  <w:style w:type="paragraph" w:customStyle="1" w:styleId="COMH1numbered">
    <w:name w:val="COM H1 numbered"/>
    <w:next w:val="Normal"/>
    <w:link w:val="COMH1numberedChar"/>
    <w:qFormat/>
    <w:rsid w:val="003E0D3E"/>
    <w:pPr>
      <w:keepNext/>
      <w:numPr>
        <w:numId w:val="55"/>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3E0D3E"/>
    <w:rPr>
      <w:rFonts w:asciiTheme="minorHAnsi" w:hAnsiTheme="minorHAnsi" w:cs="Arial"/>
      <w:b/>
      <w:snapToGrid w:val="0"/>
      <w:sz w:val="32"/>
      <w:szCs w:val="32"/>
    </w:rPr>
  </w:style>
  <w:style w:type="paragraph" w:styleId="ListBullet2">
    <w:name w:val="List Bullet 2"/>
    <w:basedOn w:val="Normal"/>
    <w:semiHidden/>
    <w:unhideWhenUsed/>
    <w:rsid w:val="003E0D3E"/>
    <w:pPr>
      <w:ind w:left="425" w:hanging="425"/>
      <w:contextualSpacing/>
    </w:pPr>
  </w:style>
  <w:style w:type="paragraph" w:styleId="ListBullet3">
    <w:name w:val="List Bullet 3"/>
    <w:basedOn w:val="Normal"/>
    <w:semiHidden/>
    <w:unhideWhenUsed/>
    <w:rsid w:val="003E0D3E"/>
    <w:pPr>
      <w:ind w:left="720" w:hanging="720"/>
      <w:contextualSpacing/>
    </w:pPr>
  </w:style>
  <w:style w:type="character" w:styleId="Mention">
    <w:name w:val="Mention"/>
    <w:basedOn w:val="DefaultParagraphFont"/>
    <w:uiPriority w:val="99"/>
    <w:unhideWhenUsed/>
    <w:rsid w:val="00BD2F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478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0743594">
      <w:bodyDiv w:val="1"/>
      <w:marLeft w:val="0"/>
      <w:marRight w:val="0"/>
      <w:marTop w:val="0"/>
      <w:marBottom w:val="0"/>
      <w:divBdr>
        <w:top w:val="none" w:sz="0" w:space="0" w:color="auto"/>
        <w:left w:val="none" w:sz="0" w:space="0" w:color="auto"/>
        <w:bottom w:val="none" w:sz="0" w:space="0" w:color="auto"/>
        <w:right w:val="none" w:sz="0" w:space="0" w:color="auto"/>
      </w:divBdr>
    </w:div>
    <w:div w:id="68212841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3763772">
      <w:bodyDiv w:val="1"/>
      <w:marLeft w:val="0"/>
      <w:marRight w:val="0"/>
      <w:marTop w:val="0"/>
      <w:marBottom w:val="0"/>
      <w:divBdr>
        <w:top w:val="none" w:sz="0" w:space="0" w:color="auto"/>
        <w:left w:val="none" w:sz="0" w:space="0" w:color="auto"/>
        <w:bottom w:val="none" w:sz="0" w:space="0" w:color="auto"/>
        <w:right w:val="none" w:sz="0" w:space="0" w:color="auto"/>
      </w:divBdr>
    </w:div>
    <w:div w:id="874005391">
      <w:bodyDiv w:val="1"/>
      <w:marLeft w:val="0"/>
      <w:marRight w:val="0"/>
      <w:marTop w:val="0"/>
      <w:marBottom w:val="0"/>
      <w:divBdr>
        <w:top w:val="none" w:sz="0" w:space="0" w:color="auto"/>
        <w:left w:val="none" w:sz="0" w:space="0" w:color="auto"/>
        <w:bottom w:val="none" w:sz="0" w:space="0" w:color="auto"/>
        <w:right w:val="none" w:sz="0" w:space="0" w:color="auto"/>
      </w:divBdr>
    </w:div>
    <w:div w:id="926114980">
      <w:bodyDiv w:val="1"/>
      <w:marLeft w:val="0"/>
      <w:marRight w:val="0"/>
      <w:marTop w:val="0"/>
      <w:marBottom w:val="0"/>
      <w:divBdr>
        <w:top w:val="none" w:sz="0" w:space="0" w:color="auto"/>
        <w:left w:val="none" w:sz="0" w:space="0" w:color="auto"/>
        <w:bottom w:val="none" w:sz="0" w:space="0" w:color="auto"/>
        <w:right w:val="none" w:sz="0" w:space="0" w:color="auto"/>
      </w:divBdr>
    </w:div>
    <w:div w:id="989017338">
      <w:bodyDiv w:val="1"/>
      <w:marLeft w:val="0"/>
      <w:marRight w:val="0"/>
      <w:marTop w:val="0"/>
      <w:marBottom w:val="0"/>
      <w:divBdr>
        <w:top w:val="none" w:sz="0" w:space="0" w:color="auto"/>
        <w:left w:val="none" w:sz="0" w:space="0" w:color="auto"/>
        <w:bottom w:val="none" w:sz="0" w:space="0" w:color="auto"/>
        <w:right w:val="none" w:sz="0" w:space="0" w:color="auto"/>
      </w:divBdr>
    </w:div>
    <w:div w:id="1133715896">
      <w:bodyDiv w:val="1"/>
      <w:marLeft w:val="0"/>
      <w:marRight w:val="0"/>
      <w:marTop w:val="0"/>
      <w:marBottom w:val="0"/>
      <w:divBdr>
        <w:top w:val="none" w:sz="0" w:space="0" w:color="auto"/>
        <w:left w:val="none" w:sz="0" w:space="0" w:color="auto"/>
        <w:bottom w:val="none" w:sz="0" w:space="0" w:color="auto"/>
        <w:right w:val="none" w:sz="0" w:space="0" w:color="auto"/>
      </w:divBdr>
    </w:div>
    <w:div w:id="114677825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3248831">
      <w:bodyDiv w:val="1"/>
      <w:marLeft w:val="0"/>
      <w:marRight w:val="0"/>
      <w:marTop w:val="0"/>
      <w:marBottom w:val="0"/>
      <w:divBdr>
        <w:top w:val="none" w:sz="0" w:space="0" w:color="auto"/>
        <w:left w:val="none" w:sz="0" w:space="0" w:color="auto"/>
        <w:bottom w:val="none" w:sz="0" w:space="0" w:color="auto"/>
        <w:right w:val="none" w:sz="0" w:space="0" w:color="auto"/>
      </w:divBdr>
    </w:div>
    <w:div w:id="1337339830">
      <w:bodyDiv w:val="1"/>
      <w:marLeft w:val="0"/>
      <w:marRight w:val="0"/>
      <w:marTop w:val="0"/>
      <w:marBottom w:val="0"/>
      <w:divBdr>
        <w:top w:val="none" w:sz="0" w:space="0" w:color="auto"/>
        <w:left w:val="none" w:sz="0" w:space="0" w:color="auto"/>
        <w:bottom w:val="none" w:sz="0" w:space="0" w:color="auto"/>
        <w:right w:val="none" w:sz="0" w:space="0" w:color="auto"/>
      </w:divBdr>
    </w:div>
    <w:div w:id="1421022694">
      <w:bodyDiv w:val="1"/>
      <w:marLeft w:val="0"/>
      <w:marRight w:val="0"/>
      <w:marTop w:val="0"/>
      <w:marBottom w:val="0"/>
      <w:divBdr>
        <w:top w:val="none" w:sz="0" w:space="0" w:color="auto"/>
        <w:left w:val="none" w:sz="0" w:space="0" w:color="auto"/>
        <w:bottom w:val="none" w:sz="0" w:space="0" w:color="auto"/>
        <w:right w:val="none" w:sz="0" w:space="0" w:color="auto"/>
      </w:divBdr>
    </w:div>
    <w:div w:id="1498038893">
      <w:bodyDiv w:val="1"/>
      <w:marLeft w:val="0"/>
      <w:marRight w:val="0"/>
      <w:marTop w:val="0"/>
      <w:marBottom w:val="0"/>
      <w:divBdr>
        <w:top w:val="none" w:sz="0" w:space="0" w:color="auto"/>
        <w:left w:val="none" w:sz="0" w:space="0" w:color="auto"/>
        <w:bottom w:val="none" w:sz="0" w:space="0" w:color="auto"/>
        <w:right w:val="none" w:sz="0" w:space="0" w:color="auto"/>
      </w:divBdr>
    </w:div>
    <w:div w:id="1581676252">
      <w:bodyDiv w:val="1"/>
      <w:marLeft w:val="0"/>
      <w:marRight w:val="0"/>
      <w:marTop w:val="0"/>
      <w:marBottom w:val="0"/>
      <w:divBdr>
        <w:top w:val="none" w:sz="0" w:space="0" w:color="auto"/>
        <w:left w:val="none" w:sz="0" w:space="0" w:color="auto"/>
        <w:bottom w:val="none" w:sz="0" w:space="0" w:color="auto"/>
        <w:right w:val="none" w:sz="0" w:space="0" w:color="auto"/>
      </w:divBdr>
    </w:div>
    <w:div w:id="1634484200">
      <w:bodyDiv w:val="1"/>
      <w:marLeft w:val="0"/>
      <w:marRight w:val="0"/>
      <w:marTop w:val="0"/>
      <w:marBottom w:val="0"/>
      <w:divBdr>
        <w:top w:val="none" w:sz="0" w:space="0" w:color="auto"/>
        <w:left w:val="none" w:sz="0" w:space="0" w:color="auto"/>
        <w:bottom w:val="none" w:sz="0" w:space="0" w:color="auto"/>
        <w:right w:val="none" w:sz="0" w:space="0" w:color="auto"/>
      </w:divBdr>
    </w:div>
    <w:div w:id="1636790749">
      <w:bodyDiv w:val="1"/>
      <w:marLeft w:val="0"/>
      <w:marRight w:val="0"/>
      <w:marTop w:val="0"/>
      <w:marBottom w:val="0"/>
      <w:divBdr>
        <w:top w:val="none" w:sz="0" w:space="0" w:color="auto"/>
        <w:left w:val="none" w:sz="0" w:space="0" w:color="auto"/>
        <w:bottom w:val="none" w:sz="0" w:space="0" w:color="auto"/>
        <w:right w:val="none" w:sz="0" w:space="0" w:color="auto"/>
      </w:divBdr>
    </w:div>
    <w:div w:id="1676491467">
      <w:bodyDiv w:val="1"/>
      <w:marLeft w:val="0"/>
      <w:marRight w:val="0"/>
      <w:marTop w:val="0"/>
      <w:marBottom w:val="0"/>
      <w:divBdr>
        <w:top w:val="none" w:sz="0" w:space="0" w:color="auto"/>
        <w:left w:val="none" w:sz="0" w:space="0" w:color="auto"/>
        <w:bottom w:val="none" w:sz="0" w:space="0" w:color="auto"/>
        <w:right w:val="none" w:sz="0" w:space="0" w:color="auto"/>
      </w:divBdr>
    </w:div>
    <w:div w:id="1717122116">
      <w:bodyDiv w:val="1"/>
      <w:marLeft w:val="0"/>
      <w:marRight w:val="0"/>
      <w:marTop w:val="0"/>
      <w:marBottom w:val="0"/>
      <w:divBdr>
        <w:top w:val="none" w:sz="0" w:space="0" w:color="auto"/>
        <w:left w:val="none" w:sz="0" w:space="0" w:color="auto"/>
        <w:bottom w:val="none" w:sz="0" w:space="0" w:color="auto"/>
        <w:right w:val="none" w:sz="0" w:space="0" w:color="auto"/>
      </w:divBdr>
    </w:div>
    <w:div w:id="1768429013">
      <w:bodyDiv w:val="1"/>
      <w:marLeft w:val="0"/>
      <w:marRight w:val="0"/>
      <w:marTop w:val="0"/>
      <w:marBottom w:val="0"/>
      <w:divBdr>
        <w:top w:val="none" w:sz="0" w:space="0" w:color="auto"/>
        <w:left w:val="none" w:sz="0" w:space="0" w:color="auto"/>
        <w:bottom w:val="none" w:sz="0" w:space="0" w:color="auto"/>
        <w:right w:val="none" w:sz="0" w:space="0" w:color="auto"/>
      </w:divBdr>
    </w:div>
    <w:div w:id="1790852081">
      <w:bodyDiv w:val="1"/>
      <w:marLeft w:val="0"/>
      <w:marRight w:val="0"/>
      <w:marTop w:val="0"/>
      <w:marBottom w:val="0"/>
      <w:divBdr>
        <w:top w:val="none" w:sz="0" w:space="0" w:color="auto"/>
        <w:left w:val="none" w:sz="0" w:space="0" w:color="auto"/>
        <w:bottom w:val="none" w:sz="0" w:space="0" w:color="auto"/>
        <w:right w:val="none" w:sz="0" w:space="0" w:color="auto"/>
      </w:divBdr>
    </w:div>
    <w:div w:id="1809124530">
      <w:bodyDiv w:val="1"/>
      <w:marLeft w:val="0"/>
      <w:marRight w:val="0"/>
      <w:marTop w:val="0"/>
      <w:marBottom w:val="0"/>
      <w:divBdr>
        <w:top w:val="none" w:sz="0" w:space="0" w:color="auto"/>
        <w:left w:val="none" w:sz="0" w:space="0" w:color="auto"/>
        <w:bottom w:val="none" w:sz="0" w:space="0" w:color="auto"/>
        <w:right w:val="none" w:sz="0" w:space="0" w:color="auto"/>
      </w:divBdr>
    </w:div>
    <w:div w:id="19232486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5953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oqol.org/wp-content/uploads/2017/02/EQ-5D-5L_Crosswalk_model_and__methodolo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845A-1DA8-4D4B-B6FD-77BD36840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15352</Words>
  <Characters>87509</Characters>
  <Application>Microsoft Office Word</Application>
  <DocSecurity>0</DocSecurity>
  <Lines>729</Lines>
  <Paragraphs>205</Paragraphs>
  <ScaleCrop>false</ScaleCrop>
  <Company/>
  <LinksUpToDate>false</LinksUpToDate>
  <CharactersWithSpaces>102656</CharactersWithSpaces>
  <SharedDoc>false</SharedDoc>
  <HLinks>
    <vt:vector size="18" baseType="variant">
      <vt:variant>
        <vt:i4>1048681</vt:i4>
      </vt:variant>
      <vt:variant>
        <vt:i4>0</vt:i4>
      </vt:variant>
      <vt:variant>
        <vt:i4>0</vt:i4>
      </vt:variant>
      <vt:variant>
        <vt:i4>5</vt:i4>
      </vt:variant>
      <vt:variant>
        <vt:lpwstr>https://euroqol.org/wp-content/uploads/2017/02/EQ-5D-5L_Crosswalk_model_and__methodology.pdf</vt:lpwstr>
      </vt:variant>
      <vt:variant>
        <vt:lpwstr/>
      </vt:variant>
      <vt:variant>
        <vt:i4>3342382</vt:i4>
      </vt:variant>
      <vt:variant>
        <vt:i4>3</vt:i4>
      </vt:variant>
      <vt:variant>
        <vt:i4>0</vt:i4>
      </vt:variant>
      <vt:variant>
        <vt:i4>5</vt:i4>
      </vt:variant>
      <vt:variant>
        <vt:lpwstr>http://clinicaltrials.gov/show/NCT03748641</vt:lpwstr>
      </vt:variant>
      <vt:variant>
        <vt:lpwstr/>
      </vt:variant>
      <vt:variant>
        <vt:i4>3342399</vt:i4>
      </vt:variant>
      <vt:variant>
        <vt:i4>0</vt:i4>
      </vt:variant>
      <vt:variant>
        <vt:i4>0</vt:i4>
      </vt:variant>
      <vt:variant>
        <vt:i4>5</vt:i4>
      </vt:variant>
      <vt:variant>
        <vt:lpwstr>https://www.pbs.gov.au/medicine/item/12929l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2024-07-04T01:06:00Z</dcterms:created>
  <dcterms:modified xsi:type="dcterms:W3CDTF">2024-07-04T01:15:00Z</dcterms:modified>
</cp:coreProperties>
</file>