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F5E1CFE" w:rsidR="00B60939" w:rsidRPr="009941F8" w:rsidRDefault="000A7B13" w:rsidP="004A6040">
      <w:pPr>
        <w:pStyle w:val="1-MainHeading"/>
      </w:pPr>
      <w:bookmarkStart w:id="0" w:name="_Toc156918334"/>
      <w:r w:rsidRPr="009941F8">
        <w:t>7.02</w:t>
      </w:r>
      <w:r w:rsidR="00163F66" w:rsidRPr="009941F8">
        <w:tab/>
      </w:r>
      <w:r w:rsidR="001B64B4" w:rsidRPr="009941F8">
        <w:t>ANIFROLUMAB</w:t>
      </w:r>
      <w:r w:rsidR="00163F66" w:rsidRPr="009941F8">
        <w:t>,</w:t>
      </w:r>
      <w:r w:rsidR="00163F66" w:rsidRPr="009941F8">
        <w:br/>
      </w:r>
      <w:r w:rsidR="001B64B4" w:rsidRPr="009941F8">
        <w:t>Solution concentrate for I.V. infusion 300 mg in 2 mL,</w:t>
      </w:r>
      <w:r w:rsidR="001B64B4" w:rsidRPr="009941F8">
        <w:br/>
        <w:t>Saphnelo</w:t>
      </w:r>
      <w:r w:rsidR="001B64B4" w:rsidRPr="009941F8">
        <w:rPr>
          <w:vertAlign w:val="superscript"/>
        </w:rPr>
        <w:t>®</w:t>
      </w:r>
      <w:r w:rsidR="001B64B4" w:rsidRPr="009941F8">
        <w:t>,</w:t>
      </w:r>
      <w:r w:rsidR="001B64B4" w:rsidRPr="009941F8">
        <w:br/>
        <w:t>AstraZeneca Pty Ltd.</w:t>
      </w:r>
      <w:bookmarkEnd w:id="0"/>
      <w:r w:rsidR="001B64B4" w:rsidRPr="009941F8">
        <w:rPr>
          <w:rFonts w:ascii="Calibri" w:eastAsia="Times New Roman" w:hAnsi="Calibri" w:cs="Arial"/>
          <w:b w:val="0"/>
          <w:color w:val="0066FF"/>
          <w:spacing w:val="0"/>
          <w:kern w:val="0"/>
          <w:sz w:val="24"/>
          <w:szCs w:val="24"/>
        </w:rPr>
        <w:t xml:space="preserve"> </w:t>
      </w:r>
    </w:p>
    <w:p w14:paraId="11C00795" w14:textId="3DFB6D23" w:rsidR="00B50DB8" w:rsidRPr="009941F8" w:rsidRDefault="00B50DB8" w:rsidP="004A6040">
      <w:pPr>
        <w:pStyle w:val="2-SectionHeading"/>
      </w:pPr>
      <w:bookmarkStart w:id="1" w:name="_Toc156918336"/>
      <w:r w:rsidRPr="009941F8">
        <w:t xml:space="preserve">Purpose of </w:t>
      </w:r>
      <w:r w:rsidR="00CD7193" w:rsidRPr="009941F8">
        <w:t>s</w:t>
      </w:r>
      <w:r w:rsidR="00BB3A45" w:rsidRPr="009941F8">
        <w:t>ubmission</w:t>
      </w:r>
      <w:bookmarkEnd w:id="1"/>
    </w:p>
    <w:p w14:paraId="0183C88F" w14:textId="5E4424B6" w:rsidR="00CF09F9" w:rsidRPr="009941F8" w:rsidRDefault="00CF09F9" w:rsidP="00A244E2">
      <w:pPr>
        <w:pStyle w:val="3-BodyText"/>
      </w:pPr>
      <w:r w:rsidRPr="009941F8">
        <w:t xml:space="preserve">The Standard Re-Entry resubmission requested a complex authority required (CAR) Section 100 Highly Specialised Drugs (S100 HSD) Authority Required (In Writing/HPOS) listing of anifrolumab for the treatment of patients with severe systemic lupus erythematosus (SLE) with high disease activity despite standard of care (SOC). This </w:t>
      </w:r>
      <w:r w:rsidR="00AD238E" w:rsidRPr="009941F8">
        <w:t>wa</w:t>
      </w:r>
      <w:r w:rsidRPr="009941F8">
        <w:t xml:space="preserve">s the third submission for anifrolumab, the previous submissions were </w:t>
      </w:r>
      <w:r w:rsidR="007151AA" w:rsidRPr="009941F8">
        <w:t xml:space="preserve">considered by the PBAC </w:t>
      </w:r>
      <w:r w:rsidRPr="009941F8">
        <w:t>in July 2022 and March 2023.</w:t>
      </w:r>
    </w:p>
    <w:p w14:paraId="38C5E093" w14:textId="0154522C" w:rsidR="00CF09F9" w:rsidRPr="009941F8" w:rsidRDefault="00CF09F9" w:rsidP="00A244E2">
      <w:pPr>
        <w:pStyle w:val="3-BodyText"/>
      </w:pPr>
      <w:r w:rsidRPr="009941F8">
        <w:t xml:space="preserve">As with the previous submissions, the listing was requested on a cost-utility basis versus SOC alone. </w:t>
      </w:r>
      <w:r w:rsidR="001F01CC" w:rsidRPr="009941F8">
        <w:fldChar w:fldCharType="begin" w:fldLock="1"/>
      </w:r>
      <w:r w:rsidR="001F01CC" w:rsidRPr="009941F8">
        <w:instrText xml:space="preserve"> REF _Ref153929503 \h </w:instrText>
      </w:r>
      <w:r w:rsidR="00901668" w:rsidRPr="009941F8">
        <w:instrText xml:space="preserve"> \* MERGEFORMAT </w:instrText>
      </w:r>
      <w:r w:rsidR="001F01CC" w:rsidRPr="009941F8">
        <w:fldChar w:fldCharType="separate"/>
      </w:r>
      <w:r w:rsidR="00F07501" w:rsidRPr="009941F8">
        <w:t xml:space="preserve">Table </w:t>
      </w:r>
      <w:r w:rsidR="00F07501">
        <w:t>1</w:t>
      </w:r>
      <w:r w:rsidR="001F01CC" w:rsidRPr="009941F8">
        <w:fldChar w:fldCharType="end"/>
      </w:r>
      <w:r w:rsidRPr="009941F8">
        <w:t xml:space="preserve"> summarises the components of the overall clinical claim addressed by th</w:t>
      </w:r>
      <w:r w:rsidR="009D01EB" w:rsidRPr="009941F8">
        <w:t>is</w:t>
      </w:r>
      <w:r w:rsidRPr="009941F8">
        <w:t xml:space="preserve"> resubmission.</w:t>
      </w:r>
    </w:p>
    <w:p w14:paraId="539EF178" w14:textId="045C320E" w:rsidR="00CF09F9" w:rsidRPr="009941F8" w:rsidRDefault="001F01CC" w:rsidP="00F25AA9">
      <w:pPr>
        <w:pStyle w:val="Caption"/>
      </w:pPr>
      <w:bookmarkStart w:id="2" w:name="_Ref153929503"/>
      <w:r w:rsidRPr="009941F8">
        <w:t xml:space="preserve">Table </w:t>
      </w:r>
      <w:r w:rsidR="00CE7EC7">
        <w:fldChar w:fldCharType="begin" w:fldLock="1"/>
      </w:r>
      <w:r w:rsidR="00CE7EC7">
        <w:instrText xml:space="preserve"> SEQ Table \* ARABIC </w:instrText>
      </w:r>
      <w:r w:rsidR="00CE7EC7">
        <w:fldChar w:fldCharType="separate"/>
      </w:r>
      <w:r w:rsidR="00F07501">
        <w:rPr>
          <w:noProof/>
        </w:rPr>
        <w:t>1</w:t>
      </w:r>
      <w:r w:rsidR="00CE7EC7">
        <w:rPr>
          <w:noProof/>
        </w:rPr>
        <w:fldChar w:fldCharType="end"/>
      </w:r>
      <w:bookmarkEnd w:id="2"/>
      <w:r w:rsidR="00CF09F9" w:rsidRPr="009941F8">
        <w:rPr>
          <w:rStyle w:val="CommentReference"/>
          <w:b/>
          <w:szCs w:val="24"/>
        </w:rPr>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resubmission"/>
      </w:tblPr>
      <w:tblGrid>
        <w:gridCol w:w="1113"/>
        <w:gridCol w:w="7904"/>
      </w:tblGrid>
      <w:tr w:rsidR="00CF09F9" w:rsidRPr="009941F8" w14:paraId="79931A70" w14:textId="77777777" w:rsidTr="00A244E2">
        <w:tc>
          <w:tcPr>
            <w:tcW w:w="617" w:type="pct"/>
            <w:shd w:val="clear" w:color="auto" w:fill="auto"/>
            <w:vAlign w:val="center"/>
          </w:tcPr>
          <w:p w14:paraId="13A26F2C" w14:textId="77777777" w:rsidR="00CF09F9" w:rsidRPr="009941F8" w:rsidRDefault="00CF09F9" w:rsidP="00F25AA9">
            <w:pPr>
              <w:pStyle w:val="In-tableHeading"/>
              <w:keepLines/>
              <w:rPr>
                <w:lang w:val="en-AU"/>
              </w:rPr>
            </w:pPr>
            <w:r w:rsidRPr="009941F8">
              <w:rPr>
                <w:lang w:val="en-AU"/>
              </w:rPr>
              <w:t>Component</w:t>
            </w:r>
          </w:p>
        </w:tc>
        <w:tc>
          <w:tcPr>
            <w:tcW w:w="4383" w:type="pct"/>
            <w:shd w:val="clear" w:color="auto" w:fill="auto"/>
            <w:vAlign w:val="center"/>
          </w:tcPr>
          <w:p w14:paraId="598FB802" w14:textId="77777777" w:rsidR="00CF09F9" w:rsidRPr="009941F8" w:rsidRDefault="00CF09F9" w:rsidP="00F25AA9">
            <w:pPr>
              <w:pStyle w:val="In-tableHeading"/>
              <w:keepLines/>
              <w:rPr>
                <w:lang w:val="en-AU"/>
              </w:rPr>
            </w:pPr>
            <w:r w:rsidRPr="009941F8">
              <w:rPr>
                <w:lang w:val="en-AU"/>
              </w:rPr>
              <w:t>Description</w:t>
            </w:r>
          </w:p>
        </w:tc>
      </w:tr>
      <w:tr w:rsidR="00CF09F9" w:rsidRPr="009941F8" w14:paraId="755AC79A" w14:textId="77777777" w:rsidTr="00A244E2">
        <w:tc>
          <w:tcPr>
            <w:tcW w:w="617" w:type="pct"/>
            <w:shd w:val="clear" w:color="auto" w:fill="auto"/>
            <w:vAlign w:val="center"/>
          </w:tcPr>
          <w:p w14:paraId="1B6A223E" w14:textId="77777777" w:rsidR="00CF09F9" w:rsidRPr="009941F8" w:rsidRDefault="00CF09F9" w:rsidP="00F25AA9">
            <w:pPr>
              <w:pStyle w:val="TableText0"/>
              <w:keepLines/>
            </w:pPr>
            <w:r w:rsidRPr="009941F8">
              <w:t>Population</w:t>
            </w:r>
          </w:p>
        </w:tc>
        <w:tc>
          <w:tcPr>
            <w:tcW w:w="4383" w:type="pct"/>
            <w:shd w:val="clear" w:color="auto" w:fill="auto"/>
          </w:tcPr>
          <w:p w14:paraId="51B05933" w14:textId="77777777" w:rsidR="00CF09F9" w:rsidRPr="009941F8" w:rsidRDefault="00CF09F9" w:rsidP="00F25AA9">
            <w:pPr>
              <w:pStyle w:val="TableText0"/>
              <w:keepLines/>
            </w:pPr>
            <w:r w:rsidRPr="009941F8">
              <w:t>Adult patients with severe SLE with a high degree of disease activity (SLEDAI-2K ≥10) despite SOC (triple therapy).</w:t>
            </w:r>
          </w:p>
        </w:tc>
      </w:tr>
      <w:tr w:rsidR="00CF09F9" w:rsidRPr="009941F8" w14:paraId="2EC47C79" w14:textId="77777777" w:rsidTr="00A244E2">
        <w:tc>
          <w:tcPr>
            <w:tcW w:w="617" w:type="pct"/>
            <w:shd w:val="clear" w:color="auto" w:fill="auto"/>
            <w:vAlign w:val="center"/>
          </w:tcPr>
          <w:p w14:paraId="36A84320" w14:textId="77777777" w:rsidR="00CF09F9" w:rsidRPr="009941F8" w:rsidRDefault="00CF09F9" w:rsidP="00F25AA9">
            <w:pPr>
              <w:pStyle w:val="TableText0"/>
              <w:keepLines/>
            </w:pPr>
            <w:r w:rsidRPr="009941F8">
              <w:t>Intervention</w:t>
            </w:r>
          </w:p>
        </w:tc>
        <w:tc>
          <w:tcPr>
            <w:tcW w:w="4383" w:type="pct"/>
            <w:shd w:val="clear" w:color="auto" w:fill="auto"/>
          </w:tcPr>
          <w:p w14:paraId="7023F6EB" w14:textId="3B621680" w:rsidR="00CF09F9" w:rsidRPr="009941F8" w:rsidRDefault="00CF09F9" w:rsidP="00F25AA9">
            <w:pPr>
              <w:pStyle w:val="TableText0"/>
              <w:keepLines/>
            </w:pPr>
            <w:r w:rsidRPr="009941F8">
              <w:t xml:space="preserve">Anifrolumab 300 mg intravenous </w:t>
            </w:r>
            <w:r w:rsidR="00537C25" w:rsidRPr="009941F8">
              <w:t xml:space="preserve">infusion </w:t>
            </w:r>
            <w:r w:rsidRPr="009941F8">
              <w:t>every four weeks added to SOC</w:t>
            </w:r>
            <w:r w:rsidR="00AD238E" w:rsidRPr="009941F8">
              <w:t>.</w:t>
            </w:r>
          </w:p>
        </w:tc>
      </w:tr>
      <w:tr w:rsidR="00CF09F9" w:rsidRPr="009941F8" w14:paraId="302B0B8C" w14:textId="77777777" w:rsidTr="00A244E2">
        <w:tc>
          <w:tcPr>
            <w:tcW w:w="617" w:type="pct"/>
            <w:shd w:val="clear" w:color="auto" w:fill="auto"/>
            <w:vAlign w:val="center"/>
          </w:tcPr>
          <w:p w14:paraId="42E80566" w14:textId="77777777" w:rsidR="00CF09F9" w:rsidRPr="009941F8" w:rsidRDefault="00CF09F9" w:rsidP="00F25AA9">
            <w:pPr>
              <w:pStyle w:val="TableText0"/>
              <w:keepLines/>
            </w:pPr>
            <w:r w:rsidRPr="009941F8">
              <w:t>Comparator</w:t>
            </w:r>
          </w:p>
        </w:tc>
        <w:tc>
          <w:tcPr>
            <w:tcW w:w="4383" w:type="pct"/>
            <w:shd w:val="clear" w:color="auto" w:fill="auto"/>
          </w:tcPr>
          <w:p w14:paraId="5A23F2EB" w14:textId="77777777" w:rsidR="00CF09F9" w:rsidRPr="009941F8" w:rsidRDefault="00CF09F9" w:rsidP="00F25AA9">
            <w:pPr>
              <w:pStyle w:val="TableText0"/>
              <w:keepLines/>
            </w:pPr>
            <w:r w:rsidRPr="009941F8">
              <w:t>SOC alone (placebo).</w:t>
            </w:r>
          </w:p>
        </w:tc>
      </w:tr>
      <w:tr w:rsidR="00CF09F9" w:rsidRPr="009941F8" w14:paraId="3FC49FEF" w14:textId="77777777" w:rsidTr="00A244E2">
        <w:tc>
          <w:tcPr>
            <w:tcW w:w="617" w:type="pct"/>
            <w:shd w:val="clear" w:color="auto" w:fill="auto"/>
            <w:vAlign w:val="center"/>
          </w:tcPr>
          <w:p w14:paraId="7E66BC18" w14:textId="77777777" w:rsidR="00CF09F9" w:rsidRPr="009941F8" w:rsidRDefault="00CF09F9" w:rsidP="00F25AA9">
            <w:pPr>
              <w:pStyle w:val="TableText0"/>
              <w:keepLines/>
            </w:pPr>
            <w:r w:rsidRPr="009941F8">
              <w:t>Outcomes</w:t>
            </w:r>
          </w:p>
        </w:tc>
        <w:tc>
          <w:tcPr>
            <w:tcW w:w="4383" w:type="pct"/>
            <w:shd w:val="clear" w:color="auto" w:fill="auto"/>
            <w:vAlign w:val="center"/>
          </w:tcPr>
          <w:p w14:paraId="464AD470" w14:textId="626127B7" w:rsidR="00CF09F9" w:rsidRPr="009941F8" w:rsidRDefault="00CF09F9" w:rsidP="00F25AA9">
            <w:pPr>
              <w:pStyle w:val="TableText0"/>
              <w:keepLines/>
            </w:pPr>
            <w:r w:rsidRPr="009941F8">
              <w:t>SLE Responder Index (SRI(4)) (a composite outcome consisting of SLEDAI-2K, PGA, BILAG), BICLA response (a composite outcome consisting of BILAG, PGA, SLEDAI-2K), reduction in OCS use, LLDAS response (a composite of SLEDAI-2K, OCS reductions, PGA, medication use and  organ damage), annualised flare rate, SDI, CLASI, active (swollen and tender) joint count, H</w:t>
            </w:r>
            <w:r w:rsidR="008E414E" w:rsidRPr="009941F8">
              <w:t>R</w:t>
            </w:r>
            <w:r w:rsidRPr="009941F8">
              <w:t>QoL and adverse events.</w:t>
            </w:r>
          </w:p>
        </w:tc>
      </w:tr>
      <w:tr w:rsidR="00CF09F9" w:rsidRPr="009941F8" w14:paraId="2A276278" w14:textId="77777777" w:rsidTr="00A244E2">
        <w:tc>
          <w:tcPr>
            <w:tcW w:w="617" w:type="pct"/>
            <w:shd w:val="clear" w:color="auto" w:fill="auto"/>
            <w:vAlign w:val="center"/>
          </w:tcPr>
          <w:p w14:paraId="75386618" w14:textId="77777777" w:rsidR="00CF09F9" w:rsidRPr="009941F8" w:rsidRDefault="00CF09F9" w:rsidP="00F25AA9">
            <w:pPr>
              <w:pStyle w:val="TableText0"/>
              <w:keepLines/>
            </w:pPr>
            <w:r w:rsidRPr="009941F8">
              <w:t>Clinical claim</w:t>
            </w:r>
          </w:p>
        </w:tc>
        <w:tc>
          <w:tcPr>
            <w:tcW w:w="4383" w:type="pct"/>
            <w:shd w:val="clear" w:color="auto" w:fill="auto"/>
            <w:vAlign w:val="center"/>
          </w:tcPr>
          <w:p w14:paraId="0FB1917F" w14:textId="77777777" w:rsidR="00CF09F9" w:rsidRPr="009941F8" w:rsidRDefault="00CF09F9" w:rsidP="00F25AA9">
            <w:pPr>
              <w:pStyle w:val="TableText0"/>
              <w:keepLines/>
            </w:pPr>
            <w:r w:rsidRPr="009941F8">
              <w:t>In patients with SLE and a high degree of disease activity (SLEDAI-2K ≥10) despite SOC (triple therapy comprising of an antimalarial, immunosuppressant (MTX, AZA, or mycophenolate) and 7.5 mg/day prednisone (or equivalent)), anifrolumab 300 mg IV Q4W added to SOC has superior effectiveness and inferior (manageable) safety compared to SOC alone.</w:t>
            </w:r>
          </w:p>
        </w:tc>
      </w:tr>
    </w:tbl>
    <w:p w14:paraId="5296AE1C" w14:textId="6032E59D" w:rsidR="00CF09F9" w:rsidRPr="009941F8" w:rsidRDefault="00CF09F9" w:rsidP="00F25AA9">
      <w:pPr>
        <w:pStyle w:val="TableFigureFooter"/>
        <w:keepNext/>
        <w:keepLines/>
      </w:pPr>
      <w:r w:rsidRPr="009941F8">
        <w:t>Source: Table 1-6, p40 of the resubmission.</w:t>
      </w:r>
    </w:p>
    <w:p w14:paraId="579A22C8" w14:textId="77777777" w:rsidR="00CF09F9" w:rsidRPr="009941F8" w:rsidRDefault="00CF09F9" w:rsidP="00F25AA9">
      <w:pPr>
        <w:pStyle w:val="TableFigureFooter"/>
        <w:keepNext/>
        <w:keepLines/>
      </w:pPr>
      <w:r w:rsidRPr="009941F8">
        <w:t>AZA=azathioprine; BICLA=BILAG–Based Composite Lupus Assessment; BILAG=British Isles Lupus Assessment Group; CLASI=Cutaneous Lupus Erythematosus Disease Area and Severity Index; HRQoL=health related quality of life; LLDAS=low lupus disease activity state; MTX=methotrexate; OCS=oral corticosteroids; PGA=physician’s global assessment; SDI=SLICC/ACR (Systemic Lupus International Collaborating Clinics/American College of Rheumatology) Damage Index; SLE=Systemic Lupus Erythematosus; SLEDIA-2K=Systemic Lupus Erythematosus Disease Activity Index 2000; SOC=standard of care; SRI(4)=4-point reduction on the SLE Responder Index; Q4W=every 4 weeks.</w:t>
      </w:r>
    </w:p>
    <w:p w14:paraId="627D47E4" w14:textId="05CAA875" w:rsidR="00CF09F9" w:rsidRPr="009941F8" w:rsidRDefault="00CF09F9" w:rsidP="00A244E2">
      <w:pPr>
        <w:pStyle w:val="3-BodyText"/>
        <w:rPr>
          <w:iCs/>
        </w:rPr>
      </w:pPr>
      <w:r w:rsidRPr="009941F8">
        <w:t>The focus of th</w:t>
      </w:r>
      <w:r w:rsidR="008E414E" w:rsidRPr="009941F8">
        <w:t>is</w:t>
      </w:r>
      <w:r w:rsidRPr="009941F8">
        <w:t xml:space="preserve"> resubmission was to align the requested restriction for SLE patients who </w:t>
      </w:r>
      <w:r w:rsidR="00271A28" w:rsidRPr="009941F8">
        <w:t xml:space="preserve">have </w:t>
      </w:r>
      <w:r w:rsidRPr="009941F8">
        <w:t>disease activity that is refractory despite SOC triple therapy, with the updated European League Against Rheumatism (EULAR 2023) guideline</w:t>
      </w:r>
      <w:r w:rsidRPr="009941F8">
        <w:rPr>
          <w:rStyle w:val="FootnoteReference"/>
        </w:rPr>
        <w:footnoteReference w:id="1"/>
      </w:r>
      <w:r w:rsidRPr="009941F8">
        <w:t xml:space="preserve"> </w:t>
      </w:r>
      <w:r w:rsidRPr="009941F8">
        <w:lastRenderedPageBreak/>
        <w:t xml:space="preserve">recommendation </w:t>
      </w:r>
      <w:r w:rsidR="00271A28" w:rsidRPr="009941F8">
        <w:t xml:space="preserve">known as the </w:t>
      </w:r>
      <w:r w:rsidRPr="009941F8">
        <w:t>treat-to-target</w:t>
      </w:r>
      <w:r w:rsidR="00271A28" w:rsidRPr="009941F8">
        <w:t xml:space="preserve"> strategy,</w:t>
      </w:r>
      <w:r w:rsidRPr="009941F8">
        <w:t xml:space="preserve"> aiming for low lupus disease activity state (LLDAS). Th</w:t>
      </w:r>
      <w:r w:rsidR="008E414E" w:rsidRPr="009941F8">
        <w:t>is</w:t>
      </w:r>
      <w:r w:rsidRPr="009941F8">
        <w:t xml:space="preserve"> resubmission presented clinical outcomes on the attainment of LLDAS as well as a new modelled economic evaluation based on LLDAS health states. </w:t>
      </w:r>
      <w:r w:rsidRPr="009941F8">
        <w:rPr>
          <w:iCs/>
        </w:rPr>
        <w:t>EULAR 2023 recommended treatment target aiming at remission, or if this was not possible, low disease activity (such as LLDAS).</w:t>
      </w:r>
    </w:p>
    <w:p w14:paraId="6B4AB6C2" w14:textId="7F01D731" w:rsidR="005C25FF" w:rsidRPr="009941F8" w:rsidRDefault="005C25FF" w:rsidP="00A244E2">
      <w:pPr>
        <w:pStyle w:val="2-SectionHeading"/>
      </w:pPr>
      <w:bookmarkStart w:id="3" w:name="_Toc156918337"/>
      <w:r w:rsidRPr="009941F8">
        <w:t>Background</w:t>
      </w:r>
      <w:bookmarkEnd w:id="3"/>
    </w:p>
    <w:p w14:paraId="2C521D6D" w14:textId="78CF03EE" w:rsidR="005C25FF" w:rsidRPr="009941F8" w:rsidRDefault="005C25FF" w:rsidP="00A244E2">
      <w:pPr>
        <w:pStyle w:val="4-SubsectionHeading"/>
      </w:pPr>
      <w:bookmarkStart w:id="4" w:name="_Toc22897638"/>
      <w:bookmarkStart w:id="5" w:name="_Toc156918338"/>
      <w:r w:rsidRPr="009941F8">
        <w:t>Registration status</w:t>
      </w:r>
      <w:bookmarkEnd w:id="4"/>
      <w:bookmarkEnd w:id="5"/>
    </w:p>
    <w:p w14:paraId="598C2793" w14:textId="77777777" w:rsidR="00CF09F9" w:rsidRPr="009941F8" w:rsidRDefault="00CF09F9" w:rsidP="00A244E2">
      <w:pPr>
        <w:pStyle w:val="3-BodyText"/>
      </w:pPr>
      <w:r w:rsidRPr="009941F8">
        <w:t>Anifrolumab was registered by the TGA on 29 March 2022 for the following indication:</w:t>
      </w:r>
    </w:p>
    <w:p w14:paraId="013DC46D" w14:textId="70D7177A" w:rsidR="00CF09F9" w:rsidRPr="009941F8" w:rsidRDefault="00CF09F9" w:rsidP="00A244E2">
      <w:pPr>
        <w:pStyle w:val="3-BodyText"/>
        <w:numPr>
          <w:ilvl w:val="0"/>
          <w:numId w:val="0"/>
        </w:numPr>
        <w:ind w:left="720"/>
      </w:pPr>
      <w:r w:rsidRPr="009941F8">
        <w:rPr>
          <w:iCs/>
        </w:rPr>
        <w:t>“SAPHNELO (anifrolumab) is indicated as add on treatment of adult patients with moderate to severe, active systemic lupus erythematosus (SLE), despite standard therapy. The safety and efficacy of SAPHNELO have not been evaluated in patients with severe active lupus nephritis or severe active central nervous system lupus.”</w:t>
      </w:r>
    </w:p>
    <w:p w14:paraId="3E2A6EAB" w14:textId="469C8C0C" w:rsidR="005C25FF" w:rsidRPr="009941F8" w:rsidRDefault="005C25FF" w:rsidP="00A244E2">
      <w:pPr>
        <w:pStyle w:val="4-SubsectionHeading"/>
      </w:pPr>
      <w:bookmarkStart w:id="6" w:name="_Toc22897639"/>
      <w:bookmarkStart w:id="7" w:name="_Toc156918339"/>
      <w:r w:rsidRPr="009941F8">
        <w:t>Previous PBAC consideration</w:t>
      </w:r>
      <w:bookmarkEnd w:id="6"/>
      <w:bookmarkEnd w:id="7"/>
    </w:p>
    <w:p w14:paraId="50AE17D0" w14:textId="3F5AD54C" w:rsidR="009F54FC" w:rsidRPr="009941F8" w:rsidRDefault="009F54FC" w:rsidP="00460084">
      <w:pPr>
        <w:pStyle w:val="3-BodyText"/>
      </w:pPr>
      <w:bookmarkStart w:id="8" w:name="_Ref162018856"/>
      <w:r w:rsidRPr="009941F8">
        <w:t>Anifrolumab was previously considered by the PBAC in July 2022 and March 2023</w:t>
      </w:r>
      <w:r w:rsidR="009941F8">
        <w:t xml:space="preserve">. </w:t>
      </w:r>
      <w:r w:rsidR="00737B3F" w:rsidRPr="009941F8">
        <w:t xml:space="preserve">In July 2023, the </w:t>
      </w:r>
      <w:r w:rsidRPr="009941F8">
        <w:t xml:space="preserve">PBAC </w:t>
      </w:r>
      <w:r w:rsidR="00737B3F" w:rsidRPr="009941F8">
        <w:t xml:space="preserve">convened </w:t>
      </w:r>
      <w:r w:rsidRPr="009941F8">
        <w:t xml:space="preserve">a </w:t>
      </w:r>
      <w:r w:rsidR="00737B3F" w:rsidRPr="009941F8">
        <w:t xml:space="preserve">clinical </w:t>
      </w:r>
      <w:r w:rsidRPr="009941F8">
        <w:t xml:space="preserve">consultation </w:t>
      </w:r>
      <w:r w:rsidR="00737B3F" w:rsidRPr="009941F8">
        <w:t xml:space="preserve">meeting to </w:t>
      </w:r>
      <w:r w:rsidRPr="009941F8">
        <w:t>seek further information about SLE treatments and the related aspects of clinical efficacy and measures of benefits from treatments</w:t>
      </w:r>
      <w:r w:rsidR="009941F8">
        <w:t xml:space="preserve">. </w:t>
      </w:r>
      <w:r w:rsidRPr="009941F8">
        <w:t xml:space="preserve">The clinical consultation meeting was attended by </w:t>
      </w:r>
      <w:r w:rsidRPr="009941F8">
        <w:rPr>
          <w:rFonts w:cstheme="minorHAnsi"/>
        </w:rPr>
        <w:t>clinicians with significant expertise in the management of SLE</w:t>
      </w:r>
      <w:r w:rsidR="009941F8">
        <w:t xml:space="preserve">. </w:t>
      </w:r>
      <w:r w:rsidRPr="009941F8">
        <w:t xml:space="preserve">The clinicians noted challenges with SLE related to the current management and assessment of outcomes, </w:t>
      </w:r>
      <w:r w:rsidR="006E2883" w:rsidRPr="009941F8">
        <w:t xml:space="preserve">clinical </w:t>
      </w:r>
      <w:r w:rsidRPr="009941F8">
        <w:t xml:space="preserve">experience with belimumab and anifrolumab and </w:t>
      </w:r>
      <w:r w:rsidR="00737B3F" w:rsidRPr="009941F8">
        <w:t>the clinical relevance of LLDAS</w:t>
      </w:r>
      <w:r w:rsidRPr="009941F8">
        <w:t xml:space="preserve">. The clinicians indicated that the achievement and maintenance of LLDAS as a clinical outcome </w:t>
      </w:r>
      <w:r w:rsidR="00E04873" w:rsidRPr="009941F8">
        <w:t xml:space="preserve">would be relevant for a future PBAC submission to consider and could </w:t>
      </w:r>
      <w:r w:rsidRPr="009941F8">
        <w:t>be incorporated into economic models.</w:t>
      </w:r>
      <w:bookmarkEnd w:id="8"/>
    </w:p>
    <w:p w14:paraId="6F23F1C7" w14:textId="489A4689" w:rsidR="00E60461" w:rsidRPr="009941F8" w:rsidRDefault="001F01CC" w:rsidP="00A244E2">
      <w:pPr>
        <w:pStyle w:val="3-BodyText"/>
      </w:pPr>
      <w:r w:rsidRPr="009941F8">
        <w:fldChar w:fldCharType="begin" w:fldLock="1"/>
      </w:r>
      <w:r w:rsidRPr="009941F8">
        <w:instrText xml:space="preserve"> REF _Ref153929705 \h </w:instrText>
      </w:r>
      <w:r w:rsidR="00A244E2" w:rsidRPr="009941F8">
        <w:instrText xml:space="preserve"> \* MERGEFORMAT </w:instrText>
      </w:r>
      <w:r w:rsidRPr="009941F8">
        <w:fldChar w:fldCharType="separate"/>
      </w:r>
      <w:r w:rsidR="00F07501" w:rsidRPr="009941F8">
        <w:t xml:space="preserve">Table </w:t>
      </w:r>
      <w:r w:rsidR="00F07501">
        <w:t>2</w:t>
      </w:r>
      <w:r w:rsidRPr="009941F8">
        <w:fldChar w:fldCharType="end"/>
      </w:r>
      <w:r w:rsidRPr="009941F8">
        <w:t xml:space="preserve"> </w:t>
      </w:r>
      <w:r w:rsidR="00E60461" w:rsidRPr="009941F8">
        <w:t>summarises the key concerns identified in the March 2023 submission and the response taken by th</w:t>
      </w:r>
      <w:r w:rsidR="008E414E" w:rsidRPr="009941F8">
        <w:t>is</w:t>
      </w:r>
      <w:r w:rsidR="00E60461" w:rsidRPr="009941F8">
        <w:t xml:space="preserve"> resubmission.</w:t>
      </w:r>
    </w:p>
    <w:p w14:paraId="66FCC3AB" w14:textId="4824D8E3" w:rsidR="00E60461" w:rsidRPr="009941F8" w:rsidRDefault="001F01CC" w:rsidP="00235D09">
      <w:pPr>
        <w:pStyle w:val="Caption"/>
        <w:rPr>
          <w:rFonts w:eastAsiaTheme="majorEastAsia"/>
          <w:b w:val="0"/>
          <w:bCs w:val="0"/>
          <w:szCs w:val="20"/>
        </w:rPr>
      </w:pPr>
      <w:bookmarkStart w:id="9" w:name="_Ref153929705"/>
      <w:bookmarkStart w:id="10" w:name="_Ref121736764"/>
      <w:r w:rsidRPr="009941F8">
        <w:lastRenderedPageBreak/>
        <w:t xml:space="preserve">Table </w:t>
      </w:r>
      <w:r w:rsidR="00CE7EC7">
        <w:fldChar w:fldCharType="begin" w:fldLock="1"/>
      </w:r>
      <w:r w:rsidR="00CE7EC7">
        <w:instrText xml:space="preserve"> SEQ Table \* ARABIC </w:instrText>
      </w:r>
      <w:r w:rsidR="00CE7EC7">
        <w:fldChar w:fldCharType="separate"/>
      </w:r>
      <w:r w:rsidR="00F07501">
        <w:rPr>
          <w:noProof/>
        </w:rPr>
        <w:t>2</w:t>
      </w:r>
      <w:r w:rsidR="00CE7EC7">
        <w:rPr>
          <w:noProof/>
        </w:rPr>
        <w:fldChar w:fldCharType="end"/>
      </w:r>
      <w:bookmarkEnd w:id="9"/>
      <w:bookmarkEnd w:id="10"/>
      <w:r w:rsidR="00E60461" w:rsidRPr="009941F8">
        <w:rPr>
          <w:rFonts w:eastAsiaTheme="majorEastAsia"/>
          <w:szCs w:val="20"/>
        </w:rPr>
        <w:t>: Summary of key matters of concern and how the resubmission addressed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and how the resubmission addressed them"/>
      </w:tblPr>
      <w:tblGrid>
        <w:gridCol w:w="1129"/>
        <w:gridCol w:w="3785"/>
        <w:gridCol w:w="4103"/>
      </w:tblGrid>
      <w:tr w:rsidR="00E60461" w:rsidRPr="009941F8" w14:paraId="052E65BC" w14:textId="77777777" w:rsidTr="00A927C5">
        <w:trPr>
          <w:tblHeader/>
        </w:trPr>
        <w:tc>
          <w:tcPr>
            <w:tcW w:w="626" w:type="pct"/>
            <w:vAlign w:val="center"/>
          </w:tcPr>
          <w:p w14:paraId="09EB64AB" w14:textId="77777777" w:rsidR="00E60461" w:rsidRPr="009941F8" w:rsidRDefault="00E60461" w:rsidP="00235D09">
            <w:pPr>
              <w:keepNext/>
              <w:widowControl w:val="0"/>
              <w:jc w:val="left"/>
              <w:rPr>
                <w:rFonts w:ascii="Arial Narrow" w:eastAsiaTheme="majorEastAsia" w:hAnsi="Arial Narrow" w:cs="Times New Roman"/>
                <w:b/>
                <w:sz w:val="20"/>
              </w:rPr>
            </w:pPr>
            <w:r w:rsidRPr="009941F8">
              <w:rPr>
                <w:rFonts w:ascii="Arial Narrow" w:eastAsiaTheme="majorEastAsia" w:hAnsi="Arial Narrow" w:cs="Times New Roman"/>
                <w:b/>
                <w:sz w:val="20"/>
              </w:rPr>
              <w:t>Component</w:t>
            </w:r>
          </w:p>
        </w:tc>
        <w:tc>
          <w:tcPr>
            <w:tcW w:w="2099" w:type="pct"/>
            <w:vAlign w:val="center"/>
          </w:tcPr>
          <w:p w14:paraId="2681BD07" w14:textId="5249277C" w:rsidR="00E60461" w:rsidRPr="009941F8" w:rsidRDefault="00E60461" w:rsidP="00235D09">
            <w:pPr>
              <w:keepNext/>
              <w:widowControl w:val="0"/>
              <w:jc w:val="left"/>
              <w:rPr>
                <w:rFonts w:ascii="Arial Narrow" w:eastAsiaTheme="majorEastAsia" w:hAnsi="Arial Narrow" w:cs="Times New Roman"/>
                <w:b/>
                <w:sz w:val="20"/>
              </w:rPr>
            </w:pPr>
            <w:r w:rsidRPr="009941F8">
              <w:rPr>
                <w:rFonts w:ascii="Arial Narrow" w:eastAsiaTheme="majorEastAsia" w:hAnsi="Arial Narrow" w:cs="Times New Roman"/>
                <w:b/>
                <w:sz w:val="20"/>
              </w:rPr>
              <w:t>Matter of concern raised at the March 2023 PBAC meeting</w:t>
            </w:r>
          </w:p>
        </w:tc>
        <w:tc>
          <w:tcPr>
            <w:tcW w:w="2275" w:type="pct"/>
            <w:vAlign w:val="center"/>
          </w:tcPr>
          <w:p w14:paraId="5A3D8544" w14:textId="4FC49BD2" w:rsidR="00E60461" w:rsidRPr="009941F8" w:rsidRDefault="00E60461" w:rsidP="00235D09">
            <w:pPr>
              <w:keepNext/>
              <w:widowControl w:val="0"/>
              <w:jc w:val="left"/>
              <w:rPr>
                <w:rFonts w:ascii="Arial Narrow" w:eastAsiaTheme="majorEastAsia" w:hAnsi="Arial Narrow" w:cs="Times New Roman"/>
                <w:b/>
                <w:sz w:val="20"/>
                <w:szCs w:val="20"/>
              </w:rPr>
            </w:pPr>
            <w:r w:rsidRPr="009941F8">
              <w:rPr>
                <w:rFonts w:ascii="Arial Narrow" w:eastAsiaTheme="majorEastAsia" w:hAnsi="Arial Narrow" w:cs="Times New Roman"/>
                <w:b/>
                <w:sz w:val="20"/>
                <w:szCs w:val="20"/>
              </w:rPr>
              <w:t>How the resubmission addresses the concern</w:t>
            </w:r>
            <w:r w:rsidR="008E414E" w:rsidRPr="009941F8">
              <w:rPr>
                <w:rFonts w:ascii="Arial Narrow" w:eastAsiaTheme="majorEastAsia" w:hAnsi="Arial Narrow" w:cs="Times New Roman"/>
                <w:b/>
                <w:sz w:val="20"/>
                <w:szCs w:val="20"/>
              </w:rPr>
              <w:t>s</w:t>
            </w:r>
          </w:p>
        </w:tc>
      </w:tr>
      <w:tr w:rsidR="00E60461" w:rsidRPr="009941F8" w14:paraId="3450D4E7" w14:textId="77777777" w:rsidTr="00A927C5">
        <w:tc>
          <w:tcPr>
            <w:tcW w:w="626" w:type="pct"/>
          </w:tcPr>
          <w:p w14:paraId="43650E73" w14:textId="6C026466" w:rsidR="00E60461" w:rsidRPr="009941F8" w:rsidRDefault="00E60461"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Clinical evidence &amp; clinical claim</w:t>
            </w:r>
          </w:p>
        </w:tc>
        <w:tc>
          <w:tcPr>
            <w:tcW w:w="2099" w:type="pct"/>
          </w:tcPr>
          <w:p w14:paraId="6975CD49" w14:textId="0BE1F6FD" w:rsidR="001956E3" w:rsidRPr="009941F8" w:rsidRDefault="001956E3"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 xml:space="preserve">The PBAC remained concerned that the magnitude of benefit associated with anifrolumab was uncertain. The PBAC noted that while TULIP LTE demonstrated sustained benefit with anifrolumab treatment in terms of reduction in SLEDAI-2K, the results for other outcomes were less certain. The PBAC noted on balance, the new evidence was not sufficient to alter the clinical conclusions from </w:t>
            </w:r>
            <w:r w:rsidR="008E414E" w:rsidRPr="009941F8">
              <w:rPr>
                <w:rFonts w:ascii="Arial Narrow" w:eastAsiaTheme="majorEastAsia" w:hAnsi="Arial Narrow" w:cs="Times New Roman"/>
                <w:sz w:val="20"/>
              </w:rPr>
              <w:t xml:space="preserve">the </w:t>
            </w:r>
            <w:r w:rsidRPr="009941F8">
              <w:rPr>
                <w:rFonts w:ascii="Arial Narrow" w:eastAsiaTheme="majorEastAsia" w:hAnsi="Arial Narrow" w:cs="Times New Roman"/>
                <w:sz w:val="20"/>
              </w:rPr>
              <w:t>previous consideration (para 7.1 and 7.4, anifrolumab PSD, March 2023).</w:t>
            </w:r>
          </w:p>
          <w:p w14:paraId="350A8127" w14:textId="77777777" w:rsidR="001956E3" w:rsidRPr="009941F8" w:rsidRDefault="001956E3" w:rsidP="00235D09">
            <w:pPr>
              <w:keepNext/>
              <w:widowControl w:val="0"/>
              <w:jc w:val="left"/>
              <w:rPr>
                <w:rFonts w:ascii="Arial Narrow" w:eastAsiaTheme="majorEastAsia" w:hAnsi="Arial Narrow" w:cs="Times New Roman"/>
                <w:sz w:val="20"/>
              </w:rPr>
            </w:pPr>
          </w:p>
          <w:p w14:paraId="16E817C3" w14:textId="2F2BD8D3" w:rsidR="001956E3" w:rsidRPr="009941F8" w:rsidRDefault="001956E3"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 xml:space="preserve">Consistent with </w:t>
            </w:r>
            <w:r w:rsidR="008E414E" w:rsidRPr="009941F8">
              <w:rPr>
                <w:rFonts w:ascii="Arial Narrow" w:eastAsiaTheme="majorEastAsia" w:hAnsi="Arial Narrow" w:cs="Times New Roman"/>
                <w:sz w:val="20"/>
              </w:rPr>
              <w:t xml:space="preserve">the </w:t>
            </w:r>
            <w:r w:rsidRPr="009941F8">
              <w:rPr>
                <w:rFonts w:ascii="Arial Narrow" w:eastAsiaTheme="majorEastAsia" w:hAnsi="Arial Narrow" w:cs="Times New Roman"/>
                <w:sz w:val="20"/>
              </w:rPr>
              <w:t>July 2022</w:t>
            </w:r>
            <w:r w:rsidR="008E414E" w:rsidRPr="009941F8">
              <w:rPr>
                <w:rFonts w:ascii="Arial Narrow" w:eastAsiaTheme="majorEastAsia" w:hAnsi="Arial Narrow" w:cs="Times New Roman"/>
                <w:sz w:val="20"/>
              </w:rPr>
              <w:t xml:space="preserve"> consideration</w:t>
            </w:r>
            <w:r w:rsidRPr="009941F8">
              <w:rPr>
                <w:rFonts w:ascii="Arial Narrow" w:eastAsiaTheme="majorEastAsia" w:hAnsi="Arial Narrow" w:cs="Times New Roman"/>
                <w:sz w:val="20"/>
              </w:rPr>
              <w:t>, the PBAC considered the claim of superiority to SOC alone in terms of effectiveness was supported based on improvement in disease activity for some patients; however, the magnitude of benefit was modest and uncertain. The PBAC considered the claim of inferior safety to SOC alone was reasonable (para 7.5, anifrolumab PSD March 2023)</w:t>
            </w:r>
            <w:r w:rsidR="008E414E" w:rsidRPr="009941F8">
              <w:rPr>
                <w:rFonts w:ascii="Arial Narrow" w:eastAsiaTheme="majorEastAsia" w:hAnsi="Arial Narrow" w:cs="Times New Roman"/>
                <w:sz w:val="20"/>
              </w:rPr>
              <w:t>.</w:t>
            </w:r>
          </w:p>
        </w:tc>
        <w:tc>
          <w:tcPr>
            <w:tcW w:w="2275" w:type="pct"/>
          </w:tcPr>
          <w:p w14:paraId="60E46057" w14:textId="232D66D9" w:rsidR="00525E72" w:rsidRPr="009941F8" w:rsidRDefault="004F5E94" w:rsidP="00235D09">
            <w:pPr>
              <w:keepNext/>
              <w:widowControl w:val="0"/>
              <w:jc w:val="left"/>
              <w:rPr>
                <w:rFonts w:ascii="Arial Narrow" w:eastAsiaTheme="majorEastAsia" w:hAnsi="Arial Narrow" w:cs="Times New Roman"/>
                <w:sz w:val="20"/>
                <w:szCs w:val="20"/>
              </w:rPr>
            </w:pPr>
            <w:r w:rsidRPr="009941F8">
              <w:rPr>
                <w:rFonts w:ascii="Arial Narrow" w:eastAsiaTheme="majorEastAsia" w:hAnsi="Arial Narrow" w:cs="Times New Roman"/>
                <w:sz w:val="20"/>
                <w:szCs w:val="20"/>
              </w:rPr>
              <w:t>Th</w:t>
            </w:r>
            <w:r w:rsidR="008E414E" w:rsidRPr="009941F8">
              <w:rPr>
                <w:rFonts w:ascii="Arial Narrow" w:eastAsiaTheme="majorEastAsia" w:hAnsi="Arial Narrow" w:cs="Times New Roman"/>
                <w:sz w:val="20"/>
                <w:szCs w:val="20"/>
              </w:rPr>
              <w:t>is</w:t>
            </w:r>
            <w:r w:rsidRPr="009941F8">
              <w:rPr>
                <w:rFonts w:ascii="Arial Narrow" w:eastAsiaTheme="majorEastAsia" w:hAnsi="Arial Narrow" w:cs="Times New Roman"/>
                <w:sz w:val="20"/>
                <w:szCs w:val="20"/>
              </w:rPr>
              <w:t xml:space="preserve"> resubmission presented </w:t>
            </w:r>
            <w:r w:rsidR="00B57831" w:rsidRPr="009941F8">
              <w:rPr>
                <w:rFonts w:ascii="Arial Narrow" w:eastAsiaTheme="majorEastAsia" w:hAnsi="Arial Narrow" w:cs="Times New Roman"/>
                <w:sz w:val="20"/>
                <w:szCs w:val="20"/>
              </w:rPr>
              <w:t xml:space="preserve">a </w:t>
            </w:r>
            <w:r w:rsidRPr="009941F8">
              <w:rPr>
                <w:rFonts w:ascii="Arial Narrow" w:eastAsiaTheme="majorEastAsia" w:hAnsi="Arial Narrow" w:cs="Times New Roman"/>
                <w:sz w:val="20"/>
                <w:szCs w:val="20"/>
              </w:rPr>
              <w:t>new post hoc analysis of attainment of LLDAS composite outcome and remission from TULIP-1, TULIP-2 and TULIP LTE trials. This was based on the EULAR guidelines (2023) which recommend management of SLE should pursue a treatment target aiming at remission (defined by</w:t>
            </w:r>
            <w:r w:rsidR="008E414E" w:rsidRPr="009941F8">
              <w:rPr>
                <w:rFonts w:ascii="Arial Narrow" w:eastAsiaTheme="majorEastAsia" w:hAnsi="Arial Narrow" w:cs="Times New Roman"/>
                <w:sz w:val="20"/>
                <w:szCs w:val="20"/>
              </w:rPr>
              <w:t xml:space="preserve"> the</w:t>
            </w:r>
            <w:r w:rsidRPr="009941F8">
              <w:rPr>
                <w:rFonts w:ascii="Arial Narrow" w:eastAsiaTheme="majorEastAsia" w:hAnsi="Arial Narrow" w:cs="Times New Roman"/>
                <w:sz w:val="20"/>
                <w:szCs w:val="20"/>
              </w:rPr>
              <w:t xml:space="preserve"> DORIS criteria) or state of low disease activity such as LLDAS.</w:t>
            </w:r>
            <w:r w:rsidR="003C7740" w:rsidRPr="009941F8">
              <w:rPr>
                <w:rFonts w:ascii="Arial Narrow" w:eastAsiaTheme="majorEastAsia" w:hAnsi="Arial Narrow" w:cs="Times New Roman"/>
                <w:sz w:val="20"/>
                <w:szCs w:val="20"/>
              </w:rPr>
              <w:t xml:space="preserve"> </w:t>
            </w:r>
            <w:r w:rsidR="00525E72" w:rsidRPr="009941F8">
              <w:rPr>
                <w:rFonts w:ascii="Arial Narrow" w:eastAsiaTheme="majorEastAsia" w:hAnsi="Arial Narrow" w:cs="Times New Roman"/>
                <w:sz w:val="20"/>
                <w:szCs w:val="20"/>
              </w:rPr>
              <w:t>The</w:t>
            </w:r>
            <w:r w:rsidR="003C7740" w:rsidRPr="009941F8">
              <w:rPr>
                <w:rFonts w:ascii="Arial Narrow" w:eastAsiaTheme="majorEastAsia" w:hAnsi="Arial Narrow" w:cs="Times New Roman"/>
                <w:sz w:val="20"/>
                <w:szCs w:val="20"/>
              </w:rPr>
              <w:t xml:space="preserve"> resubmission claimed that a</w:t>
            </w:r>
            <w:r w:rsidR="00525E72" w:rsidRPr="009941F8">
              <w:rPr>
                <w:rFonts w:ascii="Arial Narrow" w:eastAsiaTheme="majorEastAsia" w:hAnsi="Arial Narrow" w:cs="Times New Roman"/>
                <w:sz w:val="20"/>
                <w:szCs w:val="20"/>
              </w:rPr>
              <w:t xml:space="preserve">nifrolumab added to SOC (triple therapy) was superior in terms of comparative effectiveness and inferior but manageable </w:t>
            </w:r>
            <w:r w:rsidR="00F47C05" w:rsidRPr="009941F8">
              <w:rPr>
                <w:rFonts w:ascii="Arial Narrow" w:eastAsiaTheme="majorEastAsia" w:hAnsi="Arial Narrow" w:cs="Times New Roman"/>
                <w:sz w:val="20"/>
                <w:szCs w:val="20"/>
              </w:rPr>
              <w:t xml:space="preserve">in terms of </w:t>
            </w:r>
            <w:r w:rsidR="00525E72" w:rsidRPr="009941F8">
              <w:rPr>
                <w:rFonts w:ascii="Arial Narrow" w:eastAsiaTheme="majorEastAsia" w:hAnsi="Arial Narrow" w:cs="Times New Roman"/>
                <w:sz w:val="20"/>
                <w:szCs w:val="20"/>
              </w:rPr>
              <w:t xml:space="preserve">safety </w:t>
            </w:r>
            <w:r w:rsidR="00F47C05" w:rsidRPr="009941F8">
              <w:rPr>
                <w:rFonts w:ascii="Arial Narrow" w:eastAsiaTheme="majorEastAsia" w:hAnsi="Arial Narrow" w:cs="Times New Roman"/>
                <w:sz w:val="20"/>
                <w:szCs w:val="20"/>
              </w:rPr>
              <w:t xml:space="preserve">compared with </w:t>
            </w:r>
            <w:r w:rsidR="00525E72" w:rsidRPr="009941F8">
              <w:rPr>
                <w:rFonts w:ascii="Arial Narrow" w:eastAsiaTheme="majorEastAsia" w:hAnsi="Arial Narrow" w:cs="Times New Roman"/>
                <w:sz w:val="20"/>
                <w:szCs w:val="20"/>
              </w:rPr>
              <w:t>SOC alone.</w:t>
            </w:r>
            <w:r w:rsidR="00A53804" w:rsidRPr="009941F8">
              <w:rPr>
                <w:rFonts w:ascii="Arial Narrow" w:eastAsiaTheme="majorEastAsia" w:hAnsi="Arial Narrow" w:cs="Times New Roman"/>
                <w:sz w:val="20"/>
                <w:szCs w:val="20"/>
              </w:rPr>
              <w:t xml:space="preserve"> The additional data </w:t>
            </w:r>
            <w:r w:rsidR="00A8387E" w:rsidRPr="009941F8">
              <w:rPr>
                <w:rFonts w:ascii="Arial Narrow" w:eastAsiaTheme="majorEastAsia" w:hAnsi="Arial Narrow" w:cs="Times New Roman"/>
                <w:sz w:val="20"/>
                <w:szCs w:val="20"/>
              </w:rPr>
              <w:t xml:space="preserve">were intended to </w:t>
            </w:r>
            <w:r w:rsidR="00A53804" w:rsidRPr="009941F8">
              <w:rPr>
                <w:rFonts w:ascii="Arial Narrow" w:eastAsiaTheme="majorEastAsia" w:hAnsi="Arial Narrow" w:cs="Times New Roman"/>
                <w:sz w:val="20"/>
                <w:szCs w:val="20"/>
              </w:rPr>
              <w:t>address the</w:t>
            </w:r>
            <w:r w:rsidR="00A70363" w:rsidRPr="009941F8">
              <w:rPr>
                <w:rFonts w:ascii="Arial Narrow" w:eastAsiaTheme="majorEastAsia" w:hAnsi="Arial Narrow" w:cs="Times New Roman"/>
                <w:sz w:val="20"/>
                <w:szCs w:val="20"/>
              </w:rPr>
              <w:t xml:space="preserve"> previous</w:t>
            </w:r>
            <w:r w:rsidR="00A53804" w:rsidRPr="009941F8">
              <w:rPr>
                <w:rFonts w:ascii="Arial Narrow" w:eastAsiaTheme="majorEastAsia" w:hAnsi="Arial Narrow" w:cs="Times New Roman"/>
                <w:sz w:val="20"/>
                <w:szCs w:val="20"/>
              </w:rPr>
              <w:t xml:space="preserve"> PBAC concerns</w:t>
            </w:r>
            <w:r w:rsidR="00A8387E" w:rsidRPr="009941F8">
              <w:rPr>
                <w:rFonts w:ascii="Arial Narrow" w:eastAsiaTheme="majorEastAsia" w:hAnsi="Arial Narrow" w:cs="Times New Roman"/>
                <w:sz w:val="20"/>
                <w:szCs w:val="20"/>
              </w:rPr>
              <w:t>, however issues were noted during the evaluation regarding the post hoc analysis of LLDAS presented in the resubmission</w:t>
            </w:r>
            <w:r w:rsidR="00A70363" w:rsidRPr="009941F8">
              <w:rPr>
                <w:rFonts w:ascii="Arial Narrow" w:eastAsiaTheme="majorEastAsia" w:hAnsi="Arial Narrow" w:cs="Times New Roman"/>
                <w:sz w:val="20"/>
                <w:szCs w:val="20"/>
              </w:rPr>
              <w:t>.</w:t>
            </w:r>
          </w:p>
        </w:tc>
      </w:tr>
      <w:tr w:rsidR="00E60461" w:rsidRPr="009941F8" w14:paraId="76CDFE20" w14:textId="77777777" w:rsidTr="00A927C5">
        <w:tc>
          <w:tcPr>
            <w:tcW w:w="626" w:type="pct"/>
          </w:tcPr>
          <w:p w14:paraId="77604D59" w14:textId="56978402" w:rsidR="00E60461" w:rsidRPr="009941F8" w:rsidRDefault="00E60461" w:rsidP="00235D09">
            <w:pPr>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Economic evaluation</w:t>
            </w:r>
          </w:p>
        </w:tc>
        <w:tc>
          <w:tcPr>
            <w:tcW w:w="2099" w:type="pct"/>
          </w:tcPr>
          <w:p w14:paraId="2A0DD7D9" w14:textId="3613821D" w:rsidR="003C7740" w:rsidRPr="009941F8" w:rsidRDefault="003C7740" w:rsidP="00235D09">
            <w:pPr>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 xml:space="preserve">Overall, the PBAC considered that the model did not provide robust estimates for decision making in the Australian context. The PBAC noted that the </w:t>
            </w:r>
            <w:r w:rsidR="00910A84" w:rsidRPr="009941F8">
              <w:rPr>
                <w:rFonts w:ascii="Arial Narrow" w:eastAsiaTheme="majorEastAsia" w:hAnsi="Arial Narrow" w:cs="Times New Roman"/>
                <w:sz w:val="20"/>
              </w:rPr>
              <w:t>re</w:t>
            </w:r>
            <w:r w:rsidRPr="009941F8">
              <w:rPr>
                <w:rFonts w:ascii="Arial Narrow" w:eastAsiaTheme="majorEastAsia" w:hAnsi="Arial Narrow" w:cs="Times New Roman"/>
                <w:sz w:val="20"/>
              </w:rPr>
              <w:t>submission presented a largely unchanged microsimulation model and the majority of concerns about the economic model identified at the July PBAC 2022 consideration had not been adequately addressed, including that (para 7.7, anifrolumab PSD March 2023):</w:t>
            </w:r>
          </w:p>
          <w:p w14:paraId="03BFB5E8" w14:textId="77777777" w:rsidR="00A41A5E" w:rsidRPr="009941F8" w:rsidRDefault="00A41A5E" w:rsidP="00235D09">
            <w:pPr>
              <w:widowControl w:val="0"/>
              <w:jc w:val="left"/>
              <w:rPr>
                <w:rFonts w:ascii="Arial Narrow" w:eastAsiaTheme="majorEastAsia" w:hAnsi="Arial Narrow" w:cs="Times New Roman"/>
                <w:sz w:val="20"/>
              </w:rPr>
            </w:pPr>
          </w:p>
          <w:p w14:paraId="44843456" w14:textId="4C1EA1CB" w:rsidR="003C7740" w:rsidRPr="009941F8" w:rsidRDefault="003C7740" w:rsidP="00235D09">
            <w:pPr>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The PBAC considered that a revised economic model that addressed the ESC’s concerns, along with a price reduction, would be required to achieve acceptable cost-effectiveness</w:t>
            </w:r>
            <w:r w:rsidR="00A41A5E" w:rsidRPr="009941F8">
              <w:rPr>
                <w:rFonts w:ascii="Arial Narrow" w:eastAsiaTheme="majorEastAsia" w:hAnsi="Arial Narrow" w:cs="Times New Roman"/>
                <w:sz w:val="20"/>
              </w:rPr>
              <w:t xml:space="preserve"> (para 7.8, anifrolumab PSD March 2023).</w:t>
            </w:r>
          </w:p>
        </w:tc>
        <w:tc>
          <w:tcPr>
            <w:tcW w:w="2275" w:type="pct"/>
          </w:tcPr>
          <w:p w14:paraId="69A4410E" w14:textId="1202696D" w:rsidR="002217BD" w:rsidRPr="009941F8" w:rsidRDefault="002217BD" w:rsidP="00235D09">
            <w:pPr>
              <w:jc w:val="left"/>
              <w:rPr>
                <w:rFonts w:ascii="Arial Narrow" w:eastAsiaTheme="majorEastAsia" w:hAnsi="Arial Narrow" w:cs="Times New Roman"/>
                <w:sz w:val="20"/>
              </w:rPr>
            </w:pPr>
            <w:r w:rsidRPr="009941F8">
              <w:rPr>
                <w:rFonts w:ascii="Arial Narrow" w:hAnsi="Arial Narrow" w:cs="Calibri"/>
                <w:sz w:val="20"/>
                <w:szCs w:val="20"/>
              </w:rPr>
              <w:t>Th</w:t>
            </w:r>
            <w:r w:rsidR="00872BE9" w:rsidRPr="009941F8">
              <w:rPr>
                <w:rFonts w:ascii="Arial Narrow" w:hAnsi="Arial Narrow" w:cs="Calibri"/>
                <w:sz w:val="20"/>
                <w:szCs w:val="20"/>
              </w:rPr>
              <w:t>is</w:t>
            </w:r>
            <w:r w:rsidRPr="009941F8">
              <w:rPr>
                <w:rFonts w:ascii="Arial Narrow" w:hAnsi="Arial Narrow" w:cs="Calibri"/>
                <w:sz w:val="20"/>
                <w:szCs w:val="20"/>
              </w:rPr>
              <w:t xml:space="preserve"> </w:t>
            </w:r>
            <w:r w:rsidRPr="009941F8">
              <w:rPr>
                <w:rFonts w:ascii="Arial Narrow" w:hAnsi="Arial Narrow" w:cs="Calibri"/>
                <w:sz w:val="20"/>
              </w:rPr>
              <w:t>re</w:t>
            </w:r>
            <w:r w:rsidRPr="009941F8">
              <w:rPr>
                <w:rFonts w:ascii="Arial Narrow" w:eastAsiaTheme="majorEastAsia" w:hAnsi="Arial Narrow" w:cs="Times New Roman"/>
                <w:sz w:val="20"/>
              </w:rPr>
              <w:t xml:space="preserve">submission presented a </w:t>
            </w:r>
            <w:r w:rsidR="001728F0" w:rsidRPr="009941F8">
              <w:rPr>
                <w:rFonts w:ascii="Arial Narrow" w:eastAsiaTheme="majorEastAsia" w:hAnsi="Arial Narrow" w:cs="Times New Roman"/>
                <w:sz w:val="20"/>
              </w:rPr>
              <w:t>new model structure</w:t>
            </w:r>
            <w:r w:rsidRPr="009941F8">
              <w:rPr>
                <w:rFonts w:ascii="Arial Narrow" w:eastAsiaTheme="majorEastAsia" w:hAnsi="Arial Narrow" w:cs="Times New Roman"/>
                <w:sz w:val="20"/>
              </w:rPr>
              <w:t>, which included:</w:t>
            </w:r>
          </w:p>
          <w:p w14:paraId="3769DFD6" w14:textId="064A47F7" w:rsidR="002217BD" w:rsidRPr="009941F8" w:rsidRDefault="002217BD" w:rsidP="00235D09">
            <w:pPr>
              <w:widowControl w:val="0"/>
              <w:numPr>
                <w:ilvl w:val="0"/>
                <w:numId w:val="3"/>
              </w:numPr>
              <w:ind w:left="253" w:hanging="253"/>
              <w:jc w:val="left"/>
              <w:rPr>
                <w:rFonts w:ascii="Arial Narrow" w:eastAsiaTheme="majorEastAsia" w:hAnsi="Arial Narrow" w:cs="Times New Roman"/>
                <w:sz w:val="20"/>
              </w:rPr>
            </w:pPr>
            <w:r w:rsidRPr="009941F8">
              <w:rPr>
                <w:rFonts w:ascii="Arial Narrow" w:eastAsiaTheme="majorEastAsia" w:hAnsi="Arial Narrow" w:cs="Times New Roman"/>
                <w:sz w:val="20"/>
              </w:rPr>
              <w:t>Markov cohort mode</w:t>
            </w:r>
            <w:r w:rsidR="00872BE9" w:rsidRPr="009941F8">
              <w:rPr>
                <w:rFonts w:ascii="Arial Narrow" w:eastAsiaTheme="majorEastAsia" w:hAnsi="Arial Narrow" w:cs="Times New Roman"/>
                <w:sz w:val="20"/>
              </w:rPr>
              <w:t>l</w:t>
            </w:r>
            <w:r w:rsidRPr="009941F8">
              <w:rPr>
                <w:rFonts w:ascii="Arial Narrow" w:hAnsi="Arial Narrow" w:cs="Calibri"/>
                <w:sz w:val="20"/>
                <w:szCs w:val="20"/>
              </w:rPr>
              <w:t xml:space="preserve"> based on evidence from the TULIP trials and extrapolations using evidence from the TULIP LTE and the Asia Pacific Lupus Collaboration (APLC)</w:t>
            </w:r>
          </w:p>
          <w:p w14:paraId="2C8EDB94" w14:textId="14FA3976" w:rsidR="002217BD" w:rsidRPr="009941F8" w:rsidRDefault="002217BD" w:rsidP="00235D09">
            <w:pPr>
              <w:widowControl w:val="0"/>
              <w:numPr>
                <w:ilvl w:val="0"/>
                <w:numId w:val="3"/>
              </w:numPr>
              <w:ind w:left="253" w:hanging="253"/>
              <w:jc w:val="left"/>
              <w:rPr>
                <w:rFonts w:ascii="Arial Narrow" w:eastAsiaTheme="majorEastAsia" w:hAnsi="Arial Narrow" w:cs="Times New Roman"/>
                <w:sz w:val="20"/>
              </w:rPr>
            </w:pPr>
            <w:r w:rsidRPr="009941F8">
              <w:rPr>
                <w:rFonts w:ascii="Arial Narrow" w:eastAsiaTheme="majorEastAsia" w:hAnsi="Arial Narrow" w:cs="Times New Roman"/>
                <w:sz w:val="20"/>
              </w:rPr>
              <w:t>Lifetime time horizon (59 years) vs 30 years in the March 2023 resubmission</w:t>
            </w:r>
          </w:p>
          <w:p w14:paraId="01423B2F" w14:textId="0E4CAB70" w:rsidR="002217BD" w:rsidRPr="009941F8" w:rsidRDefault="002217BD" w:rsidP="00235D09">
            <w:pPr>
              <w:widowControl w:val="0"/>
              <w:numPr>
                <w:ilvl w:val="0"/>
                <w:numId w:val="3"/>
              </w:numPr>
              <w:ind w:left="253" w:hanging="253"/>
              <w:jc w:val="left"/>
              <w:rPr>
                <w:rFonts w:ascii="Arial Narrow" w:eastAsiaTheme="majorEastAsia" w:hAnsi="Arial Narrow" w:cs="Times New Roman"/>
                <w:sz w:val="20"/>
              </w:rPr>
            </w:pPr>
            <w:bookmarkStart w:id="11" w:name="_Hlk162241279"/>
            <w:r w:rsidRPr="009941F8">
              <w:rPr>
                <w:rFonts w:ascii="Arial Narrow" w:eastAsiaTheme="majorEastAsia" w:hAnsi="Arial Narrow" w:cs="Times New Roman"/>
                <w:sz w:val="20"/>
              </w:rPr>
              <w:t>Response rate according to LLDAS at 26 weeks in the TULIP trials rather than SLEDAI-2K score</w:t>
            </w:r>
          </w:p>
          <w:bookmarkEnd w:id="11"/>
          <w:p w14:paraId="2E59A74E" w14:textId="1333D760" w:rsidR="002217BD" w:rsidRPr="009941F8" w:rsidRDefault="002217BD" w:rsidP="00235D09">
            <w:pPr>
              <w:widowControl w:val="0"/>
              <w:numPr>
                <w:ilvl w:val="0"/>
                <w:numId w:val="3"/>
              </w:numPr>
              <w:ind w:left="253" w:hanging="253"/>
              <w:jc w:val="left"/>
              <w:rPr>
                <w:rFonts w:ascii="Arial Narrow" w:eastAsiaTheme="majorEastAsia" w:hAnsi="Arial Narrow" w:cs="Times New Roman"/>
                <w:sz w:val="20"/>
              </w:rPr>
            </w:pPr>
            <w:r w:rsidRPr="009941F8">
              <w:rPr>
                <w:rFonts w:ascii="Arial Narrow" w:eastAsiaTheme="majorEastAsia" w:hAnsi="Arial Narrow" w:cs="Times New Roman"/>
                <w:sz w:val="20"/>
              </w:rPr>
              <w:t xml:space="preserve">As with the March 2023 resubmission patients who discontinue anifrolumab in the anifrolumab arm modelled placebo arm of the TULIP trials, by response at 26 weeks. </w:t>
            </w:r>
          </w:p>
          <w:p w14:paraId="71685803" w14:textId="00388E8A" w:rsidR="003340EB" w:rsidRPr="009941F8" w:rsidRDefault="002217BD" w:rsidP="00235D09">
            <w:pPr>
              <w:widowControl w:val="0"/>
              <w:numPr>
                <w:ilvl w:val="0"/>
                <w:numId w:val="3"/>
              </w:numPr>
              <w:ind w:left="253" w:hanging="253"/>
              <w:jc w:val="left"/>
              <w:rPr>
                <w:rFonts w:ascii="Arial Narrow" w:eastAsiaTheme="majorEastAsia" w:hAnsi="Arial Narrow" w:cs="Times New Roman"/>
                <w:sz w:val="20"/>
              </w:rPr>
            </w:pPr>
            <w:r w:rsidRPr="009941F8">
              <w:rPr>
                <w:rFonts w:ascii="Arial Narrow" w:eastAsiaTheme="majorEastAsia" w:hAnsi="Arial Narrow" w:cs="Times New Roman"/>
                <w:sz w:val="20"/>
              </w:rPr>
              <w:t>Effective DPMQ</w:t>
            </w:r>
            <w:r w:rsidR="008D050D" w:rsidRPr="009941F8">
              <w:rPr>
                <w:rFonts w:ascii="Arial Narrow" w:eastAsiaTheme="majorEastAsia" w:hAnsi="Arial Narrow" w:cs="Times New Roman"/>
                <w:sz w:val="20"/>
              </w:rPr>
              <w:t xml:space="preserve"> (public)</w:t>
            </w:r>
            <w:r w:rsidRPr="009941F8">
              <w:rPr>
                <w:rFonts w:ascii="Arial Narrow" w:eastAsiaTheme="majorEastAsia" w:hAnsi="Arial Narrow" w:cs="Times New Roman"/>
                <w:sz w:val="20"/>
              </w:rPr>
              <w:t xml:space="preserve"> $</w:t>
            </w:r>
            <w:r w:rsidR="00640EC9" w:rsidRPr="00640EC9">
              <w:rPr>
                <w:rFonts w:ascii="Arial Narrow" w:eastAsiaTheme="majorEastAsia" w:hAnsi="Arial Narrow" w:cs="Times New Roman"/>
                <w:color w:val="000000"/>
                <w:spacing w:val="55"/>
                <w:sz w:val="20"/>
                <w:shd w:val="solid" w:color="000000" w:fill="000000"/>
                <w:fitText w:val="336" w:id="-961890304"/>
                <w14:textFill>
                  <w14:solidFill>
                    <w14:srgbClr w14:val="000000">
                      <w14:alpha w14:val="100000"/>
                    </w14:srgbClr>
                  </w14:solidFill>
                </w14:textFill>
              </w:rPr>
              <w:t>|||</w:t>
            </w:r>
            <w:r w:rsidR="00640EC9" w:rsidRPr="00640EC9">
              <w:rPr>
                <w:rFonts w:ascii="Arial Narrow" w:eastAsiaTheme="majorEastAsia" w:hAnsi="Arial Narrow" w:cs="Times New Roman"/>
                <w:color w:val="000000"/>
                <w:spacing w:val="1"/>
                <w:sz w:val="20"/>
                <w:shd w:val="solid" w:color="000000" w:fill="000000"/>
                <w:fitText w:val="336" w:id="-961890304"/>
                <w14:textFill>
                  <w14:solidFill>
                    <w14:srgbClr w14:val="000000">
                      <w14:alpha w14:val="100000"/>
                    </w14:srgbClr>
                  </w14:solidFill>
                </w14:textFill>
              </w:rPr>
              <w:t>|</w:t>
            </w:r>
            <w:r w:rsidRPr="009941F8">
              <w:rPr>
                <w:rFonts w:ascii="Arial Narrow" w:eastAsiaTheme="majorEastAsia" w:hAnsi="Arial Narrow" w:cs="Times New Roman"/>
                <w:sz w:val="20"/>
              </w:rPr>
              <w:t xml:space="preserve"> (</w:t>
            </w:r>
            <w:r w:rsidR="008D050D" w:rsidRPr="009941F8">
              <w:rPr>
                <w:rFonts w:ascii="Arial Narrow" w:eastAsiaTheme="majorEastAsia" w:hAnsi="Arial Narrow" w:cs="Times New Roman"/>
                <w:sz w:val="20"/>
              </w:rPr>
              <w:t>lower than</w:t>
            </w:r>
            <w:r w:rsidRPr="009941F8">
              <w:rPr>
                <w:rFonts w:ascii="Arial Narrow" w:eastAsiaTheme="majorEastAsia" w:hAnsi="Arial Narrow" w:cs="Times New Roman"/>
                <w:sz w:val="20"/>
              </w:rPr>
              <w:t xml:space="preserve"> $</w:t>
            </w:r>
            <w:r w:rsidR="00640EC9" w:rsidRPr="00640EC9">
              <w:rPr>
                <w:rFonts w:ascii="Arial Narrow" w:eastAsiaTheme="majorEastAsia" w:hAnsi="Arial Narrow" w:cs="Times New Roman"/>
                <w:color w:val="000000"/>
                <w:spacing w:val="55"/>
                <w:sz w:val="20"/>
                <w:shd w:val="solid" w:color="000000" w:fill="000000"/>
                <w:fitText w:val="336" w:id="-961890303"/>
                <w14:textFill>
                  <w14:solidFill>
                    <w14:srgbClr w14:val="000000">
                      <w14:alpha w14:val="100000"/>
                    </w14:srgbClr>
                  </w14:solidFill>
                </w14:textFill>
              </w:rPr>
              <w:t>|||</w:t>
            </w:r>
            <w:r w:rsidR="00640EC9" w:rsidRPr="00640EC9">
              <w:rPr>
                <w:rFonts w:ascii="Arial Narrow" w:eastAsiaTheme="majorEastAsia" w:hAnsi="Arial Narrow" w:cs="Times New Roman"/>
                <w:color w:val="000000"/>
                <w:spacing w:val="1"/>
                <w:sz w:val="20"/>
                <w:shd w:val="solid" w:color="000000" w:fill="000000"/>
                <w:fitText w:val="336" w:id="-961890303"/>
                <w14:textFill>
                  <w14:solidFill>
                    <w14:srgbClr w14:val="000000">
                      <w14:alpha w14:val="100000"/>
                    </w14:srgbClr>
                  </w14:solidFill>
                </w14:textFill>
              </w:rPr>
              <w:t>|</w:t>
            </w:r>
            <w:r w:rsidRPr="009941F8">
              <w:rPr>
                <w:rFonts w:ascii="Arial Narrow" w:eastAsiaTheme="majorEastAsia" w:hAnsi="Arial Narrow" w:cs="Times New Roman"/>
                <w:sz w:val="20"/>
              </w:rPr>
              <w:t xml:space="preserve"> in the March 2023 resubmission </w:t>
            </w:r>
            <w:r w:rsidR="008D050D" w:rsidRPr="009941F8">
              <w:rPr>
                <w:rFonts w:ascii="Arial Narrow" w:eastAsiaTheme="majorEastAsia" w:hAnsi="Arial Narrow" w:cs="Times New Roman"/>
                <w:sz w:val="20"/>
              </w:rPr>
              <w:t>but higher than</w:t>
            </w:r>
            <w:r w:rsidRPr="009941F8">
              <w:rPr>
                <w:rFonts w:ascii="Arial Narrow" w:eastAsiaTheme="majorEastAsia" w:hAnsi="Arial Narrow" w:cs="Times New Roman"/>
                <w:sz w:val="20"/>
              </w:rPr>
              <w:t xml:space="preserve"> </w:t>
            </w:r>
            <w:r w:rsidR="00640EC9" w:rsidRPr="00640EC9">
              <w:rPr>
                <w:rFonts w:ascii="Arial Narrow" w:eastAsiaTheme="majorEastAsia" w:hAnsi="Arial Narrow" w:cs="Times New Roman" w:hint="eastAsia"/>
                <w:color w:val="000000"/>
                <w:w w:val="18"/>
                <w:sz w:val="20"/>
                <w:shd w:val="solid" w:color="000000" w:fill="000000"/>
                <w:fitText w:val="84" w:id="-961890302"/>
                <w14:textFill>
                  <w14:solidFill>
                    <w14:srgbClr w14:val="000000">
                      <w14:alpha w14:val="100000"/>
                    </w14:srgbClr>
                  </w14:solidFill>
                </w14:textFill>
              </w:rPr>
              <w:t xml:space="preserve">　</w:t>
            </w:r>
            <w:r w:rsidR="00640EC9" w:rsidRPr="00640EC9">
              <w:rPr>
                <w:rFonts w:ascii="Arial Narrow" w:eastAsiaTheme="majorEastAsia" w:hAnsi="Arial Narrow" w:cs="Times New Roman"/>
                <w:color w:val="000000"/>
                <w:w w:val="18"/>
                <w:sz w:val="20"/>
                <w:shd w:val="solid" w:color="000000" w:fill="000000"/>
                <w:fitText w:val="84" w:id="-961890302"/>
                <w14:textFill>
                  <w14:solidFill>
                    <w14:srgbClr w14:val="000000">
                      <w14:alpha w14:val="100000"/>
                    </w14:srgbClr>
                  </w14:solidFill>
                </w14:textFill>
              </w:rPr>
              <w:t>|</w:t>
            </w:r>
            <w:r w:rsidR="00640EC9" w:rsidRPr="00640EC9">
              <w:rPr>
                <w:rFonts w:ascii="Arial Narrow" w:eastAsiaTheme="majorEastAsia" w:hAnsi="Arial Narrow" w:cs="Times New Roman" w:hint="eastAsia"/>
                <w:color w:val="000000"/>
                <w:spacing w:val="4"/>
                <w:w w:val="18"/>
                <w:sz w:val="20"/>
                <w:shd w:val="solid" w:color="000000" w:fill="000000"/>
                <w:fitText w:val="84" w:id="-961890302"/>
                <w14:textFill>
                  <w14:solidFill>
                    <w14:srgbClr w14:val="000000">
                      <w14:alpha w14:val="100000"/>
                    </w14:srgbClr>
                  </w14:solidFill>
                </w14:textFill>
              </w:rPr>
              <w:t xml:space="preserve">　</w:t>
            </w:r>
            <w:r w:rsidRPr="009941F8">
              <w:rPr>
                <w:rFonts w:ascii="Arial Narrow" w:eastAsiaTheme="majorEastAsia" w:hAnsi="Arial Narrow" w:cs="Times New Roman"/>
                <w:sz w:val="20"/>
              </w:rPr>
              <w:t xml:space="preserve"> </w:t>
            </w:r>
            <w:r w:rsidR="00F47C05" w:rsidRPr="009941F8">
              <w:rPr>
                <w:rFonts w:ascii="Arial Narrow" w:eastAsiaTheme="majorEastAsia" w:hAnsi="Arial Narrow" w:cs="Times New Roman"/>
                <w:sz w:val="20"/>
              </w:rPr>
              <w:t xml:space="preserve">that was offered </w:t>
            </w:r>
            <w:r w:rsidRPr="009941F8">
              <w:rPr>
                <w:rFonts w:ascii="Arial Narrow" w:eastAsiaTheme="majorEastAsia" w:hAnsi="Arial Narrow" w:cs="Times New Roman"/>
                <w:sz w:val="20"/>
              </w:rPr>
              <w:t>in the pre</w:t>
            </w:r>
            <w:r w:rsidR="00B73103" w:rsidRPr="009941F8">
              <w:rPr>
                <w:rFonts w:ascii="Arial Narrow" w:eastAsiaTheme="majorEastAsia" w:hAnsi="Arial Narrow" w:cs="Times New Roman"/>
                <w:sz w:val="20"/>
              </w:rPr>
              <w:noBreakHyphen/>
            </w:r>
            <w:r w:rsidRPr="009941F8">
              <w:rPr>
                <w:rFonts w:ascii="Arial Narrow" w:eastAsiaTheme="majorEastAsia" w:hAnsi="Arial Narrow" w:cs="Times New Roman"/>
                <w:sz w:val="20"/>
              </w:rPr>
              <w:t>PBAC response).</w:t>
            </w:r>
            <w:r w:rsidR="003340EB" w:rsidRPr="009941F8">
              <w:rPr>
                <w:rFonts w:ascii="Arial Narrow" w:eastAsiaTheme="majorEastAsia" w:hAnsi="Arial Narrow" w:cs="Times New Roman"/>
                <w:sz w:val="20"/>
              </w:rPr>
              <w:t xml:space="preserve"> </w:t>
            </w:r>
          </w:p>
          <w:p w14:paraId="1ED89B64" w14:textId="5D3B9AF6" w:rsidR="00E60461" w:rsidRPr="009941F8" w:rsidRDefault="003340EB" w:rsidP="00235D09">
            <w:pPr>
              <w:widowControl w:val="0"/>
              <w:numPr>
                <w:ilvl w:val="0"/>
                <w:numId w:val="3"/>
              </w:numPr>
              <w:ind w:left="253" w:hanging="253"/>
              <w:jc w:val="left"/>
              <w:rPr>
                <w:rFonts w:ascii="Arial Narrow" w:eastAsiaTheme="majorEastAsia" w:hAnsi="Arial Narrow" w:cs="Times New Roman"/>
                <w:sz w:val="20"/>
              </w:rPr>
            </w:pPr>
            <w:r w:rsidRPr="009941F8">
              <w:rPr>
                <w:rFonts w:ascii="Arial Narrow" w:eastAsiaTheme="majorEastAsia" w:hAnsi="Arial Narrow" w:cs="Times New Roman"/>
                <w:sz w:val="20"/>
              </w:rPr>
              <w:t xml:space="preserve">The </w:t>
            </w:r>
            <w:r w:rsidR="000E1564" w:rsidRPr="009941F8">
              <w:rPr>
                <w:rFonts w:ascii="Arial Narrow" w:eastAsiaTheme="majorEastAsia" w:hAnsi="Arial Narrow" w:cs="Times New Roman"/>
                <w:sz w:val="20"/>
              </w:rPr>
              <w:t>resubmission addressed some concerns raised by the PBAC, but the model was still not robust to many of the underlying assumptions.</w:t>
            </w:r>
            <w:r w:rsidRPr="009941F8">
              <w:rPr>
                <w:rFonts w:ascii="Arial Narrow" w:eastAsiaTheme="majorEastAsia" w:hAnsi="Arial Narrow" w:cs="Times New Roman"/>
                <w:sz w:val="20"/>
              </w:rPr>
              <w:t xml:space="preserve"> </w:t>
            </w:r>
          </w:p>
        </w:tc>
      </w:tr>
      <w:tr w:rsidR="00E60461" w:rsidRPr="009941F8" w14:paraId="085DF08F" w14:textId="77777777" w:rsidTr="00A927C5">
        <w:tc>
          <w:tcPr>
            <w:tcW w:w="626" w:type="pct"/>
          </w:tcPr>
          <w:p w14:paraId="7DD17259" w14:textId="3868194E" w:rsidR="00E60461" w:rsidRPr="009941F8" w:rsidRDefault="00E60461"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heme="majorBidi"/>
                <w:bCs/>
                <w:sz w:val="20"/>
              </w:rPr>
              <w:lastRenderedPageBreak/>
              <w:t>Financial estimates &amp; risk share</w:t>
            </w:r>
          </w:p>
        </w:tc>
        <w:tc>
          <w:tcPr>
            <w:tcW w:w="2099" w:type="pct"/>
          </w:tcPr>
          <w:p w14:paraId="42FBB4BE" w14:textId="6690190B" w:rsidR="00A41A5E" w:rsidRPr="009941F8" w:rsidRDefault="00A41A5E"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 xml:space="preserve">The </w:t>
            </w:r>
            <w:r w:rsidR="00910A84" w:rsidRPr="009941F8">
              <w:rPr>
                <w:rFonts w:ascii="Arial Narrow" w:eastAsiaTheme="majorEastAsia" w:hAnsi="Arial Narrow" w:cs="Times New Roman"/>
                <w:sz w:val="20"/>
              </w:rPr>
              <w:t>re</w:t>
            </w:r>
            <w:r w:rsidRPr="009941F8">
              <w:rPr>
                <w:rFonts w:ascii="Arial Narrow" w:eastAsiaTheme="majorEastAsia" w:hAnsi="Arial Narrow" w:cs="Times New Roman"/>
                <w:sz w:val="20"/>
              </w:rPr>
              <w:t xml:space="preserve">submission had revised the financial estimates based on the PBAC and DUSC’s feedback in July 2022 meeting. The </w:t>
            </w:r>
            <w:r w:rsidR="00910A84" w:rsidRPr="009941F8">
              <w:rPr>
                <w:rFonts w:ascii="Arial Narrow" w:eastAsiaTheme="majorEastAsia" w:hAnsi="Arial Narrow" w:cs="Times New Roman"/>
                <w:sz w:val="20"/>
              </w:rPr>
              <w:t>re</w:t>
            </w:r>
            <w:r w:rsidRPr="009941F8">
              <w:rPr>
                <w:rFonts w:ascii="Arial Narrow" w:eastAsiaTheme="majorEastAsia" w:hAnsi="Arial Narrow" w:cs="Times New Roman"/>
                <w:sz w:val="20"/>
              </w:rPr>
              <w:t xml:space="preserve">submission also stated that to address any areas of uncertainty to the PBS and the government, the sponsor was willing to consider a RSA. </w:t>
            </w:r>
          </w:p>
          <w:p w14:paraId="5508F520" w14:textId="77777777" w:rsidR="00A41A5E" w:rsidRPr="009941F8" w:rsidRDefault="00A41A5E" w:rsidP="00235D09">
            <w:pPr>
              <w:keepNext/>
              <w:widowControl w:val="0"/>
              <w:jc w:val="left"/>
              <w:rPr>
                <w:rFonts w:ascii="Arial Narrow" w:eastAsiaTheme="majorEastAsia" w:hAnsi="Arial Narrow" w:cs="Times New Roman"/>
                <w:sz w:val="20"/>
              </w:rPr>
            </w:pPr>
          </w:p>
          <w:p w14:paraId="4B940352" w14:textId="7C89339E" w:rsidR="00A41A5E" w:rsidRPr="009941F8" w:rsidRDefault="00A41A5E"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The PBAC considered that the utilisation estimates for anifrolumab remained high despite the revised inputs in the</w:t>
            </w:r>
          </w:p>
          <w:p w14:paraId="671CB358" w14:textId="1EB0F821" w:rsidR="00A41A5E" w:rsidRPr="009941F8" w:rsidRDefault="00A41A5E" w:rsidP="00235D09">
            <w:pPr>
              <w:keepNext/>
              <w:widowControl w:val="0"/>
              <w:jc w:val="left"/>
              <w:rPr>
                <w:rFonts w:ascii="Arial Narrow" w:eastAsiaTheme="majorEastAsia" w:hAnsi="Arial Narrow" w:cs="Times New Roman"/>
                <w:sz w:val="20"/>
              </w:rPr>
            </w:pPr>
            <w:r w:rsidRPr="009941F8">
              <w:rPr>
                <w:rFonts w:ascii="Arial Narrow" w:eastAsiaTheme="majorEastAsia" w:hAnsi="Arial Narrow" w:cs="Times New Roman"/>
                <w:sz w:val="20"/>
              </w:rPr>
              <w:t>pre-PBAC response (para 7.9, anifrolumab PSD March 2023).</w:t>
            </w:r>
          </w:p>
        </w:tc>
        <w:tc>
          <w:tcPr>
            <w:tcW w:w="2275" w:type="pct"/>
          </w:tcPr>
          <w:p w14:paraId="11384C0C" w14:textId="77777777" w:rsidR="001728F0" w:rsidRPr="009941F8" w:rsidRDefault="00A41A5E" w:rsidP="00235D09">
            <w:pPr>
              <w:keepNext/>
              <w:widowControl w:val="0"/>
              <w:jc w:val="left"/>
              <w:rPr>
                <w:rFonts w:ascii="Arial Narrow" w:eastAsiaTheme="majorEastAsia" w:hAnsi="Arial Narrow" w:cs="Times New Roman"/>
                <w:sz w:val="20"/>
                <w:szCs w:val="20"/>
              </w:rPr>
            </w:pPr>
            <w:r w:rsidRPr="009941F8">
              <w:rPr>
                <w:rFonts w:ascii="Arial Narrow" w:eastAsiaTheme="majorEastAsia" w:hAnsi="Arial Narrow" w:cs="Times New Roman"/>
                <w:sz w:val="20"/>
                <w:szCs w:val="20"/>
              </w:rPr>
              <w:t xml:space="preserve">The financial estimates were revised incorporating the proposed effective price, total patient years, proportion of eligible patients, </w:t>
            </w:r>
            <w:r w:rsidR="005A498B" w:rsidRPr="009941F8">
              <w:rPr>
                <w:rFonts w:ascii="Arial Narrow" w:eastAsiaTheme="majorEastAsia" w:hAnsi="Arial Narrow" w:cs="Times New Roman"/>
                <w:sz w:val="20"/>
                <w:szCs w:val="20"/>
              </w:rPr>
              <w:t>reduction in the</w:t>
            </w:r>
            <w:r w:rsidRPr="009941F8">
              <w:rPr>
                <w:rFonts w:ascii="Arial Narrow" w:eastAsiaTheme="majorEastAsia" w:hAnsi="Arial Narrow" w:cs="Times New Roman"/>
                <w:sz w:val="20"/>
                <w:szCs w:val="20"/>
              </w:rPr>
              <w:t xml:space="preserve"> uptake rates and grandfathered patients in Year 1</w:t>
            </w:r>
            <w:r w:rsidR="005A498B" w:rsidRPr="009941F8">
              <w:rPr>
                <w:rFonts w:ascii="Arial Narrow" w:eastAsiaTheme="majorEastAsia" w:hAnsi="Arial Narrow" w:cs="Times New Roman"/>
                <w:sz w:val="20"/>
                <w:szCs w:val="20"/>
              </w:rPr>
              <w:t xml:space="preserve">. </w:t>
            </w:r>
            <w:r w:rsidR="001728F0" w:rsidRPr="009941F8">
              <w:rPr>
                <w:rFonts w:ascii="Arial Narrow" w:eastAsiaTheme="majorEastAsia" w:hAnsi="Arial Narrow" w:cs="Times New Roman"/>
                <w:sz w:val="20"/>
                <w:szCs w:val="20"/>
              </w:rPr>
              <w:t>Uptake rates were unchanged from the pre-PBAC response and the financial estimates remained sensitive to utilisation estimates.</w:t>
            </w:r>
          </w:p>
          <w:p w14:paraId="45B2AE40" w14:textId="77777777" w:rsidR="001728F0" w:rsidRPr="009941F8" w:rsidRDefault="001728F0" w:rsidP="00235D09">
            <w:pPr>
              <w:keepNext/>
              <w:widowControl w:val="0"/>
              <w:jc w:val="left"/>
              <w:rPr>
                <w:rFonts w:ascii="Arial Narrow" w:eastAsiaTheme="majorEastAsia" w:hAnsi="Arial Narrow" w:cs="Times New Roman"/>
                <w:sz w:val="20"/>
                <w:szCs w:val="20"/>
              </w:rPr>
            </w:pPr>
          </w:p>
          <w:p w14:paraId="53193047" w14:textId="6CC7B878" w:rsidR="000E1564" w:rsidRPr="009941F8" w:rsidRDefault="005A498B" w:rsidP="00235D09">
            <w:pPr>
              <w:keepNext/>
              <w:widowControl w:val="0"/>
              <w:jc w:val="left"/>
              <w:rPr>
                <w:rFonts w:ascii="Arial Narrow" w:eastAsiaTheme="majorEastAsia" w:hAnsi="Arial Narrow" w:cs="Times New Roman"/>
                <w:sz w:val="20"/>
                <w:szCs w:val="20"/>
              </w:rPr>
            </w:pPr>
            <w:r w:rsidRPr="009941F8">
              <w:rPr>
                <w:rFonts w:ascii="Arial Narrow" w:eastAsiaTheme="majorEastAsia" w:hAnsi="Arial Narrow" w:cs="Times New Roman"/>
                <w:sz w:val="20"/>
                <w:szCs w:val="20"/>
              </w:rPr>
              <w:t>Th</w:t>
            </w:r>
            <w:r w:rsidR="00E2558E" w:rsidRPr="009941F8">
              <w:rPr>
                <w:rFonts w:ascii="Arial Narrow" w:eastAsiaTheme="majorEastAsia" w:hAnsi="Arial Narrow" w:cs="Times New Roman"/>
                <w:sz w:val="20"/>
                <w:szCs w:val="20"/>
              </w:rPr>
              <w:t>is</w:t>
            </w:r>
            <w:r w:rsidRPr="009941F8">
              <w:rPr>
                <w:rFonts w:ascii="Arial Narrow" w:eastAsiaTheme="majorEastAsia" w:hAnsi="Arial Narrow" w:cs="Times New Roman"/>
                <w:sz w:val="20"/>
                <w:szCs w:val="20"/>
              </w:rPr>
              <w:t xml:space="preserve"> resubmission also proposed a 2-tier </w:t>
            </w:r>
            <w:r w:rsidR="001728F0" w:rsidRPr="009941F8">
              <w:rPr>
                <w:rFonts w:ascii="Arial Narrow" w:eastAsiaTheme="majorEastAsia" w:hAnsi="Arial Narrow" w:cs="Times New Roman"/>
                <w:sz w:val="20"/>
                <w:szCs w:val="20"/>
              </w:rPr>
              <w:t>RSA</w:t>
            </w:r>
            <w:r w:rsidRPr="009941F8">
              <w:rPr>
                <w:rFonts w:ascii="Arial Narrow" w:eastAsiaTheme="majorEastAsia" w:hAnsi="Arial Narrow" w:cs="Times New Roman"/>
                <w:sz w:val="20"/>
                <w:szCs w:val="20"/>
              </w:rPr>
              <w:t>, given the uncertain size of the patient population and the response rates in clinical practice is also unknown.</w:t>
            </w:r>
          </w:p>
        </w:tc>
      </w:tr>
    </w:tbl>
    <w:p w14:paraId="77089857" w14:textId="77777777" w:rsidR="006C5BDD" w:rsidRPr="009941F8" w:rsidRDefault="006C5BDD" w:rsidP="00235D09">
      <w:pPr>
        <w:keepNext/>
        <w:autoSpaceDE w:val="0"/>
        <w:autoSpaceDN w:val="0"/>
        <w:adjustRightInd w:val="0"/>
        <w:rPr>
          <w:rFonts w:ascii="Arial Narrow" w:eastAsia="SimSun" w:hAnsi="Arial Narrow" w:cs="Calibri"/>
          <w:sz w:val="18"/>
          <w:szCs w:val="18"/>
        </w:rPr>
      </w:pPr>
      <w:r w:rsidRPr="009941F8">
        <w:rPr>
          <w:rFonts w:ascii="Arial Narrow" w:eastAsia="SimSun" w:hAnsi="Arial Narrow" w:cs="Calibri"/>
          <w:sz w:val="18"/>
          <w:szCs w:val="18"/>
        </w:rPr>
        <w:t>Source: Table 0-1, pp10-23 of the resubmission.</w:t>
      </w:r>
    </w:p>
    <w:p w14:paraId="3CAB8BCE" w14:textId="58C2926B" w:rsidR="00A244E2" w:rsidRPr="009941F8" w:rsidRDefault="006C5BDD" w:rsidP="007039CE">
      <w:pPr>
        <w:keepNext/>
        <w:autoSpaceDE w:val="0"/>
        <w:autoSpaceDN w:val="0"/>
        <w:adjustRightInd w:val="0"/>
        <w:spacing w:after="120"/>
        <w:rPr>
          <w:rFonts w:ascii="Arial Narrow" w:eastAsia="SimSun" w:hAnsi="Arial Narrow" w:cs="Calibri"/>
          <w:sz w:val="18"/>
          <w:szCs w:val="18"/>
        </w:rPr>
      </w:pPr>
      <w:r w:rsidRPr="009941F8">
        <w:rPr>
          <w:rFonts w:ascii="Arial Narrow" w:eastAsia="SimSun" w:hAnsi="Arial Narrow" w:cs="Calibri"/>
          <w:sz w:val="18"/>
          <w:szCs w:val="18"/>
        </w:rPr>
        <w:t>APLC=Asia Pacific Lupus Collaboration; DORIS=definition of remission in SLE; ICER=incremental cost-effectiveness ratio; IV=intravenous; LLDAS=low lupus disease activity state; RSA=risk sharing agreement; SDI=SLICC/ACR (Systemic Lupus International Collaborating Clinics/American College of Rheumatology) Damage Index; SLE=systemic lupus erythematosus; SLEDAI-2K=Systemic Lupus Erythematosus Disease Activity Index 2000; SOC=standard of care; SRI(4)=4-point reduction in SLE Responder Index</w:t>
      </w:r>
      <w:r w:rsidR="00E706BA">
        <w:rPr>
          <w:rFonts w:ascii="Arial Narrow" w:eastAsia="SimSun" w:hAnsi="Arial Narrow" w:cs="Calibri"/>
          <w:sz w:val="18"/>
          <w:szCs w:val="18"/>
        </w:rPr>
        <w:t>; PSD=</w:t>
      </w:r>
      <w:r w:rsidR="00E706BA" w:rsidRPr="00E706BA">
        <w:t xml:space="preserve"> </w:t>
      </w:r>
      <w:r w:rsidR="00E706BA" w:rsidRPr="00E706BA">
        <w:rPr>
          <w:rFonts w:ascii="Arial Narrow" w:eastAsia="SimSun" w:hAnsi="Arial Narrow" w:cs="Calibri"/>
          <w:sz w:val="18"/>
          <w:szCs w:val="18"/>
        </w:rPr>
        <w:t>Public Summary Document</w:t>
      </w:r>
      <w:r w:rsidR="00E706BA">
        <w:rPr>
          <w:rFonts w:ascii="Arial Narrow" w:eastAsia="SimSun" w:hAnsi="Arial Narrow" w:cs="Calibri"/>
          <w:sz w:val="18"/>
          <w:szCs w:val="18"/>
        </w:rPr>
        <w:t xml:space="preserve"> </w:t>
      </w:r>
    </w:p>
    <w:p w14:paraId="76AA425E" w14:textId="2553B28A" w:rsidR="00A244E2" w:rsidRPr="009941F8" w:rsidRDefault="00A244E2" w:rsidP="00A244E2">
      <w:pPr>
        <w:autoSpaceDE w:val="0"/>
        <w:autoSpaceDN w:val="0"/>
        <w:adjustRightInd w:val="0"/>
        <w:rPr>
          <w:rFonts w:asciiTheme="minorHAnsi" w:eastAsia="SimSun" w:hAnsiTheme="minorHAnsi" w:cstheme="minorHAnsi"/>
          <w:i/>
          <w:iCs/>
        </w:rPr>
      </w:pPr>
      <w:r w:rsidRPr="009941F8">
        <w:rPr>
          <w:rFonts w:ascii="Arial Narrow" w:eastAsia="SimSun" w:hAnsi="Arial Narrow" w:cs="Calibri"/>
          <w:sz w:val="18"/>
          <w:szCs w:val="18"/>
        </w:rPr>
        <w:tab/>
      </w:r>
      <w:r w:rsidRPr="009941F8">
        <w:rPr>
          <w:rFonts w:ascii="Arial Narrow" w:eastAsia="SimSun" w:hAnsi="Arial Narrow" w:cs="Calibri"/>
          <w:sz w:val="18"/>
          <w:szCs w:val="18"/>
        </w:rPr>
        <w:tab/>
      </w:r>
      <w:r w:rsidRPr="009941F8">
        <w:rPr>
          <w:rFonts w:ascii="Arial Narrow" w:eastAsia="SimSun" w:hAnsi="Arial Narrow" w:cs="Calibri"/>
          <w:sz w:val="18"/>
          <w:szCs w:val="18"/>
        </w:rPr>
        <w:tab/>
      </w:r>
      <w:r w:rsidRPr="009941F8">
        <w:rPr>
          <w:rFonts w:ascii="Arial Narrow" w:eastAsia="SimSun" w:hAnsi="Arial Narrow" w:cs="Calibri"/>
          <w:sz w:val="18"/>
          <w:szCs w:val="18"/>
        </w:rPr>
        <w:tab/>
      </w:r>
      <w:r w:rsidRPr="009941F8">
        <w:rPr>
          <w:rFonts w:asciiTheme="minorHAnsi" w:eastAsia="SimSun" w:hAnsiTheme="minorHAnsi" w:cstheme="minorHAnsi"/>
          <w:i/>
          <w:iCs/>
        </w:rPr>
        <w:t>For more detail on PBAC’s view, see section 7 PBAC outcome.</w:t>
      </w:r>
    </w:p>
    <w:p w14:paraId="76E4EF3C" w14:textId="13040F70" w:rsidR="00B60939" w:rsidRPr="009941F8" w:rsidRDefault="00B50DB8" w:rsidP="00A244E2">
      <w:pPr>
        <w:pStyle w:val="2-SectionHeading"/>
        <w:tabs>
          <w:tab w:val="left" w:pos="2552"/>
        </w:tabs>
      </w:pPr>
      <w:bookmarkStart w:id="12" w:name="_Toc156918340"/>
      <w:r w:rsidRPr="009941F8">
        <w:t>Requested listing</w:t>
      </w:r>
      <w:bookmarkEnd w:id="12"/>
    </w:p>
    <w:p w14:paraId="7653CA3A" w14:textId="77777777" w:rsidR="004C5FF6" w:rsidRPr="009941F8" w:rsidRDefault="004C5FF6" w:rsidP="004C5FF6">
      <w:pPr>
        <w:pStyle w:val="3-BodyText"/>
      </w:pPr>
      <w:r w:rsidRPr="009941F8">
        <w:t xml:space="preserve">Suggestions and additions proposed by the Secretariat are added in italics and suggested deletions are crossed out with strikethrough. </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11"/>
        <w:gridCol w:w="1442"/>
        <w:gridCol w:w="1678"/>
        <w:gridCol w:w="830"/>
        <w:gridCol w:w="830"/>
        <w:gridCol w:w="691"/>
        <w:gridCol w:w="1065"/>
      </w:tblGrid>
      <w:tr w:rsidR="00D47C08" w:rsidRPr="009941F8" w14:paraId="446CE3E2" w14:textId="77777777" w:rsidTr="007039CE">
        <w:trPr>
          <w:cantSplit/>
          <w:trHeight w:val="20"/>
          <w:tblHeader/>
        </w:trPr>
        <w:tc>
          <w:tcPr>
            <w:tcW w:w="1347" w:type="pct"/>
            <w:tcBorders>
              <w:bottom w:val="single" w:sz="4" w:space="0" w:color="auto"/>
            </w:tcBorders>
            <w:vAlign w:val="center"/>
          </w:tcPr>
          <w:p w14:paraId="757D321D" w14:textId="77777777" w:rsidR="006C5BDD" w:rsidRPr="009941F8" w:rsidRDefault="006C5BDD" w:rsidP="007039CE">
            <w:pPr>
              <w:jc w:val="left"/>
              <w:rPr>
                <w:rFonts w:ascii="Arial Narrow" w:eastAsia="SimSun" w:hAnsi="Arial Narrow"/>
                <w:b/>
                <w:bCs/>
                <w:sz w:val="20"/>
                <w:szCs w:val="20"/>
              </w:rPr>
            </w:pPr>
            <w:r w:rsidRPr="009941F8">
              <w:rPr>
                <w:rFonts w:ascii="Arial Narrow" w:eastAsia="SimSun" w:hAnsi="Arial Narrow"/>
                <w:b/>
                <w:bCs/>
                <w:sz w:val="20"/>
                <w:szCs w:val="20"/>
              </w:rPr>
              <w:t>MEDICINAL PRODUCT</w:t>
            </w:r>
          </w:p>
          <w:p w14:paraId="5EF88788" w14:textId="77777777" w:rsidR="006C5BDD" w:rsidRPr="009941F8" w:rsidRDefault="006C5BDD" w:rsidP="007039CE">
            <w:pPr>
              <w:jc w:val="left"/>
              <w:rPr>
                <w:rFonts w:ascii="Arial Narrow" w:eastAsia="SimSun" w:hAnsi="Arial Narrow"/>
                <w:b/>
                <w:sz w:val="20"/>
                <w:szCs w:val="20"/>
              </w:rPr>
            </w:pPr>
            <w:r w:rsidRPr="009941F8">
              <w:rPr>
                <w:rFonts w:ascii="Arial Narrow" w:eastAsia="SimSun" w:hAnsi="Arial Narrow"/>
                <w:b/>
                <w:bCs/>
                <w:sz w:val="20"/>
                <w:szCs w:val="20"/>
              </w:rPr>
              <w:t>medicinal product pack</w:t>
            </w:r>
          </w:p>
        </w:tc>
        <w:tc>
          <w:tcPr>
            <w:tcW w:w="1744" w:type="pct"/>
            <w:gridSpan w:val="2"/>
            <w:tcBorders>
              <w:bottom w:val="single" w:sz="4" w:space="0" w:color="auto"/>
            </w:tcBorders>
            <w:vAlign w:val="center"/>
          </w:tcPr>
          <w:p w14:paraId="7F745620" w14:textId="77777777" w:rsidR="006C5BDD" w:rsidRPr="009941F8" w:rsidRDefault="006C5BDD" w:rsidP="007039CE">
            <w:pPr>
              <w:jc w:val="center"/>
              <w:rPr>
                <w:rFonts w:ascii="Arial Narrow" w:eastAsia="SimSun" w:hAnsi="Arial Narrow"/>
                <w:b/>
                <w:sz w:val="20"/>
                <w:szCs w:val="20"/>
              </w:rPr>
            </w:pPr>
            <w:r w:rsidRPr="009941F8">
              <w:rPr>
                <w:rFonts w:ascii="Arial Narrow" w:eastAsia="SimSun" w:hAnsi="Arial Narrow"/>
                <w:b/>
                <w:bCs/>
                <w:snapToGrid w:val="0"/>
                <w:sz w:val="20"/>
                <w:szCs w:val="20"/>
              </w:rPr>
              <w:t xml:space="preserve">Dispensed Price for Max. Qty </w:t>
            </w:r>
          </w:p>
        </w:tc>
        <w:tc>
          <w:tcPr>
            <w:tcW w:w="464" w:type="pct"/>
            <w:tcBorders>
              <w:bottom w:val="single" w:sz="4" w:space="0" w:color="auto"/>
            </w:tcBorders>
            <w:vAlign w:val="center"/>
          </w:tcPr>
          <w:p w14:paraId="2D191525" w14:textId="77777777" w:rsidR="006C5BDD" w:rsidRPr="009941F8" w:rsidRDefault="006C5BDD" w:rsidP="007039CE">
            <w:pPr>
              <w:jc w:val="center"/>
              <w:rPr>
                <w:rFonts w:ascii="Arial Narrow" w:eastAsia="SimSun" w:hAnsi="Arial Narrow"/>
                <w:b/>
                <w:sz w:val="20"/>
                <w:szCs w:val="20"/>
              </w:rPr>
            </w:pPr>
            <w:r w:rsidRPr="009941F8">
              <w:rPr>
                <w:rFonts w:ascii="Arial Narrow" w:eastAsia="SimSun" w:hAnsi="Arial Narrow"/>
                <w:b/>
                <w:sz w:val="20"/>
                <w:szCs w:val="20"/>
              </w:rPr>
              <w:t>Max. qty packs</w:t>
            </w:r>
          </w:p>
        </w:tc>
        <w:tc>
          <w:tcPr>
            <w:tcW w:w="464" w:type="pct"/>
            <w:tcBorders>
              <w:bottom w:val="single" w:sz="4" w:space="0" w:color="auto"/>
            </w:tcBorders>
            <w:vAlign w:val="center"/>
          </w:tcPr>
          <w:p w14:paraId="364CE84F" w14:textId="77777777" w:rsidR="006C5BDD" w:rsidRPr="009941F8" w:rsidRDefault="006C5BDD" w:rsidP="007039CE">
            <w:pPr>
              <w:jc w:val="center"/>
              <w:rPr>
                <w:rFonts w:ascii="Arial Narrow" w:eastAsia="SimSun" w:hAnsi="Arial Narrow"/>
                <w:b/>
                <w:sz w:val="20"/>
                <w:szCs w:val="20"/>
              </w:rPr>
            </w:pPr>
            <w:r w:rsidRPr="009941F8">
              <w:rPr>
                <w:rFonts w:ascii="Arial Narrow" w:eastAsia="SimSun" w:hAnsi="Arial Narrow"/>
                <w:b/>
                <w:sz w:val="20"/>
                <w:szCs w:val="20"/>
              </w:rPr>
              <w:t>Max. qty units</w:t>
            </w:r>
          </w:p>
        </w:tc>
        <w:tc>
          <w:tcPr>
            <w:tcW w:w="386" w:type="pct"/>
            <w:tcBorders>
              <w:bottom w:val="single" w:sz="4" w:space="0" w:color="auto"/>
            </w:tcBorders>
            <w:vAlign w:val="center"/>
          </w:tcPr>
          <w:p w14:paraId="3F78FD8F" w14:textId="77777777" w:rsidR="006C5BDD" w:rsidRPr="009941F8" w:rsidRDefault="006C5BDD" w:rsidP="007039CE">
            <w:pPr>
              <w:jc w:val="center"/>
              <w:rPr>
                <w:rFonts w:ascii="Arial Narrow" w:eastAsia="SimSun" w:hAnsi="Arial Narrow"/>
                <w:b/>
                <w:sz w:val="20"/>
                <w:szCs w:val="20"/>
              </w:rPr>
            </w:pPr>
            <w:r w:rsidRPr="009941F8">
              <w:rPr>
                <w:rFonts w:ascii="Arial Narrow" w:eastAsia="SimSun" w:hAnsi="Arial Narrow"/>
                <w:b/>
                <w:sz w:val="20"/>
                <w:szCs w:val="20"/>
              </w:rPr>
              <w:t>№.of</w:t>
            </w:r>
          </w:p>
          <w:p w14:paraId="1FA42F24" w14:textId="77777777" w:rsidR="006C5BDD" w:rsidRPr="009941F8" w:rsidRDefault="006C5BDD" w:rsidP="007039CE">
            <w:pPr>
              <w:jc w:val="center"/>
              <w:rPr>
                <w:rFonts w:ascii="Arial Narrow" w:eastAsia="SimSun" w:hAnsi="Arial Narrow"/>
                <w:b/>
                <w:sz w:val="20"/>
                <w:szCs w:val="20"/>
              </w:rPr>
            </w:pPr>
            <w:r w:rsidRPr="009941F8">
              <w:rPr>
                <w:rFonts w:ascii="Arial Narrow" w:eastAsia="SimSun" w:hAnsi="Arial Narrow"/>
                <w:b/>
                <w:sz w:val="20"/>
                <w:szCs w:val="20"/>
              </w:rPr>
              <w:t>Rpts</w:t>
            </w:r>
          </w:p>
        </w:tc>
        <w:tc>
          <w:tcPr>
            <w:tcW w:w="595" w:type="pct"/>
            <w:tcBorders>
              <w:bottom w:val="single" w:sz="4" w:space="0" w:color="auto"/>
            </w:tcBorders>
            <w:vAlign w:val="center"/>
          </w:tcPr>
          <w:p w14:paraId="78B149E6" w14:textId="77777777" w:rsidR="006C5BDD" w:rsidRPr="009941F8" w:rsidRDefault="006C5BDD" w:rsidP="007039CE">
            <w:pPr>
              <w:rPr>
                <w:rFonts w:ascii="Arial Narrow" w:eastAsia="SimSun" w:hAnsi="Arial Narrow"/>
                <w:b/>
                <w:sz w:val="20"/>
                <w:szCs w:val="20"/>
              </w:rPr>
            </w:pPr>
            <w:r w:rsidRPr="009941F8">
              <w:rPr>
                <w:rFonts w:ascii="Arial Narrow" w:eastAsia="SimSun" w:hAnsi="Arial Narrow"/>
                <w:b/>
                <w:sz w:val="20"/>
                <w:szCs w:val="20"/>
              </w:rPr>
              <w:t>Available brands</w:t>
            </w:r>
          </w:p>
        </w:tc>
      </w:tr>
      <w:tr w:rsidR="00D47C08" w:rsidRPr="009941F8" w14:paraId="6A2A5C4F" w14:textId="77777777" w:rsidTr="00C44237">
        <w:trPr>
          <w:cantSplit/>
          <w:trHeight w:val="20"/>
        </w:trPr>
        <w:tc>
          <w:tcPr>
            <w:tcW w:w="1347" w:type="pct"/>
            <w:tcBorders>
              <w:right w:val="nil"/>
            </w:tcBorders>
            <w:vAlign w:val="center"/>
          </w:tcPr>
          <w:p w14:paraId="206F1B29" w14:textId="77777777" w:rsidR="006C5BDD" w:rsidRPr="009941F8" w:rsidRDefault="006C5BDD" w:rsidP="007039CE">
            <w:pPr>
              <w:jc w:val="left"/>
              <w:rPr>
                <w:rFonts w:ascii="Arial Narrow" w:eastAsia="SimSun" w:hAnsi="Arial Narrow"/>
                <w:smallCaps/>
                <w:sz w:val="20"/>
                <w:szCs w:val="20"/>
              </w:rPr>
            </w:pPr>
            <w:r w:rsidRPr="009941F8">
              <w:rPr>
                <w:rFonts w:ascii="Arial Narrow" w:eastAsia="SimSun" w:hAnsi="Arial Narrow"/>
                <w:b/>
                <w:i/>
                <w:sz w:val="20"/>
                <w:szCs w:val="20"/>
              </w:rPr>
              <w:t xml:space="preserve">Initial </w:t>
            </w:r>
            <w:r w:rsidRPr="009941F8">
              <w:rPr>
                <w:rFonts w:ascii="Arial Narrow" w:eastAsia="SimSun" w:hAnsi="Arial Narrow"/>
                <w:b/>
                <w:i/>
                <w:strike/>
                <w:sz w:val="20"/>
                <w:szCs w:val="20"/>
              </w:rPr>
              <w:t>/ grandfathered</w:t>
            </w:r>
          </w:p>
        </w:tc>
        <w:tc>
          <w:tcPr>
            <w:tcW w:w="806" w:type="pct"/>
            <w:tcBorders>
              <w:left w:val="nil"/>
              <w:right w:val="nil"/>
            </w:tcBorders>
          </w:tcPr>
          <w:p w14:paraId="6171C75D" w14:textId="77777777" w:rsidR="006C5BDD" w:rsidRPr="009941F8" w:rsidRDefault="006C5BDD"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rPr>
              <w:t>Published</w:t>
            </w:r>
          </w:p>
        </w:tc>
        <w:tc>
          <w:tcPr>
            <w:tcW w:w="938" w:type="pct"/>
            <w:tcBorders>
              <w:left w:val="nil"/>
              <w:right w:val="nil"/>
            </w:tcBorders>
          </w:tcPr>
          <w:p w14:paraId="64FA21F6" w14:textId="77777777" w:rsidR="006C5BDD" w:rsidRPr="009941F8" w:rsidRDefault="006C5BDD" w:rsidP="007039CE">
            <w:pPr>
              <w:jc w:val="center"/>
              <w:rPr>
                <w:rFonts w:ascii="Arial Narrow" w:eastAsia="SimSun" w:hAnsi="Arial Narrow"/>
                <w:sz w:val="20"/>
              </w:rPr>
            </w:pPr>
            <w:r w:rsidRPr="009941F8">
              <w:rPr>
                <w:rFonts w:ascii="Arial Narrow" w:eastAsia="SimSun" w:hAnsi="Arial Narrow"/>
                <w:sz w:val="20"/>
              </w:rPr>
              <w:t>Effective</w:t>
            </w:r>
          </w:p>
        </w:tc>
        <w:tc>
          <w:tcPr>
            <w:tcW w:w="464" w:type="pct"/>
            <w:tcBorders>
              <w:left w:val="nil"/>
              <w:right w:val="nil"/>
            </w:tcBorders>
            <w:vAlign w:val="center"/>
          </w:tcPr>
          <w:p w14:paraId="6AF5B8C6" w14:textId="77777777" w:rsidR="006C5BDD" w:rsidRPr="009941F8" w:rsidRDefault="006C5BDD" w:rsidP="007039CE">
            <w:pPr>
              <w:jc w:val="center"/>
              <w:rPr>
                <w:rFonts w:ascii="Arial Narrow" w:eastAsia="SimSun" w:hAnsi="Arial Narrow"/>
                <w:sz w:val="20"/>
              </w:rPr>
            </w:pPr>
          </w:p>
        </w:tc>
        <w:tc>
          <w:tcPr>
            <w:tcW w:w="464" w:type="pct"/>
            <w:tcBorders>
              <w:left w:val="nil"/>
              <w:right w:val="nil"/>
            </w:tcBorders>
            <w:vAlign w:val="center"/>
          </w:tcPr>
          <w:p w14:paraId="6FBE7F09" w14:textId="77777777" w:rsidR="006C5BDD" w:rsidRPr="009941F8" w:rsidRDefault="006C5BDD" w:rsidP="007039CE">
            <w:pPr>
              <w:jc w:val="center"/>
              <w:rPr>
                <w:rFonts w:ascii="Arial Narrow" w:eastAsia="SimSun" w:hAnsi="Arial Narrow"/>
                <w:sz w:val="20"/>
              </w:rPr>
            </w:pPr>
          </w:p>
        </w:tc>
        <w:tc>
          <w:tcPr>
            <w:tcW w:w="386" w:type="pct"/>
            <w:tcBorders>
              <w:left w:val="nil"/>
              <w:right w:val="single" w:sz="4" w:space="0" w:color="auto"/>
            </w:tcBorders>
            <w:vAlign w:val="center"/>
          </w:tcPr>
          <w:p w14:paraId="7A1C66E4" w14:textId="77777777" w:rsidR="006C5BDD" w:rsidRPr="009941F8" w:rsidRDefault="006C5BDD" w:rsidP="007039CE">
            <w:pPr>
              <w:jc w:val="center"/>
              <w:rPr>
                <w:rFonts w:ascii="Arial Narrow" w:eastAsia="SimSun" w:hAnsi="Arial Narrow"/>
                <w:sz w:val="20"/>
              </w:rPr>
            </w:pPr>
          </w:p>
        </w:tc>
        <w:tc>
          <w:tcPr>
            <w:tcW w:w="595" w:type="pct"/>
            <w:vMerge w:val="restart"/>
            <w:tcBorders>
              <w:left w:val="single" w:sz="4" w:space="0" w:color="auto"/>
            </w:tcBorders>
            <w:vAlign w:val="center"/>
          </w:tcPr>
          <w:p w14:paraId="2EA424F3" w14:textId="77777777" w:rsidR="006C5BDD" w:rsidRPr="009941F8" w:rsidRDefault="006C5BDD" w:rsidP="007039CE">
            <w:pPr>
              <w:rPr>
                <w:rFonts w:ascii="Arial Narrow" w:eastAsia="SimSun" w:hAnsi="Arial Narrow"/>
                <w:sz w:val="20"/>
                <w:szCs w:val="20"/>
              </w:rPr>
            </w:pPr>
            <w:r w:rsidRPr="009941F8">
              <w:rPr>
                <w:rFonts w:ascii="Arial Narrow" w:eastAsia="SimSun" w:hAnsi="Arial Narrow"/>
                <w:sz w:val="20"/>
                <w:szCs w:val="20"/>
              </w:rPr>
              <w:t>SAPHNELO</w:t>
            </w:r>
            <w:r w:rsidRPr="009941F8">
              <w:rPr>
                <w:rFonts w:ascii="Arial Narrow" w:eastAsia="SimSun" w:hAnsi="Arial Narrow"/>
                <w:sz w:val="20"/>
                <w:szCs w:val="20"/>
                <w:vertAlign w:val="superscript"/>
              </w:rPr>
              <w:t>®</w:t>
            </w:r>
          </w:p>
        </w:tc>
      </w:tr>
      <w:tr w:rsidR="00D47C08" w:rsidRPr="009941F8" w14:paraId="78529940" w14:textId="77777777" w:rsidTr="00C44237">
        <w:trPr>
          <w:cantSplit/>
          <w:trHeight w:val="20"/>
        </w:trPr>
        <w:tc>
          <w:tcPr>
            <w:tcW w:w="1347" w:type="pct"/>
            <w:tcBorders>
              <w:bottom w:val="single" w:sz="4" w:space="0" w:color="auto"/>
            </w:tcBorders>
            <w:shd w:val="clear" w:color="auto" w:fill="auto"/>
            <w:vAlign w:val="center"/>
          </w:tcPr>
          <w:p w14:paraId="76244153" w14:textId="77777777" w:rsidR="006C5BDD" w:rsidRPr="009941F8" w:rsidRDefault="006C5BDD" w:rsidP="007039CE">
            <w:pPr>
              <w:jc w:val="left"/>
              <w:rPr>
                <w:rFonts w:ascii="Arial Narrow" w:eastAsia="SimSun" w:hAnsi="Arial Narrow"/>
                <w:sz w:val="20"/>
                <w:szCs w:val="20"/>
              </w:rPr>
            </w:pPr>
            <w:bookmarkStart w:id="13" w:name="_Hlk161836427"/>
            <w:r w:rsidRPr="009941F8">
              <w:rPr>
                <w:rFonts w:ascii="Arial Narrow" w:eastAsia="SimSun" w:hAnsi="Arial Narrow"/>
                <w:smallCaps/>
                <w:sz w:val="20"/>
                <w:szCs w:val="20"/>
              </w:rPr>
              <w:t>Anifrolumab</w:t>
            </w:r>
          </w:p>
          <w:p w14:paraId="67EB0C4E" w14:textId="2AF2AD6F" w:rsidR="00DD6F56" w:rsidRPr="009941F8" w:rsidRDefault="006C5BDD" w:rsidP="007039CE">
            <w:pPr>
              <w:jc w:val="left"/>
              <w:rPr>
                <w:rFonts w:ascii="Arial Narrow" w:eastAsia="SimSun" w:hAnsi="Arial Narrow"/>
                <w:sz w:val="20"/>
                <w:szCs w:val="20"/>
              </w:rPr>
            </w:pPr>
            <w:r w:rsidRPr="009941F8">
              <w:rPr>
                <w:rFonts w:ascii="Arial Narrow" w:eastAsia="SimSun" w:hAnsi="Arial Narrow"/>
                <w:strike/>
                <w:sz w:val="20"/>
                <w:szCs w:val="20"/>
              </w:rPr>
              <w:t>Single dose vial, concentration for infusion 300 mg</w:t>
            </w:r>
            <w:r w:rsidR="00DD6F56" w:rsidRPr="009941F8">
              <w:rPr>
                <w:rFonts w:ascii="Arial Narrow" w:eastAsia="SimSun" w:hAnsi="Arial Narrow"/>
                <w:sz w:val="20"/>
                <w:szCs w:val="20"/>
              </w:rPr>
              <w:br/>
            </w:r>
            <w:r w:rsidR="006E2883" w:rsidRPr="009941F8">
              <w:rPr>
                <w:rFonts w:ascii="Arial Narrow" w:eastAsia="SimSun" w:hAnsi="Arial Narrow"/>
                <w:i/>
                <w:iCs/>
                <w:sz w:val="20"/>
                <w:szCs w:val="20"/>
              </w:rPr>
              <w:t>anifrolumab 300 mg/2 mL injection, 2 mL vial</w:t>
            </w:r>
          </w:p>
        </w:tc>
        <w:tc>
          <w:tcPr>
            <w:tcW w:w="806" w:type="pct"/>
            <w:tcBorders>
              <w:bottom w:val="single" w:sz="4" w:space="0" w:color="auto"/>
            </w:tcBorders>
            <w:shd w:val="clear" w:color="auto" w:fill="auto"/>
            <w:vAlign w:val="center"/>
          </w:tcPr>
          <w:p w14:paraId="3F43EF9E" w14:textId="77777777" w:rsidR="006C5BDD" w:rsidRPr="009941F8" w:rsidRDefault="006C5BDD"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rPr>
              <w:t>$1,448.00 (public)</w:t>
            </w:r>
          </w:p>
          <w:p w14:paraId="2C4C4DBA" w14:textId="77777777" w:rsidR="006C5BDD" w:rsidRPr="009941F8" w:rsidRDefault="006C5BDD" w:rsidP="007039CE">
            <w:pPr>
              <w:jc w:val="center"/>
              <w:rPr>
                <w:rFonts w:ascii="Arial Narrow" w:eastAsiaTheme="majorEastAsia" w:hAnsi="Arial Narrow" w:cstheme="majorBidi"/>
                <w:bCs/>
                <w:sz w:val="20"/>
                <w:szCs w:val="20"/>
              </w:rPr>
            </w:pPr>
            <w:r w:rsidRPr="009941F8">
              <w:rPr>
                <w:rFonts w:ascii="Arial Narrow" w:eastAsiaTheme="majorEastAsia" w:hAnsi="Arial Narrow" w:cstheme="majorBidi"/>
                <w:bCs/>
                <w:sz w:val="20"/>
                <w:szCs w:val="20"/>
              </w:rPr>
              <w:t>$1,496.37 (private)</w:t>
            </w:r>
          </w:p>
        </w:tc>
        <w:tc>
          <w:tcPr>
            <w:tcW w:w="938" w:type="pct"/>
            <w:tcBorders>
              <w:bottom w:val="single" w:sz="4" w:space="0" w:color="auto"/>
            </w:tcBorders>
            <w:shd w:val="clear" w:color="auto" w:fill="auto"/>
            <w:vAlign w:val="center"/>
          </w:tcPr>
          <w:p w14:paraId="2E968396" w14:textId="1260AB99" w:rsidR="00D47C08" w:rsidRPr="009941F8" w:rsidRDefault="00D47C08" w:rsidP="007039CE">
            <w:pPr>
              <w:jc w:val="center"/>
              <w:rPr>
                <w:rFonts w:ascii="Arial Narrow" w:eastAsia="SimSun" w:hAnsi="Arial Narrow"/>
                <w:sz w:val="20"/>
              </w:rPr>
            </w:pPr>
            <w:r w:rsidRPr="009941F8">
              <w:rPr>
                <w:rFonts w:ascii="Arial Narrow" w:eastAsia="SimSun" w:hAnsi="Arial Narrow"/>
                <w:sz w:val="20"/>
              </w:rPr>
              <w:t>Submission:</w:t>
            </w:r>
          </w:p>
          <w:p w14:paraId="064E9D6F" w14:textId="2D010597" w:rsidR="006C5BDD" w:rsidRPr="009941F8" w:rsidRDefault="006C5BDD" w:rsidP="007039CE">
            <w:pPr>
              <w:jc w:val="center"/>
              <w:rPr>
                <w:rFonts w:ascii="Arial Narrow" w:eastAsia="SimSun" w:hAnsi="Arial Narrow"/>
                <w:sz w:val="20"/>
              </w:rPr>
            </w:pPr>
            <w:r w:rsidRPr="009941F8">
              <w:rPr>
                <w:rFonts w:ascii="Arial Narrow" w:eastAsia="SimSun" w:hAnsi="Arial Narrow"/>
                <w:sz w:val="20"/>
              </w:rPr>
              <w:t>$</w:t>
            </w:r>
            <w:r w:rsidR="00640EC9" w:rsidRPr="00233562">
              <w:rPr>
                <w:rFonts w:ascii="Arial Narrow" w:eastAsia="SimSun" w:hAnsi="Arial Narrow" w:hint="eastAsia"/>
                <w:color w:val="000000"/>
                <w:w w:val="16"/>
                <w:sz w:val="20"/>
                <w:shd w:val="solid" w:color="000000" w:fill="000000"/>
                <w:fitText w:val="72" w:id="-961890301"/>
                <w14:textFill>
                  <w14:solidFill>
                    <w14:srgbClr w14:val="000000">
                      <w14:alpha w14:val="100000"/>
                    </w14:srgbClr>
                  </w14:solidFill>
                </w14:textFill>
              </w:rPr>
              <w:t xml:space="preserve">　</w:t>
            </w:r>
            <w:r w:rsidR="00640EC9" w:rsidRPr="00233562">
              <w:rPr>
                <w:rFonts w:ascii="Arial Narrow" w:eastAsia="SimSun" w:hAnsi="Arial Narrow"/>
                <w:color w:val="000000"/>
                <w:w w:val="16"/>
                <w:sz w:val="20"/>
                <w:shd w:val="solid" w:color="000000" w:fill="000000"/>
                <w:fitText w:val="72" w:id="-961890301"/>
                <w14:textFill>
                  <w14:solidFill>
                    <w14:srgbClr w14:val="000000">
                      <w14:alpha w14:val="100000"/>
                    </w14:srgbClr>
                  </w14:solidFill>
                </w14:textFill>
              </w:rPr>
              <w:t>|</w:t>
            </w:r>
            <w:r w:rsidR="00640EC9" w:rsidRPr="00233562">
              <w:rPr>
                <w:rFonts w:ascii="Arial Narrow" w:eastAsia="SimSun" w:hAnsi="Arial Narrow" w:hint="eastAsia"/>
                <w:color w:val="000000"/>
                <w:spacing w:val="1"/>
                <w:w w:val="16"/>
                <w:sz w:val="20"/>
                <w:shd w:val="solid" w:color="000000" w:fill="000000"/>
                <w:fitText w:val="72" w:id="-961890301"/>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60F4D12D" w14:textId="2B807A71" w:rsidR="006C5BDD" w:rsidRPr="009941F8" w:rsidRDefault="006C5BDD"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300"/>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300"/>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300"/>
                <w14:textFill>
                  <w14:solidFill>
                    <w14:srgbClr w14:val="000000">
                      <w14:alpha w14:val="100000"/>
                    </w14:srgbClr>
                  </w14:solidFill>
                </w14:textFill>
              </w:rPr>
              <w:t xml:space="preserve">　</w:t>
            </w:r>
            <w:r w:rsidRPr="009941F8">
              <w:rPr>
                <w:rFonts w:ascii="Arial Narrow" w:eastAsia="SimSun" w:hAnsi="Arial Narrow"/>
                <w:sz w:val="20"/>
              </w:rPr>
              <w:t xml:space="preserve"> (private)</w:t>
            </w:r>
          </w:p>
          <w:p w14:paraId="7AA91A9C" w14:textId="77777777" w:rsidR="00D47C08" w:rsidRPr="009941F8" w:rsidRDefault="00D47C08" w:rsidP="007039CE">
            <w:pPr>
              <w:jc w:val="center"/>
              <w:rPr>
                <w:rFonts w:ascii="Arial Narrow" w:eastAsia="SimSun" w:hAnsi="Arial Narrow"/>
                <w:sz w:val="20"/>
              </w:rPr>
            </w:pPr>
          </w:p>
          <w:p w14:paraId="2AD5D6C4" w14:textId="0D6161B4" w:rsidR="00D47C08" w:rsidRPr="009941F8" w:rsidRDefault="00D47C08" w:rsidP="007039CE">
            <w:pPr>
              <w:jc w:val="center"/>
              <w:rPr>
                <w:rFonts w:ascii="Arial Narrow" w:eastAsia="SimSun" w:hAnsi="Arial Narrow"/>
                <w:sz w:val="20"/>
              </w:rPr>
            </w:pPr>
            <w:r w:rsidRPr="009941F8">
              <w:rPr>
                <w:rFonts w:ascii="Arial Narrow" w:eastAsia="SimSun" w:hAnsi="Arial Narrow"/>
                <w:sz w:val="20"/>
              </w:rPr>
              <w:t>Pre-PBAC response:</w:t>
            </w:r>
          </w:p>
          <w:p w14:paraId="31F66BED" w14:textId="6D8F2BB7" w:rsidR="00D47C08" w:rsidRPr="009941F8" w:rsidRDefault="00D47C08" w:rsidP="007039CE">
            <w:pPr>
              <w:jc w:val="center"/>
              <w:rPr>
                <w:rFonts w:ascii="Arial Narrow" w:eastAsia="SimSun" w:hAnsi="Arial Narrow"/>
                <w:sz w:val="20"/>
              </w:rPr>
            </w:pPr>
            <w:r w:rsidRPr="009941F8">
              <w:rPr>
                <w:rFonts w:ascii="Arial Narrow" w:eastAsia="SimSun" w:hAnsi="Arial Narrow"/>
                <w:sz w:val="20"/>
              </w:rPr>
              <w:t>$</w:t>
            </w:r>
            <w:r w:rsidR="00640EC9" w:rsidRPr="00233562">
              <w:rPr>
                <w:rFonts w:ascii="Arial Narrow" w:eastAsia="SimSun" w:hAnsi="Arial Narrow" w:hint="eastAsia"/>
                <w:color w:val="000000"/>
                <w:w w:val="16"/>
                <w:sz w:val="20"/>
                <w:shd w:val="solid" w:color="000000" w:fill="000000"/>
                <w:fitText w:val="72" w:id="-961890299"/>
                <w14:textFill>
                  <w14:solidFill>
                    <w14:srgbClr w14:val="000000">
                      <w14:alpha w14:val="100000"/>
                    </w14:srgbClr>
                  </w14:solidFill>
                </w14:textFill>
              </w:rPr>
              <w:t xml:space="preserve">　</w:t>
            </w:r>
            <w:r w:rsidR="00640EC9" w:rsidRPr="00233562">
              <w:rPr>
                <w:rFonts w:ascii="Arial Narrow" w:eastAsia="SimSun" w:hAnsi="Arial Narrow"/>
                <w:color w:val="000000"/>
                <w:w w:val="16"/>
                <w:sz w:val="20"/>
                <w:shd w:val="solid" w:color="000000" w:fill="000000"/>
                <w:fitText w:val="72" w:id="-961890299"/>
                <w14:textFill>
                  <w14:solidFill>
                    <w14:srgbClr w14:val="000000">
                      <w14:alpha w14:val="100000"/>
                    </w14:srgbClr>
                  </w14:solidFill>
                </w14:textFill>
              </w:rPr>
              <w:t>|</w:t>
            </w:r>
            <w:r w:rsidR="00640EC9" w:rsidRPr="00233562">
              <w:rPr>
                <w:rFonts w:ascii="Arial Narrow" w:eastAsia="SimSun" w:hAnsi="Arial Narrow" w:hint="eastAsia"/>
                <w:color w:val="000000"/>
                <w:spacing w:val="1"/>
                <w:w w:val="16"/>
                <w:sz w:val="20"/>
                <w:shd w:val="solid" w:color="000000" w:fill="000000"/>
                <w:fitText w:val="72" w:id="-961890299"/>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10FA5C08" w14:textId="1CBB5E86" w:rsidR="00D47C08" w:rsidRPr="009941F8" w:rsidRDefault="00D47C08"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298"/>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298"/>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298"/>
                <w14:textFill>
                  <w14:solidFill>
                    <w14:srgbClr w14:val="000000">
                      <w14:alpha w14:val="100000"/>
                    </w14:srgbClr>
                  </w14:solidFill>
                </w14:textFill>
              </w:rPr>
              <w:t xml:space="preserve">　</w:t>
            </w:r>
            <w:r w:rsidRPr="009941F8">
              <w:rPr>
                <w:rFonts w:ascii="Arial Narrow" w:eastAsia="SimSun" w:hAnsi="Arial Narrow"/>
                <w:sz w:val="20"/>
              </w:rPr>
              <w:t xml:space="preserve"> (private)</w:t>
            </w:r>
          </w:p>
        </w:tc>
        <w:tc>
          <w:tcPr>
            <w:tcW w:w="464" w:type="pct"/>
            <w:tcBorders>
              <w:bottom w:val="single" w:sz="4" w:space="0" w:color="auto"/>
            </w:tcBorders>
            <w:shd w:val="clear" w:color="auto" w:fill="auto"/>
            <w:vAlign w:val="center"/>
          </w:tcPr>
          <w:p w14:paraId="6FA954ED" w14:textId="77777777" w:rsidR="006C5BDD" w:rsidRPr="009941F8" w:rsidRDefault="006C5BDD" w:rsidP="007039CE">
            <w:pPr>
              <w:jc w:val="center"/>
              <w:rPr>
                <w:rFonts w:ascii="Arial Narrow" w:eastAsia="SimSun" w:hAnsi="Arial Narrow"/>
                <w:sz w:val="20"/>
                <w:szCs w:val="20"/>
              </w:rPr>
            </w:pPr>
            <w:r w:rsidRPr="009941F8">
              <w:rPr>
                <w:rFonts w:ascii="Arial Narrow" w:eastAsia="SimSun" w:hAnsi="Arial Narrow"/>
                <w:sz w:val="20"/>
              </w:rPr>
              <w:t>1</w:t>
            </w:r>
          </w:p>
        </w:tc>
        <w:tc>
          <w:tcPr>
            <w:tcW w:w="464" w:type="pct"/>
            <w:tcBorders>
              <w:bottom w:val="single" w:sz="4" w:space="0" w:color="auto"/>
            </w:tcBorders>
            <w:shd w:val="clear" w:color="auto" w:fill="auto"/>
            <w:vAlign w:val="center"/>
          </w:tcPr>
          <w:p w14:paraId="4E2C06E0" w14:textId="77777777" w:rsidR="006C5BDD" w:rsidRPr="009941F8" w:rsidRDefault="006C5BDD" w:rsidP="007039CE">
            <w:pPr>
              <w:jc w:val="center"/>
              <w:rPr>
                <w:rFonts w:ascii="Arial Narrow" w:eastAsia="SimSun" w:hAnsi="Arial Narrow"/>
                <w:sz w:val="20"/>
                <w:szCs w:val="20"/>
              </w:rPr>
            </w:pPr>
            <w:r w:rsidRPr="009941F8">
              <w:rPr>
                <w:rFonts w:ascii="Arial Narrow" w:eastAsia="SimSun" w:hAnsi="Arial Narrow"/>
                <w:sz w:val="20"/>
                <w:szCs w:val="20"/>
              </w:rPr>
              <w:t>1</w:t>
            </w:r>
          </w:p>
        </w:tc>
        <w:tc>
          <w:tcPr>
            <w:tcW w:w="386" w:type="pct"/>
            <w:tcBorders>
              <w:bottom w:val="single" w:sz="4" w:space="0" w:color="auto"/>
            </w:tcBorders>
            <w:shd w:val="clear" w:color="auto" w:fill="auto"/>
            <w:vAlign w:val="center"/>
          </w:tcPr>
          <w:p w14:paraId="0A10A61B" w14:textId="77777777" w:rsidR="006C5BDD" w:rsidRPr="009941F8" w:rsidRDefault="006C5BDD" w:rsidP="007039CE">
            <w:pPr>
              <w:jc w:val="center"/>
              <w:rPr>
                <w:rFonts w:ascii="Arial Narrow" w:eastAsia="SimSun" w:hAnsi="Arial Narrow"/>
                <w:sz w:val="20"/>
                <w:szCs w:val="20"/>
              </w:rPr>
            </w:pPr>
            <w:r w:rsidRPr="009941F8">
              <w:rPr>
                <w:rFonts w:ascii="Arial Narrow" w:eastAsia="SimSun" w:hAnsi="Arial Narrow"/>
                <w:sz w:val="20"/>
                <w:szCs w:val="20"/>
              </w:rPr>
              <w:t>6</w:t>
            </w:r>
          </w:p>
        </w:tc>
        <w:tc>
          <w:tcPr>
            <w:tcW w:w="595" w:type="pct"/>
            <w:vMerge/>
            <w:shd w:val="clear" w:color="auto" w:fill="auto"/>
            <w:vAlign w:val="center"/>
          </w:tcPr>
          <w:p w14:paraId="3BC10E69" w14:textId="77777777" w:rsidR="006C5BDD" w:rsidRPr="009941F8" w:rsidRDefault="006C5BDD" w:rsidP="007039CE">
            <w:pPr>
              <w:rPr>
                <w:rFonts w:ascii="Arial Narrow" w:eastAsia="SimSun" w:hAnsi="Arial Narrow"/>
                <w:sz w:val="20"/>
                <w:szCs w:val="20"/>
              </w:rPr>
            </w:pPr>
          </w:p>
        </w:tc>
      </w:tr>
      <w:bookmarkEnd w:id="13"/>
      <w:tr w:rsidR="00D47C08" w:rsidRPr="009941F8" w14:paraId="5563931B" w14:textId="77777777" w:rsidTr="00C44237">
        <w:trPr>
          <w:cantSplit/>
          <w:trHeight w:val="20"/>
        </w:trPr>
        <w:tc>
          <w:tcPr>
            <w:tcW w:w="1347" w:type="pct"/>
            <w:tcBorders>
              <w:right w:val="nil"/>
            </w:tcBorders>
            <w:vAlign w:val="center"/>
          </w:tcPr>
          <w:p w14:paraId="25AB14E5" w14:textId="38FA5E99" w:rsidR="006C5BDD" w:rsidRPr="009941F8" w:rsidRDefault="006C5BDD" w:rsidP="007039CE">
            <w:pPr>
              <w:jc w:val="left"/>
              <w:rPr>
                <w:rFonts w:ascii="Arial Narrow" w:eastAsia="SimSun" w:hAnsi="Arial Narrow"/>
                <w:smallCaps/>
                <w:sz w:val="20"/>
                <w:szCs w:val="20"/>
              </w:rPr>
            </w:pPr>
            <w:r w:rsidRPr="009941F8">
              <w:rPr>
                <w:rFonts w:ascii="Arial Narrow" w:eastAsia="SimSun" w:hAnsi="Arial Narrow"/>
                <w:b/>
                <w:i/>
                <w:sz w:val="20"/>
                <w:szCs w:val="20"/>
              </w:rPr>
              <w:t>Continuing</w:t>
            </w:r>
            <w:r w:rsidRPr="009941F8">
              <w:rPr>
                <w:rFonts w:ascii="Arial Narrow" w:eastAsia="SimSun" w:hAnsi="Arial Narrow"/>
                <w:b/>
                <w:i/>
                <w:strike/>
                <w:sz w:val="20"/>
                <w:szCs w:val="20"/>
              </w:rPr>
              <w:t>/ grandfathered</w:t>
            </w:r>
          </w:p>
        </w:tc>
        <w:tc>
          <w:tcPr>
            <w:tcW w:w="806" w:type="pct"/>
            <w:tcBorders>
              <w:left w:val="nil"/>
              <w:right w:val="nil"/>
            </w:tcBorders>
            <w:vAlign w:val="center"/>
          </w:tcPr>
          <w:p w14:paraId="2F4D49B8" w14:textId="77777777" w:rsidR="006C5BDD" w:rsidRPr="009941F8" w:rsidRDefault="006C5BDD" w:rsidP="007039CE">
            <w:pPr>
              <w:jc w:val="center"/>
              <w:rPr>
                <w:rFonts w:ascii="Arial Narrow" w:eastAsiaTheme="majorEastAsia" w:hAnsi="Arial Narrow" w:cstheme="majorBidi"/>
                <w:bCs/>
                <w:sz w:val="20"/>
              </w:rPr>
            </w:pPr>
          </w:p>
        </w:tc>
        <w:tc>
          <w:tcPr>
            <w:tcW w:w="938" w:type="pct"/>
            <w:tcBorders>
              <w:left w:val="nil"/>
              <w:right w:val="nil"/>
            </w:tcBorders>
            <w:vAlign w:val="center"/>
          </w:tcPr>
          <w:p w14:paraId="4311D7FC" w14:textId="77777777" w:rsidR="006C5BDD" w:rsidRPr="009941F8" w:rsidRDefault="006C5BDD" w:rsidP="007039CE">
            <w:pPr>
              <w:jc w:val="center"/>
              <w:rPr>
                <w:rFonts w:ascii="Arial Narrow" w:eastAsia="SimSun" w:hAnsi="Arial Narrow"/>
                <w:sz w:val="20"/>
              </w:rPr>
            </w:pPr>
          </w:p>
        </w:tc>
        <w:tc>
          <w:tcPr>
            <w:tcW w:w="464" w:type="pct"/>
            <w:tcBorders>
              <w:left w:val="nil"/>
              <w:right w:val="nil"/>
            </w:tcBorders>
            <w:vAlign w:val="center"/>
          </w:tcPr>
          <w:p w14:paraId="1E97A49B" w14:textId="77777777" w:rsidR="006C5BDD" w:rsidRPr="009941F8" w:rsidRDefault="006C5BDD" w:rsidP="007039CE">
            <w:pPr>
              <w:jc w:val="center"/>
              <w:rPr>
                <w:rFonts w:ascii="Arial Narrow" w:eastAsia="SimSun" w:hAnsi="Arial Narrow"/>
                <w:sz w:val="20"/>
              </w:rPr>
            </w:pPr>
          </w:p>
        </w:tc>
        <w:tc>
          <w:tcPr>
            <w:tcW w:w="464" w:type="pct"/>
            <w:tcBorders>
              <w:left w:val="nil"/>
              <w:right w:val="nil"/>
            </w:tcBorders>
            <w:vAlign w:val="center"/>
          </w:tcPr>
          <w:p w14:paraId="3A92A1C8" w14:textId="77777777" w:rsidR="006C5BDD" w:rsidRPr="009941F8" w:rsidRDefault="006C5BDD" w:rsidP="007039CE">
            <w:pPr>
              <w:jc w:val="center"/>
              <w:rPr>
                <w:rFonts w:ascii="Arial Narrow" w:eastAsia="SimSun" w:hAnsi="Arial Narrow"/>
                <w:sz w:val="20"/>
              </w:rPr>
            </w:pPr>
          </w:p>
        </w:tc>
        <w:tc>
          <w:tcPr>
            <w:tcW w:w="386" w:type="pct"/>
            <w:tcBorders>
              <w:left w:val="nil"/>
            </w:tcBorders>
            <w:vAlign w:val="center"/>
          </w:tcPr>
          <w:p w14:paraId="26553679" w14:textId="77777777" w:rsidR="006C5BDD" w:rsidRPr="009941F8" w:rsidRDefault="006C5BDD" w:rsidP="007039CE">
            <w:pPr>
              <w:jc w:val="center"/>
              <w:rPr>
                <w:rFonts w:ascii="Arial Narrow" w:eastAsia="SimSun" w:hAnsi="Arial Narrow"/>
                <w:sz w:val="20"/>
              </w:rPr>
            </w:pPr>
          </w:p>
        </w:tc>
        <w:tc>
          <w:tcPr>
            <w:tcW w:w="595" w:type="pct"/>
            <w:vMerge/>
            <w:vAlign w:val="center"/>
          </w:tcPr>
          <w:p w14:paraId="2E177801" w14:textId="77777777" w:rsidR="006C5BDD" w:rsidRPr="009941F8" w:rsidRDefault="006C5BDD" w:rsidP="007039CE">
            <w:pPr>
              <w:rPr>
                <w:rFonts w:ascii="Arial Narrow" w:eastAsia="SimSun" w:hAnsi="Arial Narrow"/>
                <w:sz w:val="20"/>
                <w:szCs w:val="20"/>
              </w:rPr>
            </w:pPr>
          </w:p>
        </w:tc>
      </w:tr>
      <w:tr w:rsidR="00D47C08" w:rsidRPr="009941F8" w14:paraId="6996ACA9" w14:textId="77777777" w:rsidTr="00C44237">
        <w:trPr>
          <w:cantSplit/>
          <w:trHeight w:val="20"/>
        </w:trPr>
        <w:tc>
          <w:tcPr>
            <w:tcW w:w="1347" w:type="pct"/>
            <w:tcBorders>
              <w:bottom w:val="single" w:sz="4" w:space="0" w:color="auto"/>
            </w:tcBorders>
            <w:shd w:val="clear" w:color="auto" w:fill="auto"/>
            <w:vAlign w:val="center"/>
          </w:tcPr>
          <w:p w14:paraId="680F5D5B" w14:textId="77777777" w:rsidR="006C5BDD" w:rsidRPr="009941F8" w:rsidRDefault="006C5BDD" w:rsidP="007039CE">
            <w:pPr>
              <w:jc w:val="left"/>
              <w:rPr>
                <w:rFonts w:ascii="Arial Narrow" w:eastAsia="SimSun" w:hAnsi="Arial Narrow"/>
                <w:sz w:val="20"/>
                <w:szCs w:val="20"/>
              </w:rPr>
            </w:pPr>
            <w:r w:rsidRPr="009941F8">
              <w:rPr>
                <w:rFonts w:ascii="Arial Narrow" w:eastAsia="SimSun" w:hAnsi="Arial Narrow"/>
                <w:smallCaps/>
                <w:sz w:val="20"/>
                <w:szCs w:val="20"/>
              </w:rPr>
              <w:t>Anifrolumab</w:t>
            </w:r>
          </w:p>
          <w:p w14:paraId="307D5123" w14:textId="095FB0EC" w:rsidR="006C5BDD" w:rsidRPr="009941F8" w:rsidRDefault="00434162" w:rsidP="007039CE">
            <w:pPr>
              <w:jc w:val="left"/>
              <w:rPr>
                <w:rFonts w:ascii="Arial Narrow" w:eastAsia="SimSun" w:hAnsi="Arial Narrow"/>
                <w:smallCaps/>
                <w:sz w:val="20"/>
                <w:szCs w:val="20"/>
              </w:rPr>
            </w:pPr>
            <w:r w:rsidRPr="009941F8">
              <w:rPr>
                <w:rFonts w:ascii="Arial Narrow" w:eastAsia="SimSun" w:hAnsi="Arial Narrow"/>
                <w:strike/>
                <w:sz w:val="20"/>
                <w:szCs w:val="20"/>
              </w:rPr>
              <w:t>Single dose vial, concentration for infusion 300 mg</w:t>
            </w:r>
            <w:r w:rsidRPr="009941F8">
              <w:rPr>
                <w:rFonts w:ascii="Arial Narrow" w:eastAsia="SimSun" w:hAnsi="Arial Narrow"/>
                <w:sz w:val="20"/>
                <w:szCs w:val="20"/>
              </w:rPr>
              <w:br/>
            </w:r>
            <w:r w:rsidR="006E2883" w:rsidRPr="009941F8">
              <w:rPr>
                <w:rFonts w:ascii="Arial Narrow" w:eastAsia="SimSun" w:hAnsi="Arial Narrow"/>
                <w:i/>
                <w:iCs/>
                <w:sz w:val="20"/>
                <w:szCs w:val="20"/>
              </w:rPr>
              <w:t>anifrolumab 300 mg/2 mL injection, 2 mL vial</w:t>
            </w:r>
          </w:p>
        </w:tc>
        <w:tc>
          <w:tcPr>
            <w:tcW w:w="806" w:type="pct"/>
            <w:tcBorders>
              <w:bottom w:val="single" w:sz="4" w:space="0" w:color="auto"/>
            </w:tcBorders>
            <w:shd w:val="clear" w:color="auto" w:fill="auto"/>
            <w:vAlign w:val="center"/>
          </w:tcPr>
          <w:p w14:paraId="529E86D4" w14:textId="77777777" w:rsidR="006C5BDD" w:rsidRPr="009941F8" w:rsidRDefault="006C5BDD"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rPr>
              <w:t>$1,448.00 (public)</w:t>
            </w:r>
          </w:p>
          <w:p w14:paraId="26A74810" w14:textId="77777777" w:rsidR="006C5BDD" w:rsidRPr="009941F8" w:rsidRDefault="006C5BDD"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szCs w:val="20"/>
              </w:rPr>
              <w:t>$1,496.37 (private)</w:t>
            </w:r>
          </w:p>
        </w:tc>
        <w:tc>
          <w:tcPr>
            <w:tcW w:w="938" w:type="pct"/>
            <w:tcBorders>
              <w:bottom w:val="single" w:sz="4" w:space="0" w:color="auto"/>
            </w:tcBorders>
            <w:vAlign w:val="center"/>
          </w:tcPr>
          <w:p w14:paraId="65C9E30A" w14:textId="77777777"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Submission:</w:t>
            </w:r>
          </w:p>
          <w:p w14:paraId="0D17EDC6" w14:textId="42DF059C"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233562">
              <w:rPr>
                <w:rFonts w:ascii="Arial Narrow" w:eastAsia="SimSun" w:hAnsi="Arial Narrow" w:hint="eastAsia"/>
                <w:color w:val="000000"/>
                <w:w w:val="16"/>
                <w:sz w:val="20"/>
                <w:shd w:val="solid" w:color="000000" w:fill="000000"/>
                <w:fitText w:val="72" w:id="-961890297"/>
                <w14:textFill>
                  <w14:solidFill>
                    <w14:srgbClr w14:val="000000">
                      <w14:alpha w14:val="100000"/>
                    </w14:srgbClr>
                  </w14:solidFill>
                </w14:textFill>
              </w:rPr>
              <w:t xml:space="preserve">　</w:t>
            </w:r>
            <w:r w:rsidR="00640EC9" w:rsidRPr="00233562">
              <w:rPr>
                <w:rFonts w:ascii="Arial Narrow" w:eastAsia="SimSun" w:hAnsi="Arial Narrow"/>
                <w:color w:val="000000"/>
                <w:w w:val="16"/>
                <w:sz w:val="20"/>
                <w:shd w:val="solid" w:color="000000" w:fill="000000"/>
                <w:fitText w:val="72" w:id="-961890297"/>
                <w14:textFill>
                  <w14:solidFill>
                    <w14:srgbClr w14:val="000000">
                      <w14:alpha w14:val="100000"/>
                    </w14:srgbClr>
                  </w14:solidFill>
                </w14:textFill>
              </w:rPr>
              <w:t>|</w:t>
            </w:r>
            <w:r w:rsidR="00640EC9" w:rsidRPr="00233562">
              <w:rPr>
                <w:rFonts w:ascii="Arial Narrow" w:eastAsia="SimSun" w:hAnsi="Arial Narrow" w:hint="eastAsia"/>
                <w:color w:val="000000"/>
                <w:spacing w:val="1"/>
                <w:w w:val="16"/>
                <w:sz w:val="20"/>
                <w:shd w:val="solid" w:color="000000" w:fill="000000"/>
                <w:fitText w:val="72" w:id="-961890297"/>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6A09710F" w14:textId="6D8AED0E"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296"/>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296"/>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296"/>
                <w14:textFill>
                  <w14:solidFill>
                    <w14:srgbClr w14:val="000000">
                      <w14:alpha w14:val="100000"/>
                    </w14:srgbClr>
                  </w14:solidFill>
                </w14:textFill>
              </w:rPr>
              <w:t xml:space="preserve">　</w:t>
            </w:r>
            <w:r w:rsidRPr="009941F8">
              <w:rPr>
                <w:rFonts w:ascii="Arial Narrow" w:eastAsia="SimSun" w:hAnsi="Arial Narrow"/>
                <w:sz w:val="20"/>
              </w:rPr>
              <w:t xml:space="preserve"> (private)</w:t>
            </w:r>
          </w:p>
          <w:p w14:paraId="07434C21" w14:textId="77777777" w:rsidR="007915D7" w:rsidRPr="009941F8" w:rsidRDefault="007915D7" w:rsidP="007039CE">
            <w:pPr>
              <w:jc w:val="center"/>
              <w:rPr>
                <w:rFonts w:ascii="Arial Narrow" w:eastAsia="SimSun" w:hAnsi="Arial Narrow"/>
                <w:sz w:val="20"/>
              </w:rPr>
            </w:pPr>
          </w:p>
          <w:p w14:paraId="3BCC553F" w14:textId="77777777"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Pre-PBAC response:</w:t>
            </w:r>
          </w:p>
          <w:p w14:paraId="28EF21C3" w14:textId="4FC44390"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233562">
              <w:rPr>
                <w:rFonts w:ascii="Arial Narrow" w:eastAsia="SimSun" w:hAnsi="Arial Narrow" w:hint="eastAsia"/>
                <w:color w:val="000000"/>
                <w:w w:val="16"/>
                <w:sz w:val="20"/>
                <w:shd w:val="solid" w:color="000000" w:fill="000000"/>
                <w:fitText w:val="72" w:id="-961890048"/>
                <w14:textFill>
                  <w14:solidFill>
                    <w14:srgbClr w14:val="000000">
                      <w14:alpha w14:val="100000"/>
                    </w14:srgbClr>
                  </w14:solidFill>
                </w14:textFill>
              </w:rPr>
              <w:t xml:space="preserve">　</w:t>
            </w:r>
            <w:r w:rsidR="00640EC9" w:rsidRPr="00233562">
              <w:rPr>
                <w:rFonts w:ascii="Arial Narrow" w:eastAsia="SimSun" w:hAnsi="Arial Narrow"/>
                <w:color w:val="000000"/>
                <w:w w:val="16"/>
                <w:sz w:val="20"/>
                <w:shd w:val="solid" w:color="000000" w:fill="000000"/>
                <w:fitText w:val="72" w:id="-961890048"/>
                <w14:textFill>
                  <w14:solidFill>
                    <w14:srgbClr w14:val="000000">
                      <w14:alpha w14:val="100000"/>
                    </w14:srgbClr>
                  </w14:solidFill>
                </w14:textFill>
              </w:rPr>
              <w:t>|</w:t>
            </w:r>
            <w:r w:rsidR="00640EC9" w:rsidRPr="00233562">
              <w:rPr>
                <w:rFonts w:ascii="Arial Narrow" w:eastAsia="SimSun" w:hAnsi="Arial Narrow" w:hint="eastAsia"/>
                <w:color w:val="000000"/>
                <w:spacing w:val="1"/>
                <w:w w:val="16"/>
                <w:sz w:val="20"/>
                <w:shd w:val="solid" w:color="000000" w:fill="000000"/>
                <w:fitText w:val="72" w:id="-961890048"/>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3FB81AD2" w14:textId="1295A29C" w:rsidR="006C5BDD"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047"/>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047"/>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047"/>
                <w14:textFill>
                  <w14:solidFill>
                    <w14:srgbClr w14:val="000000">
                      <w14:alpha w14:val="100000"/>
                    </w14:srgbClr>
                  </w14:solidFill>
                </w14:textFill>
              </w:rPr>
              <w:t xml:space="preserve">　</w:t>
            </w:r>
            <w:r w:rsidRPr="009941F8">
              <w:rPr>
                <w:rFonts w:ascii="Arial Narrow" w:eastAsia="SimSun" w:hAnsi="Arial Narrow"/>
                <w:sz w:val="20"/>
              </w:rPr>
              <w:t xml:space="preserve"> (private)</w:t>
            </w:r>
          </w:p>
        </w:tc>
        <w:tc>
          <w:tcPr>
            <w:tcW w:w="464" w:type="pct"/>
            <w:tcBorders>
              <w:bottom w:val="single" w:sz="4" w:space="0" w:color="auto"/>
            </w:tcBorders>
            <w:vAlign w:val="center"/>
          </w:tcPr>
          <w:p w14:paraId="14E9C6FA" w14:textId="77777777" w:rsidR="006C5BDD" w:rsidRPr="009941F8" w:rsidRDefault="006C5BDD" w:rsidP="007039CE">
            <w:pPr>
              <w:jc w:val="center"/>
              <w:rPr>
                <w:rFonts w:ascii="Arial Narrow" w:eastAsia="SimSun" w:hAnsi="Arial Narrow"/>
                <w:sz w:val="20"/>
              </w:rPr>
            </w:pPr>
            <w:r w:rsidRPr="009941F8">
              <w:rPr>
                <w:rFonts w:ascii="Arial Narrow" w:eastAsia="SimSun" w:hAnsi="Arial Narrow"/>
                <w:sz w:val="20"/>
              </w:rPr>
              <w:t>1</w:t>
            </w:r>
          </w:p>
        </w:tc>
        <w:tc>
          <w:tcPr>
            <w:tcW w:w="464" w:type="pct"/>
            <w:tcBorders>
              <w:bottom w:val="single" w:sz="4" w:space="0" w:color="auto"/>
            </w:tcBorders>
            <w:vAlign w:val="center"/>
          </w:tcPr>
          <w:p w14:paraId="678332BE" w14:textId="77777777" w:rsidR="006C5BDD" w:rsidRPr="009941F8" w:rsidRDefault="006C5BDD" w:rsidP="007039CE">
            <w:pPr>
              <w:jc w:val="center"/>
              <w:rPr>
                <w:rFonts w:ascii="Arial Narrow" w:eastAsia="SimSun" w:hAnsi="Arial Narrow"/>
                <w:sz w:val="20"/>
              </w:rPr>
            </w:pPr>
            <w:r w:rsidRPr="009941F8">
              <w:rPr>
                <w:rFonts w:ascii="Arial Narrow" w:eastAsia="SimSun" w:hAnsi="Arial Narrow"/>
                <w:sz w:val="20"/>
                <w:szCs w:val="20"/>
              </w:rPr>
              <w:t>1</w:t>
            </w:r>
          </w:p>
        </w:tc>
        <w:tc>
          <w:tcPr>
            <w:tcW w:w="386" w:type="pct"/>
            <w:tcBorders>
              <w:bottom w:val="single" w:sz="4" w:space="0" w:color="auto"/>
            </w:tcBorders>
            <w:vAlign w:val="center"/>
          </w:tcPr>
          <w:p w14:paraId="2F3E9FA1" w14:textId="77777777" w:rsidR="006C5BDD" w:rsidRPr="009941F8" w:rsidRDefault="006C5BDD" w:rsidP="007039CE">
            <w:pPr>
              <w:jc w:val="center"/>
              <w:rPr>
                <w:rFonts w:ascii="Arial Narrow" w:eastAsia="SimSun" w:hAnsi="Arial Narrow"/>
                <w:sz w:val="20"/>
              </w:rPr>
            </w:pPr>
            <w:r w:rsidRPr="009941F8">
              <w:rPr>
                <w:rFonts w:ascii="Arial Narrow" w:eastAsia="SimSun" w:hAnsi="Arial Narrow"/>
                <w:sz w:val="20"/>
                <w:szCs w:val="20"/>
              </w:rPr>
              <w:t>6</w:t>
            </w:r>
          </w:p>
        </w:tc>
        <w:tc>
          <w:tcPr>
            <w:tcW w:w="595" w:type="pct"/>
            <w:vMerge/>
            <w:vAlign w:val="center"/>
          </w:tcPr>
          <w:p w14:paraId="107EBFF4" w14:textId="77777777" w:rsidR="006C5BDD" w:rsidRPr="009941F8" w:rsidRDefault="006C5BDD" w:rsidP="007039CE">
            <w:pPr>
              <w:rPr>
                <w:rFonts w:ascii="Arial Narrow" w:eastAsia="SimSun" w:hAnsi="Arial Narrow"/>
                <w:sz w:val="20"/>
                <w:szCs w:val="20"/>
              </w:rPr>
            </w:pPr>
          </w:p>
        </w:tc>
      </w:tr>
      <w:tr w:rsidR="00D47C08" w:rsidRPr="009941F8" w14:paraId="39139B55" w14:textId="77777777" w:rsidTr="00C44237">
        <w:trPr>
          <w:cantSplit/>
          <w:trHeight w:val="20"/>
        </w:trPr>
        <w:tc>
          <w:tcPr>
            <w:tcW w:w="4405" w:type="pct"/>
            <w:gridSpan w:val="6"/>
            <w:shd w:val="clear" w:color="auto" w:fill="auto"/>
            <w:vAlign w:val="center"/>
          </w:tcPr>
          <w:p w14:paraId="31E7459B" w14:textId="59B9B33B" w:rsidR="00D47C08" w:rsidRPr="009941F8" w:rsidRDefault="00C44237" w:rsidP="007039CE">
            <w:pPr>
              <w:jc w:val="left"/>
              <w:rPr>
                <w:rFonts w:ascii="Arial Narrow" w:eastAsia="SimSun" w:hAnsi="Arial Narrow"/>
                <w:sz w:val="20"/>
                <w:szCs w:val="20"/>
              </w:rPr>
            </w:pPr>
            <w:r w:rsidRPr="009941F8">
              <w:rPr>
                <w:rFonts w:ascii="Arial Narrow" w:eastAsia="SimSun" w:hAnsi="Arial Narrow"/>
                <w:b/>
                <w:i/>
                <w:sz w:val="20"/>
                <w:szCs w:val="20"/>
              </w:rPr>
              <w:t xml:space="preserve">Initial and </w:t>
            </w:r>
            <w:r w:rsidR="00D47C08" w:rsidRPr="009941F8">
              <w:rPr>
                <w:rFonts w:ascii="Arial Narrow" w:eastAsia="SimSun" w:hAnsi="Arial Narrow"/>
                <w:b/>
                <w:i/>
                <w:sz w:val="20"/>
                <w:szCs w:val="20"/>
              </w:rPr>
              <w:t>Continuing – balance of supply</w:t>
            </w:r>
          </w:p>
        </w:tc>
        <w:tc>
          <w:tcPr>
            <w:tcW w:w="595" w:type="pct"/>
            <w:vMerge/>
            <w:vAlign w:val="center"/>
          </w:tcPr>
          <w:p w14:paraId="1066212E" w14:textId="77777777" w:rsidR="00D47C08" w:rsidRPr="009941F8" w:rsidRDefault="00D47C08" w:rsidP="007039CE">
            <w:pPr>
              <w:rPr>
                <w:rFonts w:ascii="Arial Narrow" w:eastAsia="SimSun" w:hAnsi="Arial Narrow"/>
                <w:sz w:val="20"/>
                <w:szCs w:val="20"/>
              </w:rPr>
            </w:pPr>
          </w:p>
        </w:tc>
      </w:tr>
      <w:tr w:rsidR="00D47C08" w:rsidRPr="009941F8" w14:paraId="14677F4F" w14:textId="77777777" w:rsidTr="00C44237">
        <w:trPr>
          <w:cantSplit/>
          <w:trHeight w:val="20"/>
        </w:trPr>
        <w:tc>
          <w:tcPr>
            <w:tcW w:w="1347" w:type="pct"/>
            <w:shd w:val="clear" w:color="auto" w:fill="auto"/>
            <w:vAlign w:val="center"/>
          </w:tcPr>
          <w:p w14:paraId="403AD981" w14:textId="77777777" w:rsidR="006C5BDD" w:rsidRPr="009941F8" w:rsidRDefault="006C5BDD" w:rsidP="007039CE">
            <w:pPr>
              <w:jc w:val="left"/>
              <w:rPr>
                <w:rFonts w:ascii="Arial Narrow" w:eastAsia="SimSun" w:hAnsi="Arial Narrow"/>
                <w:sz w:val="20"/>
                <w:szCs w:val="20"/>
              </w:rPr>
            </w:pPr>
            <w:r w:rsidRPr="009941F8">
              <w:rPr>
                <w:rFonts w:ascii="Arial Narrow" w:eastAsia="SimSun" w:hAnsi="Arial Narrow"/>
                <w:smallCaps/>
                <w:sz w:val="20"/>
                <w:szCs w:val="20"/>
              </w:rPr>
              <w:t>Anifrolumab</w:t>
            </w:r>
          </w:p>
          <w:p w14:paraId="2CB70A99" w14:textId="6AFE46A9" w:rsidR="006C5BDD" w:rsidRPr="009941F8" w:rsidRDefault="00434162" w:rsidP="007039CE">
            <w:pPr>
              <w:jc w:val="left"/>
              <w:rPr>
                <w:rFonts w:ascii="Arial Narrow" w:eastAsia="SimSun" w:hAnsi="Arial Narrow"/>
                <w:smallCaps/>
                <w:sz w:val="20"/>
                <w:szCs w:val="20"/>
              </w:rPr>
            </w:pPr>
            <w:r w:rsidRPr="009941F8">
              <w:rPr>
                <w:rFonts w:ascii="Arial Narrow" w:eastAsia="SimSun" w:hAnsi="Arial Narrow"/>
                <w:strike/>
                <w:sz w:val="20"/>
                <w:szCs w:val="20"/>
              </w:rPr>
              <w:t>Single dose vial, concentration for infusion 300 mg</w:t>
            </w:r>
            <w:r w:rsidRPr="009941F8">
              <w:rPr>
                <w:rFonts w:ascii="Arial Narrow" w:eastAsia="SimSun" w:hAnsi="Arial Narrow"/>
                <w:sz w:val="20"/>
                <w:szCs w:val="20"/>
              </w:rPr>
              <w:br/>
            </w:r>
            <w:r w:rsidR="006E2883" w:rsidRPr="009941F8">
              <w:rPr>
                <w:rFonts w:ascii="Arial Narrow" w:eastAsia="SimSun" w:hAnsi="Arial Narrow"/>
                <w:i/>
                <w:iCs/>
                <w:sz w:val="20"/>
                <w:szCs w:val="20"/>
              </w:rPr>
              <w:t>anifrolumab 300 mg/2 mL injection, 2 mL vial</w:t>
            </w:r>
          </w:p>
        </w:tc>
        <w:tc>
          <w:tcPr>
            <w:tcW w:w="806" w:type="pct"/>
            <w:shd w:val="clear" w:color="auto" w:fill="auto"/>
            <w:vAlign w:val="center"/>
          </w:tcPr>
          <w:p w14:paraId="051E562B" w14:textId="77777777" w:rsidR="006C5BDD" w:rsidRPr="009941F8" w:rsidRDefault="006C5BDD"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rPr>
              <w:t>$1,448.00 (public)</w:t>
            </w:r>
          </w:p>
          <w:p w14:paraId="77DC6724" w14:textId="77777777" w:rsidR="006C5BDD" w:rsidRPr="009941F8" w:rsidRDefault="006C5BDD"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szCs w:val="20"/>
              </w:rPr>
              <w:t>$1,496.37 (private)</w:t>
            </w:r>
          </w:p>
        </w:tc>
        <w:tc>
          <w:tcPr>
            <w:tcW w:w="938" w:type="pct"/>
            <w:vAlign w:val="center"/>
          </w:tcPr>
          <w:p w14:paraId="08AABB45" w14:textId="77777777"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Submission:</w:t>
            </w:r>
          </w:p>
          <w:p w14:paraId="18DEF37A" w14:textId="32CC330A"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233562">
              <w:rPr>
                <w:rFonts w:ascii="Arial Narrow" w:eastAsia="SimSun" w:hAnsi="Arial Narrow" w:hint="eastAsia"/>
                <w:color w:val="000000"/>
                <w:w w:val="16"/>
                <w:sz w:val="20"/>
                <w:shd w:val="solid" w:color="000000" w:fill="000000"/>
                <w:fitText w:val="72" w:id="-961890046"/>
                <w14:textFill>
                  <w14:solidFill>
                    <w14:srgbClr w14:val="000000">
                      <w14:alpha w14:val="100000"/>
                    </w14:srgbClr>
                  </w14:solidFill>
                </w14:textFill>
              </w:rPr>
              <w:t xml:space="preserve">　</w:t>
            </w:r>
            <w:r w:rsidR="00640EC9" w:rsidRPr="00233562">
              <w:rPr>
                <w:rFonts w:ascii="Arial Narrow" w:eastAsia="SimSun" w:hAnsi="Arial Narrow"/>
                <w:color w:val="000000"/>
                <w:w w:val="16"/>
                <w:sz w:val="20"/>
                <w:shd w:val="solid" w:color="000000" w:fill="000000"/>
                <w:fitText w:val="72" w:id="-961890046"/>
                <w14:textFill>
                  <w14:solidFill>
                    <w14:srgbClr w14:val="000000">
                      <w14:alpha w14:val="100000"/>
                    </w14:srgbClr>
                  </w14:solidFill>
                </w14:textFill>
              </w:rPr>
              <w:t>|</w:t>
            </w:r>
            <w:r w:rsidR="00640EC9" w:rsidRPr="00233562">
              <w:rPr>
                <w:rFonts w:ascii="Arial Narrow" w:eastAsia="SimSun" w:hAnsi="Arial Narrow" w:hint="eastAsia"/>
                <w:color w:val="000000"/>
                <w:spacing w:val="1"/>
                <w:w w:val="16"/>
                <w:sz w:val="20"/>
                <w:shd w:val="solid" w:color="000000" w:fill="000000"/>
                <w:fitText w:val="72" w:id="-961890046"/>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3C2F45A5" w14:textId="24D1FB40"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045"/>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045"/>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045"/>
                <w14:textFill>
                  <w14:solidFill>
                    <w14:srgbClr w14:val="000000">
                      <w14:alpha w14:val="100000"/>
                    </w14:srgbClr>
                  </w14:solidFill>
                </w14:textFill>
              </w:rPr>
              <w:t xml:space="preserve">　</w:t>
            </w:r>
            <w:r w:rsidRPr="009941F8">
              <w:rPr>
                <w:rFonts w:ascii="Arial Narrow" w:eastAsia="SimSun" w:hAnsi="Arial Narrow"/>
                <w:sz w:val="20"/>
              </w:rPr>
              <w:t xml:space="preserve"> (private)</w:t>
            </w:r>
          </w:p>
          <w:p w14:paraId="7C8F98DD" w14:textId="77777777" w:rsidR="007915D7" w:rsidRPr="009941F8" w:rsidRDefault="007915D7" w:rsidP="007039CE">
            <w:pPr>
              <w:jc w:val="center"/>
              <w:rPr>
                <w:rFonts w:ascii="Arial Narrow" w:eastAsia="SimSun" w:hAnsi="Arial Narrow"/>
                <w:sz w:val="20"/>
              </w:rPr>
            </w:pPr>
          </w:p>
          <w:p w14:paraId="2BE852E4" w14:textId="77777777"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Pre-PBAC response:</w:t>
            </w:r>
          </w:p>
          <w:p w14:paraId="0AC0D15E" w14:textId="407EC193"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233562">
              <w:rPr>
                <w:rFonts w:ascii="Arial Narrow" w:eastAsia="SimSun" w:hAnsi="Arial Narrow" w:hint="eastAsia"/>
                <w:color w:val="000000"/>
                <w:w w:val="16"/>
                <w:sz w:val="20"/>
                <w:shd w:val="solid" w:color="000000" w:fill="000000"/>
                <w:fitText w:val="72" w:id="-961890044"/>
                <w14:textFill>
                  <w14:solidFill>
                    <w14:srgbClr w14:val="000000">
                      <w14:alpha w14:val="100000"/>
                    </w14:srgbClr>
                  </w14:solidFill>
                </w14:textFill>
              </w:rPr>
              <w:t xml:space="preserve">　</w:t>
            </w:r>
            <w:r w:rsidR="00640EC9" w:rsidRPr="00233562">
              <w:rPr>
                <w:rFonts w:ascii="Arial Narrow" w:eastAsia="SimSun" w:hAnsi="Arial Narrow"/>
                <w:color w:val="000000"/>
                <w:w w:val="16"/>
                <w:sz w:val="20"/>
                <w:shd w:val="solid" w:color="000000" w:fill="000000"/>
                <w:fitText w:val="72" w:id="-961890044"/>
                <w14:textFill>
                  <w14:solidFill>
                    <w14:srgbClr w14:val="000000">
                      <w14:alpha w14:val="100000"/>
                    </w14:srgbClr>
                  </w14:solidFill>
                </w14:textFill>
              </w:rPr>
              <w:t>|</w:t>
            </w:r>
            <w:r w:rsidR="00640EC9" w:rsidRPr="00233562">
              <w:rPr>
                <w:rFonts w:ascii="Arial Narrow" w:eastAsia="SimSun" w:hAnsi="Arial Narrow" w:hint="eastAsia"/>
                <w:color w:val="000000"/>
                <w:spacing w:val="1"/>
                <w:w w:val="16"/>
                <w:sz w:val="20"/>
                <w:shd w:val="solid" w:color="000000" w:fill="000000"/>
                <w:fitText w:val="72" w:id="-961890044"/>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56892699" w14:textId="479A87A9" w:rsidR="006C5BDD"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043"/>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043"/>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043"/>
                <w14:textFill>
                  <w14:solidFill>
                    <w14:srgbClr w14:val="000000">
                      <w14:alpha w14:val="100000"/>
                    </w14:srgbClr>
                  </w14:solidFill>
                </w14:textFill>
              </w:rPr>
              <w:t xml:space="preserve">　</w:t>
            </w:r>
            <w:r w:rsidRPr="009941F8">
              <w:rPr>
                <w:rFonts w:ascii="Arial Narrow" w:eastAsia="SimSun" w:hAnsi="Arial Narrow"/>
                <w:sz w:val="20"/>
              </w:rPr>
              <w:t xml:space="preserve"> (private)</w:t>
            </w:r>
          </w:p>
        </w:tc>
        <w:tc>
          <w:tcPr>
            <w:tcW w:w="464" w:type="pct"/>
            <w:vAlign w:val="center"/>
          </w:tcPr>
          <w:p w14:paraId="669A9E09" w14:textId="77777777" w:rsidR="006C5BDD" w:rsidRPr="009941F8" w:rsidRDefault="006C5BDD" w:rsidP="007039CE">
            <w:pPr>
              <w:jc w:val="center"/>
              <w:rPr>
                <w:rFonts w:ascii="Arial Narrow" w:eastAsia="SimSun" w:hAnsi="Arial Narrow"/>
                <w:sz w:val="20"/>
              </w:rPr>
            </w:pPr>
            <w:r w:rsidRPr="009941F8">
              <w:rPr>
                <w:rFonts w:ascii="Arial Narrow" w:eastAsia="SimSun" w:hAnsi="Arial Narrow"/>
                <w:sz w:val="20"/>
              </w:rPr>
              <w:t>1</w:t>
            </w:r>
          </w:p>
        </w:tc>
        <w:tc>
          <w:tcPr>
            <w:tcW w:w="464" w:type="pct"/>
            <w:vAlign w:val="center"/>
          </w:tcPr>
          <w:p w14:paraId="54ADB308" w14:textId="77777777" w:rsidR="006C5BDD" w:rsidRPr="009941F8" w:rsidRDefault="006C5BDD" w:rsidP="007039CE">
            <w:pPr>
              <w:jc w:val="center"/>
              <w:rPr>
                <w:rFonts w:ascii="Arial Narrow" w:eastAsia="SimSun" w:hAnsi="Arial Narrow"/>
                <w:sz w:val="20"/>
                <w:szCs w:val="20"/>
              </w:rPr>
            </w:pPr>
            <w:r w:rsidRPr="009941F8">
              <w:rPr>
                <w:rFonts w:ascii="Arial Narrow" w:eastAsia="SimSun" w:hAnsi="Arial Narrow"/>
                <w:sz w:val="20"/>
                <w:szCs w:val="20"/>
              </w:rPr>
              <w:t>1</w:t>
            </w:r>
          </w:p>
        </w:tc>
        <w:tc>
          <w:tcPr>
            <w:tcW w:w="386" w:type="pct"/>
            <w:vAlign w:val="center"/>
          </w:tcPr>
          <w:p w14:paraId="26BA2C19" w14:textId="77777777" w:rsidR="006C5BDD" w:rsidRPr="009941F8" w:rsidRDefault="006C5BDD" w:rsidP="007039CE">
            <w:pPr>
              <w:jc w:val="center"/>
              <w:rPr>
                <w:rFonts w:ascii="Arial Narrow" w:eastAsia="SimSun" w:hAnsi="Arial Narrow"/>
                <w:sz w:val="20"/>
                <w:szCs w:val="20"/>
              </w:rPr>
            </w:pPr>
            <w:r w:rsidRPr="009941F8">
              <w:rPr>
                <w:rFonts w:ascii="Arial Narrow" w:eastAsia="SimSun" w:hAnsi="Arial Narrow"/>
                <w:sz w:val="20"/>
                <w:szCs w:val="20"/>
              </w:rPr>
              <w:t>1</w:t>
            </w:r>
          </w:p>
        </w:tc>
        <w:tc>
          <w:tcPr>
            <w:tcW w:w="595" w:type="pct"/>
            <w:vMerge/>
            <w:vAlign w:val="center"/>
          </w:tcPr>
          <w:p w14:paraId="4F3A8E07" w14:textId="77777777" w:rsidR="006C5BDD" w:rsidRPr="009941F8" w:rsidRDefault="006C5BDD" w:rsidP="007039CE">
            <w:pPr>
              <w:rPr>
                <w:rFonts w:ascii="Arial Narrow" w:eastAsia="SimSun" w:hAnsi="Arial Narrow"/>
                <w:sz w:val="20"/>
                <w:szCs w:val="20"/>
              </w:rPr>
            </w:pPr>
          </w:p>
        </w:tc>
      </w:tr>
      <w:tr w:rsidR="00E96FF5" w:rsidRPr="009941F8" w14:paraId="56A6FEFB" w14:textId="77777777" w:rsidTr="00C44237">
        <w:trPr>
          <w:cantSplit/>
          <w:trHeight w:val="20"/>
        </w:trPr>
        <w:tc>
          <w:tcPr>
            <w:tcW w:w="1347" w:type="pct"/>
            <w:tcBorders>
              <w:right w:val="nil"/>
            </w:tcBorders>
            <w:shd w:val="clear" w:color="auto" w:fill="auto"/>
            <w:vAlign w:val="center"/>
          </w:tcPr>
          <w:p w14:paraId="19B4FEC5" w14:textId="02CE09F1" w:rsidR="00DD6F56" w:rsidRPr="009941F8" w:rsidRDefault="00DD6F56" w:rsidP="007039CE">
            <w:pPr>
              <w:keepNext/>
              <w:jc w:val="left"/>
              <w:rPr>
                <w:rFonts w:ascii="Arial Narrow" w:eastAsia="SimSun" w:hAnsi="Arial Narrow"/>
                <w:smallCaps/>
                <w:sz w:val="20"/>
                <w:szCs w:val="20"/>
              </w:rPr>
            </w:pPr>
            <w:r w:rsidRPr="009941F8">
              <w:rPr>
                <w:rFonts w:ascii="Arial Narrow" w:eastAsia="SimSun" w:hAnsi="Arial Narrow"/>
                <w:b/>
                <w:i/>
                <w:sz w:val="20"/>
                <w:szCs w:val="20"/>
              </w:rPr>
              <w:lastRenderedPageBreak/>
              <w:t>Grandfather treatment</w:t>
            </w:r>
          </w:p>
        </w:tc>
        <w:tc>
          <w:tcPr>
            <w:tcW w:w="806" w:type="pct"/>
            <w:tcBorders>
              <w:left w:val="nil"/>
              <w:right w:val="nil"/>
            </w:tcBorders>
            <w:shd w:val="clear" w:color="auto" w:fill="auto"/>
            <w:vAlign w:val="center"/>
          </w:tcPr>
          <w:p w14:paraId="4F9E97D8" w14:textId="77777777" w:rsidR="00DD6F56" w:rsidRPr="009941F8" w:rsidRDefault="00DD6F56" w:rsidP="007039CE">
            <w:pPr>
              <w:jc w:val="center"/>
              <w:rPr>
                <w:rFonts w:ascii="Arial Narrow" w:eastAsiaTheme="majorEastAsia" w:hAnsi="Arial Narrow" w:cstheme="majorBidi"/>
                <w:bCs/>
                <w:sz w:val="20"/>
              </w:rPr>
            </w:pPr>
          </w:p>
        </w:tc>
        <w:tc>
          <w:tcPr>
            <w:tcW w:w="938" w:type="pct"/>
            <w:tcBorders>
              <w:left w:val="nil"/>
              <w:right w:val="nil"/>
            </w:tcBorders>
            <w:vAlign w:val="center"/>
          </w:tcPr>
          <w:p w14:paraId="12340FDD" w14:textId="77777777" w:rsidR="00DD6F56" w:rsidRPr="009941F8" w:rsidRDefault="00DD6F56" w:rsidP="007039CE">
            <w:pPr>
              <w:jc w:val="center"/>
              <w:rPr>
                <w:rFonts w:ascii="Arial Narrow" w:eastAsia="SimSun" w:hAnsi="Arial Narrow"/>
                <w:sz w:val="20"/>
              </w:rPr>
            </w:pPr>
          </w:p>
        </w:tc>
        <w:tc>
          <w:tcPr>
            <w:tcW w:w="464" w:type="pct"/>
            <w:tcBorders>
              <w:left w:val="nil"/>
              <w:right w:val="nil"/>
            </w:tcBorders>
            <w:vAlign w:val="center"/>
          </w:tcPr>
          <w:p w14:paraId="72515551" w14:textId="77777777" w:rsidR="00DD6F56" w:rsidRPr="009941F8" w:rsidRDefault="00DD6F56" w:rsidP="007039CE">
            <w:pPr>
              <w:jc w:val="center"/>
              <w:rPr>
                <w:rFonts w:ascii="Arial Narrow" w:eastAsia="SimSun" w:hAnsi="Arial Narrow"/>
                <w:sz w:val="20"/>
              </w:rPr>
            </w:pPr>
          </w:p>
        </w:tc>
        <w:tc>
          <w:tcPr>
            <w:tcW w:w="464" w:type="pct"/>
            <w:tcBorders>
              <w:left w:val="nil"/>
              <w:right w:val="nil"/>
            </w:tcBorders>
            <w:vAlign w:val="center"/>
          </w:tcPr>
          <w:p w14:paraId="354301EF" w14:textId="77777777" w:rsidR="00DD6F56" w:rsidRPr="009941F8" w:rsidRDefault="00DD6F56" w:rsidP="007039CE">
            <w:pPr>
              <w:jc w:val="center"/>
              <w:rPr>
                <w:rFonts w:ascii="Arial Narrow" w:eastAsia="SimSun" w:hAnsi="Arial Narrow"/>
                <w:sz w:val="20"/>
                <w:szCs w:val="20"/>
              </w:rPr>
            </w:pPr>
          </w:p>
        </w:tc>
        <w:tc>
          <w:tcPr>
            <w:tcW w:w="386" w:type="pct"/>
            <w:tcBorders>
              <w:left w:val="nil"/>
            </w:tcBorders>
            <w:vAlign w:val="center"/>
          </w:tcPr>
          <w:p w14:paraId="66ADEAE4" w14:textId="77777777" w:rsidR="00DD6F56" w:rsidRPr="009941F8" w:rsidRDefault="00DD6F56" w:rsidP="007039CE">
            <w:pPr>
              <w:jc w:val="center"/>
              <w:rPr>
                <w:rFonts w:ascii="Arial Narrow" w:eastAsia="SimSun" w:hAnsi="Arial Narrow"/>
                <w:sz w:val="20"/>
                <w:szCs w:val="20"/>
              </w:rPr>
            </w:pPr>
          </w:p>
        </w:tc>
        <w:tc>
          <w:tcPr>
            <w:tcW w:w="595" w:type="pct"/>
            <w:vAlign w:val="center"/>
          </w:tcPr>
          <w:p w14:paraId="39190817" w14:textId="77777777" w:rsidR="00DD6F56" w:rsidRPr="009941F8" w:rsidRDefault="00DD6F56" w:rsidP="007039CE">
            <w:pPr>
              <w:rPr>
                <w:rFonts w:ascii="Arial Narrow" w:eastAsia="SimSun" w:hAnsi="Arial Narrow"/>
                <w:sz w:val="20"/>
                <w:szCs w:val="20"/>
              </w:rPr>
            </w:pPr>
          </w:p>
        </w:tc>
      </w:tr>
      <w:tr w:rsidR="00E96FF5" w:rsidRPr="009941F8" w14:paraId="4C56F162" w14:textId="77777777" w:rsidTr="00C44237">
        <w:trPr>
          <w:cantSplit/>
          <w:trHeight w:val="20"/>
        </w:trPr>
        <w:tc>
          <w:tcPr>
            <w:tcW w:w="1347" w:type="pct"/>
            <w:shd w:val="clear" w:color="auto" w:fill="auto"/>
            <w:vAlign w:val="center"/>
          </w:tcPr>
          <w:p w14:paraId="78004322" w14:textId="3D37DB52" w:rsidR="00DD6F56" w:rsidRPr="009941F8" w:rsidRDefault="006E2883" w:rsidP="007039CE">
            <w:pPr>
              <w:jc w:val="left"/>
              <w:rPr>
                <w:rFonts w:ascii="Arial Narrow" w:eastAsia="SimSun" w:hAnsi="Arial Narrow"/>
                <w:smallCaps/>
                <w:sz w:val="20"/>
                <w:szCs w:val="20"/>
              </w:rPr>
            </w:pPr>
            <w:r w:rsidRPr="009941F8">
              <w:rPr>
                <w:rFonts w:ascii="Arial Narrow" w:eastAsia="SimSun" w:hAnsi="Arial Narrow"/>
                <w:i/>
                <w:iCs/>
                <w:sz w:val="20"/>
                <w:szCs w:val="20"/>
              </w:rPr>
              <w:t>anifrolumab 300 mg/2 mL injection, 2 mL vial</w:t>
            </w:r>
          </w:p>
        </w:tc>
        <w:tc>
          <w:tcPr>
            <w:tcW w:w="806" w:type="pct"/>
            <w:shd w:val="clear" w:color="auto" w:fill="auto"/>
            <w:vAlign w:val="center"/>
          </w:tcPr>
          <w:p w14:paraId="3B9370DA" w14:textId="77777777" w:rsidR="00DD6F56" w:rsidRPr="009941F8" w:rsidRDefault="00DD6F56"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rPr>
              <w:t>$1,448.00 (public)</w:t>
            </w:r>
          </w:p>
          <w:p w14:paraId="3D1C788C" w14:textId="225D259A" w:rsidR="00DD6F56" w:rsidRPr="009941F8" w:rsidRDefault="00DD6F56" w:rsidP="007039CE">
            <w:pPr>
              <w:jc w:val="center"/>
              <w:rPr>
                <w:rFonts w:ascii="Arial Narrow" w:eastAsiaTheme="majorEastAsia" w:hAnsi="Arial Narrow" w:cstheme="majorBidi"/>
                <w:bCs/>
                <w:sz w:val="20"/>
              </w:rPr>
            </w:pPr>
            <w:r w:rsidRPr="009941F8">
              <w:rPr>
                <w:rFonts w:ascii="Arial Narrow" w:eastAsiaTheme="majorEastAsia" w:hAnsi="Arial Narrow" w:cstheme="majorBidi"/>
                <w:bCs/>
                <w:sz w:val="20"/>
                <w:szCs w:val="20"/>
              </w:rPr>
              <w:t>$1,496.37 (private)</w:t>
            </w:r>
          </w:p>
        </w:tc>
        <w:tc>
          <w:tcPr>
            <w:tcW w:w="938" w:type="pct"/>
            <w:vAlign w:val="center"/>
          </w:tcPr>
          <w:p w14:paraId="7F13243C" w14:textId="77777777"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Submission:</w:t>
            </w:r>
          </w:p>
          <w:p w14:paraId="1C621E97" w14:textId="3E237F8F"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16"/>
                <w:sz w:val="20"/>
                <w:shd w:val="solid" w:color="000000" w:fill="000000"/>
                <w:fitText w:val="72" w:id="-961890042"/>
                <w14:textFill>
                  <w14:solidFill>
                    <w14:srgbClr w14:val="000000">
                      <w14:alpha w14:val="100000"/>
                    </w14:srgbClr>
                  </w14:solidFill>
                </w14:textFill>
              </w:rPr>
              <w:t xml:space="preserve">　</w:t>
            </w:r>
            <w:r w:rsidR="00640EC9" w:rsidRPr="00640EC9">
              <w:rPr>
                <w:rFonts w:ascii="Arial Narrow" w:eastAsia="SimSun" w:hAnsi="Arial Narrow"/>
                <w:color w:val="000000"/>
                <w:w w:val="16"/>
                <w:sz w:val="20"/>
                <w:shd w:val="solid" w:color="000000" w:fill="000000"/>
                <w:fitText w:val="72" w:id="-961890042"/>
                <w14:textFill>
                  <w14:solidFill>
                    <w14:srgbClr w14:val="000000">
                      <w14:alpha w14:val="100000"/>
                    </w14:srgbClr>
                  </w14:solidFill>
                </w14:textFill>
              </w:rPr>
              <w:t>|</w:t>
            </w:r>
            <w:r w:rsidR="00640EC9" w:rsidRPr="00640EC9">
              <w:rPr>
                <w:rFonts w:ascii="Arial Narrow" w:eastAsia="SimSun" w:hAnsi="Arial Narrow" w:hint="eastAsia"/>
                <w:color w:val="000000"/>
                <w:w w:val="16"/>
                <w:sz w:val="20"/>
                <w:shd w:val="solid" w:color="000000" w:fill="000000"/>
                <w:fitText w:val="72" w:id="-961890042"/>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7B3C4604" w14:textId="09C62954"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041"/>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041"/>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041"/>
                <w14:textFill>
                  <w14:solidFill>
                    <w14:srgbClr w14:val="000000">
                      <w14:alpha w14:val="100000"/>
                    </w14:srgbClr>
                  </w14:solidFill>
                </w14:textFill>
              </w:rPr>
              <w:t xml:space="preserve">　</w:t>
            </w:r>
            <w:r w:rsidRPr="009941F8">
              <w:rPr>
                <w:rFonts w:ascii="Arial Narrow" w:eastAsia="SimSun" w:hAnsi="Arial Narrow"/>
                <w:sz w:val="20"/>
              </w:rPr>
              <w:t xml:space="preserve"> (private)</w:t>
            </w:r>
          </w:p>
          <w:p w14:paraId="52570C60" w14:textId="77777777" w:rsidR="007915D7" w:rsidRPr="009941F8" w:rsidRDefault="007915D7" w:rsidP="007039CE">
            <w:pPr>
              <w:jc w:val="center"/>
              <w:rPr>
                <w:rFonts w:ascii="Arial Narrow" w:eastAsia="SimSun" w:hAnsi="Arial Narrow"/>
                <w:sz w:val="20"/>
              </w:rPr>
            </w:pPr>
          </w:p>
          <w:p w14:paraId="7082A1B4" w14:textId="77777777"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Pre-PBAC response:</w:t>
            </w:r>
          </w:p>
          <w:p w14:paraId="5E8266A2" w14:textId="6E160079" w:rsidR="007915D7"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16"/>
                <w:sz w:val="20"/>
                <w:shd w:val="solid" w:color="000000" w:fill="000000"/>
                <w:fitText w:val="72" w:id="-961890040"/>
                <w14:textFill>
                  <w14:solidFill>
                    <w14:srgbClr w14:val="000000">
                      <w14:alpha w14:val="100000"/>
                    </w14:srgbClr>
                  </w14:solidFill>
                </w14:textFill>
              </w:rPr>
              <w:t xml:space="preserve">　</w:t>
            </w:r>
            <w:r w:rsidR="00640EC9" w:rsidRPr="00640EC9">
              <w:rPr>
                <w:rFonts w:ascii="Arial Narrow" w:eastAsia="SimSun" w:hAnsi="Arial Narrow"/>
                <w:color w:val="000000"/>
                <w:w w:val="16"/>
                <w:sz w:val="20"/>
                <w:shd w:val="solid" w:color="000000" w:fill="000000"/>
                <w:fitText w:val="72" w:id="-961890040"/>
                <w14:textFill>
                  <w14:solidFill>
                    <w14:srgbClr w14:val="000000">
                      <w14:alpha w14:val="100000"/>
                    </w14:srgbClr>
                  </w14:solidFill>
                </w14:textFill>
              </w:rPr>
              <w:t>|</w:t>
            </w:r>
            <w:r w:rsidR="00640EC9" w:rsidRPr="00640EC9">
              <w:rPr>
                <w:rFonts w:ascii="Arial Narrow" w:eastAsia="SimSun" w:hAnsi="Arial Narrow" w:hint="eastAsia"/>
                <w:color w:val="000000"/>
                <w:w w:val="16"/>
                <w:sz w:val="20"/>
                <w:shd w:val="solid" w:color="000000" w:fill="000000"/>
                <w:fitText w:val="72" w:id="-961890040"/>
                <w14:textFill>
                  <w14:solidFill>
                    <w14:srgbClr w14:val="000000">
                      <w14:alpha w14:val="100000"/>
                    </w14:srgbClr>
                  </w14:solidFill>
                </w14:textFill>
              </w:rPr>
              <w:t xml:space="preserve">　</w:t>
            </w:r>
            <w:r w:rsidRPr="009941F8">
              <w:rPr>
                <w:rFonts w:ascii="Arial Narrow" w:eastAsia="SimSun" w:hAnsi="Arial Narrow"/>
                <w:sz w:val="20"/>
              </w:rPr>
              <w:t xml:space="preserve"> (public)</w:t>
            </w:r>
          </w:p>
          <w:p w14:paraId="08495CD1" w14:textId="2924D39D" w:rsidR="00DD6F56" w:rsidRPr="009941F8" w:rsidRDefault="007915D7" w:rsidP="007039CE">
            <w:pPr>
              <w:jc w:val="center"/>
              <w:rPr>
                <w:rFonts w:ascii="Arial Narrow" w:eastAsia="SimSun" w:hAnsi="Arial Narrow"/>
                <w:sz w:val="20"/>
              </w:rPr>
            </w:pPr>
            <w:r w:rsidRPr="009941F8">
              <w:rPr>
                <w:rFonts w:ascii="Arial Narrow" w:eastAsia="SimSun" w:hAnsi="Arial Narrow"/>
                <w:sz w:val="20"/>
              </w:rPr>
              <w:t>$</w:t>
            </w:r>
            <w:r w:rsidR="00640EC9" w:rsidRPr="00640EC9">
              <w:rPr>
                <w:rFonts w:ascii="Arial Narrow" w:eastAsia="SimSun" w:hAnsi="Arial Narrow" w:hint="eastAsia"/>
                <w:color w:val="000000"/>
                <w:w w:val="24"/>
                <w:sz w:val="20"/>
                <w:shd w:val="solid" w:color="000000" w:fill="000000"/>
                <w:fitText w:val="108" w:id="-961890039"/>
                <w14:textFill>
                  <w14:solidFill>
                    <w14:srgbClr w14:val="000000">
                      <w14:alpha w14:val="100000"/>
                    </w14:srgbClr>
                  </w14:solidFill>
                </w14:textFill>
              </w:rPr>
              <w:t xml:space="preserve">　</w:t>
            </w:r>
            <w:r w:rsidR="00640EC9" w:rsidRPr="00640EC9">
              <w:rPr>
                <w:rFonts w:ascii="Arial Narrow" w:eastAsia="SimSun" w:hAnsi="Arial Narrow"/>
                <w:color w:val="000000"/>
                <w:w w:val="24"/>
                <w:sz w:val="20"/>
                <w:shd w:val="solid" w:color="000000" w:fill="000000"/>
                <w:fitText w:val="108" w:id="-961890039"/>
                <w14:textFill>
                  <w14:solidFill>
                    <w14:srgbClr w14:val="000000">
                      <w14:alpha w14:val="100000"/>
                    </w14:srgbClr>
                  </w14:solidFill>
                </w14:textFill>
              </w:rPr>
              <w:t>|</w:t>
            </w:r>
            <w:r w:rsidR="00640EC9" w:rsidRPr="00640EC9">
              <w:rPr>
                <w:rFonts w:ascii="Arial Narrow" w:eastAsia="SimSun" w:hAnsi="Arial Narrow" w:hint="eastAsia"/>
                <w:color w:val="000000"/>
                <w:w w:val="24"/>
                <w:sz w:val="20"/>
                <w:shd w:val="solid" w:color="000000" w:fill="000000"/>
                <w:fitText w:val="108" w:id="-961890039"/>
                <w14:textFill>
                  <w14:solidFill>
                    <w14:srgbClr w14:val="000000">
                      <w14:alpha w14:val="100000"/>
                    </w14:srgbClr>
                  </w14:solidFill>
                </w14:textFill>
              </w:rPr>
              <w:t xml:space="preserve">　</w:t>
            </w:r>
            <w:r w:rsidRPr="009941F8">
              <w:rPr>
                <w:rFonts w:ascii="Arial Narrow" w:eastAsia="SimSun" w:hAnsi="Arial Narrow"/>
                <w:sz w:val="20"/>
              </w:rPr>
              <w:t xml:space="preserve"> (private)</w:t>
            </w:r>
          </w:p>
        </w:tc>
        <w:tc>
          <w:tcPr>
            <w:tcW w:w="464" w:type="pct"/>
            <w:vAlign w:val="center"/>
          </w:tcPr>
          <w:p w14:paraId="017A7C1F" w14:textId="6542D045" w:rsidR="00DD6F56" w:rsidRPr="009941F8" w:rsidRDefault="00DD6F56" w:rsidP="007039CE">
            <w:pPr>
              <w:jc w:val="center"/>
              <w:rPr>
                <w:rFonts w:ascii="Arial Narrow" w:eastAsia="SimSun" w:hAnsi="Arial Narrow"/>
                <w:sz w:val="20"/>
              </w:rPr>
            </w:pPr>
            <w:r w:rsidRPr="009941F8">
              <w:rPr>
                <w:rFonts w:ascii="Arial Narrow" w:eastAsia="SimSun" w:hAnsi="Arial Narrow"/>
                <w:sz w:val="20"/>
              </w:rPr>
              <w:t>1</w:t>
            </w:r>
          </w:p>
        </w:tc>
        <w:tc>
          <w:tcPr>
            <w:tcW w:w="464" w:type="pct"/>
            <w:vAlign w:val="center"/>
          </w:tcPr>
          <w:p w14:paraId="52F85B98" w14:textId="4F3CDB81" w:rsidR="00DD6F56" w:rsidRPr="009941F8" w:rsidRDefault="00DD6F56" w:rsidP="007039CE">
            <w:pPr>
              <w:jc w:val="center"/>
              <w:rPr>
                <w:rFonts w:ascii="Arial Narrow" w:eastAsia="SimSun" w:hAnsi="Arial Narrow"/>
                <w:sz w:val="20"/>
                <w:szCs w:val="20"/>
              </w:rPr>
            </w:pPr>
            <w:r w:rsidRPr="009941F8">
              <w:rPr>
                <w:rFonts w:ascii="Arial Narrow" w:eastAsia="SimSun" w:hAnsi="Arial Narrow"/>
                <w:sz w:val="20"/>
                <w:szCs w:val="20"/>
              </w:rPr>
              <w:t>1</w:t>
            </w:r>
          </w:p>
        </w:tc>
        <w:tc>
          <w:tcPr>
            <w:tcW w:w="386" w:type="pct"/>
            <w:vAlign w:val="center"/>
          </w:tcPr>
          <w:p w14:paraId="1CDEC81D" w14:textId="6CBDC80A" w:rsidR="00DD6F56" w:rsidRPr="009941F8" w:rsidRDefault="00DD6F56" w:rsidP="007039CE">
            <w:pPr>
              <w:jc w:val="center"/>
              <w:rPr>
                <w:rFonts w:ascii="Arial Narrow" w:eastAsia="SimSun" w:hAnsi="Arial Narrow"/>
                <w:sz w:val="20"/>
                <w:szCs w:val="20"/>
              </w:rPr>
            </w:pPr>
            <w:r w:rsidRPr="009941F8">
              <w:rPr>
                <w:rFonts w:ascii="Arial Narrow" w:eastAsia="SimSun" w:hAnsi="Arial Narrow"/>
                <w:sz w:val="20"/>
                <w:szCs w:val="20"/>
              </w:rPr>
              <w:t>6</w:t>
            </w:r>
          </w:p>
        </w:tc>
        <w:tc>
          <w:tcPr>
            <w:tcW w:w="595" w:type="pct"/>
            <w:vAlign w:val="center"/>
          </w:tcPr>
          <w:p w14:paraId="29AFC313" w14:textId="77777777" w:rsidR="00DD6F56" w:rsidRPr="009941F8" w:rsidRDefault="00DD6F56" w:rsidP="007039CE">
            <w:pPr>
              <w:rPr>
                <w:rFonts w:ascii="Arial Narrow" w:eastAsia="SimSun" w:hAnsi="Arial Narrow"/>
                <w:sz w:val="20"/>
                <w:szCs w:val="20"/>
              </w:rPr>
            </w:pPr>
          </w:p>
        </w:tc>
      </w:tr>
    </w:tbl>
    <w:p w14:paraId="618BA83A" w14:textId="77777777" w:rsidR="006C5BDD" w:rsidRPr="009941F8" w:rsidRDefault="006C5BDD" w:rsidP="007039CE">
      <w:pPr>
        <w:spacing w:after="120"/>
        <w:rPr>
          <w:rFonts w:ascii="Arial Narrow" w:eastAsia="SimSun" w:hAnsi="Arial Narrow"/>
          <w:sz w:val="18"/>
        </w:rPr>
      </w:pPr>
      <w:r w:rsidRPr="009941F8">
        <w:rPr>
          <w:rFonts w:ascii="Arial Narrow" w:eastAsia="SimSun" w:hAnsi="Arial Narrow"/>
          <w:sz w:val="18"/>
        </w:rPr>
        <w:t>Source: Tables 1-9, 1-10 and 1-11, pp49-51 of the resubmission.</w:t>
      </w:r>
    </w:p>
    <w:p w14:paraId="3D904A96" w14:textId="3259AE72" w:rsidR="006C13E2" w:rsidRPr="009941F8" w:rsidRDefault="006C13E2" w:rsidP="007039CE">
      <w:pPr>
        <w:keepNext/>
        <w:keepLines/>
        <w:rPr>
          <w:rFonts w:ascii="Times New Roman" w:eastAsiaTheme="minorHAnsi" w:hAnsi="Times New Roman" w:cs="Times New Roman"/>
          <w:b/>
          <w:bCs/>
        </w:rPr>
      </w:pPr>
      <w:r w:rsidRPr="009941F8">
        <w:rPr>
          <w:b/>
          <w:bCs/>
        </w:rPr>
        <w:t xml:space="preserve">Initial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E96FF5" w:rsidRPr="009941F8" w14:paraId="3A6EF3F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8A2A44" w14:textId="77777777" w:rsidR="006C13E2" w:rsidRPr="009941F8" w:rsidRDefault="006C13E2" w:rsidP="007915D7">
            <w:pPr>
              <w:keepNext/>
              <w:rPr>
                <w:rFonts w:ascii="Arial Narrow" w:hAnsi="Arial Narrow"/>
                <w:sz w:val="20"/>
                <w:szCs w:val="20"/>
              </w:rPr>
            </w:pPr>
            <w:r w:rsidRPr="009941F8">
              <w:rPr>
                <w:rFonts w:ascii="Arial Narrow" w:hAnsi="Arial Narrow"/>
                <w:b/>
                <w:sz w:val="20"/>
                <w:szCs w:val="20"/>
              </w:rPr>
              <w:t xml:space="preserve">Category / Program:  </w:t>
            </w:r>
            <w:r w:rsidRPr="009941F8">
              <w:rPr>
                <w:rFonts w:ascii="Arial Narrow" w:hAnsi="Arial Narrow"/>
                <w:sz w:val="20"/>
                <w:szCs w:val="20"/>
              </w:rPr>
              <w:t>Section 100 – Highly Specialised Drugs Program</w:t>
            </w:r>
          </w:p>
        </w:tc>
      </w:tr>
      <w:tr w:rsidR="00E96FF5" w:rsidRPr="009941F8" w14:paraId="03C3FCCC" w14:textId="77777777" w:rsidTr="006C13E2">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985E37" w14:textId="77777777" w:rsidR="006C13E2" w:rsidRPr="009941F8" w:rsidRDefault="006C13E2" w:rsidP="007915D7">
            <w:pPr>
              <w:keepNext/>
              <w:rPr>
                <w:rFonts w:ascii="Arial Narrow" w:hAnsi="Arial Narrow"/>
                <w:b/>
                <w:sz w:val="20"/>
                <w:szCs w:val="20"/>
                <w:highlight w:val="green"/>
              </w:rPr>
            </w:pPr>
            <w:r w:rsidRPr="009941F8">
              <w:rPr>
                <w:rFonts w:ascii="Arial Narrow" w:hAnsi="Arial Narrow"/>
                <w:b/>
                <w:sz w:val="20"/>
                <w:szCs w:val="20"/>
              </w:rPr>
              <w:t xml:space="preserve">Prescriber type:  </w:t>
            </w:r>
            <w:r w:rsidRPr="009941F8">
              <w:rPr>
                <w:rFonts w:ascii="Arial Narrow" w:hAnsi="Arial Narrow"/>
                <w:sz w:val="20"/>
                <w:szCs w:val="20"/>
              </w:rPr>
              <w:fldChar w:fldCharType="begin" w:fldLock="1">
                <w:ffData>
                  <w:name w:val=""/>
                  <w:enabled/>
                  <w:calcOnExit w:val="0"/>
                  <w:checkBox>
                    <w:sizeAuto/>
                    <w:default w:val="1"/>
                  </w:checkBox>
                </w:ffData>
              </w:fldChar>
            </w:r>
            <w:r w:rsidRPr="009941F8">
              <w:rPr>
                <w:rFonts w:ascii="Arial Narrow" w:hAnsi="Arial Narrow"/>
                <w:sz w:val="20"/>
                <w:szCs w:val="20"/>
              </w:rPr>
              <w:instrText xml:space="preserve"> FORMCHECKBOX </w:instrText>
            </w:r>
            <w:r w:rsidR="00CE7EC7">
              <w:rPr>
                <w:rFonts w:ascii="Arial Narrow" w:hAnsi="Arial Narrow"/>
                <w:sz w:val="20"/>
                <w:szCs w:val="20"/>
              </w:rPr>
            </w:r>
            <w:r w:rsidR="00CE7EC7">
              <w:rPr>
                <w:rFonts w:ascii="Arial Narrow" w:hAnsi="Arial Narrow"/>
                <w:sz w:val="20"/>
                <w:szCs w:val="20"/>
              </w:rPr>
              <w:fldChar w:fldCharType="separate"/>
            </w:r>
            <w:r w:rsidRPr="009941F8">
              <w:rPr>
                <w:rFonts w:ascii="Arial Narrow" w:hAnsi="Arial Narrow"/>
                <w:sz w:val="20"/>
                <w:szCs w:val="20"/>
              </w:rPr>
              <w:fldChar w:fldCharType="end"/>
            </w:r>
            <w:r w:rsidRPr="009941F8">
              <w:rPr>
                <w:rFonts w:ascii="Arial Narrow" w:hAnsi="Arial Narrow"/>
                <w:sz w:val="20"/>
                <w:szCs w:val="20"/>
              </w:rPr>
              <w:t>Medical Practitioners</w:t>
            </w:r>
          </w:p>
        </w:tc>
      </w:tr>
      <w:tr w:rsidR="00E96FF5" w:rsidRPr="009941F8" w14:paraId="7BDE3A3E" w14:textId="77777777" w:rsidTr="006C13E2">
        <w:trPr>
          <w:trHeight w:val="446"/>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FF6AAF" w14:textId="77777777" w:rsidR="006C13E2" w:rsidRPr="009941F8" w:rsidRDefault="006C13E2" w:rsidP="00460084">
            <w:pPr>
              <w:rPr>
                <w:rFonts w:ascii="Arial Narrow" w:hAnsi="Arial Narrow"/>
                <w:b/>
                <w:sz w:val="20"/>
                <w:szCs w:val="20"/>
              </w:rPr>
            </w:pPr>
            <w:r w:rsidRPr="009941F8">
              <w:rPr>
                <w:rFonts w:ascii="Arial Narrow" w:hAnsi="Arial Narrow"/>
                <w:b/>
                <w:sz w:val="20"/>
                <w:szCs w:val="20"/>
              </w:rPr>
              <w:t>Restriction Level / Method:</w:t>
            </w:r>
          </w:p>
          <w:p w14:paraId="7EAC99E8" w14:textId="77777777" w:rsidR="006C13E2" w:rsidRPr="009941F8" w:rsidRDefault="006C13E2" w:rsidP="00460084">
            <w:pPr>
              <w:rPr>
                <w:rFonts w:ascii="Arial Narrow" w:hAnsi="Arial Narrow"/>
                <w:i/>
                <w:iCs/>
                <w:sz w:val="20"/>
                <w:szCs w:val="20"/>
                <w:highlight w:val="green"/>
              </w:rPr>
            </w:pPr>
            <w:r w:rsidRPr="009941F8">
              <w:rPr>
                <w:rFonts w:ascii="Arial Narrow" w:hAnsi="Arial Narrow"/>
                <w:sz w:val="20"/>
                <w:szCs w:val="20"/>
              </w:rPr>
              <w:fldChar w:fldCharType="begin" w:fldLock="1">
                <w:ffData>
                  <w:name w:val="Check3"/>
                  <w:enabled/>
                  <w:calcOnExit w:val="0"/>
                  <w:checkBox>
                    <w:sizeAuto/>
                    <w:default w:val="1"/>
                  </w:checkBox>
                </w:ffData>
              </w:fldChar>
            </w:r>
            <w:r w:rsidRPr="009941F8">
              <w:rPr>
                <w:rFonts w:ascii="Arial Narrow" w:hAnsi="Arial Narrow"/>
                <w:sz w:val="20"/>
                <w:szCs w:val="20"/>
              </w:rPr>
              <w:instrText xml:space="preserve"> FORMCHECKBOX </w:instrText>
            </w:r>
            <w:r w:rsidR="00CE7EC7">
              <w:rPr>
                <w:rFonts w:ascii="Arial Narrow" w:hAnsi="Arial Narrow"/>
                <w:sz w:val="20"/>
                <w:szCs w:val="20"/>
              </w:rPr>
            </w:r>
            <w:r w:rsidR="00CE7EC7">
              <w:rPr>
                <w:rFonts w:ascii="Arial Narrow" w:hAnsi="Arial Narrow"/>
                <w:sz w:val="20"/>
                <w:szCs w:val="20"/>
              </w:rPr>
              <w:fldChar w:fldCharType="separate"/>
            </w:r>
            <w:r w:rsidRPr="009941F8">
              <w:rPr>
                <w:rFonts w:ascii="Arial Narrow" w:hAnsi="Arial Narrow"/>
                <w:sz w:val="20"/>
                <w:szCs w:val="20"/>
              </w:rPr>
              <w:fldChar w:fldCharType="end"/>
            </w:r>
            <w:r w:rsidRPr="009941F8">
              <w:rPr>
                <w:rFonts w:ascii="Arial Narrow" w:hAnsi="Arial Narrow"/>
                <w:sz w:val="20"/>
                <w:szCs w:val="20"/>
              </w:rPr>
              <w:t xml:space="preserve">Authority Required – In Writing/HPOS upload or Online PBS Authorities immediate assessment </w:t>
            </w:r>
          </w:p>
        </w:tc>
      </w:tr>
      <w:tr w:rsidR="00E96FF5" w:rsidRPr="009941F8" w14:paraId="58F5A40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3BF0B1" w14:textId="77777777" w:rsidR="006C13E2" w:rsidRPr="009941F8" w:rsidRDefault="006C13E2" w:rsidP="00460084">
            <w:pPr>
              <w:rPr>
                <w:rFonts w:ascii="Arial Narrow" w:hAnsi="Arial Narrow"/>
                <w:iCs/>
                <w:strike/>
                <w:sz w:val="20"/>
                <w:szCs w:val="20"/>
                <w:highlight w:val="green"/>
              </w:rPr>
            </w:pPr>
            <w:r w:rsidRPr="009941F8">
              <w:rPr>
                <w:rFonts w:ascii="Arial Narrow" w:hAnsi="Arial Narrow"/>
                <w:b/>
                <w:bCs/>
                <w:iCs/>
                <w:strike/>
                <w:sz w:val="20"/>
                <w:szCs w:val="20"/>
              </w:rPr>
              <w:t xml:space="preserve">Episodicity: </w:t>
            </w:r>
            <w:r w:rsidRPr="009941F8">
              <w:rPr>
                <w:rFonts w:ascii="Arial Narrow" w:hAnsi="Arial Narrow"/>
                <w:iCs/>
                <w:strike/>
                <w:sz w:val="20"/>
                <w:szCs w:val="20"/>
              </w:rPr>
              <w:t>Active</w:t>
            </w:r>
          </w:p>
        </w:tc>
      </w:tr>
      <w:tr w:rsidR="00E96FF5" w:rsidRPr="009941F8" w14:paraId="23D57A95"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D73E29" w14:textId="77777777" w:rsidR="006C13E2" w:rsidRPr="009941F8" w:rsidRDefault="006C13E2" w:rsidP="00460084">
            <w:pPr>
              <w:rPr>
                <w:rFonts w:ascii="Arial Narrow" w:hAnsi="Arial Narrow"/>
                <w:b/>
                <w:bCs/>
                <w:iCs/>
                <w:sz w:val="20"/>
                <w:szCs w:val="20"/>
                <w:highlight w:val="green"/>
              </w:rPr>
            </w:pPr>
            <w:r w:rsidRPr="009941F8">
              <w:rPr>
                <w:rFonts w:ascii="Arial Narrow" w:hAnsi="Arial Narrow"/>
                <w:b/>
                <w:bCs/>
                <w:iCs/>
                <w:sz w:val="20"/>
                <w:szCs w:val="20"/>
              </w:rPr>
              <w:t xml:space="preserve">Condition: </w:t>
            </w:r>
            <w:r w:rsidRPr="009941F8">
              <w:rPr>
                <w:rFonts w:ascii="Arial Narrow" w:hAnsi="Arial Narrow"/>
                <w:sz w:val="20"/>
                <w:szCs w:val="20"/>
              </w:rPr>
              <w:t>Systemic lupus erythematosus</w:t>
            </w:r>
          </w:p>
        </w:tc>
      </w:tr>
      <w:tr w:rsidR="00E96FF5" w:rsidRPr="009941F8" w14:paraId="6FFAA56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44779A" w14:textId="77777777" w:rsidR="006C13E2" w:rsidRPr="009941F8" w:rsidRDefault="006C13E2" w:rsidP="00460084">
            <w:pPr>
              <w:rPr>
                <w:rFonts w:ascii="Arial Narrow" w:hAnsi="Arial Narrow"/>
                <w:i/>
                <w:sz w:val="20"/>
                <w:szCs w:val="20"/>
              </w:rPr>
            </w:pPr>
            <w:r w:rsidRPr="009941F8">
              <w:rPr>
                <w:rFonts w:ascii="Arial Narrow" w:hAnsi="Arial Narrow"/>
                <w:b/>
                <w:bCs/>
                <w:iCs/>
                <w:sz w:val="20"/>
                <w:szCs w:val="20"/>
              </w:rPr>
              <w:t>Indication</w:t>
            </w:r>
            <w:r w:rsidRPr="009941F8">
              <w:rPr>
                <w:rFonts w:ascii="Arial Narrow" w:hAnsi="Arial Narrow"/>
                <w:b/>
                <w:bCs/>
                <w:i/>
                <w:sz w:val="20"/>
                <w:szCs w:val="20"/>
              </w:rPr>
              <w:t>:</w:t>
            </w:r>
            <w:r w:rsidRPr="009941F8">
              <w:rPr>
                <w:rFonts w:ascii="Arial Narrow" w:hAnsi="Arial Narrow"/>
                <w:i/>
                <w:strike/>
                <w:sz w:val="20"/>
                <w:szCs w:val="20"/>
              </w:rPr>
              <w:t xml:space="preserve"> </w:t>
            </w:r>
            <w:r w:rsidRPr="009941F8">
              <w:rPr>
                <w:rFonts w:ascii="Arial Narrow" w:hAnsi="Arial Narrow"/>
                <w:iCs/>
                <w:strike/>
                <w:sz w:val="20"/>
                <w:szCs w:val="20"/>
              </w:rPr>
              <w:t>Active</w:t>
            </w:r>
            <w:r w:rsidRPr="009941F8">
              <w:rPr>
                <w:rFonts w:ascii="Arial Narrow" w:hAnsi="Arial Narrow"/>
                <w:iCs/>
                <w:sz w:val="20"/>
                <w:szCs w:val="20"/>
              </w:rPr>
              <w:t xml:space="preserve"> </w:t>
            </w:r>
            <w:r w:rsidRPr="009941F8">
              <w:rPr>
                <w:rFonts w:ascii="Arial Narrow" w:hAnsi="Arial Narrow"/>
                <w:i/>
                <w:sz w:val="20"/>
                <w:szCs w:val="20"/>
              </w:rPr>
              <w:t>S</w:t>
            </w:r>
            <w:r w:rsidRPr="009941F8">
              <w:rPr>
                <w:rFonts w:ascii="Arial Narrow" w:hAnsi="Arial Narrow"/>
                <w:sz w:val="20"/>
                <w:szCs w:val="20"/>
              </w:rPr>
              <w:t>ystemic lupus erythematosus</w:t>
            </w:r>
          </w:p>
        </w:tc>
      </w:tr>
      <w:tr w:rsidR="00E96FF5" w:rsidRPr="009941F8" w14:paraId="686BCEF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F8845" w14:textId="77777777" w:rsidR="006C13E2" w:rsidRPr="009941F8" w:rsidRDefault="006C13E2" w:rsidP="00460084">
            <w:pPr>
              <w:rPr>
                <w:rFonts w:ascii="Arial Narrow" w:hAnsi="Arial Narrow"/>
                <w:sz w:val="20"/>
                <w:szCs w:val="20"/>
                <w:highlight w:val="green"/>
                <w:lang w:eastAsia="en-US"/>
              </w:rPr>
            </w:pPr>
            <w:r w:rsidRPr="009941F8">
              <w:rPr>
                <w:rFonts w:ascii="Arial Narrow" w:hAnsi="Arial Narrow"/>
                <w:b/>
                <w:bCs/>
                <w:sz w:val="20"/>
                <w:szCs w:val="20"/>
              </w:rPr>
              <w:t>Treatment Phase:</w:t>
            </w:r>
            <w:r w:rsidRPr="009941F8">
              <w:rPr>
                <w:rFonts w:ascii="Arial Narrow" w:hAnsi="Arial Narrow"/>
                <w:sz w:val="20"/>
                <w:szCs w:val="20"/>
              </w:rPr>
              <w:t xml:space="preserve"> Initial </w:t>
            </w:r>
            <w:r w:rsidRPr="009941F8">
              <w:rPr>
                <w:rFonts w:ascii="Arial Narrow" w:hAnsi="Arial Narrow"/>
                <w:strike/>
                <w:sz w:val="20"/>
                <w:szCs w:val="20"/>
              </w:rPr>
              <w:t>/ Grandfathered</w:t>
            </w:r>
          </w:p>
        </w:tc>
      </w:tr>
      <w:tr w:rsidR="00E96FF5" w:rsidRPr="009941F8" w14:paraId="2B581C3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F2D948"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Treatment criteria:</w:t>
            </w:r>
          </w:p>
        </w:tc>
      </w:tr>
      <w:tr w:rsidR="00E96FF5" w:rsidRPr="009941F8" w14:paraId="407754B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F78434" w14:textId="77777777" w:rsidR="006C13E2" w:rsidRPr="009941F8" w:rsidRDefault="006C13E2" w:rsidP="00460084">
            <w:pPr>
              <w:rPr>
                <w:rFonts w:ascii="Arial Narrow" w:eastAsiaTheme="majorEastAsia" w:hAnsi="Arial Narrow"/>
                <w:strike/>
                <w:sz w:val="20"/>
                <w:szCs w:val="20"/>
                <w:lang w:bidi="en-US"/>
              </w:rPr>
            </w:pPr>
            <w:r w:rsidRPr="009941F8">
              <w:rPr>
                <w:rFonts w:ascii="Arial Narrow" w:eastAsiaTheme="majorEastAsia" w:hAnsi="Arial Narrow"/>
                <w:strike/>
                <w:sz w:val="20"/>
                <w:szCs w:val="20"/>
                <w:lang w:bidi="en-US"/>
              </w:rPr>
              <w:t>Must be treated by a rheumatologist; or</w:t>
            </w:r>
          </w:p>
          <w:p w14:paraId="5897B31A" w14:textId="77777777" w:rsidR="006C13E2" w:rsidRPr="009941F8" w:rsidRDefault="006C13E2" w:rsidP="00460084">
            <w:pPr>
              <w:rPr>
                <w:rFonts w:ascii="Arial Narrow" w:eastAsiaTheme="majorEastAsia" w:hAnsi="Arial Narrow"/>
                <w:strike/>
                <w:sz w:val="20"/>
                <w:szCs w:val="20"/>
                <w:lang w:bidi="en-US"/>
              </w:rPr>
            </w:pPr>
            <w:r w:rsidRPr="009941F8">
              <w:rPr>
                <w:rFonts w:ascii="Arial Narrow" w:eastAsiaTheme="majorEastAsia" w:hAnsi="Arial Narrow"/>
                <w:strike/>
                <w:sz w:val="20"/>
                <w:szCs w:val="20"/>
                <w:lang w:bidi="en-US"/>
              </w:rPr>
              <w:t>Must be treated by a clinical immunologist;</w:t>
            </w:r>
            <w:r w:rsidRPr="009941F8">
              <w:rPr>
                <w:rFonts w:ascii="Arial Narrow" w:eastAsiaTheme="majorEastAsia" w:hAnsi="Arial Narrow"/>
                <w:sz w:val="20"/>
                <w:szCs w:val="20"/>
                <w:lang w:bidi="en-US"/>
              </w:rPr>
              <w:t xml:space="preserve"> </w:t>
            </w:r>
            <w:r w:rsidRPr="009941F8">
              <w:rPr>
                <w:rFonts w:ascii="Arial Narrow" w:eastAsiaTheme="majorEastAsia" w:hAnsi="Arial Narrow"/>
                <w:strike/>
                <w:sz w:val="20"/>
                <w:szCs w:val="20"/>
                <w:lang w:bidi="en-US"/>
              </w:rPr>
              <w:t>or</w:t>
            </w:r>
          </w:p>
          <w:p w14:paraId="4EBEE215" w14:textId="77777777" w:rsidR="006C13E2" w:rsidRPr="009941F8" w:rsidRDefault="006C13E2" w:rsidP="00460084">
            <w:pPr>
              <w:rPr>
                <w:rFonts w:ascii="Arial Narrow" w:eastAsiaTheme="majorEastAsia" w:hAnsi="Arial Narrow"/>
                <w:i/>
                <w:iCs/>
                <w:strike/>
                <w:sz w:val="20"/>
                <w:szCs w:val="20"/>
                <w:lang w:bidi="en-US"/>
              </w:rPr>
            </w:pPr>
            <w:r w:rsidRPr="009941F8">
              <w:rPr>
                <w:rFonts w:ascii="Arial Narrow" w:eastAsiaTheme="majorEastAsia" w:hAnsi="Arial Narrow"/>
                <w:i/>
                <w:iCs/>
                <w:strike/>
                <w:sz w:val="20"/>
                <w:szCs w:val="20"/>
                <w:lang w:bidi="en-US"/>
              </w:rPr>
              <w:t>Alternatively</w:t>
            </w:r>
          </w:p>
          <w:p w14:paraId="0BF42037" w14:textId="77777777" w:rsidR="006C13E2" w:rsidRPr="009941F8" w:rsidRDefault="006C13E2" w:rsidP="00460084">
            <w:pPr>
              <w:rPr>
                <w:rFonts w:ascii="Arial Narrow" w:eastAsiaTheme="minorHAnsi" w:hAnsi="Arial Narrow"/>
                <w:b/>
                <w:bCs/>
                <w:sz w:val="20"/>
                <w:szCs w:val="20"/>
              </w:rPr>
            </w:pPr>
            <w:r w:rsidRPr="009941F8">
              <w:rPr>
                <w:rFonts w:ascii="Arial Narrow" w:hAnsi="Arial Narrow"/>
                <w:sz w:val="20"/>
                <w:szCs w:val="20"/>
              </w:rPr>
              <w:t>Must be treated by a specialist physician experienced in the management of this condition</w:t>
            </w:r>
          </w:p>
        </w:tc>
      </w:tr>
      <w:tr w:rsidR="00E96FF5" w:rsidRPr="009941F8" w14:paraId="5CCC8D26"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935E41" w14:textId="77777777" w:rsidR="006C13E2" w:rsidRPr="009941F8" w:rsidRDefault="006C13E2" w:rsidP="00235D09">
            <w:pPr>
              <w:keepNext/>
              <w:rPr>
                <w:rFonts w:ascii="Arial Narrow" w:hAnsi="Arial Narrow"/>
                <w:sz w:val="20"/>
                <w:szCs w:val="20"/>
              </w:rPr>
            </w:pPr>
            <w:r w:rsidRPr="009941F8">
              <w:rPr>
                <w:rFonts w:ascii="Arial Narrow" w:hAnsi="Arial Narrow"/>
                <w:b/>
                <w:bCs/>
                <w:sz w:val="20"/>
                <w:szCs w:val="20"/>
              </w:rPr>
              <w:t>Clinical criteria:</w:t>
            </w:r>
          </w:p>
        </w:tc>
      </w:tr>
      <w:tr w:rsidR="00E96FF5" w:rsidRPr="009941F8" w14:paraId="46D2CD1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6818E1" w14:textId="77777777" w:rsidR="006C13E2" w:rsidRPr="009941F8" w:rsidRDefault="006C13E2" w:rsidP="00460084">
            <w:pPr>
              <w:rPr>
                <w:rFonts w:ascii="Arial Narrow" w:eastAsiaTheme="majorEastAsia" w:hAnsi="Arial Narrow"/>
                <w:sz w:val="20"/>
                <w:szCs w:val="20"/>
                <w:lang w:bidi="en-US"/>
              </w:rPr>
            </w:pPr>
            <w:r w:rsidRPr="009941F8">
              <w:rPr>
                <w:rFonts w:ascii="Arial Narrow" w:eastAsiaTheme="majorEastAsia" w:hAnsi="Arial Narrow"/>
                <w:sz w:val="20"/>
                <w:szCs w:val="20"/>
                <w:lang w:bidi="en-US"/>
              </w:rPr>
              <w:t>Patient must have a confirmed and documented diagnosis of systemic lupus erythematosus (SLE) according to the American College of Rheumatology (ACR)/European League Against Rheumatism (EULAR) SLE Classification Criteria 2019</w:t>
            </w:r>
          </w:p>
        </w:tc>
      </w:tr>
      <w:tr w:rsidR="00E96FF5" w:rsidRPr="009941F8" w14:paraId="36FCC7D2"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FE92DD" w14:textId="77777777" w:rsidR="006C13E2" w:rsidRPr="009941F8" w:rsidRDefault="006C13E2" w:rsidP="00460084">
            <w:pPr>
              <w:rPr>
                <w:rFonts w:ascii="Arial Narrow" w:hAnsi="Arial Narrow"/>
                <w:sz w:val="20"/>
                <w:szCs w:val="20"/>
                <w:lang w:eastAsia="en-US"/>
              </w:rPr>
            </w:pPr>
            <w:r w:rsidRPr="009941F8">
              <w:rPr>
                <w:rFonts w:ascii="Arial Narrow" w:hAnsi="Arial Narrow"/>
                <w:b/>
                <w:bCs/>
                <w:sz w:val="20"/>
                <w:szCs w:val="20"/>
              </w:rPr>
              <w:t>AND</w:t>
            </w:r>
          </w:p>
        </w:tc>
      </w:tr>
      <w:tr w:rsidR="00E96FF5" w:rsidRPr="009941F8" w14:paraId="4FE38D6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FB291"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Clinical criteria:</w:t>
            </w:r>
          </w:p>
        </w:tc>
      </w:tr>
      <w:tr w:rsidR="00E96FF5" w:rsidRPr="009941F8" w14:paraId="716BD1F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884E33" w14:textId="77777777" w:rsidR="006C13E2" w:rsidRPr="009941F8" w:rsidRDefault="006C13E2" w:rsidP="00460084">
            <w:pPr>
              <w:rPr>
                <w:rFonts w:ascii="Arial Narrow" w:hAnsi="Arial Narrow"/>
                <w:sz w:val="20"/>
                <w:szCs w:val="20"/>
                <w:highlight w:val="green"/>
              </w:rPr>
            </w:pPr>
            <w:r w:rsidRPr="009941F8">
              <w:rPr>
                <w:rFonts w:ascii="Arial Narrow" w:hAnsi="Arial Narrow"/>
                <w:sz w:val="20"/>
                <w:szCs w:val="20"/>
              </w:rPr>
              <w:t xml:space="preserve">Patient must have persistent disease activity as supported by a SLE Disease Activity Index 2000 </w:t>
            </w:r>
            <w:r w:rsidRPr="009941F8">
              <w:rPr>
                <w:rFonts w:ascii="Arial Narrow" w:hAnsi="Arial Narrow"/>
                <w:i/>
                <w:iCs/>
                <w:sz w:val="20"/>
                <w:szCs w:val="20"/>
              </w:rPr>
              <w:t>(</w:t>
            </w:r>
            <w:r w:rsidRPr="009941F8">
              <w:rPr>
                <w:rFonts w:ascii="Arial Narrow" w:hAnsi="Arial Narrow"/>
                <w:sz w:val="20"/>
                <w:szCs w:val="20"/>
              </w:rPr>
              <w:t>SLEDAI-2K</w:t>
            </w:r>
            <w:r w:rsidRPr="009941F8">
              <w:rPr>
                <w:rFonts w:ascii="Arial Narrow" w:hAnsi="Arial Narrow"/>
                <w:i/>
                <w:iCs/>
                <w:sz w:val="20"/>
                <w:szCs w:val="20"/>
              </w:rPr>
              <w:t>)</w:t>
            </w:r>
            <w:r w:rsidRPr="009941F8">
              <w:rPr>
                <w:rFonts w:ascii="Arial Narrow" w:hAnsi="Arial Narrow"/>
                <w:sz w:val="20"/>
                <w:szCs w:val="20"/>
              </w:rPr>
              <w:t xml:space="preserve"> score of at least 10 points</w:t>
            </w:r>
          </w:p>
        </w:tc>
      </w:tr>
      <w:tr w:rsidR="00E96FF5" w:rsidRPr="009941F8" w14:paraId="5B71896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A01111"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AND</w:t>
            </w:r>
          </w:p>
        </w:tc>
      </w:tr>
      <w:tr w:rsidR="00E96FF5" w:rsidRPr="009941F8" w14:paraId="555B2E5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96970B" w14:textId="77777777" w:rsidR="006C13E2" w:rsidRPr="009941F8" w:rsidRDefault="006C13E2" w:rsidP="00F07501">
            <w:pPr>
              <w:keepNext/>
              <w:keepLines/>
              <w:rPr>
                <w:rFonts w:ascii="Arial Narrow" w:hAnsi="Arial Narrow"/>
                <w:sz w:val="20"/>
                <w:szCs w:val="20"/>
              </w:rPr>
            </w:pPr>
            <w:r w:rsidRPr="009941F8">
              <w:rPr>
                <w:rFonts w:ascii="Arial Narrow" w:hAnsi="Arial Narrow"/>
                <w:b/>
                <w:bCs/>
                <w:sz w:val="20"/>
                <w:szCs w:val="20"/>
              </w:rPr>
              <w:t>Clinical criteria:</w:t>
            </w:r>
          </w:p>
        </w:tc>
      </w:tr>
      <w:tr w:rsidR="00E96FF5" w:rsidRPr="009941F8" w14:paraId="004C404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AA52F9" w14:textId="77777777" w:rsidR="006C13E2" w:rsidRPr="009941F8" w:rsidRDefault="006C13E2" w:rsidP="00F07501">
            <w:pPr>
              <w:keepNext/>
              <w:keepLines/>
              <w:rPr>
                <w:rFonts w:ascii="Arial Narrow" w:hAnsi="Arial Narrow"/>
                <w:sz w:val="20"/>
                <w:szCs w:val="20"/>
              </w:rPr>
            </w:pPr>
            <w:r w:rsidRPr="009941F8">
              <w:rPr>
                <w:rFonts w:ascii="Arial Narrow" w:hAnsi="Arial Narrow"/>
                <w:sz w:val="20"/>
                <w:szCs w:val="20"/>
              </w:rPr>
              <w:t xml:space="preserve">Patient must be currently receiving hydroxychloroquine and must have received this for at least 12 weeks unless </w:t>
            </w:r>
            <w:r w:rsidRPr="009941F8">
              <w:rPr>
                <w:rFonts w:ascii="Arial Narrow" w:hAnsi="Arial Narrow"/>
                <w:i/>
                <w:iCs/>
                <w:sz w:val="20"/>
                <w:szCs w:val="20"/>
              </w:rPr>
              <w:t>either</w:t>
            </w:r>
            <w:r w:rsidRPr="009941F8">
              <w:rPr>
                <w:rFonts w:ascii="Arial Narrow" w:hAnsi="Arial Narrow"/>
                <w:sz w:val="20"/>
                <w:szCs w:val="20"/>
              </w:rPr>
              <w:t xml:space="preserve"> </w:t>
            </w:r>
            <w:r w:rsidRPr="009941F8">
              <w:rPr>
                <w:rFonts w:ascii="Arial Narrow" w:hAnsi="Arial Narrow"/>
                <w:i/>
                <w:iCs/>
                <w:sz w:val="20"/>
                <w:szCs w:val="20"/>
              </w:rPr>
              <w:t>(i)</w:t>
            </w:r>
            <w:r w:rsidRPr="009941F8">
              <w:rPr>
                <w:rFonts w:ascii="Arial Narrow" w:hAnsi="Arial Narrow"/>
                <w:sz w:val="20"/>
                <w:szCs w:val="20"/>
              </w:rPr>
              <w:t xml:space="preserve"> contraindicated, </w:t>
            </w:r>
            <w:r w:rsidRPr="009941F8">
              <w:rPr>
                <w:rFonts w:ascii="Arial Narrow" w:hAnsi="Arial Narrow"/>
                <w:strike/>
                <w:sz w:val="20"/>
                <w:szCs w:val="20"/>
              </w:rPr>
              <w:t>or</w:t>
            </w:r>
            <w:r w:rsidRPr="009941F8">
              <w:rPr>
                <w:rFonts w:ascii="Arial Narrow" w:hAnsi="Arial Narrow"/>
                <w:sz w:val="20"/>
                <w:szCs w:val="20"/>
              </w:rPr>
              <w:t xml:space="preserve"> </w:t>
            </w:r>
            <w:r w:rsidRPr="009941F8">
              <w:rPr>
                <w:rFonts w:ascii="Arial Narrow" w:hAnsi="Arial Narrow"/>
                <w:i/>
                <w:iCs/>
                <w:sz w:val="20"/>
                <w:szCs w:val="20"/>
              </w:rPr>
              <w:t>(ii)</w:t>
            </w:r>
            <w:r w:rsidRPr="009941F8">
              <w:rPr>
                <w:rFonts w:ascii="Arial Narrow" w:hAnsi="Arial Narrow"/>
                <w:sz w:val="20"/>
                <w:szCs w:val="20"/>
              </w:rPr>
              <w:t xml:space="preserve"> intolerant necessitating treatment withdrawal</w:t>
            </w:r>
            <w:r w:rsidRPr="009941F8">
              <w:rPr>
                <w:rFonts w:ascii="Arial Narrow" w:hAnsi="Arial Narrow"/>
                <w:i/>
                <w:sz w:val="20"/>
                <w:szCs w:val="20"/>
              </w:rPr>
              <w:t xml:space="preserve"> </w:t>
            </w:r>
          </w:p>
        </w:tc>
      </w:tr>
      <w:tr w:rsidR="00E96FF5" w:rsidRPr="009941F8" w14:paraId="0B7DCF2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841144" w14:textId="77777777" w:rsidR="006C13E2" w:rsidRPr="009941F8" w:rsidRDefault="006C13E2" w:rsidP="00460084">
            <w:pPr>
              <w:rPr>
                <w:rFonts w:ascii="Arial Narrow" w:hAnsi="Arial Narrow"/>
                <w:iCs/>
                <w:sz w:val="20"/>
                <w:szCs w:val="20"/>
                <w:lang w:eastAsia="en-US"/>
              </w:rPr>
            </w:pPr>
            <w:r w:rsidRPr="009941F8">
              <w:rPr>
                <w:rFonts w:ascii="Arial Narrow" w:hAnsi="Arial Narrow"/>
                <w:b/>
                <w:bCs/>
                <w:iCs/>
                <w:sz w:val="20"/>
                <w:szCs w:val="20"/>
              </w:rPr>
              <w:t>AND</w:t>
            </w:r>
          </w:p>
        </w:tc>
      </w:tr>
      <w:tr w:rsidR="00E96FF5" w:rsidRPr="009941F8" w14:paraId="63A692E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5DCDA9" w14:textId="77777777" w:rsidR="006C13E2" w:rsidRPr="009941F8" w:rsidRDefault="006C13E2" w:rsidP="00460084">
            <w:pPr>
              <w:rPr>
                <w:rFonts w:ascii="Arial Narrow" w:hAnsi="Arial Narrow"/>
                <w:b/>
                <w:bCs/>
                <w:iCs/>
                <w:sz w:val="20"/>
                <w:szCs w:val="20"/>
              </w:rPr>
            </w:pPr>
            <w:r w:rsidRPr="009941F8">
              <w:rPr>
                <w:rFonts w:ascii="Arial Narrow" w:hAnsi="Arial Narrow"/>
                <w:b/>
                <w:bCs/>
                <w:iCs/>
                <w:sz w:val="20"/>
                <w:szCs w:val="20"/>
              </w:rPr>
              <w:t>Clinical criteria:</w:t>
            </w:r>
          </w:p>
        </w:tc>
      </w:tr>
      <w:tr w:rsidR="00E96FF5" w:rsidRPr="009941F8" w14:paraId="434A9C4C"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8B2390" w14:textId="77777777" w:rsidR="006C13E2" w:rsidRPr="009941F8" w:rsidRDefault="006C13E2" w:rsidP="00460084">
            <w:pPr>
              <w:rPr>
                <w:rFonts w:ascii="Arial Narrow" w:hAnsi="Arial Narrow"/>
                <w:bCs/>
                <w:iCs/>
                <w:sz w:val="20"/>
                <w:szCs w:val="20"/>
              </w:rPr>
            </w:pPr>
            <w:r w:rsidRPr="009941F8">
              <w:rPr>
                <w:rFonts w:ascii="Arial Narrow" w:hAnsi="Arial Narrow"/>
                <w:bCs/>
                <w:iCs/>
                <w:sz w:val="20"/>
                <w:szCs w:val="20"/>
              </w:rPr>
              <w:t xml:space="preserve">Patient must be currently receiving immunosuppressant medication and must have received this for at least 12 weeks (minimum dose of methotrexate 20 mg per week, azathioprine 100 mg per day, or mycophenolate 1,000 mg per day) </w:t>
            </w:r>
            <w:r w:rsidRPr="009941F8">
              <w:rPr>
                <w:rFonts w:ascii="Arial Narrow" w:hAnsi="Arial Narrow"/>
                <w:sz w:val="20"/>
                <w:szCs w:val="20"/>
              </w:rPr>
              <w:t xml:space="preserve">unless </w:t>
            </w:r>
            <w:r w:rsidRPr="009941F8">
              <w:rPr>
                <w:rFonts w:ascii="Arial Narrow" w:hAnsi="Arial Narrow"/>
                <w:i/>
                <w:iCs/>
                <w:sz w:val="20"/>
                <w:szCs w:val="20"/>
              </w:rPr>
              <w:t>either</w:t>
            </w:r>
            <w:r w:rsidRPr="009941F8">
              <w:rPr>
                <w:rFonts w:ascii="Arial Narrow" w:hAnsi="Arial Narrow"/>
                <w:sz w:val="20"/>
                <w:szCs w:val="20"/>
              </w:rPr>
              <w:t xml:space="preserve"> </w:t>
            </w:r>
            <w:r w:rsidRPr="009941F8">
              <w:rPr>
                <w:rFonts w:ascii="Arial Narrow" w:hAnsi="Arial Narrow"/>
                <w:i/>
                <w:iCs/>
                <w:sz w:val="20"/>
                <w:szCs w:val="20"/>
              </w:rPr>
              <w:t>(i)</w:t>
            </w:r>
            <w:r w:rsidRPr="009941F8">
              <w:rPr>
                <w:rFonts w:ascii="Arial Narrow" w:hAnsi="Arial Narrow"/>
                <w:sz w:val="20"/>
                <w:szCs w:val="20"/>
              </w:rPr>
              <w:t xml:space="preserve"> contraindicated, </w:t>
            </w:r>
            <w:r w:rsidRPr="009941F8">
              <w:rPr>
                <w:rFonts w:ascii="Arial Narrow" w:hAnsi="Arial Narrow"/>
                <w:strike/>
                <w:sz w:val="20"/>
                <w:szCs w:val="20"/>
              </w:rPr>
              <w:t>or</w:t>
            </w:r>
            <w:r w:rsidRPr="009941F8">
              <w:rPr>
                <w:rFonts w:ascii="Arial Narrow" w:hAnsi="Arial Narrow"/>
                <w:sz w:val="20"/>
                <w:szCs w:val="20"/>
              </w:rPr>
              <w:t xml:space="preserve"> </w:t>
            </w:r>
            <w:r w:rsidRPr="009941F8">
              <w:rPr>
                <w:rFonts w:ascii="Arial Narrow" w:hAnsi="Arial Narrow"/>
                <w:i/>
                <w:iCs/>
                <w:sz w:val="20"/>
                <w:szCs w:val="20"/>
              </w:rPr>
              <w:t>(ii)</w:t>
            </w:r>
            <w:r w:rsidRPr="009941F8">
              <w:rPr>
                <w:rFonts w:ascii="Arial Narrow" w:hAnsi="Arial Narrow"/>
                <w:sz w:val="20"/>
                <w:szCs w:val="20"/>
              </w:rPr>
              <w:t xml:space="preserve"> intolerant necessitating treatment withdrawal</w:t>
            </w:r>
          </w:p>
        </w:tc>
      </w:tr>
      <w:tr w:rsidR="00E96FF5" w:rsidRPr="009941F8" w14:paraId="5C8F3D5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ED9B0D"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AND</w:t>
            </w:r>
          </w:p>
        </w:tc>
      </w:tr>
      <w:tr w:rsidR="00E96FF5" w:rsidRPr="009941F8" w14:paraId="65B5B3E5"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6E9678"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Clinical criteria:</w:t>
            </w:r>
          </w:p>
        </w:tc>
      </w:tr>
      <w:tr w:rsidR="00E96FF5" w:rsidRPr="009941F8" w14:paraId="6D1BB8C6"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A3543" w14:textId="77777777" w:rsidR="006C13E2" w:rsidRPr="009941F8" w:rsidRDefault="006C13E2" w:rsidP="00460084">
            <w:pPr>
              <w:rPr>
                <w:rFonts w:ascii="Arial Narrow" w:hAnsi="Arial Narrow"/>
                <w:sz w:val="20"/>
                <w:szCs w:val="20"/>
                <w:highlight w:val="green"/>
              </w:rPr>
            </w:pPr>
            <w:r w:rsidRPr="009941F8">
              <w:rPr>
                <w:rFonts w:ascii="Arial Narrow" w:hAnsi="Arial Narrow"/>
                <w:sz w:val="20"/>
                <w:szCs w:val="20"/>
              </w:rPr>
              <w:t xml:space="preserve">Patient must be currently receiving prednisolone or equivalent ≥ 7.5 mg per day and must have received this for at least 4 weeks unless </w:t>
            </w:r>
            <w:r w:rsidRPr="009941F8">
              <w:rPr>
                <w:rFonts w:ascii="Arial Narrow" w:hAnsi="Arial Narrow"/>
                <w:i/>
                <w:iCs/>
                <w:sz w:val="20"/>
                <w:szCs w:val="20"/>
              </w:rPr>
              <w:t>either</w:t>
            </w:r>
            <w:r w:rsidRPr="009941F8">
              <w:rPr>
                <w:rFonts w:ascii="Arial Narrow" w:hAnsi="Arial Narrow"/>
                <w:sz w:val="20"/>
                <w:szCs w:val="20"/>
              </w:rPr>
              <w:t xml:space="preserve"> </w:t>
            </w:r>
            <w:r w:rsidRPr="009941F8">
              <w:rPr>
                <w:rFonts w:ascii="Arial Narrow" w:hAnsi="Arial Narrow"/>
                <w:i/>
                <w:iCs/>
                <w:sz w:val="20"/>
                <w:szCs w:val="20"/>
              </w:rPr>
              <w:t>(i)</w:t>
            </w:r>
            <w:r w:rsidRPr="009941F8">
              <w:rPr>
                <w:rFonts w:ascii="Arial Narrow" w:hAnsi="Arial Narrow"/>
                <w:sz w:val="20"/>
                <w:szCs w:val="20"/>
              </w:rPr>
              <w:t xml:space="preserve"> contraindicated, </w:t>
            </w:r>
            <w:r w:rsidRPr="009941F8">
              <w:rPr>
                <w:rFonts w:ascii="Arial Narrow" w:hAnsi="Arial Narrow"/>
                <w:strike/>
                <w:sz w:val="20"/>
                <w:szCs w:val="20"/>
              </w:rPr>
              <w:t>or</w:t>
            </w:r>
            <w:r w:rsidRPr="009941F8">
              <w:rPr>
                <w:rFonts w:ascii="Arial Narrow" w:hAnsi="Arial Narrow"/>
                <w:sz w:val="20"/>
                <w:szCs w:val="20"/>
              </w:rPr>
              <w:t xml:space="preserve"> </w:t>
            </w:r>
            <w:r w:rsidRPr="009941F8">
              <w:rPr>
                <w:rFonts w:ascii="Arial Narrow" w:hAnsi="Arial Narrow"/>
                <w:i/>
                <w:iCs/>
                <w:sz w:val="20"/>
                <w:szCs w:val="20"/>
              </w:rPr>
              <w:t>(ii)</w:t>
            </w:r>
            <w:r w:rsidRPr="009941F8">
              <w:rPr>
                <w:rFonts w:ascii="Arial Narrow" w:hAnsi="Arial Narrow"/>
                <w:sz w:val="20"/>
                <w:szCs w:val="20"/>
              </w:rPr>
              <w:t xml:space="preserve"> intolerant necessitating treatment withdrawal</w:t>
            </w:r>
          </w:p>
        </w:tc>
      </w:tr>
      <w:tr w:rsidR="00E96FF5" w:rsidRPr="009941F8" w14:paraId="36A2161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92E751" w14:textId="77777777" w:rsidR="006C13E2" w:rsidRPr="009941F8" w:rsidRDefault="006C13E2" w:rsidP="00460084">
            <w:pPr>
              <w:rPr>
                <w:rFonts w:ascii="Arial Narrow" w:hAnsi="Arial Narrow"/>
                <w:sz w:val="20"/>
                <w:szCs w:val="20"/>
                <w:highlight w:val="green"/>
                <w:lang w:eastAsia="en-US"/>
              </w:rPr>
            </w:pPr>
            <w:r w:rsidRPr="009941F8">
              <w:rPr>
                <w:rFonts w:ascii="Arial Narrow" w:hAnsi="Arial Narrow"/>
                <w:b/>
                <w:bCs/>
                <w:sz w:val="20"/>
                <w:szCs w:val="20"/>
              </w:rPr>
              <w:t>AND</w:t>
            </w:r>
          </w:p>
        </w:tc>
      </w:tr>
      <w:tr w:rsidR="00E96FF5" w:rsidRPr="009941F8" w14:paraId="61933E8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37B3F7" w14:textId="77777777" w:rsidR="006C13E2" w:rsidRPr="009941F8" w:rsidRDefault="006C13E2" w:rsidP="00460084">
            <w:pPr>
              <w:rPr>
                <w:rFonts w:ascii="Arial Narrow" w:hAnsi="Arial Narrow"/>
                <w:sz w:val="20"/>
                <w:szCs w:val="20"/>
                <w:highlight w:val="green"/>
              </w:rPr>
            </w:pPr>
            <w:r w:rsidRPr="009941F8">
              <w:rPr>
                <w:rFonts w:ascii="Arial Narrow" w:hAnsi="Arial Narrow"/>
                <w:b/>
                <w:bCs/>
                <w:sz w:val="20"/>
                <w:szCs w:val="20"/>
              </w:rPr>
              <w:t>Clinical criteria:</w:t>
            </w:r>
          </w:p>
        </w:tc>
      </w:tr>
      <w:tr w:rsidR="00E96FF5" w:rsidRPr="009941F8" w14:paraId="7BF2AC8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4A18E" w14:textId="77777777" w:rsidR="006C13E2" w:rsidRPr="009941F8" w:rsidRDefault="006C13E2" w:rsidP="00460084">
            <w:pPr>
              <w:rPr>
                <w:rFonts w:ascii="Arial Narrow" w:hAnsi="Arial Narrow"/>
                <w:sz w:val="20"/>
                <w:szCs w:val="20"/>
                <w:highlight w:val="green"/>
              </w:rPr>
            </w:pPr>
            <w:r w:rsidRPr="009941F8">
              <w:rPr>
                <w:rFonts w:ascii="Arial Narrow" w:hAnsi="Arial Narrow"/>
                <w:sz w:val="20"/>
                <w:szCs w:val="20"/>
              </w:rPr>
              <w:t xml:space="preserve">Patient must not have </w:t>
            </w:r>
            <w:r w:rsidRPr="009941F8">
              <w:rPr>
                <w:rFonts w:ascii="Arial Narrow" w:hAnsi="Arial Narrow"/>
                <w:i/>
                <w:iCs/>
                <w:sz w:val="20"/>
                <w:szCs w:val="20"/>
              </w:rPr>
              <w:t>either (i)</w:t>
            </w:r>
            <w:r w:rsidRPr="009941F8">
              <w:rPr>
                <w:rFonts w:ascii="Arial Narrow" w:hAnsi="Arial Narrow"/>
                <w:sz w:val="20"/>
                <w:szCs w:val="20"/>
              </w:rPr>
              <w:t xml:space="preserve"> severe active lupus nephritis </w:t>
            </w:r>
            <w:r w:rsidRPr="009941F8">
              <w:rPr>
                <w:rFonts w:ascii="Arial Narrow" w:hAnsi="Arial Narrow"/>
                <w:strike/>
                <w:sz w:val="20"/>
                <w:szCs w:val="20"/>
              </w:rPr>
              <w:t>or</w:t>
            </w:r>
            <w:r w:rsidRPr="009941F8">
              <w:rPr>
                <w:rFonts w:ascii="Arial Narrow" w:hAnsi="Arial Narrow"/>
                <w:sz w:val="20"/>
                <w:szCs w:val="20"/>
              </w:rPr>
              <w:t xml:space="preserve"> </w:t>
            </w:r>
            <w:r w:rsidRPr="009941F8">
              <w:rPr>
                <w:rFonts w:ascii="Arial Narrow" w:hAnsi="Arial Narrow"/>
                <w:i/>
                <w:iCs/>
                <w:sz w:val="20"/>
                <w:szCs w:val="20"/>
              </w:rPr>
              <w:t>(ii)</w:t>
            </w:r>
            <w:r w:rsidRPr="009941F8">
              <w:rPr>
                <w:rFonts w:ascii="Arial Narrow" w:hAnsi="Arial Narrow"/>
                <w:sz w:val="20"/>
                <w:szCs w:val="20"/>
              </w:rPr>
              <w:t xml:space="preserve"> severe active central nervous system systemic lupus erythematosus</w:t>
            </w:r>
          </w:p>
        </w:tc>
      </w:tr>
      <w:tr w:rsidR="00E96FF5" w:rsidRPr="009941F8" w14:paraId="3284083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723631"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Population criteria:</w:t>
            </w:r>
          </w:p>
        </w:tc>
      </w:tr>
      <w:tr w:rsidR="00E96FF5" w:rsidRPr="009941F8" w14:paraId="5130C11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8DDBD" w14:textId="77777777" w:rsidR="006C13E2" w:rsidRPr="009941F8" w:rsidRDefault="006C13E2" w:rsidP="00460084">
            <w:pPr>
              <w:rPr>
                <w:rFonts w:ascii="Arial Narrow" w:hAnsi="Arial Narrow"/>
                <w:sz w:val="20"/>
                <w:szCs w:val="20"/>
              </w:rPr>
            </w:pPr>
            <w:r w:rsidRPr="009941F8">
              <w:rPr>
                <w:rFonts w:ascii="Arial Narrow" w:hAnsi="Arial Narrow"/>
                <w:sz w:val="20"/>
                <w:szCs w:val="20"/>
              </w:rPr>
              <w:lastRenderedPageBreak/>
              <w:t>Patient must be aged 18 years or older.</w:t>
            </w:r>
          </w:p>
        </w:tc>
      </w:tr>
      <w:tr w:rsidR="00E96FF5" w:rsidRPr="009941F8" w14:paraId="40B68199" w14:textId="77777777" w:rsidTr="006C13E2">
        <w:trPr>
          <w:trHeight w:val="88"/>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9AA35F"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Prescribing Instructions:</w:t>
            </w:r>
          </w:p>
          <w:p w14:paraId="577A463B" w14:textId="77777777" w:rsidR="006C13E2" w:rsidRPr="009941F8" w:rsidRDefault="006C13E2" w:rsidP="00460084">
            <w:pPr>
              <w:rPr>
                <w:rFonts w:ascii="Arial Narrow" w:hAnsi="Arial Narrow"/>
                <w:sz w:val="20"/>
                <w:szCs w:val="20"/>
              </w:rPr>
            </w:pPr>
            <w:r w:rsidRPr="009941F8">
              <w:rPr>
                <w:rFonts w:ascii="Arial Narrow" w:hAnsi="Arial Narrow"/>
                <w:sz w:val="20"/>
                <w:szCs w:val="20"/>
              </w:rPr>
              <w:t xml:space="preserve">If prednisolone or equivalent is contraindicated according to the Therapeutic Goods Administration (TGA)-approved Product Information or cannot be tolerated at ≥ 7.5 mg per day, </w:t>
            </w:r>
            <w:r w:rsidRPr="009941F8">
              <w:rPr>
                <w:rFonts w:ascii="Arial Narrow" w:hAnsi="Arial Narrow"/>
                <w:i/>
                <w:iCs/>
                <w:sz w:val="20"/>
                <w:szCs w:val="20"/>
              </w:rPr>
              <w:t>the patient</w:t>
            </w:r>
            <w:r w:rsidRPr="009941F8">
              <w:rPr>
                <w:rFonts w:ascii="Arial Narrow" w:hAnsi="Arial Narrow"/>
                <w:sz w:val="20"/>
                <w:szCs w:val="20"/>
              </w:rPr>
              <w:t xml:space="preserve"> must </w:t>
            </w:r>
            <w:r w:rsidRPr="009941F8">
              <w:rPr>
                <w:rFonts w:ascii="Arial Narrow" w:hAnsi="Arial Narrow"/>
                <w:strike/>
                <w:sz w:val="20"/>
                <w:szCs w:val="20"/>
              </w:rPr>
              <w:t>include</w:t>
            </w:r>
            <w:r w:rsidRPr="009941F8">
              <w:rPr>
                <w:rFonts w:ascii="Arial Narrow" w:hAnsi="Arial Narrow"/>
                <w:sz w:val="20"/>
                <w:szCs w:val="20"/>
              </w:rPr>
              <w:t xml:space="preserve"> </w:t>
            </w:r>
            <w:r w:rsidRPr="009941F8">
              <w:rPr>
                <w:rFonts w:ascii="Arial Narrow" w:hAnsi="Arial Narrow"/>
                <w:i/>
                <w:iCs/>
                <w:sz w:val="20"/>
                <w:szCs w:val="20"/>
              </w:rPr>
              <w:t>have received</w:t>
            </w:r>
            <w:r w:rsidRPr="009941F8">
              <w:rPr>
                <w:rFonts w:ascii="Arial Narrow" w:hAnsi="Arial Narrow"/>
                <w:sz w:val="20"/>
                <w:szCs w:val="20"/>
              </w:rPr>
              <w:t xml:space="preserve"> at least 12 weeks of continuous treatment with </w:t>
            </w:r>
            <w:r w:rsidRPr="009941F8">
              <w:rPr>
                <w:rFonts w:ascii="Arial Narrow" w:hAnsi="Arial Narrow"/>
                <w:strike/>
                <w:sz w:val="20"/>
                <w:szCs w:val="20"/>
              </w:rPr>
              <w:t>each of</w:t>
            </w:r>
            <w:r w:rsidRPr="009941F8">
              <w:rPr>
                <w:rFonts w:ascii="Arial Narrow" w:hAnsi="Arial Narrow"/>
                <w:sz w:val="20"/>
                <w:szCs w:val="20"/>
              </w:rPr>
              <w:t xml:space="preserve"> at least 2 of the following: (i) hydroxychloroquine; </w:t>
            </w:r>
            <w:r w:rsidRPr="009941F8">
              <w:rPr>
                <w:rFonts w:ascii="Arial Narrow" w:hAnsi="Arial Narrow"/>
                <w:strike/>
                <w:sz w:val="20"/>
                <w:szCs w:val="20"/>
              </w:rPr>
              <w:t>AND</w:t>
            </w:r>
            <w:r w:rsidRPr="009941F8">
              <w:rPr>
                <w:rFonts w:ascii="Arial Narrow" w:hAnsi="Arial Narrow"/>
                <w:sz w:val="20"/>
                <w:szCs w:val="20"/>
              </w:rPr>
              <w:t xml:space="preserve"> (ii) methotrexate at a dose of at least 20 mg per week; </w:t>
            </w:r>
            <w:r w:rsidRPr="009941F8">
              <w:rPr>
                <w:rFonts w:ascii="Arial Narrow" w:hAnsi="Arial Narrow"/>
                <w:strike/>
                <w:sz w:val="20"/>
                <w:szCs w:val="20"/>
              </w:rPr>
              <w:t>or</w:t>
            </w:r>
            <w:r w:rsidRPr="009941F8">
              <w:rPr>
                <w:rFonts w:ascii="Arial Narrow" w:hAnsi="Arial Narrow"/>
                <w:sz w:val="20"/>
                <w:szCs w:val="20"/>
              </w:rPr>
              <w:t xml:space="preserve"> (iii) azathioprine at a dose of at least 100 mg per day; </w:t>
            </w:r>
            <w:r w:rsidRPr="009941F8">
              <w:rPr>
                <w:rFonts w:ascii="Arial Narrow" w:hAnsi="Arial Narrow"/>
                <w:strike/>
                <w:sz w:val="20"/>
                <w:szCs w:val="20"/>
              </w:rPr>
              <w:t>or</w:t>
            </w:r>
            <w:r w:rsidRPr="009941F8">
              <w:rPr>
                <w:rFonts w:ascii="Arial Narrow" w:hAnsi="Arial Narrow"/>
                <w:sz w:val="20"/>
                <w:szCs w:val="20"/>
              </w:rPr>
              <w:t xml:space="preserve"> (iv) mycophenolate at a dose of at least 1,000 mg per day;</w:t>
            </w:r>
          </w:p>
          <w:p w14:paraId="08E533A8" w14:textId="77777777" w:rsidR="006C13E2" w:rsidRPr="009941F8" w:rsidRDefault="006C13E2" w:rsidP="00460084">
            <w:pPr>
              <w:rPr>
                <w:rFonts w:ascii="Arial Narrow" w:hAnsi="Arial Narrow"/>
                <w:strike/>
                <w:sz w:val="20"/>
                <w:szCs w:val="20"/>
              </w:rPr>
            </w:pPr>
            <w:r w:rsidRPr="009941F8">
              <w:rPr>
                <w:rFonts w:ascii="Arial Narrow" w:hAnsi="Arial Narrow"/>
                <w:sz w:val="20"/>
                <w:szCs w:val="20"/>
              </w:rPr>
              <w:t xml:space="preserve"> </w:t>
            </w:r>
            <w:r w:rsidRPr="009941F8">
              <w:rPr>
                <w:rFonts w:ascii="Arial Narrow" w:hAnsi="Arial Narrow"/>
                <w:strike/>
                <w:sz w:val="20"/>
                <w:szCs w:val="20"/>
              </w:rPr>
              <w:t>OR</w:t>
            </w:r>
          </w:p>
          <w:p w14:paraId="5BFB6EEC" w14:textId="77777777" w:rsidR="006C13E2" w:rsidRPr="009941F8" w:rsidRDefault="006C13E2" w:rsidP="00460084">
            <w:pPr>
              <w:rPr>
                <w:rFonts w:ascii="Arial Narrow" w:hAnsi="Arial Narrow"/>
                <w:sz w:val="20"/>
                <w:szCs w:val="20"/>
              </w:rPr>
            </w:pPr>
            <w:r w:rsidRPr="009941F8">
              <w:rPr>
                <w:rFonts w:ascii="Arial Narrow" w:hAnsi="Arial Narrow"/>
                <w:sz w:val="20"/>
                <w:szCs w:val="20"/>
              </w:rPr>
              <w:t xml:space="preserve">Where two of: (i) hydroxychloroquine; </w:t>
            </w:r>
            <w:r w:rsidRPr="009941F8">
              <w:rPr>
                <w:rFonts w:ascii="Arial Narrow" w:hAnsi="Arial Narrow"/>
                <w:strike/>
                <w:sz w:val="20"/>
                <w:szCs w:val="20"/>
              </w:rPr>
              <w:t>AND</w:t>
            </w:r>
            <w:r w:rsidRPr="009941F8">
              <w:rPr>
                <w:rFonts w:ascii="Arial Narrow" w:hAnsi="Arial Narrow"/>
                <w:sz w:val="20"/>
                <w:szCs w:val="20"/>
              </w:rPr>
              <w:t xml:space="preserve"> (ii) methotrexate at a dose of at least 20 mg per week; </w:t>
            </w:r>
            <w:r w:rsidRPr="009941F8">
              <w:rPr>
                <w:rFonts w:ascii="Arial Narrow" w:hAnsi="Arial Narrow"/>
                <w:strike/>
                <w:sz w:val="20"/>
                <w:szCs w:val="20"/>
              </w:rPr>
              <w:t>or</w:t>
            </w:r>
            <w:r w:rsidRPr="009941F8">
              <w:rPr>
                <w:rFonts w:ascii="Arial Narrow" w:hAnsi="Arial Narrow"/>
                <w:sz w:val="20"/>
                <w:szCs w:val="20"/>
              </w:rPr>
              <w:t xml:space="preserve"> (iii) azathioprine at a dose of at least 100 mg per day; </w:t>
            </w:r>
            <w:r w:rsidRPr="009941F8">
              <w:rPr>
                <w:rFonts w:ascii="Arial Narrow" w:hAnsi="Arial Narrow"/>
                <w:strike/>
                <w:sz w:val="20"/>
                <w:szCs w:val="20"/>
              </w:rPr>
              <w:t>or</w:t>
            </w:r>
            <w:r w:rsidRPr="009941F8">
              <w:rPr>
                <w:rFonts w:ascii="Arial Narrow" w:hAnsi="Arial Narrow"/>
                <w:sz w:val="20"/>
                <w:szCs w:val="20"/>
              </w:rPr>
              <w:t xml:space="preserve"> (iv) mycophenolate at a dose of at least 1,000 mg per day, are either contraindicated according to the relevant TGA-approved Product Information or cannot be tolerated at the doses specified above in addition to having a contraindication or intolerance to prednisolone or equivalent: at least one of the remaining tolerated therap</w:t>
            </w:r>
            <w:r w:rsidRPr="009941F8">
              <w:rPr>
                <w:rFonts w:ascii="Arial Narrow" w:hAnsi="Arial Narrow"/>
                <w:strike/>
                <w:sz w:val="20"/>
                <w:szCs w:val="20"/>
              </w:rPr>
              <w:t>y</w:t>
            </w:r>
            <w:r w:rsidRPr="009941F8">
              <w:rPr>
                <w:rFonts w:ascii="Arial Narrow" w:hAnsi="Arial Narrow"/>
                <w:i/>
                <w:iCs/>
                <w:sz w:val="20"/>
                <w:szCs w:val="20"/>
              </w:rPr>
              <w:t>ies</w:t>
            </w:r>
            <w:r w:rsidRPr="009941F8">
              <w:rPr>
                <w:rFonts w:ascii="Arial Narrow" w:hAnsi="Arial Narrow"/>
                <w:sz w:val="20"/>
                <w:szCs w:val="20"/>
              </w:rPr>
              <w:t xml:space="preserve"> must be trialled at a minimum dose as mentioned above; </w:t>
            </w:r>
          </w:p>
          <w:p w14:paraId="57DB4B18" w14:textId="77777777" w:rsidR="006C13E2" w:rsidRPr="009941F8" w:rsidRDefault="006C13E2" w:rsidP="00460084">
            <w:pPr>
              <w:rPr>
                <w:rFonts w:ascii="Arial Narrow" w:hAnsi="Arial Narrow"/>
                <w:strike/>
                <w:sz w:val="20"/>
                <w:szCs w:val="20"/>
              </w:rPr>
            </w:pPr>
            <w:r w:rsidRPr="009941F8">
              <w:rPr>
                <w:rFonts w:ascii="Arial Narrow" w:hAnsi="Arial Narrow"/>
                <w:strike/>
                <w:sz w:val="20"/>
                <w:szCs w:val="20"/>
              </w:rPr>
              <w:t>OR</w:t>
            </w:r>
          </w:p>
          <w:p w14:paraId="12DCBF1F" w14:textId="77777777" w:rsidR="006C13E2" w:rsidRPr="009941F8" w:rsidRDefault="006C13E2" w:rsidP="00460084">
            <w:pPr>
              <w:rPr>
                <w:rFonts w:ascii="Arial Narrow" w:hAnsi="Arial Narrow"/>
                <w:b/>
                <w:bCs/>
                <w:sz w:val="20"/>
                <w:szCs w:val="20"/>
              </w:rPr>
            </w:pPr>
            <w:r w:rsidRPr="009941F8">
              <w:rPr>
                <w:rFonts w:ascii="Arial Narrow" w:hAnsi="Arial Narrow"/>
                <w:i/>
                <w:iCs/>
                <w:sz w:val="20"/>
                <w:szCs w:val="20"/>
              </w:rPr>
              <w:t>If the</w:t>
            </w:r>
            <w:r w:rsidRPr="009941F8">
              <w:rPr>
                <w:rFonts w:ascii="Arial Narrow" w:hAnsi="Arial Narrow"/>
                <w:sz w:val="20"/>
                <w:szCs w:val="20"/>
              </w:rPr>
              <w:t xml:space="preserve"> </w:t>
            </w:r>
            <w:r w:rsidRPr="009941F8">
              <w:rPr>
                <w:rFonts w:ascii="Arial Narrow" w:hAnsi="Arial Narrow"/>
                <w:strike/>
                <w:sz w:val="20"/>
                <w:szCs w:val="20"/>
              </w:rPr>
              <w:t>P</w:t>
            </w:r>
            <w:r w:rsidRPr="009941F8">
              <w:rPr>
                <w:rFonts w:ascii="Arial Narrow" w:hAnsi="Arial Narrow"/>
                <w:i/>
                <w:iCs/>
                <w:sz w:val="20"/>
                <w:szCs w:val="20"/>
              </w:rPr>
              <w:t>p</w:t>
            </w:r>
            <w:r w:rsidRPr="009941F8">
              <w:rPr>
                <w:rFonts w:ascii="Arial Narrow" w:hAnsi="Arial Narrow"/>
                <w:sz w:val="20"/>
                <w:szCs w:val="20"/>
              </w:rPr>
              <w:t xml:space="preserve">atient </w:t>
            </w:r>
            <w:r w:rsidRPr="009941F8">
              <w:rPr>
                <w:rFonts w:ascii="Arial Narrow" w:hAnsi="Arial Narrow"/>
                <w:strike/>
                <w:sz w:val="20"/>
                <w:szCs w:val="20"/>
              </w:rPr>
              <w:t>must have</w:t>
            </w:r>
            <w:r w:rsidRPr="009941F8">
              <w:rPr>
                <w:rFonts w:ascii="Arial Narrow" w:hAnsi="Arial Narrow"/>
                <w:sz w:val="20"/>
                <w:szCs w:val="20"/>
              </w:rPr>
              <w:t xml:space="preserve"> </w:t>
            </w:r>
            <w:r w:rsidRPr="009941F8">
              <w:rPr>
                <w:rFonts w:ascii="Arial Narrow" w:hAnsi="Arial Narrow"/>
                <w:i/>
                <w:iCs/>
                <w:sz w:val="20"/>
                <w:szCs w:val="20"/>
              </w:rPr>
              <w:t>has</w:t>
            </w:r>
            <w:r w:rsidRPr="009941F8">
              <w:rPr>
                <w:rFonts w:ascii="Arial Narrow" w:hAnsi="Arial Narrow"/>
                <w:sz w:val="20"/>
                <w:szCs w:val="20"/>
              </w:rPr>
              <w:t xml:space="preserve"> a contraindication/severe intolerance to each of: (i) prednisolone or equivalent ≥ 7.5 mg per day; (ii) hydroxychloroquine; (iii) methotrexate  at a dose of at least 20 mg per week; (iv) azathioprine at a dose of at least 100 mg per day; (v) mycophenolate at a dose of at least 1,000 mg per day; in such cases, provide details for each of the contraindications/severe intolerances claimed in the authority application</w:t>
            </w:r>
            <w:r w:rsidRPr="009941F8">
              <w:rPr>
                <w:rFonts w:ascii="Arial Narrow" w:hAnsi="Arial Narrow"/>
                <w:b/>
                <w:bCs/>
                <w:sz w:val="20"/>
                <w:szCs w:val="20"/>
              </w:rPr>
              <w:t>.</w:t>
            </w:r>
          </w:p>
          <w:p w14:paraId="399CD537" w14:textId="77777777" w:rsidR="006C13E2" w:rsidRPr="009941F8" w:rsidRDefault="006C13E2" w:rsidP="00460084">
            <w:pPr>
              <w:rPr>
                <w:rFonts w:ascii="Arial Narrow" w:hAnsi="Arial Narrow"/>
                <w:b/>
                <w:bCs/>
                <w:sz w:val="20"/>
                <w:szCs w:val="20"/>
              </w:rPr>
            </w:pPr>
          </w:p>
          <w:p w14:paraId="50AC675C" w14:textId="77777777" w:rsidR="006C13E2" w:rsidRPr="00512D20" w:rsidRDefault="006C13E2" w:rsidP="00460084">
            <w:pPr>
              <w:rPr>
                <w:rFonts w:ascii="Arial Narrow" w:hAnsi="Arial Narrow"/>
                <w:b/>
                <w:bCs/>
                <w:i/>
                <w:iCs/>
                <w:sz w:val="20"/>
                <w:szCs w:val="20"/>
              </w:rPr>
            </w:pPr>
            <w:r w:rsidRPr="00512D20">
              <w:rPr>
                <w:rFonts w:ascii="Arial Narrow" w:hAnsi="Arial Narrow"/>
                <w:b/>
                <w:bCs/>
                <w:i/>
                <w:iCs/>
                <w:sz w:val="20"/>
                <w:szCs w:val="20"/>
              </w:rPr>
              <w:t>Alternatively:</w:t>
            </w:r>
          </w:p>
          <w:p w14:paraId="01062019" w14:textId="77777777" w:rsidR="006C13E2" w:rsidRPr="009941F8" w:rsidRDefault="006C13E2" w:rsidP="00460084">
            <w:pPr>
              <w:rPr>
                <w:rFonts w:ascii="Arial Narrow" w:hAnsi="Arial Narrow"/>
                <w:sz w:val="20"/>
                <w:szCs w:val="20"/>
              </w:rPr>
            </w:pPr>
            <w:r w:rsidRPr="00512D20">
              <w:rPr>
                <w:rFonts w:ascii="Arial Narrow" w:hAnsi="Arial Narrow"/>
                <w:i/>
                <w:iCs/>
                <w:sz w:val="20"/>
                <w:szCs w:val="20"/>
              </w:rPr>
              <w:t>Prescribers should refer to the relevant TGA-approved product information for dosing schedules where there is a contraindication or severe intolerance.</w:t>
            </w:r>
          </w:p>
        </w:tc>
      </w:tr>
      <w:tr w:rsidR="00E96FF5" w:rsidRPr="009941F8" w14:paraId="7423DFB7" w14:textId="77777777" w:rsidTr="006C13E2">
        <w:trPr>
          <w:trHeight w:val="88"/>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90A876" w14:textId="77777777" w:rsidR="006C13E2" w:rsidRPr="009941F8" w:rsidRDefault="006C13E2" w:rsidP="00235D09">
            <w:pPr>
              <w:keepNext/>
              <w:rPr>
                <w:rFonts w:ascii="Arial Narrow" w:hAnsi="Arial Narrow"/>
                <w:b/>
                <w:bCs/>
                <w:sz w:val="20"/>
                <w:szCs w:val="20"/>
              </w:rPr>
            </w:pPr>
            <w:r w:rsidRPr="009941F8">
              <w:rPr>
                <w:rFonts w:ascii="Arial Narrow" w:hAnsi="Arial Narrow"/>
                <w:b/>
                <w:bCs/>
                <w:sz w:val="20"/>
                <w:szCs w:val="20"/>
              </w:rPr>
              <w:t>Prescribing Instructions:</w:t>
            </w:r>
          </w:p>
          <w:p w14:paraId="0C9B76A2" w14:textId="77777777" w:rsidR="006C13E2" w:rsidRPr="009941F8" w:rsidRDefault="006C13E2" w:rsidP="00235D09">
            <w:pPr>
              <w:keepNext/>
              <w:rPr>
                <w:rFonts w:ascii="Arial Narrow" w:hAnsi="Arial Narrow"/>
                <w:sz w:val="20"/>
                <w:szCs w:val="20"/>
              </w:rPr>
            </w:pPr>
            <w:r w:rsidRPr="009941F8">
              <w:rPr>
                <w:rFonts w:ascii="Arial Narrow" w:hAnsi="Arial Narrow"/>
                <w:sz w:val="20"/>
                <w:szCs w:val="20"/>
              </w:rPr>
              <w:t>The authority application must be made via the Online PBS Authorities (real time assessment), or in writing via HPOS form upload or mail and must include:</w:t>
            </w:r>
          </w:p>
          <w:p w14:paraId="4322EE6E" w14:textId="77777777" w:rsidR="006C13E2" w:rsidRPr="009941F8" w:rsidRDefault="006C13E2" w:rsidP="00460084">
            <w:pPr>
              <w:rPr>
                <w:rFonts w:ascii="Arial Narrow" w:hAnsi="Arial Narrow"/>
                <w:sz w:val="20"/>
                <w:szCs w:val="20"/>
              </w:rPr>
            </w:pPr>
            <w:bookmarkStart w:id="14" w:name="_Hlk162249109"/>
          </w:p>
          <w:p w14:paraId="2E21DA0A" w14:textId="77777777" w:rsidR="006C13E2" w:rsidRPr="009941F8" w:rsidRDefault="006C13E2" w:rsidP="009E284F">
            <w:pPr>
              <w:pStyle w:val="ListParagraph"/>
              <w:numPr>
                <w:ilvl w:val="0"/>
                <w:numId w:val="21"/>
              </w:numPr>
              <w:spacing w:after="0"/>
              <w:ind w:left="272" w:hanging="272"/>
              <w:contextualSpacing/>
              <w:jc w:val="left"/>
              <w:rPr>
                <w:rFonts w:ascii="Arial Narrow" w:hAnsi="Arial Narrow"/>
                <w:sz w:val="20"/>
                <w:szCs w:val="20"/>
              </w:rPr>
            </w:pPr>
            <w:r w:rsidRPr="009941F8">
              <w:rPr>
                <w:rFonts w:ascii="Arial Narrow" w:hAnsi="Arial Narrow"/>
                <w:sz w:val="20"/>
                <w:szCs w:val="20"/>
              </w:rPr>
              <w:t>details of the ACR/EULAR SLE Classification Criteria 2019 confirming diagnosis of SLE</w:t>
            </w:r>
          </w:p>
          <w:p w14:paraId="63B67092" w14:textId="77777777" w:rsidR="006C13E2" w:rsidRPr="009941F8" w:rsidRDefault="006C13E2" w:rsidP="009E284F">
            <w:pPr>
              <w:pStyle w:val="ListParagraph"/>
              <w:numPr>
                <w:ilvl w:val="0"/>
                <w:numId w:val="21"/>
              </w:numPr>
              <w:spacing w:after="0"/>
              <w:ind w:left="272" w:hanging="272"/>
              <w:contextualSpacing/>
              <w:jc w:val="left"/>
              <w:rPr>
                <w:rFonts w:ascii="Arial Narrow" w:hAnsi="Arial Narrow"/>
                <w:sz w:val="20"/>
                <w:szCs w:val="20"/>
              </w:rPr>
            </w:pPr>
            <w:r w:rsidRPr="009941F8">
              <w:rPr>
                <w:rFonts w:ascii="Arial Narrow" w:hAnsi="Arial Narrow"/>
                <w:sz w:val="20"/>
                <w:szCs w:val="20"/>
              </w:rPr>
              <w:t>details (date and score) of the completed SLEDAI-2K score sheet</w:t>
            </w:r>
          </w:p>
          <w:p w14:paraId="6909810E" w14:textId="77777777" w:rsidR="006C13E2" w:rsidRPr="009941F8" w:rsidRDefault="006C13E2" w:rsidP="009E284F">
            <w:pPr>
              <w:pStyle w:val="ListParagraph"/>
              <w:numPr>
                <w:ilvl w:val="0"/>
                <w:numId w:val="21"/>
              </w:numPr>
              <w:spacing w:after="0"/>
              <w:ind w:left="272" w:hanging="272"/>
              <w:contextualSpacing/>
              <w:jc w:val="left"/>
              <w:rPr>
                <w:rFonts w:ascii="Arial Narrow" w:hAnsi="Arial Narrow"/>
                <w:sz w:val="20"/>
                <w:szCs w:val="20"/>
              </w:rPr>
            </w:pPr>
            <w:r w:rsidRPr="009941F8">
              <w:rPr>
                <w:rFonts w:ascii="Arial Narrow" w:hAnsi="Arial Narrow"/>
                <w:sz w:val="20"/>
                <w:szCs w:val="20"/>
              </w:rPr>
              <w:t xml:space="preserve">details of current systemic therapy used (dosage, date of commencement and duration of therapy </w:t>
            </w:r>
            <w:r w:rsidRPr="009941F8">
              <w:rPr>
                <w:rFonts w:ascii="Arial Narrow" w:hAnsi="Arial Narrow"/>
                <w:strike/>
                <w:sz w:val="20"/>
                <w:szCs w:val="20"/>
              </w:rPr>
              <w:t xml:space="preserve">or </w:t>
            </w:r>
          </w:p>
          <w:p w14:paraId="2CA8E522" w14:textId="1649CBB8" w:rsidR="006C13E2" w:rsidRPr="009941F8" w:rsidRDefault="006C13E2" w:rsidP="009E284F">
            <w:pPr>
              <w:pStyle w:val="ListParagraph"/>
              <w:numPr>
                <w:ilvl w:val="0"/>
                <w:numId w:val="21"/>
              </w:numPr>
              <w:spacing w:after="0"/>
              <w:ind w:left="272" w:hanging="272"/>
              <w:contextualSpacing/>
              <w:jc w:val="left"/>
              <w:rPr>
                <w:rFonts w:ascii="Arial Narrow" w:hAnsi="Arial Narrow"/>
                <w:sz w:val="20"/>
                <w:szCs w:val="20"/>
              </w:rPr>
            </w:pPr>
            <w:r w:rsidRPr="009941F8">
              <w:rPr>
                <w:rFonts w:ascii="Arial Narrow" w:hAnsi="Arial Narrow"/>
                <w:sz w:val="20"/>
                <w:szCs w:val="20"/>
              </w:rPr>
              <w:t xml:space="preserve">details </w:t>
            </w:r>
            <w:r w:rsidRPr="00512D20">
              <w:rPr>
                <w:rFonts w:ascii="Arial Narrow" w:hAnsi="Arial Narrow"/>
                <w:sz w:val="20"/>
                <w:szCs w:val="20"/>
              </w:rPr>
              <w:t xml:space="preserve">of contraindication/intolerances </w:t>
            </w:r>
            <w:r w:rsidRPr="009941F8">
              <w:rPr>
                <w:rFonts w:ascii="Arial Narrow" w:hAnsi="Arial Narrow"/>
                <w:sz w:val="20"/>
                <w:szCs w:val="20"/>
              </w:rPr>
              <w:t xml:space="preserve">to prior therapies </w:t>
            </w:r>
            <w:r w:rsidRPr="009941F8">
              <w:rPr>
                <w:rFonts w:ascii="Arial Narrow" w:hAnsi="Arial Narrow"/>
                <w:strike/>
                <w:sz w:val="20"/>
                <w:szCs w:val="20"/>
              </w:rPr>
              <w:t>including</w:t>
            </w:r>
            <w:r w:rsidRPr="009941F8">
              <w:rPr>
                <w:rFonts w:ascii="Arial Narrow" w:hAnsi="Arial Narrow"/>
                <w:sz w:val="20"/>
                <w:szCs w:val="20"/>
              </w:rPr>
              <w:t xml:space="preserve"> </w:t>
            </w:r>
            <w:r w:rsidRPr="009941F8">
              <w:rPr>
                <w:rFonts w:ascii="Arial Narrow" w:hAnsi="Arial Narrow"/>
                <w:i/>
                <w:iCs/>
                <w:sz w:val="20"/>
                <w:szCs w:val="20"/>
              </w:rPr>
              <w:t>(</w:t>
            </w:r>
            <w:r w:rsidRPr="009941F8">
              <w:rPr>
                <w:rFonts w:ascii="Arial Narrow" w:hAnsi="Arial Narrow"/>
                <w:sz w:val="20"/>
                <w:szCs w:val="20"/>
              </w:rPr>
              <w:t>drug name, the degree of toxicity and dose)</w:t>
            </w:r>
            <w:r w:rsidR="009941F8">
              <w:rPr>
                <w:rFonts w:ascii="Arial Narrow" w:hAnsi="Arial Narrow"/>
                <w:sz w:val="20"/>
                <w:szCs w:val="20"/>
              </w:rPr>
              <w:t xml:space="preserve">. </w:t>
            </w:r>
            <w:r w:rsidRPr="009941F8">
              <w:rPr>
                <w:rFonts w:ascii="Arial Narrow" w:hAnsi="Arial Narrow"/>
                <w:sz w:val="20"/>
                <w:szCs w:val="20"/>
              </w:rPr>
              <w:t xml:space="preserve"> </w:t>
            </w:r>
          </w:p>
          <w:p w14:paraId="666B042B" w14:textId="77777777" w:rsidR="006C13E2" w:rsidRPr="009941F8" w:rsidRDefault="006C13E2" w:rsidP="00460084">
            <w:pPr>
              <w:rPr>
                <w:rFonts w:ascii="Arial Narrow" w:hAnsi="Arial Narrow"/>
                <w:sz w:val="20"/>
                <w:szCs w:val="20"/>
              </w:rPr>
            </w:pPr>
          </w:p>
          <w:p w14:paraId="328BD604" w14:textId="77777777" w:rsidR="006C13E2" w:rsidRPr="009941F8" w:rsidRDefault="006C13E2" w:rsidP="00460084">
            <w:pPr>
              <w:rPr>
                <w:rFonts w:ascii="Arial Narrow" w:hAnsi="Arial Narrow"/>
                <w:sz w:val="20"/>
                <w:szCs w:val="20"/>
              </w:rPr>
            </w:pPr>
            <w:r w:rsidRPr="009941F8">
              <w:rPr>
                <w:rFonts w:ascii="Arial Narrow" w:hAnsi="Arial Narrow"/>
                <w:sz w:val="20"/>
                <w:szCs w:val="20"/>
              </w:rPr>
              <w:t>All the reports must be documented in the patient’s medical records.</w:t>
            </w:r>
          </w:p>
          <w:bookmarkEnd w:id="14"/>
          <w:p w14:paraId="399E1C9D" w14:textId="77777777" w:rsidR="006C13E2" w:rsidRPr="009941F8" w:rsidRDefault="006C13E2" w:rsidP="00460084">
            <w:pPr>
              <w:rPr>
                <w:rFonts w:ascii="Arial Narrow" w:hAnsi="Arial Narrow"/>
                <w:sz w:val="20"/>
                <w:szCs w:val="20"/>
              </w:rPr>
            </w:pPr>
          </w:p>
          <w:p w14:paraId="01BC7F9E" w14:textId="77777777" w:rsidR="006C13E2" w:rsidRPr="009941F8" w:rsidRDefault="006C13E2" w:rsidP="00460084">
            <w:pPr>
              <w:rPr>
                <w:rFonts w:ascii="Arial Narrow" w:hAnsi="Arial Narrow"/>
                <w:b/>
                <w:bCs/>
                <w:sz w:val="20"/>
                <w:szCs w:val="20"/>
              </w:rPr>
            </w:pPr>
            <w:r w:rsidRPr="009941F8">
              <w:rPr>
                <w:rFonts w:ascii="Arial Narrow" w:hAnsi="Arial Narrow"/>
                <w:sz w:val="20"/>
                <w:szCs w:val="20"/>
              </w:rPr>
              <w:t>The name of the specialist consulted must be provided at the time of application for initial supply.</w:t>
            </w:r>
          </w:p>
        </w:tc>
      </w:tr>
      <w:tr w:rsidR="00E96FF5" w:rsidRPr="009941F8" w14:paraId="561FDA54" w14:textId="77777777" w:rsidTr="006C13E2">
        <w:trPr>
          <w:trHeight w:val="1084"/>
        </w:trPr>
        <w:tc>
          <w:tcPr>
            <w:tcW w:w="5000" w:type="pct"/>
            <w:tcBorders>
              <w:top w:val="single" w:sz="4" w:space="0" w:color="auto"/>
              <w:left w:val="single" w:sz="4" w:space="0" w:color="auto"/>
              <w:bottom w:val="nil"/>
              <w:right w:val="single" w:sz="4" w:space="0" w:color="auto"/>
            </w:tcBorders>
            <w:tcMar>
              <w:top w:w="15" w:type="dxa"/>
              <w:left w:w="15" w:type="dxa"/>
              <w:bottom w:w="15" w:type="dxa"/>
              <w:right w:w="15" w:type="dxa"/>
            </w:tcMar>
            <w:vAlign w:val="center"/>
          </w:tcPr>
          <w:p w14:paraId="2351521B" w14:textId="77777777" w:rsidR="006C13E2" w:rsidRPr="009941F8" w:rsidRDefault="006C13E2" w:rsidP="00460084">
            <w:pPr>
              <w:contextualSpacing/>
              <w:rPr>
                <w:rFonts w:ascii="Arial Narrow" w:hAnsi="Arial Narrow"/>
                <w:b/>
                <w:bCs/>
                <w:sz w:val="20"/>
                <w:szCs w:val="20"/>
              </w:rPr>
            </w:pPr>
            <w:r w:rsidRPr="009941F8">
              <w:rPr>
                <w:rFonts w:ascii="Arial Narrow" w:hAnsi="Arial Narrow"/>
                <w:b/>
                <w:bCs/>
                <w:sz w:val="20"/>
                <w:szCs w:val="20"/>
              </w:rPr>
              <w:t>Prescribing Instructions:</w:t>
            </w:r>
          </w:p>
          <w:p w14:paraId="01C79F18" w14:textId="77777777" w:rsidR="006C13E2" w:rsidRPr="009941F8" w:rsidRDefault="006C13E2" w:rsidP="00460084">
            <w:pPr>
              <w:contextualSpacing/>
              <w:rPr>
                <w:rFonts w:ascii="Arial Narrow" w:hAnsi="Arial Narrow"/>
                <w:sz w:val="20"/>
                <w:szCs w:val="20"/>
              </w:rPr>
            </w:pPr>
            <w:r w:rsidRPr="009941F8">
              <w:rPr>
                <w:rFonts w:ascii="Arial Narrow" w:hAnsi="Arial Narrow"/>
                <w:sz w:val="20"/>
                <w:szCs w:val="20"/>
              </w:rPr>
              <w:t>If the application is submitted through HPOS form upload or mail, it must include:</w:t>
            </w:r>
          </w:p>
          <w:p w14:paraId="622F018E" w14:textId="77777777" w:rsidR="006C13E2" w:rsidRPr="009941F8" w:rsidRDefault="006C13E2" w:rsidP="00460084">
            <w:pPr>
              <w:contextualSpacing/>
              <w:rPr>
                <w:rFonts w:ascii="Arial Narrow" w:hAnsi="Arial Narrow"/>
                <w:sz w:val="20"/>
                <w:szCs w:val="20"/>
              </w:rPr>
            </w:pPr>
          </w:p>
          <w:p w14:paraId="405B9A60" w14:textId="77777777" w:rsidR="006C13E2" w:rsidRPr="009941F8" w:rsidRDefault="006C13E2" w:rsidP="009E284F">
            <w:pPr>
              <w:pStyle w:val="ListParagraph"/>
              <w:numPr>
                <w:ilvl w:val="0"/>
                <w:numId w:val="22"/>
              </w:numPr>
              <w:spacing w:after="0"/>
              <w:ind w:left="268" w:hanging="268"/>
              <w:contextualSpacing/>
              <w:jc w:val="left"/>
              <w:rPr>
                <w:rFonts w:ascii="Arial Narrow" w:hAnsi="Arial Narrow"/>
                <w:sz w:val="20"/>
                <w:szCs w:val="20"/>
              </w:rPr>
            </w:pPr>
            <w:r w:rsidRPr="009941F8">
              <w:rPr>
                <w:rFonts w:ascii="Arial Narrow" w:hAnsi="Arial Narrow"/>
                <w:sz w:val="20"/>
                <w:szCs w:val="20"/>
              </w:rPr>
              <w:t>a completed authority prescription form; and</w:t>
            </w:r>
          </w:p>
          <w:p w14:paraId="153E3409" w14:textId="77777777" w:rsidR="006C13E2" w:rsidRPr="009941F8" w:rsidRDefault="006C13E2" w:rsidP="009E284F">
            <w:pPr>
              <w:pStyle w:val="ListParagraph"/>
              <w:numPr>
                <w:ilvl w:val="0"/>
                <w:numId w:val="22"/>
              </w:numPr>
              <w:spacing w:after="0"/>
              <w:ind w:left="268" w:hanging="268"/>
              <w:contextualSpacing/>
              <w:jc w:val="left"/>
              <w:rPr>
                <w:rFonts w:ascii="Arial Narrow" w:hAnsi="Arial Narrow"/>
                <w:i/>
                <w:iCs/>
                <w:sz w:val="20"/>
                <w:szCs w:val="20"/>
              </w:rPr>
            </w:pPr>
            <w:r w:rsidRPr="009941F8">
              <w:rPr>
                <w:rFonts w:ascii="Arial Narrow" w:hAnsi="Arial Narrow"/>
                <w:sz w:val="20"/>
                <w:szCs w:val="20"/>
              </w:rPr>
              <w:t>a completed authority application form relevant to the indication and treatment phase (the latest version is located on the website specified in the Administrative Advice)</w:t>
            </w:r>
            <w:r w:rsidRPr="009941F8">
              <w:rPr>
                <w:rFonts w:ascii="Arial Narrow" w:hAnsi="Arial Narrow"/>
                <w:i/>
                <w:iCs/>
                <w:sz w:val="20"/>
                <w:szCs w:val="20"/>
              </w:rPr>
              <w:t xml:space="preserve"> </w:t>
            </w:r>
          </w:p>
        </w:tc>
      </w:tr>
      <w:tr w:rsidR="00E96FF5" w:rsidRPr="009941F8" w14:paraId="6F2C98C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34B3CB" w14:textId="77777777" w:rsidR="006C13E2" w:rsidRPr="009941F8" w:rsidRDefault="006C13E2" w:rsidP="00460084">
            <w:pPr>
              <w:rPr>
                <w:rFonts w:ascii="Arial Narrow" w:hAnsi="Arial Narrow"/>
                <w:iCs/>
                <w:strike/>
                <w:sz w:val="20"/>
                <w:szCs w:val="20"/>
                <w:lang w:eastAsia="en-US"/>
              </w:rPr>
            </w:pPr>
            <w:r w:rsidRPr="009941F8">
              <w:rPr>
                <w:rFonts w:ascii="Arial Narrow" w:hAnsi="Arial Narrow"/>
                <w:b/>
                <w:bCs/>
                <w:strike/>
                <w:sz w:val="20"/>
                <w:szCs w:val="20"/>
              </w:rPr>
              <w:t>Prescribing Instructions:</w:t>
            </w:r>
          </w:p>
          <w:p w14:paraId="53E25B92" w14:textId="77777777" w:rsidR="006C13E2" w:rsidRPr="009941F8" w:rsidRDefault="006C13E2" w:rsidP="00460084">
            <w:pPr>
              <w:rPr>
                <w:rFonts w:ascii="Arial Narrow" w:hAnsi="Arial Narrow"/>
                <w:iCs/>
                <w:strike/>
                <w:sz w:val="20"/>
                <w:szCs w:val="20"/>
              </w:rPr>
            </w:pPr>
            <w:r w:rsidRPr="009941F8">
              <w:rPr>
                <w:rFonts w:ascii="Arial Narrow" w:hAnsi="Arial Narrow"/>
                <w:iCs/>
                <w:strike/>
                <w:sz w:val="20"/>
                <w:szCs w:val="20"/>
              </w:rPr>
              <w:t>History of systemic lupus erythematosus medication therapy should be based on documented use of treatment prescribed by a physician.</w:t>
            </w:r>
          </w:p>
          <w:p w14:paraId="2DDFCE60" w14:textId="77777777" w:rsidR="006C13E2" w:rsidRPr="009941F8" w:rsidRDefault="006C13E2" w:rsidP="00460084">
            <w:pPr>
              <w:rPr>
                <w:rFonts w:ascii="Arial Narrow" w:hAnsi="Arial Narrow"/>
                <w:iCs/>
                <w:strike/>
                <w:sz w:val="20"/>
                <w:szCs w:val="20"/>
              </w:rPr>
            </w:pPr>
          </w:p>
          <w:p w14:paraId="7DFD06A6" w14:textId="77777777" w:rsidR="006C13E2" w:rsidRPr="009941F8" w:rsidRDefault="006C13E2" w:rsidP="00460084">
            <w:pPr>
              <w:rPr>
                <w:rFonts w:ascii="Arial Narrow" w:hAnsi="Arial Narrow"/>
                <w:iCs/>
                <w:strike/>
                <w:sz w:val="20"/>
                <w:szCs w:val="20"/>
              </w:rPr>
            </w:pPr>
            <w:r w:rsidRPr="009941F8">
              <w:rPr>
                <w:rFonts w:ascii="Arial Narrow" w:hAnsi="Arial Narrow"/>
                <w:iCs/>
                <w:strike/>
                <w:sz w:val="20"/>
                <w:szCs w:val="20"/>
              </w:rPr>
              <w:t>Standard of care for this condition is a combination of an antimalarial medicine, a corticosteroid (at least 7.5 mg per day prednisolone or equivalent) and a systemic immunosuppressive medicine.</w:t>
            </w:r>
          </w:p>
          <w:p w14:paraId="6EF4FCF9" w14:textId="77777777" w:rsidR="006C13E2" w:rsidRPr="009941F8" w:rsidRDefault="006C13E2" w:rsidP="00460084">
            <w:pPr>
              <w:rPr>
                <w:rFonts w:ascii="Arial Narrow" w:hAnsi="Arial Narrow"/>
                <w:iCs/>
                <w:strike/>
                <w:sz w:val="20"/>
                <w:szCs w:val="20"/>
              </w:rPr>
            </w:pPr>
          </w:p>
          <w:p w14:paraId="4799C13C" w14:textId="77777777" w:rsidR="006C13E2" w:rsidRPr="009941F8" w:rsidRDefault="006C13E2" w:rsidP="00460084">
            <w:pPr>
              <w:rPr>
                <w:rFonts w:ascii="Arial Narrow" w:hAnsi="Arial Narrow"/>
                <w:iCs/>
                <w:strike/>
                <w:sz w:val="20"/>
                <w:szCs w:val="20"/>
              </w:rPr>
            </w:pPr>
            <w:r w:rsidRPr="009941F8">
              <w:rPr>
                <w:rFonts w:ascii="Arial Narrow" w:hAnsi="Arial Narrow"/>
                <w:iCs/>
                <w:strike/>
                <w:sz w:val="20"/>
                <w:szCs w:val="20"/>
              </w:rPr>
              <w:t>Where intolerance to standard of care of a severity necessitating permanent treatment withdrawal has occurred or is expected to occur, details of the degree of this toxicity must be provided at the time of application.</w:t>
            </w:r>
          </w:p>
          <w:p w14:paraId="70970079" w14:textId="77777777" w:rsidR="006C13E2" w:rsidRPr="009941F8" w:rsidRDefault="006C13E2" w:rsidP="00460084">
            <w:pPr>
              <w:rPr>
                <w:rFonts w:ascii="Arial Narrow" w:hAnsi="Arial Narrow"/>
                <w:iCs/>
                <w:strike/>
                <w:sz w:val="20"/>
                <w:szCs w:val="20"/>
              </w:rPr>
            </w:pPr>
          </w:p>
          <w:p w14:paraId="6BFA0E73" w14:textId="77777777" w:rsidR="006C13E2" w:rsidRPr="009941F8" w:rsidRDefault="006C13E2" w:rsidP="00460084">
            <w:pPr>
              <w:rPr>
                <w:rFonts w:ascii="Arial Narrow" w:hAnsi="Arial Narrow"/>
                <w:iCs/>
                <w:sz w:val="20"/>
                <w:szCs w:val="20"/>
              </w:rPr>
            </w:pPr>
            <w:r w:rsidRPr="009941F8">
              <w:rPr>
                <w:rFonts w:ascii="Arial Narrow" w:hAnsi="Arial Narrow"/>
                <w:iCs/>
                <w:strike/>
                <w:sz w:val="20"/>
                <w:szCs w:val="20"/>
              </w:rPr>
              <w:t>If treatment with standard of care therapy is contraindicated according to the relevant TGA approved Product Information, details of the contraindication must be provided at the time of application.</w:t>
            </w:r>
          </w:p>
        </w:tc>
      </w:tr>
      <w:tr w:rsidR="00E96FF5" w:rsidRPr="009941F8" w14:paraId="5FB09CA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B1DAE5" w14:textId="77777777" w:rsidR="006C13E2" w:rsidRPr="009941F8" w:rsidRDefault="006C13E2" w:rsidP="00460084">
            <w:pPr>
              <w:rPr>
                <w:rFonts w:ascii="Arial Narrow" w:hAnsi="Arial Narrow"/>
                <w:b/>
                <w:bCs/>
                <w:iCs/>
                <w:sz w:val="20"/>
                <w:szCs w:val="20"/>
              </w:rPr>
            </w:pPr>
            <w:r w:rsidRPr="009941F8">
              <w:rPr>
                <w:rFonts w:ascii="Arial Narrow" w:hAnsi="Arial Narrow"/>
                <w:b/>
                <w:bCs/>
                <w:iCs/>
                <w:sz w:val="20"/>
                <w:szCs w:val="20"/>
              </w:rPr>
              <w:t>Administrative Advice:</w:t>
            </w:r>
          </w:p>
          <w:p w14:paraId="0D276906"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lastRenderedPageBreak/>
              <w:t>SLEDAI-2K can be accessed via Gladman 2002 J. Rheumatol. 29 (2) 288-291 or from AstraZeneca Medical Information on 1800 805 342.</w:t>
            </w:r>
          </w:p>
        </w:tc>
      </w:tr>
      <w:tr w:rsidR="00E96FF5" w:rsidRPr="009941F8" w14:paraId="263AF55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65AEA9" w14:textId="77777777" w:rsidR="006C13E2" w:rsidRPr="009941F8" w:rsidRDefault="006C13E2" w:rsidP="00460084">
            <w:pPr>
              <w:rPr>
                <w:rFonts w:ascii="Arial Narrow" w:hAnsi="Arial Narrow"/>
                <w:iCs/>
                <w:sz w:val="20"/>
                <w:szCs w:val="20"/>
              </w:rPr>
            </w:pPr>
            <w:r w:rsidRPr="009941F8">
              <w:rPr>
                <w:rFonts w:ascii="Arial Narrow" w:hAnsi="Arial Narrow"/>
                <w:b/>
                <w:bCs/>
                <w:iCs/>
                <w:sz w:val="20"/>
                <w:szCs w:val="20"/>
              </w:rPr>
              <w:lastRenderedPageBreak/>
              <w:t>Administrative Advice:</w:t>
            </w:r>
          </w:p>
          <w:p w14:paraId="75EA6D32"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Any queries concerning the arrangements to prescribe may be directed to the Services Australia on 1800 700 270 (hours of operation 8 a.m. to 5 p.m. Monday to Friday).</w:t>
            </w:r>
          </w:p>
          <w:p w14:paraId="3D6C1545"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 </w:t>
            </w:r>
          </w:p>
          <w:p w14:paraId="7678C683"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Prescribing information (including Authority Application forms and other relevant documentation as applicable) is available on the Services Australia website at </w:t>
            </w:r>
            <w:hyperlink r:id="rId8" w:history="1">
              <w:r w:rsidRPr="009941F8">
                <w:rPr>
                  <w:rStyle w:val="Hyperlink"/>
                  <w:rFonts w:ascii="Arial Narrow" w:hAnsi="Arial Narrow"/>
                  <w:iCs/>
                  <w:sz w:val="20"/>
                  <w:szCs w:val="20"/>
                </w:rPr>
                <w:t>servicesaustralia.gov.au</w:t>
              </w:r>
            </w:hyperlink>
          </w:p>
          <w:p w14:paraId="1264969D" w14:textId="77777777" w:rsidR="006C13E2" w:rsidRPr="009941F8" w:rsidRDefault="006C13E2" w:rsidP="00460084">
            <w:pPr>
              <w:rPr>
                <w:rFonts w:ascii="Arial Narrow" w:hAnsi="Arial Narrow"/>
                <w:iCs/>
                <w:sz w:val="20"/>
                <w:szCs w:val="20"/>
              </w:rPr>
            </w:pPr>
          </w:p>
          <w:p w14:paraId="37F2C4CD" w14:textId="77777777" w:rsidR="006C13E2" w:rsidRPr="009941F8" w:rsidRDefault="006C13E2" w:rsidP="00460084">
            <w:pPr>
              <w:textAlignment w:val="baseline"/>
              <w:rPr>
                <w:rFonts w:ascii="Arial Narrow" w:hAnsi="Arial Narrow" w:cstheme="minorHAnsi"/>
                <w:iCs/>
                <w:color w:val="333333"/>
                <w:sz w:val="20"/>
                <w:szCs w:val="20"/>
              </w:rPr>
            </w:pPr>
            <w:r w:rsidRPr="009941F8">
              <w:rPr>
                <w:rFonts w:ascii="Arial Narrow" w:hAnsi="Arial Narrow" w:cstheme="minorHAnsi"/>
                <w:iCs/>
                <w:color w:val="333333"/>
                <w:sz w:val="20"/>
                <w:szCs w:val="20"/>
              </w:rPr>
              <w:t xml:space="preserve">Applications for authorisation under this restriction should be made in real time using the Online PBS Authorities system (see </w:t>
            </w:r>
            <w:hyperlink r:id="rId9" w:history="1">
              <w:r w:rsidRPr="009941F8">
                <w:rPr>
                  <w:rStyle w:val="Hyperlink"/>
                  <w:rFonts w:ascii="Arial Narrow" w:hAnsi="Arial Narrow" w:cstheme="minorHAnsi"/>
                  <w:iCs/>
                  <w:sz w:val="20"/>
                  <w:szCs w:val="20"/>
                </w:rPr>
                <w:t>www.servicesaustralia.gov.au</w:t>
              </w:r>
            </w:hyperlink>
            <w:r w:rsidRPr="009941F8">
              <w:rPr>
                <w:rFonts w:ascii="Arial Narrow" w:hAnsi="Arial Narrow" w:cstheme="minorHAnsi"/>
                <w:iCs/>
                <w:color w:val="333333"/>
                <w:sz w:val="20"/>
                <w:szCs w:val="20"/>
              </w:rPr>
              <w:t>/hpos)</w:t>
            </w:r>
          </w:p>
          <w:p w14:paraId="7774B60D" w14:textId="77777777" w:rsidR="006C13E2" w:rsidRPr="009941F8" w:rsidRDefault="006C13E2" w:rsidP="00460084">
            <w:pPr>
              <w:rPr>
                <w:rFonts w:ascii="Arial Narrow" w:hAnsi="Arial Narrow" w:cs="Times New Roman"/>
                <w:iCs/>
                <w:sz w:val="20"/>
                <w:szCs w:val="20"/>
              </w:rPr>
            </w:pPr>
          </w:p>
          <w:p w14:paraId="5378F8CC"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Alternatively, applications for authority to prescribe can be submitted online using the form upload facility in Health Professional Online Services (HPOS)</w:t>
            </w:r>
            <w:r w:rsidRPr="009941F8">
              <w:rPr>
                <w:rFonts w:ascii="Arial Narrow" w:hAnsi="Arial Narrow"/>
                <w:bCs/>
                <w:iCs/>
                <w:sz w:val="20"/>
                <w:szCs w:val="20"/>
              </w:rPr>
              <w:t xml:space="preserve"> at www.servicesaustralia.gov.au/hpos </w:t>
            </w:r>
          </w:p>
          <w:p w14:paraId="62ED8F7C" w14:textId="77777777" w:rsidR="006C13E2" w:rsidRPr="009941F8" w:rsidRDefault="006C13E2" w:rsidP="00460084">
            <w:pPr>
              <w:rPr>
                <w:rFonts w:ascii="Arial Narrow" w:hAnsi="Arial Narrow"/>
                <w:iCs/>
                <w:sz w:val="20"/>
                <w:szCs w:val="20"/>
              </w:rPr>
            </w:pPr>
          </w:p>
          <w:p w14:paraId="4EA67F08"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Or mailed to:</w:t>
            </w:r>
          </w:p>
          <w:p w14:paraId="646440D4"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Services Australia</w:t>
            </w:r>
          </w:p>
          <w:p w14:paraId="7517E692"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Complex Drugs </w:t>
            </w:r>
          </w:p>
          <w:p w14:paraId="30F55BE9"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Reply Paid 9826 </w:t>
            </w:r>
          </w:p>
          <w:p w14:paraId="4FD3D0A3" w14:textId="77777777" w:rsidR="006C13E2" w:rsidRPr="009941F8" w:rsidRDefault="006C13E2" w:rsidP="00460084">
            <w:pPr>
              <w:rPr>
                <w:rFonts w:ascii="Arial Narrow" w:hAnsi="Arial Narrow"/>
                <w:i/>
                <w:sz w:val="20"/>
                <w:szCs w:val="20"/>
              </w:rPr>
            </w:pPr>
            <w:r w:rsidRPr="009941F8">
              <w:rPr>
                <w:rFonts w:ascii="Arial Narrow" w:hAnsi="Arial Narrow"/>
                <w:iCs/>
                <w:sz w:val="20"/>
                <w:szCs w:val="20"/>
              </w:rPr>
              <w:t>HOBART TAS 7001</w:t>
            </w:r>
          </w:p>
        </w:tc>
      </w:tr>
      <w:tr w:rsidR="00E96FF5" w:rsidRPr="009941F8" w14:paraId="68FE277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586D63"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Administrative Advice:</w:t>
            </w:r>
          </w:p>
          <w:p w14:paraId="04695552" w14:textId="77777777" w:rsidR="006C13E2" w:rsidRPr="009941F8" w:rsidRDefault="006C13E2" w:rsidP="00460084">
            <w:pPr>
              <w:rPr>
                <w:rFonts w:ascii="Arial Narrow" w:hAnsi="Arial Narrow"/>
                <w:bCs/>
                <w:sz w:val="20"/>
                <w:szCs w:val="20"/>
              </w:rPr>
            </w:pPr>
            <w:r w:rsidRPr="009941F8">
              <w:rPr>
                <w:rFonts w:ascii="Arial Narrow" w:hAnsi="Arial Narrow"/>
                <w:bCs/>
                <w:sz w:val="20"/>
                <w:szCs w:val="20"/>
              </w:rPr>
              <w:t>No increase in the maximum number of repeats may be authorised.</w:t>
            </w:r>
          </w:p>
        </w:tc>
      </w:tr>
      <w:tr w:rsidR="00E96FF5" w:rsidRPr="009941F8" w14:paraId="6406E98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DFE05B"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Administrative Advice:</w:t>
            </w:r>
          </w:p>
          <w:p w14:paraId="7DAEE97B" w14:textId="77777777" w:rsidR="006C13E2" w:rsidRPr="009941F8" w:rsidRDefault="006C13E2" w:rsidP="00460084">
            <w:pPr>
              <w:rPr>
                <w:rFonts w:ascii="Arial Narrow" w:hAnsi="Arial Narrow"/>
                <w:bCs/>
                <w:sz w:val="20"/>
                <w:szCs w:val="20"/>
              </w:rPr>
            </w:pPr>
            <w:r w:rsidRPr="009941F8">
              <w:rPr>
                <w:rFonts w:ascii="Arial Narrow" w:hAnsi="Arial Narrow"/>
                <w:bCs/>
                <w:sz w:val="20"/>
                <w:szCs w:val="20"/>
              </w:rPr>
              <w:t>No increase in the maximum quantity or number of units may be authorised.</w:t>
            </w:r>
          </w:p>
        </w:tc>
      </w:tr>
    </w:tbl>
    <w:p w14:paraId="34306D67" w14:textId="77777777" w:rsidR="00357D22" w:rsidRPr="00357D22" w:rsidRDefault="00357D22" w:rsidP="006C13E2">
      <w:pPr>
        <w:pStyle w:val="Bodytextitalics"/>
        <w:spacing w:after="0"/>
        <w:rPr>
          <w:i w:val="0"/>
          <w:snapToGrid w:val="0"/>
          <w:sz w:val="20"/>
          <w:szCs w:val="20"/>
        </w:rPr>
      </w:pPr>
    </w:p>
    <w:p w14:paraId="6AD79DE5" w14:textId="77777777" w:rsidR="006C13E2" w:rsidRPr="009941F8" w:rsidRDefault="006C13E2" w:rsidP="007039CE">
      <w:pPr>
        <w:keepNext/>
        <w:keepLines/>
        <w:rPr>
          <w:b/>
          <w:bCs/>
        </w:rPr>
      </w:pPr>
      <w:r w:rsidRPr="009941F8">
        <w:rPr>
          <w:b/>
          <w:bCs/>
        </w:rPr>
        <w:t>Continuing treatment/recommencement of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E96FF5" w:rsidRPr="009941F8" w14:paraId="180EE40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A15957" w14:textId="77777777" w:rsidR="006C13E2" w:rsidRPr="009941F8" w:rsidRDefault="006C13E2" w:rsidP="00460084">
            <w:pPr>
              <w:rPr>
                <w:rFonts w:ascii="Arial Narrow" w:hAnsi="Arial Narrow"/>
                <w:sz w:val="20"/>
              </w:rPr>
            </w:pPr>
            <w:r w:rsidRPr="009941F8">
              <w:rPr>
                <w:rFonts w:ascii="Arial Narrow" w:hAnsi="Arial Narrow"/>
                <w:b/>
                <w:sz w:val="20"/>
              </w:rPr>
              <w:t xml:space="preserve">Category / Program:  </w:t>
            </w:r>
            <w:r w:rsidRPr="009941F8">
              <w:rPr>
                <w:rFonts w:ascii="Arial Narrow" w:hAnsi="Arial Narrow"/>
                <w:sz w:val="20"/>
              </w:rPr>
              <w:t>Section 100 – Highly Specialised Drugs Program</w:t>
            </w:r>
          </w:p>
        </w:tc>
      </w:tr>
      <w:tr w:rsidR="00E96FF5" w:rsidRPr="009941F8" w14:paraId="2C1484BC" w14:textId="77777777" w:rsidTr="006C13E2">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082328" w14:textId="77777777" w:rsidR="006C13E2" w:rsidRPr="009941F8" w:rsidRDefault="006C13E2" w:rsidP="00460084">
            <w:pPr>
              <w:rPr>
                <w:rFonts w:ascii="Arial Narrow" w:hAnsi="Arial Narrow"/>
                <w:b/>
                <w:sz w:val="20"/>
                <w:highlight w:val="green"/>
              </w:rPr>
            </w:pPr>
            <w:r w:rsidRPr="009941F8">
              <w:rPr>
                <w:rFonts w:ascii="Arial Narrow" w:hAnsi="Arial Narrow"/>
                <w:b/>
                <w:sz w:val="20"/>
              </w:rPr>
              <w:t xml:space="preserve">Prescriber type:  </w:t>
            </w:r>
            <w:r w:rsidRPr="009941F8">
              <w:rPr>
                <w:rFonts w:ascii="Arial Narrow" w:hAnsi="Arial Narrow"/>
                <w:sz w:val="20"/>
              </w:rPr>
              <w:fldChar w:fldCharType="begin" w:fldLock="1">
                <w:ffData>
                  <w:name w:val=""/>
                  <w:enabled/>
                  <w:calcOnExit w:val="0"/>
                  <w:checkBox>
                    <w:sizeAuto/>
                    <w:default w:val="1"/>
                  </w:checkBox>
                </w:ffData>
              </w:fldChar>
            </w:r>
            <w:r w:rsidRPr="009941F8">
              <w:rPr>
                <w:rFonts w:ascii="Arial Narrow" w:hAnsi="Arial Narrow"/>
                <w:sz w:val="20"/>
              </w:rPr>
              <w:instrText xml:space="preserve"> FORMCHECKBOX </w:instrText>
            </w:r>
            <w:r w:rsidR="00CE7EC7">
              <w:rPr>
                <w:rFonts w:ascii="Arial Narrow" w:hAnsi="Arial Narrow"/>
                <w:sz w:val="20"/>
              </w:rPr>
            </w:r>
            <w:r w:rsidR="00CE7EC7">
              <w:rPr>
                <w:rFonts w:ascii="Arial Narrow" w:hAnsi="Arial Narrow"/>
                <w:sz w:val="20"/>
              </w:rPr>
              <w:fldChar w:fldCharType="separate"/>
            </w:r>
            <w:r w:rsidRPr="009941F8">
              <w:rPr>
                <w:rFonts w:ascii="Arial Narrow" w:hAnsi="Arial Narrow"/>
                <w:sz w:val="20"/>
              </w:rPr>
              <w:fldChar w:fldCharType="end"/>
            </w:r>
            <w:r w:rsidRPr="009941F8">
              <w:rPr>
                <w:rFonts w:ascii="Arial Narrow" w:hAnsi="Arial Narrow"/>
                <w:sz w:val="20"/>
              </w:rPr>
              <w:t>Medical Practitioners</w:t>
            </w:r>
          </w:p>
        </w:tc>
      </w:tr>
      <w:tr w:rsidR="00E96FF5" w:rsidRPr="009941F8" w14:paraId="640993EE" w14:textId="77777777" w:rsidTr="006C13E2">
        <w:trPr>
          <w:trHeight w:val="446"/>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42119F" w14:textId="77777777" w:rsidR="006C13E2" w:rsidRPr="009941F8" w:rsidRDefault="006C13E2" w:rsidP="00460084">
            <w:pPr>
              <w:rPr>
                <w:rFonts w:ascii="Arial Narrow" w:hAnsi="Arial Narrow"/>
                <w:b/>
                <w:sz w:val="20"/>
              </w:rPr>
            </w:pPr>
            <w:r w:rsidRPr="009941F8">
              <w:rPr>
                <w:rFonts w:ascii="Arial Narrow" w:hAnsi="Arial Narrow"/>
                <w:b/>
                <w:sz w:val="20"/>
              </w:rPr>
              <w:t>Restriction Level / Method:</w:t>
            </w:r>
          </w:p>
          <w:p w14:paraId="56AAF978" w14:textId="77777777" w:rsidR="006C13E2" w:rsidRPr="009941F8" w:rsidRDefault="006C13E2" w:rsidP="00460084">
            <w:pPr>
              <w:rPr>
                <w:rFonts w:ascii="Arial Narrow" w:hAnsi="Arial Narrow"/>
                <w:i/>
                <w:iCs/>
                <w:sz w:val="20"/>
                <w:highlight w:val="green"/>
              </w:rPr>
            </w:pPr>
            <w:r w:rsidRPr="009941F8">
              <w:rPr>
                <w:rFonts w:ascii="Arial Narrow" w:hAnsi="Arial Narrow"/>
                <w:sz w:val="20"/>
              </w:rPr>
              <w:fldChar w:fldCharType="begin" w:fldLock="1">
                <w:ffData>
                  <w:name w:val="Check3"/>
                  <w:enabled/>
                  <w:calcOnExit w:val="0"/>
                  <w:checkBox>
                    <w:sizeAuto/>
                    <w:default w:val="1"/>
                  </w:checkBox>
                </w:ffData>
              </w:fldChar>
            </w:r>
            <w:r w:rsidRPr="009941F8">
              <w:rPr>
                <w:rFonts w:ascii="Arial Narrow" w:hAnsi="Arial Narrow"/>
                <w:sz w:val="20"/>
              </w:rPr>
              <w:instrText xml:space="preserve"> FORMCHECKBOX </w:instrText>
            </w:r>
            <w:r w:rsidR="00CE7EC7">
              <w:rPr>
                <w:rFonts w:ascii="Arial Narrow" w:hAnsi="Arial Narrow"/>
                <w:sz w:val="20"/>
              </w:rPr>
            </w:r>
            <w:r w:rsidR="00CE7EC7">
              <w:rPr>
                <w:rFonts w:ascii="Arial Narrow" w:hAnsi="Arial Narrow"/>
                <w:sz w:val="20"/>
              </w:rPr>
              <w:fldChar w:fldCharType="separate"/>
            </w:r>
            <w:r w:rsidRPr="009941F8">
              <w:rPr>
                <w:rFonts w:ascii="Arial Narrow" w:hAnsi="Arial Narrow"/>
                <w:sz w:val="20"/>
              </w:rPr>
              <w:fldChar w:fldCharType="end"/>
            </w:r>
            <w:r w:rsidRPr="009941F8">
              <w:rPr>
                <w:rFonts w:ascii="Arial Narrow" w:hAnsi="Arial Narrow"/>
                <w:sz w:val="20"/>
              </w:rPr>
              <w:t>Authority Required – Telephone/Online PBS Authorities immediate assessment</w:t>
            </w:r>
          </w:p>
        </w:tc>
      </w:tr>
      <w:tr w:rsidR="00E96FF5" w:rsidRPr="009941F8" w14:paraId="7C72371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964CBE" w14:textId="77777777" w:rsidR="006C13E2" w:rsidRPr="009941F8" w:rsidRDefault="006C13E2" w:rsidP="00460084">
            <w:pPr>
              <w:rPr>
                <w:rFonts w:ascii="Arial Narrow" w:hAnsi="Arial Narrow"/>
                <w:iCs/>
                <w:sz w:val="20"/>
                <w:highlight w:val="green"/>
              </w:rPr>
            </w:pPr>
            <w:r w:rsidRPr="009941F8">
              <w:rPr>
                <w:rFonts w:ascii="Arial Narrow" w:hAnsi="Arial Narrow"/>
                <w:b/>
                <w:bCs/>
                <w:iCs/>
                <w:sz w:val="20"/>
              </w:rPr>
              <w:t xml:space="preserve">Episodicity: </w:t>
            </w:r>
            <w:r w:rsidRPr="009941F8">
              <w:rPr>
                <w:rFonts w:ascii="Arial Narrow" w:hAnsi="Arial Narrow"/>
                <w:iCs/>
                <w:sz w:val="20"/>
              </w:rPr>
              <w:t>Active</w:t>
            </w:r>
          </w:p>
        </w:tc>
      </w:tr>
      <w:tr w:rsidR="00E96FF5" w:rsidRPr="009941F8" w14:paraId="5DE323D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E23852" w14:textId="77777777" w:rsidR="006C13E2" w:rsidRPr="009941F8" w:rsidRDefault="006C13E2" w:rsidP="00460084">
            <w:pPr>
              <w:rPr>
                <w:rFonts w:ascii="Arial Narrow" w:hAnsi="Arial Narrow"/>
                <w:b/>
                <w:bCs/>
                <w:iCs/>
                <w:sz w:val="20"/>
                <w:highlight w:val="green"/>
              </w:rPr>
            </w:pPr>
            <w:r w:rsidRPr="009941F8">
              <w:rPr>
                <w:rFonts w:ascii="Arial Narrow" w:hAnsi="Arial Narrow"/>
                <w:b/>
                <w:bCs/>
                <w:iCs/>
                <w:sz w:val="20"/>
              </w:rPr>
              <w:t xml:space="preserve">Condition: </w:t>
            </w:r>
            <w:r w:rsidRPr="009941F8">
              <w:rPr>
                <w:rFonts w:ascii="Arial Narrow" w:hAnsi="Arial Narrow"/>
                <w:sz w:val="20"/>
              </w:rPr>
              <w:t>Systemic lupus erythematosus</w:t>
            </w:r>
          </w:p>
        </w:tc>
      </w:tr>
      <w:tr w:rsidR="00E96FF5" w:rsidRPr="009941F8" w14:paraId="54FE368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3111F" w14:textId="77777777" w:rsidR="006C13E2" w:rsidRPr="009941F8" w:rsidRDefault="006C13E2" w:rsidP="00460084">
            <w:pPr>
              <w:rPr>
                <w:rFonts w:ascii="Arial Narrow" w:hAnsi="Arial Narrow"/>
                <w:i/>
                <w:sz w:val="20"/>
              </w:rPr>
            </w:pPr>
            <w:r w:rsidRPr="009941F8">
              <w:rPr>
                <w:rFonts w:ascii="Arial Narrow" w:hAnsi="Arial Narrow"/>
                <w:b/>
                <w:bCs/>
                <w:iCs/>
                <w:sz w:val="20"/>
              </w:rPr>
              <w:t>Indication</w:t>
            </w:r>
            <w:r w:rsidRPr="009941F8">
              <w:rPr>
                <w:rFonts w:ascii="Arial Narrow" w:hAnsi="Arial Narrow"/>
                <w:b/>
                <w:bCs/>
                <w:i/>
                <w:sz w:val="20"/>
              </w:rPr>
              <w:t>:</w:t>
            </w:r>
            <w:r w:rsidRPr="009941F8">
              <w:rPr>
                <w:rFonts w:ascii="Arial Narrow" w:hAnsi="Arial Narrow"/>
                <w:i/>
                <w:sz w:val="20"/>
              </w:rPr>
              <w:t xml:space="preserve"> </w:t>
            </w:r>
            <w:r w:rsidRPr="009941F8">
              <w:rPr>
                <w:rFonts w:ascii="Arial Narrow" w:hAnsi="Arial Narrow"/>
                <w:iCs/>
                <w:strike/>
                <w:sz w:val="20"/>
              </w:rPr>
              <w:t>Active</w:t>
            </w:r>
            <w:r w:rsidRPr="009941F8">
              <w:rPr>
                <w:rFonts w:ascii="Arial Narrow" w:hAnsi="Arial Narrow"/>
                <w:i/>
                <w:sz w:val="20"/>
              </w:rPr>
              <w:t xml:space="preserve"> s</w:t>
            </w:r>
            <w:r w:rsidRPr="009941F8">
              <w:rPr>
                <w:rFonts w:ascii="Arial Narrow" w:hAnsi="Arial Narrow"/>
                <w:sz w:val="20"/>
              </w:rPr>
              <w:t>ystemic lupus erythematosus</w:t>
            </w:r>
          </w:p>
        </w:tc>
      </w:tr>
      <w:tr w:rsidR="00E96FF5" w:rsidRPr="009941F8" w14:paraId="4B0C7273"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6246E3" w14:textId="7409D219" w:rsidR="006C13E2" w:rsidRPr="00512D20" w:rsidRDefault="006C13E2" w:rsidP="00460084">
            <w:pPr>
              <w:rPr>
                <w:rFonts w:ascii="Arial Narrow" w:hAnsi="Arial Narrow"/>
                <w:sz w:val="20"/>
                <w:highlight w:val="green"/>
                <w:lang w:eastAsia="en-US"/>
              </w:rPr>
            </w:pPr>
            <w:r w:rsidRPr="00512D20">
              <w:rPr>
                <w:rFonts w:ascii="Arial Narrow" w:hAnsi="Arial Narrow"/>
                <w:b/>
                <w:bCs/>
                <w:sz w:val="20"/>
              </w:rPr>
              <w:t>Treatment Phase:</w:t>
            </w:r>
            <w:r w:rsidRPr="00512D20">
              <w:rPr>
                <w:rFonts w:ascii="Arial Narrow" w:hAnsi="Arial Narrow"/>
                <w:sz w:val="20"/>
              </w:rPr>
              <w:t xml:space="preserve"> Continuing or</w:t>
            </w:r>
            <w:r w:rsidRPr="00512D20">
              <w:rPr>
                <w:rFonts w:ascii="Arial Narrow" w:hAnsi="Arial Narrow"/>
                <w:i/>
                <w:iCs/>
                <w:sz w:val="20"/>
              </w:rPr>
              <w:t xml:space="preserve"> </w:t>
            </w:r>
            <w:r w:rsidRPr="00512D20">
              <w:rPr>
                <w:rFonts w:ascii="Arial Narrow" w:hAnsi="Arial Narrow"/>
                <w:sz w:val="20"/>
              </w:rPr>
              <w:t xml:space="preserve">recommencement of treatment </w:t>
            </w:r>
            <w:r w:rsidRPr="00512D20">
              <w:rPr>
                <w:rFonts w:ascii="Arial Narrow" w:hAnsi="Arial Narrow"/>
                <w:strike/>
                <w:sz w:val="20"/>
              </w:rPr>
              <w:t>after a break</w:t>
            </w:r>
            <w:r w:rsidRPr="00512D20">
              <w:rPr>
                <w:rFonts w:ascii="Arial Narrow" w:hAnsi="Arial Narrow"/>
                <w:sz w:val="20"/>
              </w:rPr>
              <w:t xml:space="preserve"> </w:t>
            </w:r>
            <w:r w:rsidRPr="00512D20">
              <w:rPr>
                <w:rFonts w:ascii="Arial Narrow" w:hAnsi="Arial Narrow"/>
                <w:i/>
                <w:iCs/>
                <w:sz w:val="20"/>
              </w:rPr>
              <w:t xml:space="preserve">(within </w:t>
            </w:r>
            <w:r w:rsidR="00512D20">
              <w:rPr>
                <w:rFonts w:ascii="Arial Narrow" w:hAnsi="Arial Narrow"/>
                <w:i/>
                <w:iCs/>
                <w:sz w:val="20"/>
              </w:rPr>
              <w:t>12</w:t>
            </w:r>
            <w:r w:rsidRPr="00512D20">
              <w:rPr>
                <w:rFonts w:ascii="Arial Narrow" w:hAnsi="Arial Narrow"/>
                <w:i/>
                <w:iCs/>
                <w:sz w:val="20"/>
              </w:rPr>
              <w:t xml:space="preserve"> months of a treatment break)</w:t>
            </w:r>
          </w:p>
        </w:tc>
      </w:tr>
      <w:tr w:rsidR="00E96FF5" w:rsidRPr="009941F8" w14:paraId="1A447DD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5A0D74" w14:textId="77777777" w:rsidR="006C13E2" w:rsidRPr="00512D20" w:rsidRDefault="006C13E2" w:rsidP="00460084">
            <w:pPr>
              <w:rPr>
                <w:rFonts w:ascii="Arial Narrow" w:hAnsi="Arial Narrow"/>
                <w:b/>
                <w:bCs/>
                <w:sz w:val="20"/>
              </w:rPr>
            </w:pPr>
            <w:r w:rsidRPr="00512D20">
              <w:rPr>
                <w:rFonts w:ascii="Arial Narrow" w:hAnsi="Arial Narrow"/>
                <w:b/>
                <w:bCs/>
                <w:sz w:val="20"/>
              </w:rPr>
              <w:t>Treatment criteria:</w:t>
            </w:r>
          </w:p>
        </w:tc>
      </w:tr>
      <w:tr w:rsidR="00E96FF5" w:rsidRPr="009941F8" w14:paraId="044F09E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9BC314" w14:textId="77777777" w:rsidR="006C13E2" w:rsidRPr="00512D20" w:rsidRDefault="006C13E2" w:rsidP="00460084">
            <w:pPr>
              <w:rPr>
                <w:rFonts w:ascii="Arial Narrow" w:eastAsiaTheme="majorEastAsia" w:hAnsi="Arial Narrow"/>
                <w:strike/>
                <w:sz w:val="20"/>
                <w:szCs w:val="20"/>
                <w:lang w:bidi="en-US"/>
              </w:rPr>
            </w:pPr>
            <w:r w:rsidRPr="00512D20">
              <w:rPr>
                <w:rFonts w:ascii="Arial Narrow" w:eastAsiaTheme="majorEastAsia" w:hAnsi="Arial Narrow"/>
                <w:strike/>
                <w:sz w:val="20"/>
                <w:szCs w:val="20"/>
                <w:lang w:bidi="en-US"/>
              </w:rPr>
              <w:t>Must be treated by a rheumatologist; or</w:t>
            </w:r>
          </w:p>
          <w:p w14:paraId="7797AB9B" w14:textId="77777777" w:rsidR="006C13E2" w:rsidRPr="00512D20" w:rsidRDefault="006C13E2" w:rsidP="00460084">
            <w:pPr>
              <w:rPr>
                <w:rFonts w:ascii="Arial Narrow" w:eastAsiaTheme="majorEastAsia" w:hAnsi="Arial Narrow"/>
                <w:strike/>
                <w:sz w:val="20"/>
                <w:szCs w:val="20"/>
                <w:lang w:bidi="en-US"/>
              </w:rPr>
            </w:pPr>
            <w:r w:rsidRPr="00512D20">
              <w:rPr>
                <w:rFonts w:ascii="Arial Narrow" w:eastAsiaTheme="majorEastAsia" w:hAnsi="Arial Narrow"/>
                <w:strike/>
                <w:sz w:val="20"/>
                <w:szCs w:val="20"/>
                <w:lang w:bidi="en-US"/>
              </w:rPr>
              <w:t xml:space="preserve">Must be treated by a clinical immunologist; or </w:t>
            </w:r>
          </w:p>
          <w:p w14:paraId="109F553E" w14:textId="77777777" w:rsidR="006C13E2" w:rsidRPr="00512D20" w:rsidRDefault="006C13E2" w:rsidP="00460084">
            <w:pPr>
              <w:rPr>
                <w:rFonts w:ascii="Arial Narrow" w:eastAsiaTheme="majorEastAsia" w:hAnsi="Arial Narrow"/>
                <w:i/>
                <w:iCs/>
                <w:strike/>
                <w:sz w:val="20"/>
                <w:szCs w:val="20"/>
                <w:lang w:bidi="en-US"/>
              </w:rPr>
            </w:pPr>
            <w:r w:rsidRPr="00512D20">
              <w:rPr>
                <w:rFonts w:ascii="Arial Narrow" w:eastAsiaTheme="majorEastAsia" w:hAnsi="Arial Narrow"/>
                <w:i/>
                <w:iCs/>
                <w:strike/>
                <w:sz w:val="20"/>
                <w:szCs w:val="20"/>
                <w:lang w:bidi="en-US"/>
              </w:rPr>
              <w:t>Alternatively</w:t>
            </w:r>
          </w:p>
          <w:p w14:paraId="4B95EFC8" w14:textId="77777777" w:rsidR="006C13E2" w:rsidRPr="00512D20" w:rsidRDefault="006C13E2" w:rsidP="00460084">
            <w:pPr>
              <w:rPr>
                <w:rFonts w:ascii="Arial Narrow" w:eastAsiaTheme="minorHAnsi" w:hAnsi="Arial Narrow"/>
                <w:b/>
                <w:bCs/>
                <w:sz w:val="20"/>
              </w:rPr>
            </w:pPr>
            <w:r w:rsidRPr="00512D20">
              <w:rPr>
                <w:rFonts w:ascii="Arial Narrow" w:hAnsi="Arial Narrow"/>
                <w:sz w:val="20"/>
              </w:rPr>
              <w:t>Must be treated by a specialist physician experienced in the management of this condition</w:t>
            </w:r>
          </w:p>
        </w:tc>
      </w:tr>
      <w:tr w:rsidR="00E96FF5" w:rsidRPr="009941F8" w14:paraId="1880AE3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C04B62" w14:textId="77777777" w:rsidR="006C13E2" w:rsidRPr="00512D20" w:rsidRDefault="006C13E2" w:rsidP="00460084">
            <w:pPr>
              <w:rPr>
                <w:rFonts w:ascii="Arial Narrow" w:hAnsi="Arial Narrow"/>
                <w:b/>
                <w:bCs/>
                <w:sz w:val="20"/>
              </w:rPr>
            </w:pPr>
            <w:r w:rsidRPr="00512D20">
              <w:rPr>
                <w:rFonts w:ascii="Arial Narrow" w:hAnsi="Arial Narrow"/>
                <w:b/>
                <w:bCs/>
                <w:sz w:val="20"/>
              </w:rPr>
              <w:t>Clinical criteria:</w:t>
            </w:r>
          </w:p>
        </w:tc>
      </w:tr>
      <w:tr w:rsidR="00E96FF5" w:rsidRPr="009941F8" w14:paraId="749AF65C"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24D05A" w14:textId="77777777" w:rsidR="006C13E2" w:rsidRPr="00512D20" w:rsidRDefault="006C13E2" w:rsidP="00460084">
            <w:pPr>
              <w:rPr>
                <w:rFonts w:ascii="Arial Narrow" w:hAnsi="Arial Narrow"/>
                <w:sz w:val="20"/>
              </w:rPr>
            </w:pPr>
            <w:r w:rsidRPr="00512D20">
              <w:rPr>
                <w:rFonts w:ascii="Arial Narrow" w:hAnsi="Arial Narrow"/>
                <w:sz w:val="20"/>
              </w:rPr>
              <w:t xml:space="preserve">Patient must have previously been issued with an authority prescription for this drug for this condition. </w:t>
            </w:r>
            <w:r w:rsidRPr="00512D20">
              <w:rPr>
                <w:rFonts w:ascii="Arial Narrow" w:hAnsi="Arial Narrow"/>
                <w:strike/>
                <w:sz w:val="20"/>
              </w:rPr>
              <w:t>[phase out 18091, 19469, 23815 draft]</w:t>
            </w:r>
          </w:p>
        </w:tc>
      </w:tr>
      <w:tr w:rsidR="00E96FF5" w:rsidRPr="009941F8" w14:paraId="69757F8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CDF1D8" w14:textId="77777777" w:rsidR="006C13E2" w:rsidRPr="00512D20" w:rsidRDefault="006C13E2" w:rsidP="00460084">
            <w:pPr>
              <w:rPr>
                <w:rFonts w:ascii="Arial Narrow" w:hAnsi="Arial Narrow"/>
                <w:b/>
                <w:bCs/>
                <w:sz w:val="20"/>
              </w:rPr>
            </w:pPr>
            <w:r w:rsidRPr="00512D20">
              <w:rPr>
                <w:rFonts w:ascii="Arial Narrow" w:hAnsi="Arial Narrow"/>
                <w:b/>
                <w:bCs/>
                <w:sz w:val="20"/>
              </w:rPr>
              <w:t>AND</w:t>
            </w:r>
          </w:p>
        </w:tc>
      </w:tr>
      <w:tr w:rsidR="00E96FF5" w:rsidRPr="009941F8" w14:paraId="36B131B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BD1623" w14:textId="77777777" w:rsidR="006C13E2" w:rsidRPr="00512D20" w:rsidRDefault="006C13E2" w:rsidP="00460084">
            <w:pPr>
              <w:rPr>
                <w:rFonts w:ascii="Arial Narrow" w:hAnsi="Arial Narrow"/>
                <w:b/>
                <w:bCs/>
                <w:sz w:val="20"/>
              </w:rPr>
            </w:pPr>
            <w:r w:rsidRPr="00512D20">
              <w:rPr>
                <w:rFonts w:ascii="Arial Narrow" w:hAnsi="Arial Narrow"/>
                <w:b/>
                <w:bCs/>
                <w:sz w:val="20"/>
              </w:rPr>
              <w:t>Clinical criteria:</w:t>
            </w:r>
          </w:p>
        </w:tc>
      </w:tr>
      <w:tr w:rsidR="00E96FF5" w:rsidRPr="009941F8" w14:paraId="527420CE" w14:textId="77777777" w:rsidTr="006C13E2">
        <w:trPr>
          <w:trHeight w:val="335"/>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B98315" w14:textId="77777777" w:rsidR="006C13E2" w:rsidRPr="00512D20" w:rsidRDefault="006C13E2" w:rsidP="00460084">
            <w:pPr>
              <w:rPr>
                <w:rFonts w:ascii="Arial Narrow" w:eastAsiaTheme="majorEastAsia" w:hAnsi="Arial Narrow"/>
                <w:sz w:val="20"/>
                <w:szCs w:val="20"/>
                <w:lang w:bidi="en-US"/>
              </w:rPr>
            </w:pPr>
            <w:r w:rsidRPr="00512D20">
              <w:rPr>
                <w:rFonts w:ascii="Arial Narrow" w:eastAsiaTheme="majorEastAsia" w:hAnsi="Arial Narrow"/>
                <w:sz w:val="20"/>
                <w:szCs w:val="20"/>
                <w:lang w:bidi="en-US"/>
              </w:rPr>
              <w:t xml:space="preserve">Patient must have attained </w:t>
            </w:r>
            <w:r w:rsidRPr="00512D20">
              <w:rPr>
                <w:rFonts w:ascii="Arial Narrow" w:eastAsiaTheme="majorEastAsia" w:hAnsi="Arial Narrow"/>
                <w:strike/>
                <w:sz w:val="20"/>
                <w:szCs w:val="20"/>
                <w:lang w:bidi="en-US"/>
              </w:rPr>
              <w:t>an adequate response to this drug which is</w:t>
            </w:r>
            <w:r w:rsidRPr="00512D20">
              <w:rPr>
                <w:rFonts w:ascii="Arial Narrow" w:eastAsiaTheme="majorEastAsia" w:hAnsi="Arial Narrow"/>
                <w:sz w:val="20"/>
                <w:szCs w:val="20"/>
                <w:lang w:bidi="en-US"/>
              </w:rPr>
              <w:t xml:space="preserve"> </w:t>
            </w:r>
            <w:r w:rsidRPr="00512D20">
              <w:rPr>
                <w:rFonts w:ascii="Arial Narrow" w:eastAsiaTheme="majorEastAsia" w:hAnsi="Arial Narrow"/>
                <w:i/>
                <w:iCs/>
                <w:sz w:val="20"/>
                <w:szCs w:val="20"/>
                <w:lang w:bidi="en-US"/>
              </w:rPr>
              <w:t>a</w:t>
            </w:r>
            <w:r w:rsidRPr="00512D20">
              <w:rPr>
                <w:rFonts w:ascii="Arial Narrow" w:eastAsiaTheme="majorEastAsia" w:hAnsi="Arial Narrow"/>
                <w:sz w:val="20"/>
                <w:szCs w:val="20"/>
                <w:lang w:bidi="en-US"/>
              </w:rPr>
              <w:t xml:space="preserve"> Lupus Low Disease Activity State (LLDAS) </w:t>
            </w:r>
            <w:r w:rsidRPr="00512D20">
              <w:rPr>
                <w:rFonts w:ascii="Arial Narrow" w:eastAsiaTheme="majorEastAsia" w:hAnsi="Arial Narrow"/>
                <w:strike/>
                <w:sz w:val="20"/>
                <w:szCs w:val="20"/>
                <w:lang w:bidi="en-US"/>
              </w:rPr>
              <w:t xml:space="preserve">defined below  </w:t>
            </w:r>
            <w:r w:rsidRPr="00512D20">
              <w:rPr>
                <w:rFonts w:ascii="Arial Narrow" w:eastAsiaTheme="majorEastAsia" w:hAnsi="Arial Narrow"/>
                <w:sz w:val="20"/>
                <w:szCs w:val="20"/>
                <w:lang w:bidi="en-US"/>
              </w:rPr>
              <w:t xml:space="preserve"> </w:t>
            </w:r>
            <w:r w:rsidRPr="00512D20">
              <w:rPr>
                <w:rFonts w:ascii="Arial Narrow" w:eastAsiaTheme="majorEastAsia" w:hAnsi="Arial Narrow"/>
                <w:i/>
                <w:iCs/>
                <w:sz w:val="20"/>
                <w:szCs w:val="20"/>
                <w:lang w:bidi="en-US"/>
              </w:rPr>
              <w:t>and maintained this state while on treatment with this drug for this condition</w:t>
            </w:r>
          </w:p>
        </w:tc>
      </w:tr>
      <w:tr w:rsidR="00E96FF5" w:rsidRPr="009941F8" w14:paraId="1D4247D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7A7C02" w14:textId="77777777" w:rsidR="006C13E2" w:rsidRPr="00512D20" w:rsidRDefault="006C13E2" w:rsidP="00460084">
            <w:pPr>
              <w:spacing w:after="120"/>
              <w:rPr>
                <w:rFonts w:ascii="Arial Narrow" w:eastAsiaTheme="majorEastAsia" w:hAnsi="Arial Narrow"/>
                <w:b/>
                <w:bCs/>
                <w:sz w:val="20"/>
                <w:szCs w:val="20"/>
                <w:lang w:bidi="en-US"/>
              </w:rPr>
            </w:pPr>
            <w:r w:rsidRPr="00512D20">
              <w:rPr>
                <w:rFonts w:ascii="Arial Narrow" w:eastAsiaTheme="majorEastAsia" w:hAnsi="Arial Narrow"/>
                <w:b/>
                <w:bCs/>
                <w:sz w:val="20"/>
                <w:szCs w:val="20"/>
                <w:lang w:bidi="en-US"/>
              </w:rPr>
              <w:t>Prescribing Instructions:</w:t>
            </w:r>
          </w:p>
          <w:p w14:paraId="3AF41831" w14:textId="77777777" w:rsidR="006C13E2" w:rsidRPr="00512D20" w:rsidRDefault="006C13E2" w:rsidP="00460084">
            <w:pPr>
              <w:spacing w:after="120"/>
              <w:rPr>
                <w:rFonts w:ascii="Arial Narrow" w:eastAsiaTheme="majorEastAsia" w:hAnsi="Arial Narrow"/>
                <w:i/>
                <w:iCs/>
                <w:sz w:val="20"/>
                <w:szCs w:val="20"/>
                <w:lang w:bidi="en-US"/>
              </w:rPr>
            </w:pPr>
            <w:r w:rsidRPr="00512D20">
              <w:rPr>
                <w:rFonts w:ascii="Arial Narrow" w:eastAsiaTheme="majorEastAsia" w:hAnsi="Arial Narrow"/>
                <w:i/>
                <w:iCs/>
                <w:sz w:val="20"/>
                <w:szCs w:val="20"/>
                <w:lang w:bidi="en-US"/>
              </w:rPr>
              <w:t>Lupus Low Disease Activity State (LLDAS) is defined as:</w:t>
            </w:r>
          </w:p>
          <w:p w14:paraId="4150E3DF" w14:textId="566475AE" w:rsidR="006C13E2" w:rsidRPr="00512D20" w:rsidRDefault="006C13E2" w:rsidP="009E284F">
            <w:pPr>
              <w:pStyle w:val="ListParagraph"/>
              <w:numPr>
                <w:ilvl w:val="0"/>
                <w:numId w:val="23"/>
              </w:numPr>
              <w:spacing w:after="0"/>
              <w:contextualSpacing/>
              <w:rPr>
                <w:rFonts w:ascii="Arial Narrow" w:eastAsiaTheme="majorEastAsia" w:hAnsi="Arial Narrow"/>
                <w:sz w:val="20"/>
                <w:szCs w:val="20"/>
                <w:lang w:bidi="en-US"/>
              </w:rPr>
            </w:pPr>
            <w:r w:rsidRPr="00512D20">
              <w:rPr>
                <w:rFonts w:ascii="Arial Narrow" w:eastAsiaTheme="majorEastAsia" w:hAnsi="Arial Narrow"/>
                <w:sz w:val="20"/>
                <w:szCs w:val="20"/>
                <w:lang w:bidi="en-US"/>
              </w:rPr>
              <w:t xml:space="preserve">Total SLEDAI-2K </w:t>
            </w:r>
            <w:r w:rsidRPr="00512D20">
              <w:rPr>
                <w:rFonts w:ascii="Arial Narrow" w:eastAsiaTheme="majorEastAsia" w:hAnsi="Arial Narrow"/>
                <w:i/>
                <w:iCs/>
                <w:sz w:val="20"/>
                <w:szCs w:val="20"/>
                <w:lang w:bidi="en-US"/>
              </w:rPr>
              <w:t xml:space="preserve">of not greater than </w:t>
            </w:r>
            <w:r w:rsidRPr="00512D20">
              <w:rPr>
                <w:rFonts w:ascii="Arial Narrow" w:eastAsiaTheme="majorEastAsia" w:hAnsi="Arial Narrow"/>
                <w:i/>
                <w:iCs/>
                <w:strike/>
                <w:sz w:val="20"/>
                <w:szCs w:val="20"/>
                <w:lang w:bidi="en-US"/>
              </w:rPr>
              <w:t>≤</w:t>
            </w:r>
            <w:r w:rsidRPr="00512D20">
              <w:rPr>
                <w:rFonts w:ascii="Arial Narrow" w:eastAsiaTheme="majorEastAsia" w:hAnsi="Arial Narrow"/>
                <w:i/>
                <w:iCs/>
                <w:sz w:val="20"/>
                <w:szCs w:val="20"/>
                <w:lang w:bidi="en-US"/>
              </w:rPr>
              <w:t>4,</w:t>
            </w:r>
            <w:r w:rsidR="00512D20">
              <w:rPr>
                <w:rFonts w:ascii="Arial Narrow" w:eastAsiaTheme="majorEastAsia" w:hAnsi="Arial Narrow"/>
                <w:i/>
                <w:iCs/>
                <w:sz w:val="20"/>
                <w:szCs w:val="20"/>
                <w:lang w:bidi="en-US"/>
              </w:rPr>
              <w:t xml:space="preserve"> </w:t>
            </w:r>
            <w:r w:rsidRPr="00512D20">
              <w:rPr>
                <w:rFonts w:ascii="Arial Narrow" w:eastAsiaTheme="majorEastAsia" w:hAnsi="Arial Narrow"/>
                <w:sz w:val="20"/>
                <w:szCs w:val="20"/>
                <w:lang w:bidi="en-US"/>
              </w:rPr>
              <w:t xml:space="preserve">with no major activity in major organ systems (renal, </w:t>
            </w:r>
            <w:r w:rsidRPr="00512D20">
              <w:rPr>
                <w:rFonts w:ascii="Arial Narrow" w:eastAsiaTheme="majorEastAsia" w:hAnsi="Arial Narrow"/>
                <w:i/>
                <w:iCs/>
                <w:sz w:val="20"/>
                <w:szCs w:val="20"/>
                <w:lang w:bidi="en-US"/>
              </w:rPr>
              <w:t>central nervous system (</w:t>
            </w:r>
            <w:r w:rsidRPr="00512D20">
              <w:rPr>
                <w:rFonts w:ascii="Arial Narrow" w:eastAsiaTheme="majorEastAsia" w:hAnsi="Arial Narrow"/>
                <w:sz w:val="20"/>
                <w:szCs w:val="20"/>
                <w:lang w:bidi="en-US"/>
              </w:rPr>
              <w:t>CNS</w:t>
            </w:r>
            <w:r w:rsidRPr="00512D20">
              <w:rPr>
                <w:rFonts w:ascii="Arial Narrow" w:eastAsiaTheme="majorEastAsia" w:hAnsi="Arial Narrow"/>
                <w:i/>
                <w:iCs/>
                <w:sz w:val="20"/>
                <w:szCs w:val="20"/>
                <w:lang w:bidi="en-US"/>
              </w:rPr>
              <w:t>)</w:t>
            </w:r>
            <w:r w:rsidRPr="00512D20">
              <w:rPr>
                <w:rFonts w:ascii="Arial Narrow" w:eastAsiaTheme="majorEastAsia" w:hAnsi="Arial Narrow"/>
                <w:sz w:val="20"/>
                <w:szCs w:val="20"/>
                <w:lang w:bidi="en-US"/>
              </w:rPr>
              <w:t>, cardiopulmonary, vasculitis, fever); and</w:t>
            </w:r>
          </w:p>
          <w:p w14:paraId="5742B435" w14:textId="77777777" w:rsidR="006C13E2" w:rsidRPr="00512D20" w:rsidRDefault="006C13E2" w:rsidP="009E284F">
            <w:pPr>
              <w:pStyle w:val="ListBullet"/>
              <w:numPr>
                <w:ilvl w:val="0"/>
                <w:numId w:val="23"/>
              </w:numPr>
              <w:spacing w:line="256" w:lineRule="auto"/>
              <w:rPr>
                <w:lang w:eastAsia="en-US" w:bidi="en-US"/>
              </w:rPr>
            </w:pPr>
            <w:r w:rsidRPr="00512D20">
              <w:rPr>
                <w:rFonts w:ascii="Arial Narrow" w:hAnsi="Arial Narrow"/>
                <w:sz w:val="20"/>
                <w:szCs w:val="20"/>
                <w:lang w:eastAsia="en-US" w:bidi="en-US"/>
              </w:rPr>
              <w:lastRenderedPageBreak/>
              <w:t>No new features of lupus disease activity compared with the previous assessment, and</w:t>
            </w:r>
          </w:p>
          <w:p w14:paraId="3508390F" w14:textId="77777777" w:rsidR="006C13E2" w:rsidRPr="00512D20" w:rsidRDefault="006C13E2" w:rsidP="009E284F">
            <w:pPr>
              <w:pStyle w:val="ListBullet"/>
              <w:numPr>
                <w:ilvl w:val="0"/>
                <w:numId w:val="23"/>
              </w:numPr>
              <w:spacing w:line="256" w:lineRule="auto"/>
              <w:rPr>
                <w:lang w:eastAsia="en-US" w:bidi="en-US"/>
              </w:rPr>
            </w:pPr>
            <w:r w:rsidRPr="00512D20">
              <w:rPr>
                <w:rFonts w:ascii="Arial Narrow" w:hAnsi="Arial Narrow"/>
                <w:sz w:val="20"/>
                <w:szCs w:val="20"/>
                <w:lang w:eastAsia="en-US" w:bidi="en-US"/>
              </w:rPr>
              <w:t xml:space="preserve">Physician Global Assessment (PGA) </w:t>
            </w:r>
            <w:r w:rsidRPr="00512D20">
              <w:rPr>
                <w:rFonts w:ascii="Arial Narrow" w:hAnsi="Arial Narrow"/>
                <w:i/>
                <w:iCs/>
                <w:sz w:val="20"/>
                <w:szCs w:val="20"/>
                <w:lang w:eastAsia="en-US" w:bidi="en-US"/>
              </w:rPr>
              <w:t xml:space="preserve">of </w:t>
            </w:r>
            <w:r w:rsidRPr="00512D20">
              <w:rPr>
                <w:rFonts w:ascii="Arial Narrow" w:eastAsiaTheme="majorEastAsia" w:hAnsi="Arial Narrow"/>
                <w:i/>
                <w:iCs/>
                <w:sz w:val="20"/>
                <w:szCs w:val="20"/>
                <w:lang w:bidi="en-US"/>
              </w:rPr>
              <w:t xml:space="preserve">not greater than </w:t>
            </w:r>
            <w:r w:rsidRPr="00512D20">
              <w:rPr>
                <w:rFonts w:ascii="Arial Narrow" w:eastAsiaTheme="majorEastAsia" w:hAnsi="Arial Narrow"/>
                <w:i/>
                <w:iCs/>
                <w:strike/>
                <w:sz w:val="20"/>
                <w:szCs w:val="20"/>
                <w:lang w:bidi="en-US"/>
              </w:rPr>
              <w:t>≤</w:t>
            </w:r>
            <w:r w:rsidRPr="00512D20">
              <w:rPr>
                <w:rFonts w:ascii="Arial Narrow" w:hAnsi="Arial Narrow"/>
                <w:sz w:val="20"/>
                <w:szCs w:val="20"/>
                <w:lang w:eastAsia="en-US" w:bidi="en-US"/>
              </w:rPr>
              <w:t>1, and</w:t>
            </w:r>
          </w:p>
          <w:p w14:paraId="1781CC31" w14:textId="77777777" w:rsidR="006C13E2" w:rsidRPr="00512D20" w:rsidRDefault="006C13E2" w:rsidP="009E284F">
            <w:pPr>
              <w:pStyle w:val="ListBullet"/>
              <w:numPr>
                <w:ilvl w:val="0"/>
                <w:numId w:val="23"/>
              </w:numPr>
              <w:spacing w:line="256" w:lineRule="auto"/>
              <w:rPr>
                <w:rFonts w:ascii="Arial Narrow" w:hAnsi="Arial Narrow"/>
                <w:sz w:val="20"/>
                <w:szCs w:val="20"/>
                <w:lang w:eastAsia="en-US" w:bidi="en-US"/>
              </w:rPr>
            </w:pPr>
            <w:r w:rsidRPr="00512D20">
              <w:rPr>
                <w:rFonts w:ascii="Arial Narrow" w:hAnsi="Arial Narrow"/>
                <w:sz w:val="20"/>
                <w:szCs w:val="20"/>
                <w:lang w:eastAsia="en-US" w:bidi="en-US"/>
              </w:rPr>
              <w:t xml:space="preserve">Current prednisolone (or equivalent) dose </w:t>
            </w:r>
            <w:r w:rsidRPr="00512D20">
              <w:rPr>
                <w:rFonts w:ascii="Arial Narrow" w:hAnsi="Arial Narrow"/>
                <w:i/>
                <w:iCs/>
                <w:sz w:val="20"/>
                <w:szCs w:val="20"/>
                <w:lang w:eastAsia="en-US" w:bidi="en-US"/>
              </w:rPr>
              <w:t>of not greater than</w:t>
            </w:r>
            <w:r w:rsidRPr="00512D20">
              <w:rPr>
                <w:rFonts w:ascii="Arial Narrow" w:hAnsi="Arial Narrow"/>
                <w:sz w:val="20"/>
                <w:szCs w:val="20"/>
                <w:lang w:eastAsia="en-US" w:bidi="en-US"/>
              </w:rPr>
              <w:t xml:space="preserve"> </w:t>
            </w:r>
            <w:r w:rsidRPr="00512D20">
              <w:rPr>
                <w:rFonts w:ascii="Arial Narrow" w:hAnsi="Arial Narrow" w:cs="Calibri"/>
                <w:strike/>
                <w:sz w:val="20"/>
                <w:szCs w:val="20"/>
                <w:lang w:eastAsia="en-US" w:bidi="en-US"/>
              </w:rPr>
              <w:t>≤</w:t>
            </w:r>
            <w:r w:rsidRPr="00512D20">
              <w:rPr>
                <w:rFonts w:ascii="Arial Narrow" w:hAnsi="Arial Narrow"/>
                <w:sz w:val="20"/>
                <w:szCs w:val="20"/>
                <w:lang w:eastAsia="en-US" w:bidi="en-US"/>
              </w:rPr>
              <w:t xml:space="preserve"> 7.5 mg daily, and</w:t>
            </w:r>
          </w:p>
          <w:p w14:paraId="6983422C" w14:textId="77777777" w:rsidR="006C13E2" w:rsidRPr="00512D20" w:rsidRDefault="006C13E2" w:rsidP="009E284F">
            <w:pPr>
              <w:pStyle w:val="ListBullet"/>
              <w:numPr>
                <w:ilvl w:val="0"/>
                <w:numId w:val="23"/>
              </w:numPr>
              <w:spacing w:line="256" w:lineRule="auto"/>
              <w:rPr>
                <w:lang w:eastAsia="en-US" w:bidi="en-US"/>
              </w:rPr>
            </w:pPr>
            <w:r w:rsidRPr="00512D20">
              <w:rPr>
                <w:rFonts w:ascii="Arial Narrow" w:hAnsi="Arial Narrow"/>
                <w:i/>
                <w:iCs/>
                <w:sz w:val="20"/>
                <w:szCs w:val="20"/>
                <w:lang w:eastAsia="en-US" w:bidi="en-US"/>
              </w:rPr>
              <w:t>Well tolerated</w:t>
            </w:r>
            <w:r w:rsidRPr="00512D20">
              <w:rPr>
                <w:rFonts w:ascii="Arial Narrow" w:hAnsi="Arial Narrow"/>
                <w:sz w:val="20"/>
                <w:szCs w:val="20"/>
                <w:lang w:eastAsia="en-US" w:bidi="en-US"/>
              </w:rPr>
              <w:t xml:space="preserve"> </w:t>
            </w:r>
            <w:r w:rsidRPr="00512D20">
              <w:rPr>
                <w:rFonts w:ascii="Arial Narrow" w:hAnsi="Arial Narrow"/>
                <w:strike/>
                <w:sz w:val="20"/>
                <w:szCs w:val="20"/>
                <w:lang w:eastAsia="en-US" w:bidi="en-US"/>
              </w:rPr>
              <w:t>S</w:t>
            </w:r>
            <w:r w:rsidRPr="00512D20">
              <w:rPr>
                <w:rFonts w:ascii="Arial Narrow" w:hAnsi="Arial Narrow"/>
                <w:i/>
                <w:iCs/>
                <w:sz w:val="20"/>
                <w:szCs w:val="20"/>
                <w:lang w:eastAsia="en-US" w:bidi="en-US"/>
              </w:rPr>
              <w:t>s</w:t>
            </w:r>
            <w:r w:rsidRPr="00512D20">
              <w:rPr>
                <w:rFonts w:ascii="Arial Narrow" w:hAnsi="Arial Narrow"/>
                <w:sz w:val="20"/>
                <w:szCs w:val="20"/>
                <w:lang w:eastAsia="en-US" w:bidi="en-US"/>
              </w:rPr>
              <w:t xml:space="preserve">tandard </w:t>
            </w:r>
            <w:r w:rsidRPr="00512D20">
              <w:rPr>
                <w:rFonts w:ascii="Arial Narrow" w:hAnsi="Arial Narrow"/>
                <w:i/>
                <w:iCs/>
                <w:sz w:val="20"/>
                <w:szCs w:val="20"/>
                <w:lang w:eastAsia="en-US" w:bidi="en-US"/>
              </w:rPr>
              <w:t>maintenance doses of</w:t>
            </w:r>
            <w:r w:rsidRPr="00512D20">
              <w:rPr>
                <w:rFonts w:ascii="Arial Narrow" w:hAnsi="Arial Narrow"/>
                <w:sz w:val="20"/>
                <w:szCs w:val="20"/>
                <w:lang w:eastAsia="en-US" w:bidi="en-US"/>
              </w:rPr>
              <w:t xml:space="preserve"> anti-malarial and immunosuppressive drugs </w:t>
            </w:r>
            <w:r w:rsidRPr="00512D20">
              <w:rPr>
                <w:rFonts w:ascii="Arial Narrow" w:hAnsi="Arial Narrow"/>
                <w:i/>
                <w:iCs/>
                <w:sz w:val="20"/>
                <w:szCs w:val="20"/>
                <w:lang w:eastAsia="en-US" w:bidi="en-US"/>
              </w:rPr>
              <w:t xml:space="preserve">are </w:t>
            </w:r>
            <w:r w:rsidRPr="00512D20">
              <w:rPr>
                <w:rFonts w:ascii="Arial Narrow" w:hAnsi="Arial Narrow"/>
                <w:sz w:val="20"/>
                <w:szCs w:val="20"/>
                <w:lang w:eastAsia="en-US" w:bidi="en-US"/>
              </w:rPr>
              <w:t>allowed</w:t>
            </w:r>
          </w:p>
        </w:tc>
      </w:tr>
      <w:tr w:rsidR="00E96FF5" w:rsidRPr="009941F8" w14:paraId="7975AEC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854D5E" w14:textId="77777777" w:rsidR="006C13E2" w:rsidRPr="009941F8" w:rsidRDefault="006C13E2" w:rsidP="00460084">
            <w:pPr>
              <w:rPr>
                <w:rFonts w:ascii="Arial Narrow" w:hAnsi="Arial Narrow"/>
                <w:iCs/>
                <w:sz w:val="20"/>
                <w:lang w:eastAsia="en-US"/>
              </w:rPr>
            </w:pPr>
            <w:r w:rsidRPr="009941F8">
              <w:rPr>
                <w:rFonts w:ascii="Arial Narrow" w:hAnsi="Arial Narrow"/>
                <w:b/>
                <w:bCs/>
                <w:iCs/>
                <w:sz w:val="20"/>
              </w:rPr>
              <w:lastRenderedPageBreak/>
              <w:t>Administrative Advice:</w:t>
            </w:r>
          </w:p>
          <w:p w14:paraId="2FF5F0C8" w14:textId="77777777" w:rsidR="006C13E2" w:rsidRPr="009941F8" w:rsidRDefault="006C13E2" w:rsidP="00460084">
            <w:pPr>
              <w:rPr>
                <w:rFonts w:ascii="Arial Narrow" w:hAnsi="Arial Narrow"/>
                <w:iCs/>
                <w:sz w:val="20"/>
              </w:rPr>
            </w:pPr>
            <w:r w:rsidRPr="009941F8">
              <w:rPr>
                <w:rFonts w:ascii="Arial Narrow" w:hAnsi="Arial Narrow"/>
                <w:iCs/>
                <w:sz w:val="20"/>
              </w:rPr>
              <w:t>SLEDAI-2K can be accessed via Gladman 2002 J. Rheumatol. 29 (2) 288-291 or from AstraZeneca Medical Information on 1800 805 342.</w:t>
            </w:r>
          </w:p>
        </w:tc>
      </w:tr>
      <w:tr w:rsidR="00E96FF5" w:rsidRPr="009941F8" w14:paraId="457A234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494926" w14:textId="77777777" w:rsidR="006C13E2" w:rsidRPr="009941F8" w:rsidRDefault="006C13E2" w:rsidP="00460084">
            <w:pPr>
              <w:rPr>
                <w:rFonts w:ascii="Arial Narrow" w:hAnsi="Arial Narrow"/>
                <w:b/>
                <w:bCs/>
                <w:iCs/>
                <w:sz w:val="20"/>
              </w:rPr>
            </w:pPr>
            <w:r w:rsidRPr="009941F8">
              <w:rPr>
                <w:rFonts w:ascii="Arial Narrow" w:hAnsi="Arial Narrow"/>
                <w:b/>
                <w:bCs/>
                <w:iCs/>
                <w:sz w:val="20"/>
              </w:rPr>
              <w:t>Administrative Advice:</w:t>
            </w:r>
          </w:p>
          <w:p w14:paraId="1F8805A2" w14:textId="77777777" w:rsidR="006C13E2" w:rsidRPr="009941F8" w:rsidRDefault="006C13E2" w:rsidP="00460084">
            <w:pPr>
              <w:rPr>
                <w:rFonts w:ascii="Arial Narrow" w:hAnsi="Arial Narrow"/>
                <w:iCs/>
                <w:color w:val="7030A0"/>
                <w:sz w:val="20"/>
              </w:rPr>
            </w:pPr>
            <w:r w:rsidRPr="009941F8">
              <w:rPr>
                <w:rFonts w:ascii="Arial Narrow" w:hAnsi="Arial Narrow"/>
                <w:iCs/>
                <w:sz w:val="20"/>
              </w:rPr>
              <w:t xml:space="preserve">PGA can be accessed via Petri </w:t>
            </w:r>
            <w:r w:rsidRPr="009941F8">
              <w:rPr>
                <w:rFonts w:ascii="Arial Narrow" w:hAnsi="Arial Narrow"/>
                <w:i/>
                <w:sz w:val="20"/>
              </w:rPr>
              <w:t>2005</w:t>
            </w:r>
            <w:r w:rsidRPr="009941F8">
              <w:rPr>
                <w:rFonts w:ascii="Arial Narrow" w:hAnsi="Arial Narrow"/>
                <w:iCs/>
                <w:sz w:val="20"/>
              </w:rPr>
              <w:t xml:space="preserve"> </w:t>
            </w:r>
            <w:r w:rsidRPr="009941F8">
              <w:rPr>
                <w:rFonts w:ascii="Arial Narrow" w:hAnsi="Arial Narrow"/>
                <w:iCs/>
                <w:strike/>
                <w:sz w:val="20"/>
              </w:rPr>
              <w:t>M, Kim MY, Kalunian KC, et al. Combined oral contraceptives in women with systemic lupus erythematosus.</w:t>
            </w:r>
            <w:r w:rsidRPr="009941F8">
              <w:rPr>
                <w:rFonts w:ascii="Arial Narrow" w:hAnsi="Arial Narrow"/>
                <w:iCs/>
                <w:sz w:val="20"/>
              </w:rPr>
              <w:t xml:space="preserve"> N Engl J Med </w:t>
            </w:r>
            <w:r w:rsidRPr="009941F8">
              <w:rPr>
                <w:rFonts w:ascii="Arial Narrow" w:hAnsi="Arial Narrow"/>
                <w:iCs/>
                <w:strike/>
                <w:sz w:val="20"/>
              </w:rPr>
              <w:t>2005;</w:t>
            </w:r>
            <w:r w:rsidRPr="009941F8">
              <w:rPr>
                <w:rFonts w:ascii="Arial Narrow" w:hAnsi="Arial Narrow"/>
                <w:iCs/>
                <w:sz w:val="20"/>
              </w:rPr>
              <w:t xml:space="preserve"> 353: 2550-8.</w:t>
            </w:r>
          </w:p>
        </w:tc>
      </w:tr>
      <w:tr w:rsidR="00E96FF5" w:rsidRPr="009941F8" w14:paraId="3E81FC2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9FA17F" w14:textId="77777777" w:rsidR="006C13E2" w:rsidRPr="009941F8" w:rsidRDefault="006C13E2" w:rsidP="00460084">
            <w:pPr>
              <w:rPr>
                <w:rFonts w:ascii="Arial Narrow" w:hAnsi="Arial Narrow"/>
                <w:b/>
                <w:bCs/>
                <w:i/>
                <w:iCs/>
                <w:sz w:val="20"/>
              </w:rPr>
            </w:pPr>
            <w:r w:rsidRPr="009941F8">
              <w:rPr>
                <w:rFonts w:ascii="Arial Narrow" w:hAnsi="Arial Narrow"/>
                <w:b/>
                <w:bCs/>
                <w:i/>
                <w:iCs/>
                <w:sz w:val="20"/>
              </w:rPr>
              <w:t>Prescribing Instruction:</w:t>
            </w:r>
          </w:p>
          <w:p w14:paraId="50036904" w14:textId="66DB6B2E" w:rsidR="006C13E2" w:rsidRPr="009941F8" w:rsidRDefault="006C13E2" w:rsidP="00460084">
            <w:pPr>
              <w:rPr>
                <w:rFonts w:ascii="Arial Narrow" w:hAnsi="Arial Narrow"/>
                <w:b/>
                <w:bCs/>
                <w:iCs/>
                <w:sz w:val="20"/>
              </w:rPr>
            </w:pPr>
            <w:r w:rsidRPr="009941F8">
              <w:rPr>
                <w:rFonts w:ascii="Arial Narrow" w:hAnsi="Arial Narrow"/>
                <w:i/>
                <w:iCs/>
                <w:sz w:val="20"/>
                <w:szCs w:val="20"/>
              </w:rPr>
              <w:t xml:space="preserve">Where re-treatment with anifrolumab after a break in PBS-subsidised treatment with anifrolumab is being sought, the date of cessation of the previous treatment course with anifrolumab must be included in the application. Re-commencement of treatment with anifrolumab for severe SLE is within </w:t>
            </w:r>
            <w:r w:rsidRPr="00512D20">
              <w:rPr>
                <w:rFonts w:ascii="Arial Narrow" w:hAnsi="Arial Narrow"/>
                <w:i/>
                <w:iCs/>
                <w:sz w:val="20"/>
                <w:szCs w:val="20"/>
              </w:rPr>
              <w:t xml:space="preserve">12 months </w:t>
            </w:r>
            <w:r w:rsidRPr="009941F8">
              <w:rPr>
                <w:rFonts w:ascii="Arial Narrow" w:hAnsi="Arial Narrow"/>
                <w:i/>
                <w:iCs/>
                <w:sz w:val="20"/>
                <w:szCs w:val="20"/>
              </w:rPr>
              <w:t>from the date that treatment was ceased</w:t>
            </w:r>
          </w:p>
        </w:tc>
      </w:tr>
      <w:tr w:rsidR="00E96FF5" w:rsidRPr="009941F8" w14:paraId="2F605A7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FA1E84" w14:textId="77777777" w:rsidR="006C13E2" w:rsidRPr="009941F8" w:rsidRDefault="006C13E2" w:rsidP="00460084">
            <w:pPr>
              <w:rPr>
                <w:rFonts w:ascii="Arial Narrow" w:hAnsi="Arial Narrow"/>
                <w:b/>
                <w:bCs/>
                <w:iCs/>
                <w:sz w:val="20"/>
              </w:rPr>
            </w:pPr>
            <w:r w:rsidRPr="009941F8">
              <w:rPr>
                <w:rFonts w:ascii="Arial Narrow" w:hAnsi="Arial Narrow"/>
                <w:b/>
                <w:bCs/>
                <w:iCs/>
                <w:sz w:val="20"/>
              </w:rPr>
              <w:t>Administrative Advice:</w:t>
            </w:r>
          </w:p>
          <w:p w14:paraId="427161A7" w14:textId="77777777" w:rsidR="006C13E2" w:rsidRPr="009941F8" w:rsidRDefault="006C13E2" w:rsidP="00460084">
            <w:pPr>
              <w:rPr>
                <w:rFonts w:ascii="Arial Narrow" w:hAnsi="Arial Narrow"/>
                <w:bCs/>
                <w:iCs/>
                <w:sz w:val="20"/>
              </w:rPr>
            </w:pPr>
            <w:r w:rsidRPr="009941F8">
              <w:rPr>
                <w:rFonts w:ascii="Arial Narrow" w:hAnsi="Arial Narrow"/>
                <w:bCs/>
                <w:iCs/>
                <w:sz w:val="20"/>
              </w:rPr>
              <w:t>No increase in the maximum number of repeats may be authorised.</w:t>
            </w:r>
          </w:p>
        </w:tc>
      </w:tr>
      <w:tr w:rsidR="00E96FF5" w:rsidRPr="009941F8" w14:paraId="3F6D1CC2"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D7FE9" w14:textId="77777777" w:rsidR="006C13E2" w:rsidRPr="009941F8" w:rsidRDefault="006C13E2" w:rsidP="00460084">
            <w:pPr>
              <w:rPr>
                <w:rFonts w:ascii="Arial Narrow" w:hAnsi="Arial Narrow"/>
                <w:b/>
                <w:bCs/>
                <w:iCs/>
                <w:sz w:val="20"/>
              </w:rPr>
            </w:pPr>
            <w:r w:rsidRPr="009941F8">
              <w:rPr>
                <w:rFonts w:ascii="Arial Narrow" w:hAnsi="Arial Narrow"/>
                <w:b/>
                <w:bCs/>
                <w:iCs/>
                <w:sz w:val="20"/>
              </w:rPr>
              <w:t>Administrative Advice:</w:t>
            </w:r>
          </w:p>
          <w:p w14:paraId="3611035C" w14:textId="77777777" w:rsidR="006C13E2" w:rsidRPr="009941F8" w:rsidRDefault="006C13E2" w:rsidP="00460084">
            <w:pPr>
              <w:rPr>
                <w:rFonts w:ascii="Arial Narrow" w:hAnsi="Arial Narrow"/>
                <w:bCs/>
                <w:iCs/>
                <w:sz w:val="20"/>
              </w:rPr>
            </w:pPr>
            <w:r w:rsidRPr="009941F8">
              <w:rPr>
                <w:rFonts w:ascii="Arial Narrow" w:hAnsi="Arial Narrow"/>
                <w:bCs/>
                <w:iCs/>
                <w:sz w:val="20"/>
              </w:rPr>
              <w:t>No increase in the maximum quantity or number of units may be authorised.</w:t>
            </w:r>
          </w:p>
        </w:tc>
      </w:tr>
      <w:tr w:rsidR="00E96FF5" w:rsidRPr="009941F8" w14:paraId="57BBD90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D6B890" w14:textId="77777777" w:rsidR="006C13E2" w:rsidRPr="009941F8" w:rsidRDefault="006C13E2" w:rsidP="00235D09">
            <w:pPr>
              <w:keepNext/>
              <w:rPr>
                <w:rFonts w:ascii="Arial Narrow" w:hAnsi="Arial Narrow"/>
                <w:iCs/>
                <w:sz w:val="20"/>
              </w:rPr>
            </w:pPr>
            <w:r w:rsidRPr="009941F8">
              <w:rPr>
                <w:rFonts w:ascii="Arial Narrow" w:hAnsi="Arial Narrow"/>
                <w:b/>
                <w:bCs/>
                <w:iCs/>
                <w:sz w:val="20"/>
              </w:rPr>
              <w:t>Administrative Advice:</w:t>
            </w:r>
          </w:p>
          <w:p w14:paraId="7F732C73" w14:textId="77777777" w:rsidR="006C13E2" w:rsidRPr="009941F8" w:rsidRDefault="006C13E2" w:rsidP="00235D09">
            <w:pPr>
              <w:keepNext/>
              <w:rPr>
                <w:rFonts w:ascii="Arial Narrow" w:hAnsi="Arial Narrow"/>
                <w:iCs/>
                <w:sz w:val="20"/>
                <w:u w:val="single"/>
              </w:rPr>
            </w:pPr>
            <w:r w:rsidRPr="009941F8">
              <w:rPr>
                <w:rFonts w:ascii="Arial Narrow" w:hAnsi="Arial Narrow"/>
                <w:iCs/>
                <w:sz w:val="20"/>
                <w:u w:val="single"/>
              </w:rPr>
              <w:t>Note</w:t>
            </w:r>
          </w:p>
          <w:p w14:paraId="007D2434" w14:textId="77777777" w:rsidR="006C13E2" w:rsidRPr="009941F8" w:rsidRDefault="006C13E2" w:rsidP="00460084">
            <w:pPr>
              <w:rPr>
                <w:rFonts w:ascii="Arial Narrow" w:hAnsi="Arial Narrow"/>
                <w:b/>
                <w:bCs/>
                <w:iCs/>
                <w:sz w:val="20"/>
              </w:rPr>
            </w:pPr>
            <w:r w:rsidRPr="009941F8">
              <w:rPr>
                <w:rFonts w:ascii="Arial Narrow" w:hAnsi="Arial Narrow"/>
                <w:iCs/>
                <w:sz w:val="20"/>
              </w:rPr>
              <w:t>[Complex Authority Required flag] Any queries concerning the arrangements to prescribe may be directed to the Department of Human Services on 1800 700 270 (hours of operation 8 a.m. to 5 p.m. Monday to Friday).</w:t>
            </w:r>
          </w:p>
        </w:tc>
      </w:tr>
    </w:tbl>
    <w:p w14:paraId="1D247CB0" w14:textId="77777777" w:rsidR="006C13E2" w:rsidRPr="009941F8" w:rsidRDefault="006C13E2" w:rsidP="006C13E2">
      <w:pPr>
        <w:rPr>
          <w:rFonts w:ascii="Times New Roman" w:hAnsi="Times New Roman"/>
          <w:color w:val="3366FF"/>
          <w:lang w:eastAsia="en-US"/>
        </w:rPr>
      </w:pPr>
    </w:p>
    <w:p w14:paraId="1BD02B54" w14:textId="5C4BAAAD" w:rsidR="006C13E2" w:rsidRPr="009941F8" w:rsidRDefault="0095784E" w:rsidP="007039CE">
      <w:pPr>
        <w:keepNext/>
        <w:keepLines/>
        <w:rPr>
          <w:b/>
          <w:bCs/>
        </w:rPr>
      </w:pPr>
      <w:r w:rsidRPr="009941F8">
        <w:rPr>
          <w:b/>
          <w:bCs/>
        </w:rPr>
        <w:t>B</w:t>
      </w:r>
      <w:r w:rsidR="006C13E2" w:rsidRPr="009941F8">
        <w:rPr>
          <w:b/>
          <w:bCs/>
        </w:rPr>
        <w:t>alance of supply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E96FF5" w:rsidRPr="009941F8" w14:paraId="39B3D40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2C061C" w14:textId="77777777" w:rsidR="006C13E2" w:rsidRPr="009941F8" w:rsidRDefault="006C13E2" w:rsidP="00640EC9">
            <w:pPr>
              <w:keepNext/>
              <w:rPr>
                <w:rFonts w:ascii="Arial Narrow" w:hAnsi="Arial Narrow"/>
                <w:i/>
                <w:iCs/>
                <w:sz w:val="20"/>
              </w:rPr>
            </w:pPr>
            <w:r w:rsidRPr="009941F8">
              <w:rPr>
                <w:rFonts w:ascii="Arial Narrow" w:hAnsi="Arial Narrow"/>
                <w:b/>
                <w:i/>
                <w:iCs/>
                <w:sz w:val="20"/>
              </w:rPr>
              <w:t xml:space="preserve">Category / Program:  </w:t>
            </w:r>
            <w:r w:rsidRPr="009941F8">
              <w:rPr>
                <w:rFonts w:ascii="Arial Narrow" w:hAnsi="Arial Narrow"/>
                <w:i/>
                <w:iCs/>
                <w:sz w:val="20"/>
              </w:rPr>
              <w:t>Section 100 – Highly Specialised Drugs Program</w:t>
            </w:r>
          </w:p>
        </w:tc>
      </w:tr>
      <w:tr w:rsidR="00E96FF5" w:rsidRPr="009941F8" w14:paraId="5D01D2B1" w14:textId="77777777" w:rsidTr="006C13E2">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9A4D83" w14:textId="77777777" w:rsidR="006C13E2" w:rsidRPr="009941F8" w:rsidRDefault="006C13E2" w:rsidP="00640EC9">
            <w:pPr>
              <w:keepNext/>
              <w:rPr>
                <w:rFonts w:ascii="Arial Narrow" w:hAnsi="Arial Narrow"/>
                <w:b/>
                <w:i/>
                <w:iCs/>
                <w:sz w:val="20"/>
                <w:highlight w:val="green"/>
              </w:rPr>
            </w:pPr>
            <w:r w:rsidRPr="009941F8">
              <w:rPr>
                <w:rFonts w:ascii="Arial Narrow" w:hAnsi="Arial Narrow"/>
                <w:b/>
                <w:i/>
                <w:iCs/>
                <w:sz w:val="20"/>
              </w:rPr>
              <w:t xml:space="preserve">Prescriber type:  </w:t>
            </w:r>
            <w:r w:rsidRPr="009941F8">
              <w:rPr>
                <w:rFonts w:ascii="Arial Narrow" w:hAnsi="Arial Narrow"/>
                <w:i/>
                <w:iCs/>
                <w:sz w:val="20"/>
              </w:rPr>
              <w:fldChar w:fldCharType="begin" w:fldLock="1">
                <w:ffData>
                  <w:name w:val=""/>
                  <w:enabled/>
                  <w:calcOnExit w:val="0"/>
                  <w:checkBox>
                    <w:sizeAuto/>
                    <w:default w:val="1"/>
                  </w:checkBox>
                </w:ffData>
              </w:fldChar>
            </w:r>
            <w:r w:rsidRPr="009941F8">
              <w:rPr>
                <w:rFonts w:ascii="Arial Narrow" w:hAnsi="Arial Narrow"/>
                <w:i/>
                <w:iCs/>
                <w:sz w:val="20"/>
              </w:rPr>
              <w:instrText xml:space="preserve"> FORMCHECKBOX </w:instrText>
            </w:r>
            <w:r w:rsidR="00CE7EC7">
              <w:rPr>
                <w:rFonts w:ascii="Arial Narrow" w:hAnsi="Arial Narrow"/>
                <w:i/>
                <w:iCs/>
                <w:sz w:val="20"/>
              </w:rPr>
            </w:r>
            <w:r w:rsidR="00CE7EC7">
              <w:rPr>
                <w:rFonts w:ascii="Arial Narrow" w:hAnsi="Arial Narrow"/>
                <w:i/>
                <w:iCs/>
                <w:sz w:val="20"/>
              </w:rPr>
              <w:fldChar w:fldCharType="separate"/>
            </w:r>
            <w:r w:rsidRPr="009941F8">
              <w:rPr>
                <w:rFonts w:ascii="Arial Narrow" w:hAnsi="Arial Narrow"/>
                <w:i/>
                <w:iCs/>
                <w:sz w:val="20"/>
              </w:rPr>
              <w:fldChar w:fldCharType="end"/>
            </w:r>
            <w:r w:rsidRPr="009941F8">
              <w:rPr>
                <w:rFonts w:ascii="Arial Narrow" w:hAnsi="Arial Narrow"/>
                <w:i/>
                <w:iCs/>
                <w:sz w:val="20"/>
              </w:rPr>
              <w:t>Medical Practitioners</w:t>
            </w:r>
          </w:p>
        </w:tc>
      </w:tr>
      <w:tr w:rsidR="00E96FF5" w:rsidRPr="009941F8" w14:paraId="5967C058" w14:textId="77777777" w:rsidTr="006C13E2">
        <w:trPr>
          <w:trHeight w:val="446"/>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D0A658" w14:textId="77777777" w:rsidR="006C13E2" w:rsidRPr="009941F8" w:rsidRDefault="006C13E2" w:rsidP="00640EC9">
            <w:pPr>
              <w:keepNext/>
              <w:rPr>
                <w:rFonts w:ascii="Arial Narrow" w:hAnsi="Arial Narrow"/>
                <w:b/>
                <w:i/>
                <w:iCs/>
                <w:sz w:val="20"/>
              </w:rPr>
            </w:pPr>
            <w:r w:rsidRPr="009941F8">
              <w:rPr>
                <w:rFonts w:ascii="Arial Narrow" w:hAnsi="Arial Narrow"/>
                <w:b/>
                <w:i/>
                <w:iCs/>
                <w:sz w:val="20"/>
              </w:rPr>
              <w:t>Restriction Level / Method:</w:t>
            </w:r>
          </w:p>
          <w:p w14:paraId="718A3EDB" w14:textId="77777777" w:rsidR="006C13E2" w:rsidRPr="009941F8" w:rsidRDefault="006C13E2" w:rsidP="00640EC9">
            <w:pPr>
              <w:keepNext/>
              <w:rPr>
                <w:rFonts w:ascii="Arial Narrow" w:hAnsi="Arial Narrow"/>
                <w:i/>
                <w:iCs/>
                <w:sz w:val="20"/>
                <w:highlight w:val="green"/>
              </w:rPr>
            </w:pPr>
            <w:r w:rsidRPr="009941F8">
              <w:rPr>
                <w:rFonts w:ascii="Arial Narrow" w:hAnsi="Arial Narrow"/>
                <w:i/>
                <w:iCs/>
                <w:sz w:val="20"/>
              </w:rPr>
              <w:fldChar w:fldCharType="begin" w:fldLock="1">
                <w:ffData>
                  <w:name w:val="Check3"/>
                  <w:enabled/>
                  <w:calcOnExit w:val="0"/>
                  <w:checkBox>
                    <w:sizeAuto/>
                    <w:default w:val="1"/>
                  </w:checkBox>
                </w:ffData>
              </w:fldChar>
            </w:r>
            <w:r w:rsidRPr="009941F8">
              <w:rPr>
                <w:rFonts w:ascii="Arial Narrow" w:hAnsi="Arial Narrow"/>
                <w:i/>
                <w:iCs/>
                <w:sz w:val="20"/>
              </w:rPr>
              <w:instrText xml:space="preserve"> FORMCHECKBOX </w:instrText>
            </w:r>
            <w:r w:rsidR="00CE7EC7">
              <w:rPr>
                <w:rFonts w:ascii="Arial Narrow" w:hAnsi="Arial Narrow"/>
                <w:i/>
                <w:iCs/>
                <w:sz w:val="20"/>
              </w:rPr>
            </w:r>
            <w:r w:rsidR="00CE7EC7">
              <w:rPr>
                <w:rFonts w:ascii="Arial Narrow" w:hAnsi="Arial Narrow"/>
                <w:i/>
                <w:iCs/>
                <w:sz w:val="20"/>
              </w:rPr>
              <w:fldChar w:fldCharType="separate"/>
            </w:r>
            <w:r w:rsidRPr="009941F8">
              <w:rPr>
                <w:rFonts w:ascii="Arial Narrow" w:hAnsi="Arial Narrow"/>
                <w:i/>
                <w:iCs/>
                <w:sz w:val="20"/>
              </w:rPr>
              <w:fldChar w:fldCharType="end"/>
            </w:r>
            <w:r w:rsidRPr="009941F8">
              <w:rPr>
                <w:rFonts w:ascii="Arial Narrow" w:hAnsi="Arial Narrow"/>
                <w:i/>
                <w:iCs/>
                <w:sz w:val="20"/>
              </w:rPr>
              <w:t>Authority Required – Telephone/Online PBS Authorities immediate assessment</w:t>
            </w:r>
          </w:p>
        </w:tc>
      </w:tr>
      <w:tr w:rsidR="00E96FF5" w:rsidRPr="009941F8" w14:paraId="5B77C40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2093E3" w14:textId="77777777" w:rsidR="006C13E2" w:rsidRPr="009941F8" w:rsidRDefault="006C13E2" w:rsidP="00640EC9">
            <w:pPr>
              <w:keepNext/>
              <w:rPr>
                <w:rFonts w:ascii="Arial Narrow" w:hAnsi="Arial Narrow"/>
                <w:b/>
                <w:bCs/>
                <w:i/>
                <w:iCs/>
                <w:sz w:val="20"/>
                <w:highlight w:val="green"/>
              </w:rPr>
            </w:pPr>
            <w:r w:rsidRPr="009941F8">
              <w:rPr>
                <w:rFonts w:ascii="Arial Narrow" w:hAnsi="Arial Narrow"/>
                <w:b/>
                <w:bCs/>
                <w:i/>
                <w:iCs/>
                <w:sz w:val="20"/>
              </w:rPr>
              <w:t xml:space="preserve">Condition: </w:t>
            </w:r>
            <w:r w:rsidRPr="009941F8">
              <w:rPr>
                <w:rFonts w:ascii="Arial Narrow" w:hAnsi="Arial Narrow"/>
                <w:i/>
                <w:iCs/>
                <w:sz w:val="20"/>
              </w:rPr>
              <w:t>Systemic lupus erythematosus</w:t>
            </w:r>
          </w:p>
        </w:tc>
      </w:tr>
      <w:tr w:rsidR="00E96FF5" w:rsidRPr="009941F8" w14:paraId="6B2507B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088BB6" w14:textId="77777777" w:rsidR="006C13E2" w:rsidRPr="009941F8" w:rsidRDefault="006C13E2" w:rsidP="00640EC9">
            <w:pPr>
              <w:keepNext/>
              <w:rPr>
                <w:rFonts w:ascii="Arial Narrow" w:hAnsi="Arial Narrow"/>
                <w:i/>
                <w:iCs/>
                <w:sz w:val="20"/>
              </w:rPr>
            </w:pPr>
            <w:r w:rsidRPr="009941F8">
              <w:rPr>
                <w:rFonts w:ascii="Arial Narrow" w:hAnsi="Arial Narrow"/>
                <w:b/>
                <w:bCs/>
                <w:i/>
                <w:iCs/>
                <w:strike/>
                <w:sz w:val="20"/>
              </w:rPr>
              <w:t>PBS</w:t>
            </w:r>
            <w:r w:rsidRPr="009941F8">
              <w:rPr>
                <w:rFonts w:ascii="Arial Narrow" w:hAnsi="Arial Narrow"/>
                <w:b/>
                <w:bCs/>
                <w:i/>
                <w:iCs/>
                <w:sz w:val="20"/>
              </w:rPr>
              <w:t xml:space="preserve"> Indication:</w:t>
            </w:r>
            <w:r w:rsidRPr="009941F8">
              <w:rPr>
                <w:rFonts w:ascii="Arial Narrow" w:hAnsi="Arial Narrow"/>
                <w:i/>
                <w:iCs/>
                <w:sz w:val="20"/>
              </w:rPr>
              <w:t xml:space="preserve"> Systemic lupus erythematosus</w:t>
            </w:r>
          </w:p>
        </w:tc>
      </w:tr>
      <w:tr w:rsidR="00E96FF5" w:rsidRPr="009941F8" w14:paraId="46A0A6D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DE8F45" w14:textId="77777777" w:rsidR="006C13E2" w:rsidRPr="009941F8" w:rsidRDefault="006C13E2" w:rsidP="00640EC9">
            <w:pPr>
              <w:keepNext/>
              <w:rPr>
                <w:rFonts w:ascii="Arial Narrow" w:hAnsi="Arial Narrow"/>
                <w:i/>
                <w:iCs/>
                <w:sz w:val="20"/>
                <w:highlight w:val="green"/>
              </w:rPr>
            </w:pPr>
            <w:r w:rsidRPr="009941F8">
              <w:rPr>
                <w:rFonts w:ascii="Arial Narrow" w:hAnsi="Arial Narrow"/>
                <w:b/>
                <w:bCs/>
                <w:i/>
                <w:iCs/>
                <w:sz w:val="20"/>
              </w:rPr>
              <w:t>Treatment Phase:</w:t>
            </w:r>
            <w:r w:rsidRPr="009941F8">
              <w:rPr>
                <w:rFonts w:ascii="Arial Narrow" w:hAnsi="Arial Narrow"/>
                <w:i/>
                <w:iCs/>
                <w:sz w:val="20"/>
              </w:rPr>
              <w:t xml:space="preserve"> Balance of Supply </w:t>
            </w:r>
          </w:p>
        </w:tc>
      </w:tr>
      <w:tr w:rsidR="00E96FF5" w:rsidRPr="009941F8" w14:paraId="6CAABB0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A3CB49" w14:textId="77777777" w:rsidR="006C13E2" w:rsidRPr="009941F8" w:rsidRDefault="006C13E2" w:rsidP="00640EC9">
            <w:pPr>
              <w:keepNext/>
              <w:rPr>
                <w:rFonts w:ascii="Arial Narrow" w:hAnsi="Arial Narrow"/>
                <w:b/>
                <w:bCs/>
                <w:i/>
                <w:iCs/>
                <w:sz w:val="20"/>
              </w:rPr>
            </w:pPr>
            <w:r w:rsidRPr="009941F8">
              <w:rPr>
                <w:rFonts w:ascii="Arial Narrow" w:hAnsi="Arial Narrow"/>
                <w:b/>
                <w:bCs/>
                <w:i/>
                <w:iCs/>
                <w:sz w:val="20"/>
              </w:rPr>
              <w:t>Treatment criteria:</w:t>
            </w:r>
          </w:p>
        </w:tc>
      </w:tr>
      <w:tr w:rsidR="00E96FF5" w:rsidRPr="009941F8" w14:paraId="6333F93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9B2D79" w14:textId="77777777" w:rsidR="006C13E2" w:rsidRPr="009941F8" w:rsidRDefault="006C13E2" w:rsidP="00640EC9">
            <w:pPr>
              <w:keepNext/>
              <w:rPr>
                <w:rFonts w:ascii="Arial Narrow" w:hAnsi="Arial Narrow"/>
                <w:b/>
                <w:bCs/>
                <w:i/>
                <w:iCs/>
                <w:sz w:val="20"/>
              </w:rPr>
            </w:pPr>
            <w:r w:rsidRPr="009941F8">
              <w:rPr>
                <w:rFonts w:ascii="Arial Narrow" w:hAnsi="Arial Narrow"/>
                <w:i/>
                <w:iCs/>
                <w:sz w:val="20"/>
              </w:rPr>
              <w:t>Must be treated by a specialist physician experienced in the management of this condition</w:t>
            </w:r>
          </w:p>
        </w:tc>
      </w:tr>
      <w:tr w:rsidR="00E96FF5" w:rsidRPr="009941F8" w14:paraId="438EE89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1703C5" w14:textId="77777777" w:rsidR="006C13E2" w:rsidRPr="009941F8" w:rsidRDefault="006C13E2" w:rsidP="00640EC9">
            <w:pPr>
              <w:keepNext/>
              <w:rPr>
                <w:rFonts w:ascii="Arial Narrow" w:hAnsi="Arial Narrow"/>
                <w:b/>
                <w:bCs/>
                <w:i/>
                <w:iCs/>
                <w:sz w:val="20"/>
              </w:rPr>
            </w:pPr>
            <w:r w:rsidRPr="009941F8">
              <w:rPr>
                <w:rFonts w:ascii="Arial Narrow" w:hAnsi="Arial Narrow"/>
                <w:b/>
                <w:bCs/>
                <w:i/>
                <w:iCs/>
                <w:sz w:val="20"/>
              </w:rPr>
              <w:t>Clinical criteria:</w:t>
            </w:r>
          </w:p>
        </w:tc>
      </w:tr>
      <w:tr w:rsidR="00E96FF5" w:rsidRPr="009941F8" w14:paraId="378D060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ABF9DF" w14:textId="77777777" w:rsidR="006C13E2" w:rsidRPr="009941F8" w:rsidRDefault="006C13E2" w:rsidP="00640EC9">
            <w:pPr>
              <w:keepNext/>
              <w:rPr>
                <w:rFonts w:ascii="Arial Narrow" w:hAnsi="Arial Narrow"/>
                <w:i/>
                <w:iCs/>
                <w:sz w:val="20"/>
              </w:rPr>
            </w:pPr>
            <w:r w:rsidRPr="009941F8">
              <w:rPr>
                <w:rFonts w:ascii="Arial Narrow" w:hAnsi="Arial Narrow"/>
                <w:i/>
                <w:iCs/>
                <w:sz w:val="20"/>
              </w:rPr>
              <w:t>Patient must have received insufficient therapy under either the (i) initial treatment phase; (ii) continuing treatment phase</w:t>
            </w:r>
          </w:p>
        </w:tc>
      </w:tr>
      <w:tr w:rsidR="00E96FF5" w:rsidRPr="009941F8" w14:paraId="373CA53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B65FF8" w14:textId="77777777" w:rsidR="006C13E2" w:rsidRPr="009941F8" w:rsidRDefault="006C13E2" w:rsidP="00640EC9">
            <w:pPr>
              <w:keepNext/>
              <w:rPr>
                <w:rFonts w:ascii="Arial Narrow" w:hAnsi="Arial Narrow"/>
                <w:b/>
                <w:bCs/>
                <w:i/>
                <w:iCs/>
                <w:sz w:val="20"/>
              </w:rPr>
            </w:pPr>
            <w:r w:rsidRPr="009941F8">
              <w:rPr>
                <w:rFonts w:ascii="Arial Narrow" w:hAnsi="Arial Narrow"/>
                <w:b/>
                <w:bCs/>
                <w:i/>
                <w:iCs/>
                <w:sz w:val="20"/>
              </w:rPr>
              <w:t>AND</w:t>
            </w:r>
          </w:p>
        </w:tc>
      </w:tr>
      <w:tr w:rsidR="00E96FF5" w:rsidRPr="009941F8" w14:paraId="3DAEE3C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A406C2" w14:textId="77777777" w:rsidR="006C13E2" w:rsidRPr="009941F8" w:rsidRDefault="006C13E2" w:rsidP="00640EC9">
            <w:pPr>
              <w:keepNext/>
              <w:rPr>
                <w:rFonts w:ascii="Arial Narrow" w:hAnsi="Arial Narrow"/>
                <w:b/>
                <w:bCs/>
                <w:i/>
                <w:iCs/>
                <w:sz w:val="20"/>
              </w:rPr>
            </w:pPr>
            <w:r w:rsidRPr="009941F8">
              <w:rPr>
                <w:rFonts w:ascii="Arial Narrow" w:hAnsi="Arial Narrow"/>
                <w:b/>
                <w:bCs/>
                <w:i/>
                <w:iCs/>
                <w:sz w:val="20"/>
              </w:rPr>
              <w:t>Clinical criteria:</w:t>
            </w:r>
          </w:p>
        </w:tc>
      </w:tr>
      <w:tr w:rsidR="00E96FF5" w:rsidRPr="009941F8" w14:paraId="79225C1D" w14:textId="77777777" w:rsidTr="006C13E2">
        <w:trPr>
          <w:trHeight w:val="335"/>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F11751" w14:textId="77777777" w:rsidR="006C13E2" w:rsidRPr="009941F8" w:rsidRDefault="006C13E2" w:rsidP="00640EC9">
            <w:pPr>
              <w:keepNext/>
              <w:rPr>
                <w:rFonts w:ascii="Arial Narrow" w:eastAsiaTheme="majorEastAsia" w:hAnsi="Arial Narrow"/>
                <w:i/>
                <w:iCs/>
                <w:sz w:val="20"/>
                <w:szCs w:val="20"/>
                <w:lang w:bidi="en-US"/>
              </w:rPr>
            </w:pPr>
            <w:r w:rsidRPr="009941F8">
              <w:rPr>
                <w:rFonts w:ascii="Arial Narrow" w:eastAsiaTheme="majorEastAsia" w:hAnsi="Arial Narrow"/>
                <w:i/>
                <w:iCs/>
                <w:sz w:val="20"/>
                <w:szCs w:val="20"/>
                <w:lang w:bidi="en-US"/>
              </w:rPr>
              <w:t xml:space="preserve">Patient must not have met the 6-month assessment of treatment response criteria due to either: </w:t>
            </w:r>
          </w:p>
          <w:p w14:paraId="60187A21" w14:textId="77777777" w:rsidR="006C13E2" w:rsidRPr="009941F8" w:rsidRDefault="006C13E2" w:rsidP="00640EC9">
            <w:pPr>
              <w:pStyle w:val="ListParagraph"/>
              <w:keepNext/>
              <w:numPr>
                <w:ilvl w:val="0"/>
                <w:numId w:val="27"/>
              </w:numPr>
              <w:spacing w:after="0"/>
              <w:contextualSpacing/>
              <w:jc w:val="left"/>
              <w:rPr>
                <w:rFonts w:ascii="Arial Narrow" w:eastAsiaTheme="majorEastAsia" w:hAnsi="Arial Narrow"/>
                <w:i/>
                <w:iCs/>
                <w:sz w:val="20"/>
                <w:szCs w:val="20"/>
                <w:lang w:bidi="en-US"/>
              </w:rPr>
            </w:pPr>
            <w:r w:rsidRPr="009941F8">
              <w:rPr>
                <w:rFonts w:ascii="Arial Narrow" w:eastAsiaTheme="majorEastAsia" w:hAnsi="Arial Narrow"/>
                <w:i/>
                <w:iCs/>
                <w:sz w:val="20"/>
                <w:szCs w:val="20"/>
                <w:lang w:bidi="en-US"/>
              </w:rPr>
              <w:t>intercurrent illness (e.g. viral infection)</w:t>
            </w:r>
          </w:p>
          <w:p w14:paraId="26123FFF" w14:textId="77777777" w:rsidR="006C13E2" w:rsidRPr="009941F8" w:rsidRDefault="006C13E2" w:rsidP="00640EC9">
            <w:pPr>
              <w:pStyle w:val="ListParagraph"/>
              <w:keepNext/>
              <w:numPr>
                <w:ilvl w:val="0"/>
                <w:numId w:val="27"/>
              </w:numPr>
              <w:spacing w:after="0"/>
              <w:contextualSpacing/>
              <w:jc w:val="left"/>
              <w:rPr>
                <w:rFonts w:ascii="Arial Narrow" w:eastAsiaTheme="majorEastAsia" w:hAnsi="Arial Narrow"/>
                <w:i/>
                <w:iCs/>
                <w:sz w:val="20"/>
                <w:szCs w:val="20"/>
                <w:lang w:bidi="en-US"/>
              </w:rPr>
            </w:pPr>
            <w:r w:rsidRPr="009941F8">
              <w:rPr>
                <w:rFonts w:ascii="Arial Narrow" w:eastAsiaTheme="majorEastAsia" w:hAnsi="Arial Narrow"/>
                <w:i/>
                <w:iCs/>
                <w:sz w:val="20"/>
                <w:szCs w:val="20"/>
                <w:lang w:bidi="en-US"/>
              </w:rPr>
              <w:t>oral corticosteroid dose temporarily increased above 7.5mg/day (e.g. comorbid asthma, allergic reaction)</w:t>
            </w:r>
          </w:p>
        </w:tc>
      </w:tr>
      <w:tr w:rsidR="00E96FF5" w:rsidRPr="009941F8" w14:paraId="60AC752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AC1A78" w14:textId="77777777" w:rsidR="006C13E2" w:rsidRPr="009941F8" w:rsidRDefault="006C13E2" w:rsidP="00640EC9">
            <w:pPr>
              <w:keepNext/>
              <w:rPr>
                <w:rFonts w:ascii="Arial Narrow" w:hAnsi="Arial Narrow"/>
                <w:b/>
                <w:bCs/>
                <w:i/>
                <w:iCs/>
                <w:sz w:val="20"/>
              </w:rPr>
            </w:pPr>
            <w:r w:rsidRPr="009941F8">
              <w:rPr>
                <w:rFonts w:ascii="Arial Narrow" w:hAnsi="Arial Narrow"/>
                <w:b/>
                <w:bCs/>
                <w:i/>
                <w:iCs/>
                <w:sz w:val="20"/>
              </w:rPr>
              <w:t>Administrative Advice:</w:t>
            </w:r>
          </w:p>
          <w:p w14:paraId="21804D34" w14:textId="77777777" w:rsidR="006C13E2" w:rsidRPr="009941F8" w:rsidRDefault="006C13E2" w:rsidP="00640EC9">
            <w:pPr>
              <w:keepNext/>
              <w:rPr>
                <w:rFonts w:ascii="Arial Narrow" w:hAnsi="Arial Narrow"/>
                <w:bCs/>
                <w:i/>
                <w:iCs/>
                <w:sz w:val="20"/>
              </w:rPr>
            </w:pPr>
            <w:r w:rsidRPr="009941F8">
              <w:rPr>
                <w:rFonts w:ascii="Arial Narrow" w:hAnsi="Arial Narrow"/>
                <w:bCs/>
                <w:i/>
                <w:iCs/>
                <w:sz w:val="20"/>
              </w:rPr>
              <w:t>No increase in the maximum number of repeats may be authorised.</w:t>
            </w:r>
          </w:p>
        </w:tc>
      </w:tr>
      <w:tr w:rsidR="00E96FF5" w:rsidRPr="009941F8" w14:paraId="534641A0"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486F9B" w14:textId="77777777" w:rsidR="006C13E2" w:rsidRPr="009941F8" w:rsidRDefault="006C13E2" w:rsidP="00640EC9">
            <w:pPr>
              <w:keepNext/>
              <w:rPr>
                <w:rFonts w:ascii="Arial Narrow" w:hAnsi="Arial Narrow"/>
                <w:b/>
                <w:bCs/>
                <w:i/>
                <w:iCs/>
                <w:sz w:val="20"/>
              </w:rPr>
            </w:pPr>
            <w:r w:rsidRPr="009941F8">
              <w:rPr>
                <w:rFonts w:ascii="Arial Narrow" w:hAnsi="Arial Narrow"/>
                <w:b/>
                <w:bCs/>
                <w:i/>
                <w:iCs/>
                <w:sz w:val="20"/>
              </w:rPr>
              <w:t>Administrative Advice:</w:t>
            </w:r>
          </w:p>
          <w:p w14:paraId="47EE7862" w14:textId="77777777" w:rsidR="006C13E2" w:rsidRPr="009941F8" w:rsidRDefault="006C13E2" w:rsidP="00640EC9">
            <w:pPr>
              <w:keepNext/>
              <w:rPr>
                <w:rFonts w:ascii="Arial Narrow" w:hAnsi="Arial Narrow"/>
                <w:bCs/>
                <w:i/>
                <w:iCs/>
                <w:sz w:val="20"/>
              </w:rPr>
            </w:pPr>
            <w:r w:rsidRPr="009941F8">
              <w:rPr>
                <w:rFonts w:ascii="Arial Narrow" w:hAnsi="Arial Narrow"/>
                <w:bCs/>
                <w:i/>
                <w:iCs/>
                <w:sz w:val="20"/>
              </w:rPr>
              <w:t>No increase in the maximum quantity or number of units may be authorised.</w:t>
            </w:r>
          </w:p>
        </w:tc>
      </w:tr>
      <w:tr w:rsidR="00E96FF5" w:rsidRPr="009941F8" w14:paraId="4A89880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CA9A70" w14:textId="77777777" w:rsidR="006C13E2" w:rsidRPr="009941F8" w:rsidRDefault="006C13E2" w:rsidP="00460084">
            <w:pPr>
              <w:rPr>
                <w:rFonts w:ascii="Arial Narrow" w:hAnsi="Arial Narrow"/>
                <w:i/>
                <w:iCs/>
                <w:sz w:val="20"/>
              </w:rPr>
            </w:pPr>
            <w:r w:rsidRPr="009941F8">
              <w:rPr>
                <w:rFonts w:ascii="Arial Narrow" w:hAnsi="Arial Narrow"/>
                <w:b/>
                <w:bCs/>
                <w:i/>
                <w:iCs/>
                <w:sz w:val="20"/>
              </w:rPr>
              <w:t>Administrative Advice:</w:t>
            </w:r>
          </w:p>
          <w:p w14:paraId="2F9367DF" w14:textId="77777777" w:rsidR="006C13E2" w:rsidRPr="009941F8" w:rsidRDefault="006C13E2" w:rsidP="00460084">
            <w:pPr>
              <w:rPr>
                <w:rFonts w:ascii="Arial Narrow" w:hAnsi="Arial Narrow"/>
                <w:i/>
                <w:iCs/>
                <w:sz w:val="20"/>
                <w:u w:val="single"/>
              </w:rPr>
            </w:pPr>
            <w:r w:rsidRPr="009941F8">
              <w:rPr>
                <w:rFonts w:ascii="Arial Narrow" w:hAnsi="Arial Narrow"/>
                <w:i/>
                <w:iCs/>
                <w:sz w:val="20"/>
                <w:u w:val="single"/>
              </w:rPr>
              <w:t>Note</w:t>
            </w:r>
          </w:p>
          <w:p w14:paraId="45049DCB" w14:textId="77777777" w:rsidR="006C13E2" w:rsidRPr="009941F8" w:rsidRDefault="006C13E2" w:rsidP="00460084">
            <w:pPr>
              <w:rPr>
                <w:rFonts w:ascii="Arial Narrow" w:hAnsi="Arial Narrow"/>
                <w:b/>
                <w:bCs/>
                <w:i/>
                <w:iCs/>
                <w:sz w:val="20"/>
              </w:rPr>
            </w:pPr>
            <w:r w:rsidRPr="009941F8">
              <w:rPr>
                <w:rFonts w:ascii="Arial Narrow" w:hAnsi="Arial Narrow"/>
                <w:i/>
                <w:iCs/>
                <w:sz w:val="20"/>
              </w:rPr>
              <w:t>[Complex Authority Required flag] Any queries concerning the arrangements to prescribe may be directed to the Department of Human Services on 1800 700 270 (hours of operation 8 a.m. to 5 p.m. Monday to Friday).</w:t>
            </w:r>
          </w:p>
        </w:tc>
      </w:tr>
    </w:tbl>
    <w:p w14:paraId="667D79FD" w14:textId="42270854" w:rsidR="006C13E2" w:rsidRPr="009941F8" w:rsidRDefault="006C13E2" w:rsidP="00F54881">
      <w:pPr>
        <w:keepNext/>
        <w:keepLines/>
        <w:spacing w:before="120"/>
        <w:rPr>
          <w:b/>
          <w:bCs/>
        </w:rPr>
      </w:pPr>
      <w:r w:rsidRPr="009941F8">
        <w:rPr>
          <w:b/>
          <w:bCs/>
        </w:rPr>
        <w:lastRenderedPageBreak/>
        <w:t xml:space="preserve">Grandfather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E96FF5" w:rsidRPr="009941F8" w14:paraId="319CC99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A9E00F" w14:textId="77777777" w:rsidR="006C13E2" w:rsidRPr="009941F8" w:rsidRDefault="006C13E2" w:rsidP="00460084">
            <w:pPr>
              <w:rPr>
                <w:rFonts w:ascii="Arial Narrow" w:hAnsi="Arial Narrow"/>
                <w:sz w:val="20"/>
                <w:szCs w:val="20"/>
              </w:rPr>
            </w:pPr>
            <w:r w:rsidRPr="009941F8">
              <w:rPr>
                <w:rFonts w:ascii="Arial Narrow" w:hAnsi="Arial Narrow"/>
                <w:b/>
                <w:sz w:val="20"/>
                <w:szCs w:val="20"/>
              </w:rPr>
              <w:t xml:space="preserve">Category / Program:  </w:t>
            </w:r>
            <w:r w:rsidRPr="009941F8">
              <w:rPr>
                <w:rFonts w:ascii="Arial Narrow" w:hAnsi="Arial Narrow"/>
                <w:sz w:val="20"/>
                <w:szCs w:val="20"/>
              </w:rPr>
              <w:t>Section 100 – Highly Specialised Drugs Program</w:t>
            </w:r>
          </w:p>
        </w:tc>
      </w:tr>
      <w:tr w:rsidR="00E96FF5" w:rsidRPr="009941F8" w14:paraId="09607156" w14:textId="77777777" w:rsidTr="006C13E2">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F40A1A0" w14:textId="77777777" w:rsidR="006C13E2" w:rsidRPr="009941F8" w:rsidRDefault="006C13E2" w:rsidP="00460084">
            <w:pPr>
              <w:rPr>
                <w:rFonts w:ascii="Arial Narrow" w:hAnsi="Arial Narrow"/>
                <w:b/>
                <w:sz w:val="20"/>
                <w:szCs w:val="20"/>
                <w:highlight w:val="green"/>
              </w:rPr>
            </w:pPr>
            <w:r w:rsidRPr="009941F8">
              <w:rPr>
                <w:rFonts w:ascii="Arial Narrow" w:hAnsi="Arial Narrow"/>
                <w:b/>
                <w:sz w:val="20"/>
                <w:szCs w:val="20"/>
              </w:rPr>
              <w:t xml:space="preserve">Prescriber type:  </w:t>
            </w:r>
            <w:r w:rsidRPr="009941F8">
              <w:rPr>
                <w:rFonts w:ascii="Arial Narrow" w:hAnsi="Arial Narrow"/>
                <w:sz w:val="20"/>
                <w:szCs w:val="20"/>
              </w:rPr>
              <w:fldChar w:fldCharType="begin" w:fldLock="1">
                <w:ffData>
                  <w:name w:val=""/>
                  <w:enabled/>
                  <w:calcOnExit w:val="0"/>
                  <w:checkBox>
                    <w:sizeAuto/>
                    <w:default w:val="1"/>
                  </w:checkBox>
                </w:ffData>
              </w:fldChar>
            </w:r>
            <w:r w:rsidRPr="009941F8">
              <w:rPr>
                <w:rFonts w:ascii="Arial Narrow" w:hAnsi="Arial Narrow"/>
                <w:sz w:val="20"/>
                <w:szCs w:val="20"/>
              </w:rPr>
              <w:instrText xml:space="preserve"> FORMCHECKBOX </w:instrText>
            </w:r>
            <w:r w:rsidR="00CE7EC7">
              <w:rPr>
                <w:rFonts w:ascii="Arial Narrow" w:hAnsi="Arial Narrow"/>
                <w:sz w:val="20"/>
                <w:szCs w:val="20"/>
              </w:rPr>
            </w:r>
            <w:r w:rsidR="00CE7EC7">
              <w:rPr>
                <w:rFonts w:ascii="Arial Narrow" w:hAnsi="Arial Narrow"/>
                <w:sz w:val="20"/>
                <w:szCs w:val="20"/>
              </w:rPr>
              <w:fldChar w:fldCharType="separate"/>
            </w:r>
            <w:r w:rsidRPr="009941F8">
              <w:rPr>
                <w:rFonts w:ascii="Arial Narrow" w:hAnsi="Arial Narrow"/>
                <w:sz w:val="20"/>
                <w:szCs w:val="20"/>
              </w:rPr>
              <w:fldChar w:fldCharType="end"/>
            </w:r>
            <w:r w:rsidRPr="009941F8">
              <w:rPr>
                <w:rFonts w:ascii="Arial Narrow" w:hAnsi="Arial Narrow"/>
                <w:sz w:val="20"/>
                <w:szCs w:val="20"/>
              </w:rPr>
              <w:t>Medical Practitioners</w:t>
            </w:r>
          </w:p>
        </w:tc>
      </w:tr>
      <w:tr w:rsidR="00E96FF5" w:rsidRPr="009941F8" w14:paraId="32F54553" w14:textId="77777777" w:rsidTr="006C13E2">
        <w:trPr>
          <w:trHeight w:val="446"/>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A03205" w14:textId="77777777" w:rsidR="006C13E2" w:rsidRPr="009941F8" w:rsidRDefault="006C13E2" w:rsidP="00460084">
            <w:pPr>
              <w:rPr>
                <w:rFonts w:ascii="Arial Narrow" w:hAnsi="Arial Narrow"/>
                <w:b/>
                <w:sz w:val="20"/>
                <w:szCs w:val="20"/>
              </w:rPr>
            </w:pPr>
            <w:r w:rsidRPr="009941F8">
              <w:rPr>
                <w:rFonts w:ascii="Arial Narrow" w:hAnsi="Arial Narrow"/>
                <w:b/>
                <w:sz w:val="20"/>
                <w:szCs w:val="20"/>
              </w:rPr>
              <w:t>Restriction Level / Method:</w:t>
            </w:r>
          </w:p>
          <w:p w14:paraId="7EABC586" w14:textId="77777777" w:rsidR="006C13E2" w:rsidRPr="009941F8" w:rsidRDefault="006C13E2" w:rsidP="00460084">
            <w:pPr>
              <w:rPr>
                <w:rFonts w:ascii="Arial Narrow" w:hAnsi="Arial Narrow"/>
                <w:i/>
                <w:iCs/>
                <w:sz w:val="20"/>
                <w:szCs w:val="20"/>
                <w:highlight w:val="green"/>
              </w:rPr>
            </w:pPr>
            <w:r w:rsidRPr="009941F8">
              <w:rPr>
                <w:rFonts w:ascii="Arial Narrow" w:hAnsi="Arial Narrow"/>
                <w:sz w:val="20"/>
                <w:szCs w:val="20"/>
              </w:rPr>
              <w:fldChar w:fldCharType="begin" w:fldLock="1">
                <w:ffData>
                  <w:name w:val="Check3"/>
                  <w:enabled/>
                  <w:calcOnExit w:val="0"/>
                  <w:checkBox>
                    <w:sizeAuto/>
                    <w:default w:val="1"/>
                  </w:checkBox>
                </w:ffData>
              </w:fldChar>
            </w:r>
            <w:r w:rsidRPr="009941F8">
              <w:rPr>
                <w:rFonts w:ascii="Arial Narrow" w:hAnsi="Arial Narrow"/>
                <w:sz w:val="20"/>
                <w:szCs w:val="20"/>
              </w:rPr>
              <w:instrText xml:space="preserve"> FORMCHECKBOX </w:instrText>
            </w:r>
            <w:r w:rsidR="00CE7EC7">
              <w:rPr>
                <w:rFonts w:ascii="Arial Narrow" w:hAnsi="Arial Narrow"/>
                <w:sz w:val="20"/>
                <w:szCs w:val="20"/>
              </w:rPr>
            </w:r>
            <w:r w:rsidR="00CE7EC7">
              <w:rPr>
                <w:rFonts w:ascii="Arial Narrow" w:hAnsi="Arial Narrow"/>
                <w:sz w:val="20"/>
                <w:szCs w:val="20"/>
              </w:rPr>
              <w:fldChar w:fldCharType="separate"/>
            </w:r>
            <w:r w:rsidRPr="009941F8">
              <w:rPr>
                <w:rFonts w:ascii="Arial Narrow" w:hAnsi="Arial Narrow"/>
                <w:sz w:val="20"/>
                <w:szCs w:val="20"/>
              </w:rPr>
              <w:fldChar w:fldCharType="end"/>
            </w:r>
            <w:r w:rsidRPr="009941F8">
              <w:rPr>
                <w:rFonts w:ascii="Arial Narrow" w:hAnsi="Arial Narrow"/>
                <w:sz w:val="20"/>
                <w:szCs w:val="20"/>
              </w:rPr>
              <w:t xml:space="preserve">Authority Required – In Writing/HPOS upload or Online PBS Authorities immediate assessment </w:t>
            </w:r>
          </w:p>
        </w:tc>
      </w:tr>
      <w:tr w:rsidR="00E96FF5" w:rsidRPr="009941F8" w14:paraId="6FF8F39B"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5C8B20" w14:textId="77777777" w:rsidR="006C13E2" w:rsidRPr="009941F8" w:rsidRDefault="006C13E2" w:rsidP="00460084">
            <w:pPr>
              <w:rPr>
                <w:rFonts w:ascii="Arial Narrow" w:hAnsi="Arial Narrow"/>
                <w:iCs/>
                <w:sz w:val="20"/>
                <w:szCs w:val="20"/>
                <w:highlight w:val="green"/>
              </w:rPr>
            </w:pPr>
            <w:r w:rsidRPr="009941F8">
              <w:rPr>
                <w:rFonts w:ascii="Arial Narrow" w:hAnsi="Arial Narrow"/>
                <w:b/>
                <w:bCs/>
                <w:iCs/>
                <w:sz w:val="20"/>
                <w:szCs w:val="20"/>
              </w:rPr>
              <w:t xml:space="preserve">Episodicity: </w:t>
            </w:r>
            <w:r w:rsidRPr="009941F8">
              <w:rPr>
                <w:rFonts w:ascii="Arial Narrow" w:hAnsi="Arial Narrow"/>
                <w:iCs/>
                <w:sz w:val="20"/>
                <w:szCs w:val="20"/>
              </w:rPr>
              <w:t>Active</w:t>
            </w:r>
          </w:p>
        </w:tc>
      </w:tr>
      <w:tr w:rsidR="00E96FF5" w:rsidRPr="009941F8" w14:paraId="3F78C6F8"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4314F8" w14:textId="77777777" w:rsidR="006C13E2" w:rsidRPr="009941F8" w:rsidRDefault="006C13E2" w:rsidP="00460084">
            <w:pPr>
              <w:rPr>
                <w:rFonts w:ascii="Arial Narrow" w:hAnsi="Arial Narrow"/>
                <w:b/>
                <w:bCs/>
                <w:iCs/>
                <w:sz w:val="20"/>
                <w:szCs w:val="20"/>
                <w:highlight w:val="green"/>
              </w:rPr>
            </w:pPr>
            <w:r w:rsidRPr="009941F8">
              <w:rPr>
                <w:rFonts w:ascii="Arial Narrow" w:hAnsi="Arial Narrow"/>
                <w:b/>
                <w:bCs/>
                <w:iCs/>
                <w:sz w:val="20"/>
                <w:szCs w:val="20"/>
              </w:rPr>
              <w:t xml:space="preserve">Condition: </w:t>
            </w:r>
            <w:r w:rsidRPr="009941F8">
              <w:rPr>
                <w:rFonts w:ascii="Arial Narrow" w:hAnsi="Arial Narrow"/>
                <w:sz w:val="20"/>
                <w:szCs w:val="20"/>
              </w:rPr>
              <w:t>Systemic lupus erythematosus</w:t>
            </w:r>
          </w:p>
        </w:tc>
      </w:tr>
      <w:tr w:rsidR="00E96FF5" w:rsidRPr="009941F8" w14:paraId="2139E1BC"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841EC1" w14:textId="77777777" w:rsidR="006C13E2" w:rsidRPr="009941F8" w:rsidRDefault="006C13E2" w:rsidP="00460084">
            <w:pPr>
              <w:rPr>
                <w:rFonts w:ascii="Arial Narrow" w:hAnsi="Arial Narrow"/>
                <w:i/>
                <w:sz w:val="20"/>
                <w:szCs w:val="20"/>
              </w:rPr>
            </w:pPr>
            <w:r w:rsidRPr="009941F8">
              <w:rPr>
                <w:rFonts w:ascii="Arial Narrow" w:hAnsi="Arial Narrow"/>
                <w:b/>
                <w:bCs/>
                <w:iCs/>
                <w:strike/>
                <w:sz w:val="20"/>
                <w:szCs w:val="20"/>
              </w:rPr>
              <w:t>PBS</w:t>
            </w:r>
            <w:r w:rsidRPr="009941F8">
              <w:rPr>
                <w:rFonts w:ascii="Arial Narrow" w:hAnsi="Arial Narrow"/>
                <w:b/>
                <w:bCs/>
                <w:i/>
                <w:sz w:val="20"/>
                <w:szCs w:val="20"/>
              </w:rPr>
              <w:t xml:space="preserve"> </w:t>
            </w:r>
            <w:r w:rsidRPr="009941F8">
              <w:rPr>
                <w:rFonts w:ascii="Arial Narrow" w:hAnsi="Arial Narrow"/>
                <w:b/>
                <w:bCs/>
                <w:iCs/>
                <w:sz w:val="20"/>
                <w:szCs w:val="20"/>
              </w:rPr>
              <w:t>Indication</w:t>
            </w:r>
            <w:r w:rsidRPr="009941F8">
              <w:rPr>
                <w:rFonts w:ascii="Arial Narrow" w:hAnsi="Arial Narrow"/>
                <w:b/>
                <w:bCs/>
                <w:i/>
                <w:sz w:val="20"/>
                <w:szCs w:val="20"/>
              </w:rPr>
              <w:t>:</w:t>
            </w:r>
            <w:r w:rsidRPr="009941F8">
              <w:rPr>
                <w:rFonts w:ascii="Arial Narrow" w:hAnsi="Arial Narrow"/>
                <w:i/>
                <w:sz w:val="20"/>
                <w:szCs w:val="20"/>
              </w:rPr>
              <w:t xml:space="preserve"> </w:t>
            </w:r>
            <w:r w:rsidRPr="009941F8">
              <w:rPr>
                <w:rFonts w:ascii="Arial Narrow" w:hAnsi="Arial Narrow"/>
                <w:iCs/>
                <w:sz w:val="20"/>
                <w:szCs w:val="20"/>
              </w:rPr>
              <w:t xml:space="preserve">Active </w:t>
            </w:r>
            <w:r w:rsidRPr="009941F8">
              <w:rPr>
                <w:rFonts w:ascii="Arial Narrow" w:hAnsi="Arial Narrow"/>
                <w:i/>
                <w:sz w:val="20"/>
                <w:szCs w:val="20"/>
              </w:rPr>
              <w:t>s</w:t>
            </w:r>
            <w:r w:rsidRPr="009941F8">
              <w:rPr>
                <w:rFonts w:ascii="Arial Narrow" w:hAnsi="Arial Narrow"/>
                <w:sz w:val="20"/>
                <w:szCs w:val="20"/>
              </w:rPr>
              <w:t>ystemic lupus erythematosus</w:t>
            </w:r>
          </w:p>
        </w:tc>
      </w:tr>
      <w:tr w:rsidR="00E96FF5" w:rsidRPr="009941F8" w14:paraId="32BF5CCB"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021262" w14:textId="77777777" w:rsidR="006C13E2" w:rsidRPr="009941F8" w:rsidRDefault="006C13E2" w:rsidP="00460084">
            <w:pPr>
              <w:rPr>
                <w:rFonts w:ascii="Arial Narrow" w:hAnsi="Arial Narrow"/>
                <w:sz w:val="20"/>
                <w:szCs w:val="20"/>
                <w:lang w:eastAsia="en-US"/>
              </w:rPr>
            </w:pPr>
            <w:r w:rsidRPr="009941F8">
              <w:rPr>
                <w:rFonts w:ascii="Arial Narrow" w:hAnsi="Arial Narrow"/>
                <w:b/>
                <w:bCs/>
                <w:sz w:val="20"/>
                <w:szCs w:val="20"/>
              </w:rPr>
              <w:t>Treatment Phase:</w:t>
            </w:r>
            <w:r w:rsidRPr="009941F8">
              <w:rPr>
                <w:rFonts w:ascii="Arial Narrow" w:hAnsi="Arial Narrow"/>
                <w:sz w:val="20"/>
                <w:szCs w:val="20"/>
              </w:rPr>
              <w:t xml:space="preserve"> </w:t>
            </w:r>
            <w:r w:rsidRPr="009941F8">
              <w:rPr>
                <w:rFonts w:ascii="Arial Narrow" w:hAnsi="Arial Narrow"/>
                <w:i/>
                <w:iCs/>
                <w:sz w:val="20"/>
                <w:szCs w:val="20"/>
              </w:rPr>
              <w:t>Transitioning from non-PBS to PBS-subsidised supply - Grandfather arrangements</w:t>
            </w:r>
            <w:r w:rsidRPr="009941F8">
              <w:rPr>
                <w:rFonts w:ascii="Arial Narrow" w:hAnsi="Arial Narrow"/>
                <w:sz w:val="20"/>
                <w:szCs w:val="20"/>
              </w:rPr>
              <w:t xml:space="preserve"> </w:t>
            </w:r>
          </w:p>
          <w:p w14:paraId="648819E2" w14:textId="77777777" w:rsidR="006C13E2" w:rsidRPr="009941F8" w:rsidRDefault="006C13E2" w:rsidP="00460084">
            <w:pPr>
              <w:rPr>
                <w:rFonts w:ascii="Arial Narrow" w:hAnsi="Arial Narrow"/>
                <w:strike/>
                <w:sz w:val="20"/>
                <w:szCs w:val="20"/>
                <w:highlight w:val="green"/>
              </w:rPr>
            </w:pPr>
            <w:r w:rsidRPr="009941F8">
              <w:rPr>
                <w:rFonts w:ascii="Arial Narrow" w:hAnsi="Arial Narrow"/>
                <w:strike/>
                <w:sz w:val="20"/>
                <w:szCs w:val="20"/>
              </w:rPr>
              <w:t>Initial (‘grandfather’ patients) – transitioning from non-PBS to PBS subsidised supply</w:t>
            </w:r>
          </w:p>
        </w:tc>
      </w:tr>
      <w:tr w:rsidR="00E96FF5" w:rsidRPr="009941F8" w14:paraId="25A702C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FCD031"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Treatment criteria:</w:t>
            </w:r>
          </w:p>
        </w:tc>
      </w:tr>
      <w:tr w:rsidR="00E96FF5" w:rsidRPr="009941F8" w14:paraId="11818E2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E6FED5" w14:textId="77777777" w:rsidR="006C13E2" w:rsidRPr="009941F8" w:rsidRDefault="006C13E2" w:rsidP="00460084">
            <w:pPr>
              <w:rPr>
                <w:rFonts w:ascii="Arial Narrow" w:eastAsiaTheme="majorEastAsia" w:hAnsi="Arial Narrow"/>
                <w:strike/>
                <w:sz w:val="20"/>
                <w:szCs w:val="20"/>
                <w:lang w:bidi="en-US"/>
              </w:rPr>
            </w:pPr>
            <w:r w:rsidRPr="009941F8">
              <w:rPr>
                <w:rFonts w:ascii="Arial Narrow" w:eastAsiaTheme="majorEastAsia" w:hAnsi="Arial Narrow"/>
                <w:strike/>
                <w:sz w:val="20"/>
                <w:szCs w:val="20"/>
                <w:lang w:bidi="en-US"/>
              </w:rPr>
              <w:t>Must be treated by a rheumatologist; or</w:t>
            </w:r>
          </w:p>
          <w:p w14:paraId="17CB2A51" w14:textId="77777777" w:rsidR="006C13E2" w:rsidRPr="009941F8" w:rsidRDefault="006C13E2" w:rsidP="00460084">
            <w:pPr>
              <w:rPr>
                <w:rFonts w:ascii="Arial Narrow" w:eastAsiaTheme="majorEastAsia" w:hAnsi="Arial Narrow"/>
                <w:strike/>
                <w:sz w:val="20"/>
                <w:szCs w:val="20"/>
                <w:lang w:bidi="en-US"/>
              </w:rPr>
            </w:pPr>
            <w:r w:rsidRPr="009941F8">
              <w:rPr>
                <w:rFonts w:ascii="Arial Narrow" w:eastAsiaTheme="majorEastAsia" w:hAnsi="Arial Narrow"/>
                <w:strike/>
                <w:sz w:val="20"/>
                <w:szCs w:val="20"/>
                <w:lang w:bidi="en-US"/>
              </w:rPr>
              <w:t>Must be treated by a clinical immunologist; or</w:t>
            </w:r>
          </w:p>
          <w:p w14:paraId="68231F7E" w14:textId="77777777" w:rsidR="006C13E2" w:rsidRPr="009941F8" w:rsidRDefault="006C13E2" w:rsidP="00460084">
            <w:pPr>
              <w:rPr>
                <w:rFonts w:ascii="Arial Narrow" w:eastAsiaTheme="majorEastAsia" w:hAnsi="Arial Narrow"/>
                <w:i/>
                <w:iCs/>
                <w:strike/>
                <w:sz w:val="20"/>
                <w:szCs w:val="20"/>
                <w:lang w:bidi="en-US"/>
              </w:rPr>
            </w:pPr>
            <w:r w:rsidRPr="009941F8">
              <w:rPr>
                <w:rFonts w:ascii="Arial Narrow" w:eastAsiaTheme="majorEastAsia" w:hAnsi="Arial Narrow"/>
                <w:i/>
                <w:iCs/>
                <w:strike/>
                <w:sz w:val="20"/>
                <w:szCs w:val="20"/>
                <w:lang w:bidi="en-US"/>
              </w:rPr>
              <w:t>Alternatively</w:t>
            </w:r>
          </w:p>
          <w:p w14:paraId="267C1C36" w14:textId="77777777" w:rsidR="006C13E2" w:rsidRPr="009941F8" w:rsidRDefault="006C13E2" w:rsidP="00460084">
            <w:pPr>
              <w:rPr>
                <w:rFonts w:ascii="Arial Narrow" w:eastAsiaTheme="minorHAnsi" w:hAnsi="Arial Narrow"/>
                <w:b/>
                <w:bCs/>
                <w:sz w:val="20"/>
                <w:szCs w:val="20"/>
              </w:rPr>
            </w:pPr>
            <w:r w:rsidRPr="009941F8">
              <w:rPr>
                <w:rFonts w:ascii="Arial Narrow" w:hAnsi="Arial Narrow"/>
                <w:sz w:val="20"/>
                <w:szCs w:val="20"/>
              </w:rPr>
              <w:t>Must be treated by a specialist physician experienced in the management of this condition</w:t>
            </w:r>
          </w:p>
        </w:tc>
      </w:tr>
      <w:tr w:rsidR="00E96FF5" w:rsidRPr="009941F8" w14:paraId="1754F8DD"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F1C1F5" w14:textId="77777777" w:rsidR="006C13E2" w:rsidRPr="009941F8" w:rsidRDefault="006C13E2" w:rsidP="00235D09">
            <w:pPr>
              <w:keepNext/>
              <w:rPr>
                <w:rFonts w:ascii="Arial Narrow" w:eastAsiaTheme="majorEastAsia" w:hAnsi="Arial Narrow"/>
                <w:b/>
                <w:bCs/>
                <w:sz w:val="20"/>
                <w:szCs w:val="20"/>
                <w:lang w:bidi="en-US"/>
              </w:rPr>
            </w:pPr>
            <w:r w:rsidRPr="009941F8">
              <w:rPr>
                <w:rFonts w:ascii="Arial Narrow" w:eastAsiaTheme="majorEastAsia" w:hAnsi="Arial Narrow"/>
                <w:b/>
                <w:bCs/>
                <w:sz w:val="20"/>
                <w:szCs w:val="20"/>
                <w:lang w:bidi="en-US"/>
              </w:rPr>
              <w:t>Clinical criteria:</w:t>
            </w:r>
          </w:p>
        </w:tc>
      </w:tr>
      <w:tr w:rsidR="00E96FF5" w:rsidRPr="009941F8" w14:paraId="7CD777D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4CBDA2" w14:textId="77777777" w:rsidR="006C13E2" w:rsidRPr="009941F8" w:rsidRDefault="006C13E2" w:rsidP="00460084">
            <w:pPr>
              <w:rPr>
                <w:rFonts w:ascii="Arial Narrow" w:eastAsiaTheme="majorEastAsia" w:hAnsi="Arial Narrow"/>
                <w:strike/>
                <w:sz w:val="20"/>
                <w:szCs w:val="20"/>
                <w:lang w:bidi="en-US"/>
              </w:rPr>
            </w:pPr>
            <w:r w:rsidRPr="009941F8">
              <w:rPr>
                <w:rFonts w:ascii="Arial Narrow" w:eastAsiaTheme="majorEastAsia" w:hAnsi="Arial Narrow"/>
                <w:strike/>
                <w:sz w:val="20"/>
                <w:szCs w:val="20"/>
                <w:lang w:bidi="en-US"/>
              </w:rPr>
              <w:t>Patient must have received prior non-PBS-subsidised treatment with this drug for this condition in this treatment cycle prior to [date of PBS listing]</w:t>
            </w:r>
          </w:p>
          <w:p w14:paraId="3213ACB2" w14:textId="77777777" w:rsidR="006C13E2" w:rsidRPr="009941F8" w:rsidRDefault="006C13E2" w:rsidP="00460084">
            <w:pPr>
              <w:rPr>
                <w:rFonts w:ascii="Arial Narrow" w:eastAsiaTheme="majorEastAsia" w:hAnsi="Arial Narrow"/>
                <w:i/>
                <w:iCs/>
                <w:sz w:val="20"/>
                <w:szCs w:val="20"/>
                <w:lang w:bidi="en-US"/>
              </w:rPr>
            </w:pPr>
            <w:r w:rsidRPr="009941F8">
              <w:rPr>
                <w:rFonts w:ascii="Arial Narrow" w:eastAsiaTheme="majorEastAsia" w:hAnsi="Arial Narrow"/>
                <w:i/>
                <w:iCs/>
                <w:sz w:val="20"/>
                <w:szCs w:val="20"/>
                <w:lang w:bidi="en-US"/>
              </w:rPr>
              <w:t>Patient must have received non-PBS-subsidised treatment with this drug for this PBS indication prior to [listing date],</w:t>
            </w:r>
          </w:p>
        </w:tc>
      </w:tr>
      <w:tr w:rsidR="00E96FF5" w:rsidRPr="009941F8" w14:paraId="386C735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E29929" w14:textId="77777777" w:rsidR="006C13E2" w:rsidRPr="009941F8" w:rsidRDefault="006C13E2" w:rsidP="00460084">
            <w:pPr>
              <w:rPr>
                <w:rFonts w:ascii="Arial Narrow" w:eastAsiaTheme="majorEastAsia" w:hAnsi="Arial Narrow"/>
                <w:b/>
                <w:bCs/>
                <w:sz w:val="20"/>
                <w:szCs w:val="20"/>
                <w:lang w:bidi="en-US"/>
              </w:rPr>
            </w:pPr>
            <w:r w:rsidRPr="009941F8">
              <w:rPr>
                <w:rFonts w:ascii="Arial Narrow" w:eastAsiaTheme="majorEastAsia" w:hAnsi="Arial Narrow"/>
                <w:b/>
                <w:bCs/>
                <w:sz w:val="20"/>
                <w:szCs w:val="20"/>
                <w:lang w:bidi="en-US"/>
              </w:rPr>
              <w:t>AND</w:t>
            </w:r>
          </w:p>
        </w:tc>
      </w:tr>
      <w:tr w:rsidR="00E96FF5" w:rsidRPr="009941F8" w14:paraId="77E8563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8D97D5" w14:textId="77777777" w:rsidR="006C13E2" w:rsidRPr="009941F8" w:rsidRDefault="006C13E2" w:rsidP="00110CF9">
            <w:pPr>
              <w:keepNext/>
              <w:rPr>
                <w:rFonts w:ascii="Arial Narrow" w:hAnsi="Arial Narrow"/>
                <w:sz w:val="20"/>
                <w:szCs w:val="20"/>
              </w:rPr>
            </w:pPr>
            <w:r w:rsidRPr="009941F8">
              <w:rPr>
                <w:rFonts w:ascii="Arial Narrow" w:hAnsi="Arial Narrow"/>
                <w:b/>
                <w:bCs/>
                <w:sz w:val="20"/>
                <w:szCs w:val="20"/>
              </w:rPr>
              <w:t>Clinical criteria:</w:t>
            </w:r>
          </w:p>
        </w:tc>
      </w:tr>
      <w:tr w:rsidR="00E96FF5" w:rsidRPr="009941F8" w14:paraId="54D20783"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1A5509" w14:textId="77777777" w:rsidR="006C13E2" w:rsidRPr="009941F8" w:rsidRDefault="006C13E2" w:rsidP="00110CF9">
            <w:pPr>
              <w:keepNext/>
              <w:rPr>
                <w:rFonts w:ascii="Arial Narrow" w:eastAsiaTheme="majorEastAsia" w:hAnsi="Arial Narrow"/>
                <w:strike/>
                <w:sz w:val="20"/>
                <w:szCs w:val="20"/>
                <w:lang w:bidi="en-US"/>
              </w:rPr>
            </w:pPr>
            <w:r w:rsidRPr="009941F8">
              <w:rPr>
                <w:rFonts w:ascii="Arial Narrow" w:eastAsiaTheme="majorEastAsia" w:hAnsi="Arial Narrow"/>
                <w:strike/>
                <w:sz w:val="20"/>
                <w:szCs w:val="20"/>
                <w:lang w:bidi="en-US"/>
              </w:rPr>
              <w:t>Prior to commencing therapy for this condition the patient had:</w:t>
            </w:r>
          </w:p>
          <w:p w14:paraId="1C3D2AF7" w14:textId="77777777" w:rsidR="006C13E2" w:rsidRPr="009941F8" w:rsidRDefault="006C13E2" w:rsidP="00110CF9">
            <w:pPr>
              <w:keepNext/>
              <w:rPr>
                <w:rFonts w:ascii="Arial Narrow" w:eastAsiaTheme="majorEastAsia" w:hAnsi="Arial Narrow"/>
                <w:sz w:val="20"/>
                <w:szCs w:val="20"/>
                <w:lang w:bidi="en-US"/>
              </w:rPr>
            </w:pPr>
            <w:r w:rsidRPr="009941F8">
              <w:rPr>
                <w:rFonts w:ascii="Arial Narrow" w:eastAsiaTheme="majorEastAsia" w:hAnsi="Arial Narrow"/>
                <w:sz w:val="20"/>
                <w:szCs w:val="20"/>
                <w:lang w:bidi="en-US"/>
              </w:rPr>
              <w:t xml:space="preserve">Patient must have </w:t>
            </w:r>
            <w:r w:rsidRPr="009941F8">
              <w:rPr>
                <w:rFonts w:ascii="Arial Narrow" w:eastAsiaTheme="majorEastAsia" w:hAnsi="Arial Narrow"/>
                <w:i/>
                <w:iCs/>
                <w:sz w:val="20"/>
                <w:szCs w:val="20"/>
                <w:lang w:bidi="en-US"/>
              </w:rPr>
              <w:t>had</w:t>
            </w:r>
            <w:r w:rsidRPr="009941F8">
              <w:rPr>
                <w:rFonts w:ascii="Arial Narrow" w:eastAsiaTheme="majorEastAsia" w:hAnsi="Arial Narrow"/>
                <w:sz w:val="20"/>
                <w:szCs w:val="20"/>
                <w:lang w:bidi="en-US"/>
              </w:rPr>
              <w:t xml:space="preserve"> a confirmed and documented diagnosis of systemic lupus erythematosus (SLE) according to the American College of Rheumatology (ACR)/European League Against Rheumatism (EULAR) SLE Classification Criteria 2019 </w:t>
            </w:r>
            <w:r w:rsidRPr="009941F8">
              <w:rPr>
                <w:rFonts w:ascii="Arial Narrow" w:eastAsiaTheme="majorEastAsia" w:hAnsi="Arial Narrow"/>
                <w:i/>
                <w:iCs/>
                <w:sz w:val="20"/>
                <w:szCs w:val="20"/>
                <w:lang w:bidi="en-US"/>
              </w:rPr>
              <w:t>prior to commencing therapy with this drug for this condition</w:t>
            </w:r>
          </w:p>
        </w:tc>
      </w:tr>
      <w:tr w:rsidR="00E96FF5" w:rsidRPr="009941F8" w14:paraId="29E53422"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6A2B84" w14:textId="77777777" w:rsidR="006C13E2" w:rsidRPr="009941F8" w:rsidRDefault="006C13E2" w:rsidP="00460084">
            <w:pPr>
              <w:rPr>
                <w:rFonts w:ascii="Arial Narrow" w:hAnsi="Arial Narrow"/>
                <w:sz w:val="20"/>
                <w:szCs w:val="20"/>
                <w:lang w:eastAsia="en-US"/>
              </w:rPr>
            </w:pPr>
            <w:r w:rsidRPr="009941F8">
              <w:rPr>
                <w:rFonts w:ascii="Arial Narrow" w:hAnsi="Arial Narrow"/>
                <w:b/>
                <w:bCs/>
                <w:sz w:val="20"/>
                <w:szCs w:val="20"/>
              </w:rPr>
              <w:t>AND</w:t>
            </w:r>
          </w:p>
        </w:tc>
      </w:tr>
      <w:tr w:rsidR="00E96FF5" w:rsidRPr="009941F8" w14:paraId="017A7783"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6F54D7"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Clinical criteria:</w:t>
            </w:r>
          </w:p>
        </w:tc>
      </w:tr>
      <w:tr w:rsidR="00E96FF5" w:rsidRPr="009941F8" w14:paraId="2034D96B"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040E3C" w14:textId="77777777" w:rsidR="006C13E2" w:rsidRPr="009941F8" w:rsidRDefault="006C13E2" w:rsidP="00460084">
            <w:pPr>
              <w:rPr>
                <w:rFonts w:ascii="Arial Narrow" w:hAnsi="Arial Narrow"/>
                <w:sz w:val="20"/>
                <w:szCs w:val="20"/>
                <w:highlight w:val="green"/>
              </w:rPr>
            </w:pPr>
            <w:r w:rsidRPr="009941F8">
              <w:rPr>
                <w:rFonts w:ascii="Arial Narrow" w:hAnsi="Arial Narrow"/>
                <w:sz w:val="20"/>
                <w:szCs w:val="20"/>
              </w:rPr>
              <w:t xml:space="preserve">Patient must have </w:t>
            </w:r>
            <w:r w:rsidRPr="009941F8">
              <w:rPr>
                <w:rFonts w:ascii="Arial Narrow" w:hAnsi="Arial Narrow"/>
                <w:i/>
                <w:iCs/>
                <w:sz w:val="20"/>
                <w:szCs w:val="20"/>
              </w:rPr>
              <w:t>had</w:t>
            </w:r>
            <w:r w:rsidRPr="009941F8">
              <w:rPr>
                <w:rFonts w:ascii="Arial Narrow" w:hAnsi="Arial Narrow"/>
                <w:sz w:val="20"/>
                <w:szCs w:val="20"/>
              </w:rPr>
              <w:t xml:space="preserve"> persistent disease activity as supported by a SLE Disease Activity Index 2000 </w:t>
            </w:r>
            <w:r w:rsidRPr="009941F8">
              <w:rPr>
                <w:rFonts w:ascii="Arial Narrow" w:hAnsi="Arial Narrow"/>
                <w:i/>
                <w:iCs/>
                <w:sz w:val="20"/>
                <w:szCs w:val="20"/>
              </w:rPr>
              <w:t>(</w:t>
            </w:r>
            <w:r w:rsidRPr="009941F8">
              <w:rPr>
                <w:rFonts w:ascii="Arial Narrow" w:hAnsi="Arial Narrow"/>
                <w:sz w:val="20"/>
                <w:szCs w:val="20"/>
              </w:rPr>
              <w:t>SLEDAI-2K</w:t>
            </w:r>
            <w:r w:rsidRPr="009941F8">
              <w:rPr>
                <w:rFonts w:ascii="Arial Narrow" w:hAnsi="Arial Narrow"/>
                <w:i/>
                <w:iCs/>
                <w:sz w:val="20"/>
                <w:szCs w:val="20"/>
              </w:rPr>
              <w:t>)</w:t>
            </w:r>
            <w:r w:rsidRPr="009941F8">
              <w:rPr>
                <w:rFonts w:ascii="Arial Narrow" w:hAnsi="Arial Narrow"/>
                <w:sz w:val="20"/>
                <w:szCs w:val="20"/>
              </w:rPr>
              <w:t xml:space="preserve"> score of at least 10 points </w:t>
            </w:r>
            <w:r w:rsidRPr="009941F8">
              <w:rPr>
                <w:rFonts w:ascii="Arial Narrow" w:eastAsiaTheme="majorEastAsia" w:hAnsi="Arial Narrow"/>
                <w:i/>
                <w:iCs/>
                <w:sz w:val="20"/>
                <w:szCs w:val="20"/>
                <w:lang w:bidi="en-US"/>
              </w:rPr>
              <w:t>prior to commencing therapy with this drug for this condition</w:t>
            </w:r>
          </w:p>
        </w:tc>
      </w:tr>
      <w:tr w:rsidR="00E96FF5" w:rsidRPr="009941F8" w14:paraId="6EF4A02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3AF8AA"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AND</w:t>
            </w:r>
          </w:p>
        </w:tc>
      </w:tr>
      <w:tr w:rsidR="00E96FF5" w:rsidRPr="009941F8" w14:paraId="7BB00B2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C672BF"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Clinical criteria:</w:t>
            </w:r>
          </w:p>
        </w:tc>
      </w:tr>
      <w:tr w:rsidR="00E96FF5" w:rsidRPr="009941F8" w14:paraId="661BC84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CBBFA2" w14:textId="77777777" w:rsidR="006C13E2" w:rsidRPr="009941F8" w:rsidRDefault="006C13E2" w:rsidP="00460084">
            <w:pPr>
              <w:rPr>
                <w:rFonts w:ascii="Arial Narrow" w:hAnsi="Arial Narrow"/>
                <w:sz w:val="20"/>
                <w:szCs w:val="20"/>
              </w:rPr>
            </w:pPr>
            <w:r w:rsidRPr="009941F8">
              <w:rPr>
                <w:rFonts w:ascii="Arial Narrow" w:hAnsi="Arial Narrow"/>
                <w:sz w:val="20"/>
                <w:szCs w:val="20"/>
              </w:rPr>
              <w:t xml:space="preserve">Patient must </w:t>
            </w:r>
            <w:r w:rsidRPr="009941F8">
              <w:rPr>
                <w:rFonts w:ascii="Arial Narrow" w:hAnsi="Arial Narrow"/>
                <w:i/>
                <w:iCs/>
                <w:sz w:val="20"/>
                <w:szCs w:val="20"/>
              </w:rPr>
              <w:t>have been</w:t>
            </w:r>
            <w:r w:rsidRPr="009941F8">
              <w:rPr>
                <w:rFonts w:ascii="Arial Narrow" w:hAnsi="Arial Narrow"/>
                <w:sz w:val="20"/>
                <w:szCs w:val="20"/>
              </w:rPr>
              <w:t xml:space="preserve"> </w:t>
            </w:r>
            <w:r w:rsidRPr="009941F8">
              <w:rPr>
                <w:rFonts w:ascii="Arial Narrow" w:hAnsi="Arial Narrow"/>
                <w:strike/>
                <w:sz w:val="20"/>
                <w:szCs w:val="20"/>
              </w:rPr>
              <w:t>be currently</w:t>
            </w:r>
            <w:r w:rsidRPr="009941F8">
              <w:rPr>
                <w:rFonts w:ascii="Arial Narrow" w:hAnsi="Arial Narrow"/>
                <w:sz w:val="20"/>
                <w:szCs w:val="20"/>
              </w:rPr>
              <w:t xml:space="preserve"> receiving hydroxychloroquine and must have received this for at least 12 weeks</w:t>
            </w:r>
            <w:r w:rsidRPr="009941F8">
              <w:rPr>
                <w:rFonts w:ascii="Arial Narrow" w:hAnsi="Arial Narrow"/>
                <w:i/>
                <w:sz w:val="20"/>
                <w:szCs w:val="20"/>
              </w:rPr>
              <w:t xml:space="preserve"> </w:t>
            </w:r>
            <w:r w:rsidRPr="009941F8">
              <w:rPr>
                <w:rFonts w:ascii="Arial Narrow" w:eastAsiaTheme="majorEastAsia" w:hAnsi="Arial Narrow"/>
                <w:i/>
                <w:iCs/>
                <w:sz w:val="20"/>
                <w:szCs w:val="20"/>
                <w:lang w:bidi="en-US"/>
              </w:rPr>
              <w:t>prior to commencing therapy with this drug for this condition</w:t>
            </w:r>
          </w:p>
        </w:tc>
      </w:tr>
      <w:tr w:rsidR="00E96FF5" w:rsidRPr="009941F8" w14:paraId="1FFC5E4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093052" w14:textId="77777777" w:rsidR="006C13E2" w:rsidRPr="009941F8" w:rsidRDefault="006C13E2" w:rsidP="00460084">
            <w:pPr>
              <w:rPr>
                <w:rFonts w:ascii="Arial Narrow" w:hAnsi="Arial Narrow"/>
                <w:iCs/>
                <w:sz w:val="20"/>
                <w:szCs w:val="20"/>
                <w:lang w:eastAsia="en-US"/>
              </w:rPr>
            </w:pPr>
            <w:r w:rsidRPr="009941F8">
              <w:rPr>
                <w:rFonts w:ascii="Arial Narrow" w:hAnsi="Arial Narrow"/>
                <w:b/>
                <w:bCs/>
                <w:iCs/>
                <w:sz w:val="20"/>
                <w:szCs w:val="20"/>
              </w:rPr>
              <w:t>AND</w:t>
            </w:r>
          </w:p>
        </w:tc>
      </w:tr>
      <w:tr w:rsidR="00E96FF5" w:rsidRPr="009941F8" w14:paraId="7D744A4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2D35FC" w14:textId="77777777" w:rsidR="006C13E2" w:rsidRPr="009941F8" w:rsidRDefault="006C13E2" w:rsidP="00460084">
            <w:pPr>
              <w:rPr>
                <w:rFonts w:ascii="Arial Narrow" w:hAnsi="Arial Narrow"/>
                <w:b/>
                <w:bCs/>
                <w:iCs/>
                <w:sz w:val="20"/>
                <w:szCs w:val="20"/>
              </w:rPr>
            </w:pPr>
            <w:r w:rsidRPr="009941F8">
              <w:rPr>
                <w:rFonts w:ascii="Arial Narrow" w:hAnsi="Arial Narrow"/>
                <w:b/>
                <w:bCs/>
                <w:iCs/>
                <w:sz w:val="20"/>
                <w:szCs w:val="20"/>
              </w:rPr>
              <w:t>Clinical criteria:</w:t>
            </w:r>
          </w:p>
        </w:tc>
      </w:tr>
      <w:tr w:rsidR="00E96FF5" w:rsidRPr="009941F8" w14:paraId="187523F2"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1EDCA4" w14:textId="20A47966" w:rsidR="006C13E2" w:rsidRPr="009941F8" w:rsidRDefault="006C13E2" w:rsidP="00460084">
            <w:pPr>
              <w:rPr>
                <w:rFonts w:ascii="Arial Narrow" w:hAnsi="Arial Narrow"/>
                <w:bCs/>
                <w:iCs/>
                <w:sz w:val="20"/>
                <w:szCs w:val="20"/>
              </w:rPr>
            </w:pPr>
            <w:r w:rsidRPr="009941F8">
              <w:rPr>
                <w:rFonts w:ascii="Arial Narrow" w:hAnsi="Arial Narrow"/>
                <w:bCs/>
                <w:iCs/>
                <w:sz w:val="20"/>
                <w:szCs w:val="20"/>
              </w:rPr>
              <w:t xml:space="preserve">Patient must </w:t>
            </w:r>
            <w:r w:rsidRPr="009941F8">
              <w:rPr>
                <w:rFonts w:ascii="Arial Narrow" w:hAnsi="Arial Narrow"/>
                <w:bCs/>
                <w:i/>
                <w:sz w:val="20"/>
                <w:szCs w:val="20"/>
              </w:rPr>
              <w:t>have been</w:t>
            </w:r>
            <w:r w:rsidRPr="009941F8">
              <w:rPr>
                <w:rFonts w:ascii="Arial Narrow" w:hAnsi="Arial Narrow"/>
                <w:bCs/>
                <w:iCs/>
                <w:sz w:val="20"/>
                <w:szCs w:val="20"/>
              </w:rPr>
              <w:t xml:space="preserve"> </w:t>
            </w:r>
            <w:r w:rsidRPr="009941F8">
              <w:rPr>
                <w:rFonts w:ascii="Arial Narrow" w:hAnsi="Arial Narrow"/>
                <w:strike/>
                <w:sz w:val="20"/>
                <w:szCs w:val="20"/>
              </w:rPr>
              <w:t>be</w:t>
            </w:r>
            <w:r w:rsidRPr="009941F8">
              <w:rPr>
                <w:rFonts w:ascii="Arial Narrow" w:hAnsi="Arial Narrow"/>
                <w:bCs/>
                <w:iCs/>
                <w:strike/>
                <w:sz w:val="20"/>
                <w:szCs w:val="20"/>
              </w:rPr>
              <w:t xml:space="preserve"> currently</w:t>
            </w:r>
            <w:r w:rsidRPr="009941F8">
              <w:rPr>
                <w:rFonts w:ascii="Arial Narrow" w:hAnsi="Arial Narrow"/>
                <w:bCs/>
                <w:iCs/>
                <w:sz w:val="20"/>
                <w:szCs w:val="20"/>
              </w:rPr>
              <w:t xml:space="preserve"> receiving immunosuppressant medication and must have received this for at least 12 weeks (minimum dose of methotrexate 20 mg per week, azathioprine 100 mg per day, or mycophenolate 1,000 mg per day) </w:t>
            </w:r>
            <w:r w:rsidRPr="009941F8">
              <w:rPr>
                <w:rFonts w:ascii="Arial Narrow" w:eastAsiaTheme="majorEastAsia" w:hAnsi="Arial Narrow"/>
                <w:i/>
                <w:iCs/>
                <w:sz w:val="20"/>
                <w:szCs w:val="20"/>
                <w:lang w:bidi="en-US"/>
              </w:rPr>
              <w:t xml:space="preserve">prior to commencing therapy with this drug for this condition </w:t>
            </w:r>
            <w:r w:rsidRPr="00512D20">
              <w:rPr>
                <w:rFonts w:ascii="Arial Narrow" w:hAnsi="Arial Narrow"/>
                <w:sz w:val="20"/>
                <w:szCs w:val="20"/>
              </w:rPr>
              <w:t xml:space="preserve">unless </w:t>
            </w:r>
            <w:r w:rsidRPr="00512D20">
              <w:rPr>
                <w:rFonts w:ascii="Arial Narrow" w:hAnsi="Arial Narrow"/>
                <w:i/>
                <w:iCs/>
                <w:sz w:val="20"/>
                <w:szCs w:val="20"/>
              </w:rPr>
              <w:t>either</w:t>
            </w:r>
            <w:r w:rsidRPr="00512D20">
              <w:rPr>
                <w:rFonts w:ascii="Arial Narrow" w:hAnsi="Arial Narrow"/>
                <w:sz w:val="20"/>
                <w:szCs w:val="20"/>
              </w:rPr>
              <w:t xml:space="preserve"> </w:t>
            </w:r>
            <w:r w:rsidRPr="00512D20">
              <w:rPr>
                <w:rFonts w:ascii="Arial Narrow" w:hAnsi="Arial Narrow"/>
                <w:i/>
                <w:iCs/>
                <w:sz w:val="20"/>
                <w:szCs w:val="20"/>
              </w:rPr>
              <w:t>(i)</w:t>
            </w:r>
            <w:r w:rsidRPr="00512D20">
              <w:rPr>
                <w:rFonts w:ascii="Arial Narrow" w:hAnsi="Arial Narrow"/>
                <w:sz w:val="20"/>
                <w:szCs w:val="20"/>
              </w:rPr>
              <w:t xml:space="preserve"> contraindicated, </w:t>
            </w:r>
            <w:r w:rsidRPr="00512D20">
              <w:rPr>
                <w:rFonts w:ascii="Arial Narrow" w:hAnsi="Arial Narrow"/>
                <w:strike/>
                <w:sz w:val="20"/>
                <w:szCs w:val="20"/>
              </w:rPr>
              <w:t>or</w:t>
            </w:r>
            <w:r w:rsidRPr="00512D20">
              <w:rPr>
                <w:rFonts w:ascii="Arial Narrow" w:hAnsi="Arial Narrow"/>
                <w:sz w:val="20"/>
                <w:szCs w:val="20"/>
              </w:rPr>
              <w:t xml:space="preserve"> </w:t>
            </w:r>
            <w:r w:rsidRPr="00512D20">
              <w:rPr>
                <w:rFonts w:ascii="Arial Narrow" w:hAnsi="Arial Narrow"/>
                <w:i/>
                <w:iCs/>
                <w:sz w:val="20"/>
                <w:szCs w:val="20"/>
              </w:rPr>
              <w:t>(ii)</w:t>
            </w:r>
            <w:r w:rsidRPr="00512D20">
              <w:rPr>
                <w:rFonts w:ascii="Arial Narrow" w:hAnsi="Arial Narrow"/>
                <w:sz w:val="20"/>
                <w:szCs w:val="20"/>
              </w:rPr>
              <w:t xml:space="preserve"> intolerant necessitating treatment withdrawal</w:t>
            </w:r>
          </w:p>
        </w:tc>
      </w:tr>
      <w:tr w:rsidR="00E96FF5" w:rsidRPr="009941F8" w14:paraId="452B7394"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6553C2"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AND</w:t>
            </w:r>
          </w:p>
        </w:tc>
      </w:tr>
      <w:tr w:rsidR="00E96FF5" w:rsidRPr="009941F8" w14:paraId="5B0B550C"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D2D9EB" w14:textId="77777777" w:rsidR="006C13E2" w:rsidRPr="009941F8" w:rsidRDefault="006C13E2" w:rsidP="00460084">
            <w:pPr>
              <w:rPr>
                <w:rFonts w:ascii="Arial Narrow" w:hAnsi="Arial Narrow"/>
                <w:sz w:val="20"/>
                <w:szCs w:val="20"/>
              </w:rPr>
            </w:pPr>
            <w:r w:rsidRPr="009941F8">
              <w:rPr>
                <w:rFonts w:ascii="Arial Narrow" w:hAnsi="Arial Narrow"/>
                <w:b/>
                <w:bCs/>
                <w:sz w:val="20"/>
                <w:szCs w:val="20"/>
              </w:rPr>
              <w:t>Clinical criteria:</w:t>
            </w:r>
          </w:p>
        </w:tc>
      </w:tr>
      <w:tr w:rsidR="00E96FF5" w:rsidRPr="009941F8" w14:paraId="621BB0E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012342" w14:textId="45C1F49B" w:rsidR="006C13E2" w:rsidRPr="009941F8" w:rsidRDefault="006C13E2" w:rsidP="00460084">
            <w:pPr>
              <w:rPr>
                <w:rFonts w:ascii="Arial Narrow" w:hAnsi="Arial Narrow"/>
                <w:sz w:val="20"/>
                <w:szCs w:val="20"/>
                <w:highlight w:val="green"/>
              </w:rPr>
            </w:pPr>
            <w:r w:rsidRPr="009941F8">
              <w:rPr>
                <w:rFonts w:ascii="Arial Narrow" w:hAnsi="Arial Narrow"/>
                <w:sz w:val="20"/>
                <w:szCs w:val="20"/>
              </w:rPr>
              <w:t xml:space="preserve">Patient must </w:t>
            </w:r>
            <w:r w:rsidRPr="009941F8">
              <w:rPr>
                <w:rFonts w:ascii="Arial Narrow" w:hAnsi="Arial Narrow"/>
                <w:i/>
                <w:iCs/>
                <w:sz w:val="20"/>
                <w:szCs w:val="20"/>
              </w:rPr>
              <w:t>have been</w:t>
            </w:r>
            <w:r w:rsidRPr="009941F8">
              <w:rPr>
                <w:rFonts w:ascii="Arial Narrow" w:hAnsi="Arial Narrow"/>
                <w:sz w:val="20"/>
                <w:szCs w:val="20"/>
              </w:rPr>
              <w:t xml:space="preserve"> </w:t>
            </w:r>
            <w:r w:rsidRPr="009941F8">
              <w:rPr>
                <w:rFonts w:ascii="Arial Narrow" w:hAnsi="Arial Narrow"/>
                <w:strike/>
                <w:sz w:val="20"/>
                <w:szCs w:val="20"/>
              </w:rPr>
              <w:t>be currently</w:t>
            </w:r>
            <w:r w:rsidRPr="009941F8">
              <w:rPr>
                <w:rFonts w:ascii="Arial Narrow" w:hAnsi="Arial Narrow"/>
                <w:sz w:val="20"/>
                <w:szCs w:val="20"/>
              </w:rPr>
              <w:t xml:space="preserve"> receiving prednisolone or equivalent ≥ 7.5 mg per day and must have received this for at least 4 weeks </w:t>
            </w:r>
            <w:r w:rsidRPr="009941F8">
              <w:rPr>
                <w:rFonts w:ascii="Arial Narrow" w:eastAsiaTheme="majorEastAsia" w:hAnsi="Arial Narrow"/>
                <w:i/>
                <w:iCs/>
                <w:sz w:val="20"/>
                <w:szCs w:val="20"/>
                <w:lang w:bidi="en-US"/>
              </w:rPr>
              <w:t xml:space="preserve">prior to commencing therapy with this drug for this condition </w:t>
            </w:r>
            <w:r w:rsidRPr="00512D20">
              <w:rPr>
                <w:rFonts w:ascii="Arial Narrow" w:hAnsi="Arial Narrow"/>
                <w:sz w:val="20"/>
                <w:szCs w:val="20"/>
              </w:rPr>
              <w:t xml:space="preserve">unless </w:t>
            </w:r>
            <w:r w:rsidRPr="00512D20">
              <w:rPr>
                <w:rFonts w:ascii="Arial Narrow" w:hAnsi="Arial Narrow"/>
                <w:i/>
                <w:iCs/>
                <w:sz w:val="20"/>
                <w:szCs w:val="20"/>
              </w:rPr>
              <w:t>either</w:t>
            </w:r>
            <w:r w:rsidRPr="00512D20">
              <w:rPr>
                <w:rFonts w:ascii="Arial Narrow" w:hAnsi="Arial Narrow"/>
                <w:sz w:val="20"/>
                <w:szCs w:val="20"/>
              </w:rPr>
              <w:t xml:space="preserve"> </w:t>
            </w:r>
            <w:r w:rsidRPr="00512D20">
              <w:rPr>
                <w:rFonts w:ascii="Arial Narrow" w:hAnsi="Arial Narrow"/>
                <w:i/>
                <w:iCs/>
                <w:sz w:val="20"/>
                <w:szCs w:val="20"/>
              </w:rPr>
              <w:t>(i)</w:t>
            </w:r>
            <w:r w:rsidRPr="00512D20">
              <w:rPr>
                <w:rFonts w:ascii="Arial Narrow" w:hAnsi="Arial Narrow"/>
                <w:sz w:val="20"/>
                <w:szCs w:val="20"/>
              </w:rPr>
              <w:t xml:space="preserve"> contraindicated, </w:t>
            </w:r>
            <w:r w:rsidRPr="00512D20">
              <w:rPr>
                <w:rFonts w:ascii="Arial Narrow" w:hAnsi="Arial Narrow"/>
                <w:strike/>
                <w:sz w:val="20"/>
                <w:szCs w:val="20"/>
              </w:rPr>
              <w:t>or</w:t>
            </w:r>
            <w:r w:rsidRPr="00512D20">
              <w:rPr>
                <w:rFonts w:ascii="Arial Narrow" w:hAnsi="Arial Narrow"/>
                <w:sz w:val="20"/>
                <w:szCs w:val="20"/>
              </w:rPr>
              <w:t xml:space="preserve"> </w:t>
            </w:r>
            <w:r w:rsidRPr="00512D20">
              <w:rPr>
                <w:rFonts w:ascii="Arial Narrow" w:hAnsi="Arial Narrow"/>
                <w:i/>
                <w:iCs/>
                <w:sz w:val="20"/>
                <w:szCs w:val="20"/>
              </w:rPr>
              <w:t>(ii)</w:t>
            </w:r>
            <w:r w:rsidRPr="00512D20">
              <w:rPr>
                <w:rFonts w:ascii="Arial Narrow" w:hAnsi="Arial Narrow"/>
                <w:sz w:val="20"/>
                <w:szCs w:val="20"/>
              </w:rPr>
              <w:t xml:space="preserve"> intolerant necessitating treatment withdrawal</w:t>
            </w:r>
          </w:p>
        </w:tc>
      </w:tr>
      <w:tr w:rsidR="00E96FF5" w:rsidRPr="009941F8" w14:paraId="525A3125"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2965B6" w14:textId="77777777" w:rsidR="006C13E2" w:rsidRPr="009941F8" w:rsidRDefault="006C13E2" w:rsidP="00460084">
            <w:pPr>
              <w:rPr>
                <w:rFonts w:ascii="Arial Narrow" w:hAnsi="Arial Narrow"/>
                <w:sz w:val="20"/>
                <w:szCs w:val="20"/>
                <w:highlight w:val="green"/>
                <w:lang w:eastAsia="en-US"/>
              </w:rPr>
            </w:pPr>
            <w:r w:rsidRPr="009941F8">
              <w:rPr>
                <w:rFonts w:ascii="Arial Narrow" w:hAnsi="Arial Narrow"/>
                <w:b/>
                <w:bCs/>
                <w:sz w:val="20"/>
                <w:szCs w:val="20"/>
              </w:rPr>
              <w:t>AND</w:t>
            </w:r>
          </w:p>
        </w:tc>
      </w:tr>
      <w:tr w:rsidR="00E96FF5" w:rsidRPr="009941F8" w14:paraId="7A23816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49E0E2" w14:textId="77777777" w:rsidR="006C13E2" w:rsidRPr="009941F8" w:rsidRDefault="006C13E2" w:rsidP="00460084">
            <w:pPr>
              <w:rPr>
                <w:rFonts w:ascii="Arial Narrow" w:hAnsi="Arial Narrow"/>
                <w:sz w:val="20"/>
                <w:szCs w:val="20"/>
                <w:highlight w:val="green"/>
              </w:rPr>
            </w:pPr>
            <w:r w:rsidRPr="009941F8">
              <w:rPr>
                <w:rFonts w:ascii="Arial Narrow" w:hAnsi="Arial Narrow"/>
                <w:b/>
                <w:bCs/>
                <w:sz w:val="20"/>
                <w:szCs w:val="20"/>
              </w:rPr>
              <w:t>Clinical criteria:</w:t>
            </w:r>
          </w:p>
        </w:tc>
      </w:tr>
      <w:tr w:rsidR="00E96FF5" w:rsidRPr="009941F8" w14:paraId="2C7D1DFA"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5879DF" w14:textId="77777777" w:rsidR="006C13E2" w:rsidRPr="009941F8" w:rsidRDefault="006C13E2" w:rsidP="00460084">
            <w:pPr>
              <w:rPr>
                <w:rFonts w:ascii="Arial Narrow" w:hAnsi="Arial Narrow"/>
                <w:sz w:val="20"/>
                <w:szCs w:val="20"/>
                <w:highlight w:val="green"/>
              </w:rPr>
            </w:pPr>
            <w:r w:rsidRPr="009941F8">
              <w:rPr>
                <w:rFonts w:ascii="Arial Narrow" w:hAnsi="Arial Narrow"/>
                <w:sz w:val="20"/>
                <w:szCs w:val="20"/>
              </w:rPr>
              <w:t xml:space="preserve">Patient must not have </w:t>
            </w:r>
            <w:r w:rsidRPr="009941F8">
              <w:rPr>
                <w:rFonts w:ascii="Arial Narrow" w:hAnsi="Arial Narrow"/>
                <w:i/>
                <w:iCs/>
                <w:sz w:val="20"/>
                <w:szCs w:val="20"/>
              </w:rPr>
              <w:t>either (i)</w:t>
            </w:r>
            <w:r w:rsidRPr="009941F8">
              <w:rPr>
                <w:rFonts w:ascii="Arial Narrow" w:hAnsi="Arial Narrow"/>
                <w:sz w:val="20"/>
                <w:szCs w:val="20"/>
              </w:rPr>
              <w:t xml:space="preserve"> severe active lupus nephritis </w:t>
            </w:r>
            <w:r w:rsidRPr="009941F8">
              <w:rPr>
                <w:rFonts w:ascii="Arial Narrow" w:hAnsi="Arial Narrow"/>
                <w:strike/>
                <w:sz w:val="20"/>
                <w:szCs w:val="20"/>
              </w:rPr>
              <w:t>or</w:t>
            </w:r>
            <w:r w:rsidRPr="009941F8">
              <w:rPr>
                <w:rFonts w:ascii="Arial Narrow" w:hAnsi="Arial Narrow"/>
                <w:sz w:val="20"/>
                <w:szCs w:val="20"/>
              </w:rPr>
              <w:t xml:space="preserve"> </w:t>
            </w:r>
            <w:r w:rsidRPr="009941F8">
              <w:rPr>
                <w:rFonts w:ascii="Arial Narrow" w:hAnsi="Arial Narrow"/>
                <w:i/>
                <w:iCs/>
                <w:sz w:val="20"/>
                <w:szCs w:val="20"/>
              </w:rPr>
              <w:t>(ii)</w:t>
            </w:r>
            <w:r w:rsidRPr="009941F8">
              <w:rPr>
                <w:rFonts w:ascii="Arial Narrow" w:hAnsi="Arial Narrow"/>
                <w:sz w:val="20"/>
                <w:szCs w:val="20"/>
              </w:rPr>
              <w:t xml:space="preserve"> severe active central nervous system systemic lupus erythematosus</w:t>
            </w:r>
          </w:p>
        </w:tc>
      </w:tr>
      <w:tr w:rsidR="00E96FF5" w:rsidRPr="009941F8" w14:paraId="622EAE5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CC12C5"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Population criteria:</w:t>
            </w:r>
          </w:p>
        </w:tc>
      </w:tr>
      <w:tr w:rsidR="00E96FF5" w:rsidRPr="009941F8" w14:paraId="577A541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607B97" w14:textId="77777777" w:rsidR="006C13E2" w:rsidRPr="009941F8" w:rsidRDefault="006C13E2" w:rsidP="00460084">
            <w:pPr>
              <w:rPr>
                <w:rFonts w:ascii="Arial Narrow" w:hAnsi="Arial Narrow"/>
                <w:sz w:val="20"/>
                <w:szCs w:val="20"/>
              </w:rPr>
            </w:pPr>
            <w:r w:rsidRPr="009941F8">
              <w:rPr>
                <w:rFonts w:ascii="Arial Narrow" w:hAnsi="Arial Narrow"/>
                <w:sz w:val="20"/>
                <w:szCs w:val="20"/>
              </w:rPr>
              <w:lastRenderedPageBreak/>
              <w:t>Patient must be aged 18 years or older.</w:t>
            </w:r>
          </w:p>
        </w:tc>
      </w:tr>
      <w:tr w:rsidR="00E96FF5" w:rsidRPr="009941F8" w14:paraId="0F8FC181"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F9808B" w14:textId="77777777" w:rsidR="006C13E2" w:rsidRPr="009941F8" w:rsidRDefault="006C13E2" w:rsidP="00460084">
            <w:pPr>
              <w:rPr>
                <w:rFonts w:ascii="Arial Narrow" w:hAnsi="Arial Narrow"/>
                <w:b/>
                <w:bCs/>
                <w:i/>
                <w:iCs/>
                <w:color w:val="333333"/>
                <w:sz w:val="20"/>
                <w:szCs w:val="20"/>
              </w:rPr>
            </w:pPr>
            <w:r w:rsidRPr="009941F8">
              <w:rPr>
                <w:rFonts w:ascii="Arial Narrow" w:hAnsi="Arial Narrow"/>
                <w:b/>
                <w:bCs/>
                <w:i/>
                <w:iCs/>
                <w:color w:val="333333"/>
                <w:sz w:val="20"/>
                <w:szCs w:val="20"/>
              </w:rPr>
              <w:t>Prescribing Instructions:</w:t>
            </w:r>
          </w:p>
          <w:p w14:paraId="3EC51E60" w14:textId="77777777" w:rsidR="006C13E2" w:rsidRPr="009941F8" w:rsidRDefault="006C13E2" w:rsidP="00460084">
            <w:pPr>
              <w:rPr>
                <w:rFonts w:ascii="Arial Narrow" w:hAnsi="Arial Narrow"/>
                <w:i/>
                <w:iCs/>
                <w:sz w:val="20"/>
                <w:szCs w:val="20"/>
              </w:rPr>
            </w:pPr>
            <w:r w:rsidRPr="009941F8">
              <w:rPr>
                <w:rFonts w:ascii="Arial Narrow" w:hAnsi="Arial Narrow" w:cs="Open Sans"/>
                <w:i/>
                <w:iCs/>
                <w:color w:val="333333"/>
                <w:sz w:val="20"/>
                <w:szCs w:val="20"/>
                <w:bdr w:val="none" w:sz="0" w:space="0" w:color="auto" w:frame="1"/>
              </w:rPr>
              <w:t>A patient may only qualify for PBS-subsidised treatment under this restriction once only.</w:t>
            </w:r>
          </w:p>
        </w:tc>
      </w:tr>
      <w:tr w:rsidR="00E96FF5" w:rsidRPr="009941F8" w14:paraId="28A28D8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16F51B0" w14:textId="77777777" w:rsidR="006C13E2" w:rsidRPr="009941F8" w:rsidRDefault="006C13E2" w:rsidP="00460084">
            <w:pPr>
              <w:rPr>
                <w:rFonts w:ascii="Arial Narrow" w:hAnsi="Arial Narrow"/>
                <w:b/>
                <w:bCs/>
                <w:i/>
                <w:iCs/>
                <w:color w:val="333333"/>
                <w:sz w:val="20"/>
                <w:szCs w:val="20"/>
              </w:rPr>
            </w:pPr>
            <w:r w:rsidRPr="009941F8">
              <w:rPr>
                <w:rFonts w:ascii="Arial Narrow" w:hAnsi="Arial Narrow"/>
                <w:b/>
                <w:bCs/>
                <w:i/>
                <w:iCs/>
                <w:color w:val="333333"/>
                <w:sz w:val="20"/>
                <w:szCs w:val="20"/>
              </w:rPr>
              <w:t>Prescribing Instructions:</w:t>
            </w:r>
          </w:p>
          <w:p w14:paraId="169D9818" w14:textId="77777777" w:rsidR="006C13E2" w:rsidRPr="009941F8" w:rsidRDefault="006C13E2" w:rsidP="00460084">
            <w:pPr>
              <w:rPr>
                <w:rFonts w:ascii="Arial Narrow" w:hAnsi="Arial Narrow"/>
                <w:i/>
                <w:iCs/>
                <w:sz w:val="20"/>
                <w:szCs w:val="20"/>
              </w:rPr>
            </w:pPr>
            <w:r w:rsidRPr="009941F8">
              <w:rPr>
                <w:rFonts w:ascii="Arial Narrow" w:hAnsi="Arial Narrow"/>
                <w:i/>
                <w:iCs/>
                <w:color w:val="333333"/>
                <w:sz w:val="20"/>
                <w:szCs w:val="20"/>
              </w:rPr>
              <w:t>For continuing PBS-subsidised treatment, a Grandfathered patient must qualify under the Continuing treatment criteria.</w:t>
            </w:r>
          </w:p>
        </w:tc>
      </w:tr>
      <w:tr w:rsidR="00E96FF5" w:rsidRPr="009941F8" w14:paraId="0924F65E"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BD7383" w14:textId="77777777" w:rsidR="006C13E2" w:rsidRPr="009941F8" w:rsidRDefault="006C13E2" w:rsidP="006C13E2">
            <w:pPr>
              <w:rPr>
                <w:rFonts w:ascii="Arial Narrow" w:hAnsi="Arial Narrow"/>
                <w:b/>
                <w:bCs/>
                <w:sz w:val="20"/>
                <w:szCs w:val="20"/>
              </w:rPr>
            </w:pPr>
            <w:r w:rsidRPr="009941F8">
              <w:rPr>
                <w:rFonts w:ascii="Arial Narrow" w:hAnsi="Arial Narrow"/>
                <w:b/>
                <w:bCs/>
                <w:sz w:val="20"/>
                <w:szCs w:val="20"/>
              </w:rPr>
              <w:t>Prescribing Instructions:</w:t>
            </w:r>
          </w:p>
          <w:p w14:paraId="2A6A1E2D" w14:textId="370533D2" w:rsidR="006C13E2" w:rsidRPr="009941F8" w:rsidRDefault="006C13E2" w:rsidP="006C13E2">
            <w:pPr>
              <w:rPr>
                <w:rFonts w:ascii="Arial Narrow" w:hAnsi="Arial Narrow"/>
                <w:b/>
                <w:bCs/>
                <w:i/>
                <w:iCs/>
                <w:color w:val="333333"/>
                <w:sz w:val="20"/>
                <w:szCs w:val="20"/>
              </w:rPr>
            </w:pPr>
            <w:r w:rsidRPr="009941F8">
              <w:rPr>
                <w:rFonts w:ascii="Arial Narrow" w:hAnsi="Arial Narrow"/>
                <w:i/>
                <w:iCs/>
                <w:sz w:val="20"/>
                <w:szCs w:val="20"/>
              </w:rPr>
              <w:t>[Instructions regarding contraindication/severe intolerance - as above]</w:t>
            </w:r>
          </w:p>
        </w:tc>
      </w:tr>
      <w:tr w:rsidR="00E96FF5" w:rsidRPr="009941F8" w14:paraId="270A106E" w14:textId="77777777" w:rsidTr="006C13E2">
        <w:trPr>
          <w:trHeight w:val="88"/>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D578C"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Prescribing Instructions:</w:t>
            </w:r>
          </w:p>
          <w:p w14:paraId="43F30101" w14:textId="69352476" w:rsidR="006C13E2" w:rsidRPr="009941F8" w:rsidRDefault="006C13E2" w:rsidP="00460084">
            <w:pPr>
              <w:rPr>
                <w:rFonts w:ascii="Arial Narrow" w:hAnsi="Arial Narrow"/>
                <w:sz w:val="20"/>
                <w:szCs w:val="20"/>
              </w:rPr>
            </w:pPr>
            <w:r w:rsidRPr="009941F8">
              <w:rPr>
                <w:rFonts w:ascii="Arial Narrow" w:hAnsi="Arial Narrow"/>
                <w:i/>
                <w:iCs/>
                <w:sz w:val="20"/>
                <w:szCs w:val="20"/>
              </w:rPr>
              <w:t>[Instructions regarding lodging of authority application - as above]</w:t>
            </w:r>
          </w:p>
        </w:tc>
      </w:tr>
      <w:tr w:rsidR="00E96FF5" w:rsidRPr="009941F8" w14:paraId="32BF4964" w14:textId="77777777" w:rsidTr="006C13E2">
        <w:trPr>
          <w:trHeight w:val="88"/>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86847B" w14:textId="77777777" w:rsidR="006C13E2" w:rsidRPr="009941F8" w:rsidRDefault="006C13E2" w:rsidP="006C13E2">
            <w:pPr>
              <w:rPr>
                <w:rFonts w:ascii="Arial Narrow" w:hAnsi="Arial Narrow"/>
                <w:b/>
                <w:bCs/>
                <w:sz w:val="20"/>
                <w:szCs w:val="20"/>
              </w:rPr>
            </w:pPr>
            <w:r w:rsidRPr="009941F8">
              <w:rPr>
                <w:rFonts w:ascii="Arial Narrow" w:hAnsi="Arial Narrow"/>
                <w:b/>
                <w:bCs/>
                <w:sz w:val="20"/>
                <w:szCs w:val="20"/>
              </w:rPr>
              <w:t>Prescribing Instructions:</w:t>
            </w:r>
          </w:p>
          <w:p w14:paraId="60CA831A" w14:textId="7F5A2FE8" w:rsidR="006C13E2" w:rsidRPr="009941F8" w:rsidRDefault="006C13E2" w:rsidP="006C13E2">
            <w:pPr>
              <w:rPr>
                <w:rFonts w:ascii="Arial Narrow" w:hAnsi="Arial Narrow"/>
                <w:b/>
                <w:bCs/>
                <w:sz w:val="20"/>
                <w:szCs w:val="20"/>
              </w:rPr>
            </w:pPr>
            <w:r w:rsidRPr="009941F8">
              <w:rPr>
                <w:rFonts w:ascii="Arial Narrow" w:hAnsi="Arial Narrow"/>
                <w:i/>
                <w:iCs/>
                <w:sz w:val="20"/>
                <w:szCs w:val="20"/>
              </w:rPr>
              <w:t>[Instructions regarding HPOS form upload or mail - as above]</w:t>
            </w:r>
          </w:p>
        </w:tc>
      </w:tr>
      <w:tr w:rsidR="00E96FF5" w:rsidRPr="009941F8" w14:paraId="6111A97A" w14:textId="77777777" w:rsidTr="006C13E2">
        <w:trPr>
          <w:trHeight w:val="1084"/>
        </w:trPr>
        <w:tc>
          <w:tcPr>
            <w:tcW w:w="5000" w:type="pct"/>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5B98D99B" w14:textId="77777777" w:rsidR="006C13E2" w:rsidRPr="009941F8" w:rsidRDefault="006C13E2" w:rsidP="00460084">
            <w:pPr>
              <w:contextualSpacing/>
              <w:rPr>
                <w:rFonts w:ascii="Arial Narrow" w:hAnsi="Arial Narrow"/>
                <w:b/>
                <w:bCs/>
                <w:sz w:val="20"/>
                <w:szCs w:val="20"/>
              </w:rPr>
            </w:pPr>
            <w:r w:rsidRPr="009941F8">
              <w:rPr>
                <w:rFonts w:ascii="Arial Narrow" w:hAnsi="Arial Narrow"/>
                <w:b/>
                <w:bCs/>
                <w:sz w:val="20"/>
                <w:szCs w:val="20"/>
              </w:rPr>
              <w:t>Prescribing Instructions:</w:t>
            </w:r>
          </w:p>
          <w:p w14:paraId="11E101A7" w14:textId="77777777" w:rsidR="006C13E2" w:rsidRPr="009941F8" w:rsidRDefault="006C13E2" w:rsidP="00460084">
            <w:pPr>
              <w:contextualSpacing/>
              <w:rPr>
                <w:rFonts w:ascii="Arial Narrow" w:hAnsi="Arial Narrow"/>
                <w:sz w:val="20"/>
                <w:szCs w:val="20"/>
              </w:rPr>
            </w:pPr>
            <w:r w:rsidRPr="009941F8">
              <w:rPr>
                <w:rFonts w:ascii="Arial Narrow" w:hAnsi="Arial Narrow"/>
                <w:sz w:val="20"/>
                <w:szCs w:val="20"/>
              </w:rPr>
              <w:t>If the application is submitted through HPOS form upload or mail, it must include:</w:t>
            </w:r>
          </w:p>
          <w:p w14:paraId="00091E31" w14:textId="77777777" w:rsidR="006C13E2" w:rsidRPr="009941F8" w:rsidRDefault="006C13E2" w:rsidP="009E284F">
            <w:pPr>
              <w:pStyle w:val="ListParagraph"/>
              <w:numPr>
                <w:ilvl w:val="0"/>
                <w:numId w:val="26"/>
              </w:numPr>
              <w:spacing w:after="0"/>
              <w:contextualSpacing/>
              <w:jc w:val="left"/>
              <w:rPr>
                <w:rFonts w:ascii="Arial Narrow" w:hAnsi="Arial Narrow"/>
                <w:sz w:val="20"/>
                <w:szCs w:val="20"/>
              </w:rPr>
            </w:pPr>
            <w:r w:rsidRPr="009941F8">
              <w:rPr>
                <w:rFonts w:ascii="Arial Narrow" w:hAnsi="Arial Narrow"/>
                <w:sz w:val="20"/>
                <w:szCs w:val="20"/>
              </w:rPr>
              <w:t>a completed authority prescription form; and</w:t>
            </w:r>
          </w:p>
          <w:p w14:paraId="78D7EBF4" w14:textId="77777777" w:rsidR="006C13E2" w:rsidRPr="009941F8" w:rsidRDefault="006C13E2" w:rsidP="009E284F">
            <w:pPr>
              <w:pStyle w:val="ListParagraph"/>
              <w:numPr>
                <w:ilvl w:val="0"/>
                <w:numId w:val="26"/>
              </w:numPr>
              <w:spacing w:after="0"/>
              <w:contextualSpacing/>
              <w:jc w:val="left"/>
              <w:rPr>
                <w:rFonts w:ascii="Arial Narrow" w:hAnsi="Arial Narrow"/>
                <w:i/>
                <w:iCs/>
                <w:sz w:val="20"/>
                <w:szCs w:val="20"/>
              </w:rPr>
            </w:pPr>
            <w:r w:rsidRPr="009941F8">
              <w:rPr>
                <w:rFonts w:ascii="Arial Narrow" w:hAnsi="Arial Narrow"/>
                <w:sz w:val="20"/>
                <w:szCs w:val="20"/>
              </w:rPr>
              <w:t>a completed authority application form relevant to the indication and treatment phase (the latest version is located on the website specified in the Administrative Advice)</w:t>
            </w:r>
            <w:r w:rsidRPr="009941F8">
              <w:rPr>
                <w:rFonts w:ascii="Arial Narrow" w:hAnsi="Arial Narrow"/>
                <w:i/>
                <w:iCs/>
                <w:sz w:val="20"/>
                <w:szCs w:val="20"/>
              </w:rPr>
              <w:t xml:space="preserve"> </w:t>
            </w:r>
          </w:p>
        </w:tc>
      </w:tr>
      <w:tr w:rsidR="00E96FF5" w:rsidRPr="009941F8" w14:paraId="5D8802A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F41817" w14:textId="77777777" w:rsidR="006C13E2" w:rsidRPr="009941F8" w:rsidRDefault="006C13E2" w:rsidP="00460084">
            <w:pPr>
              <w:rPr>
                <w:rFonts w:ascii="Arial Narrow" w:hAnsi="Arial Narrow"/>
                <w:iCs/>
                <w:strike/>
                <w:sz w:val="20"/>
                <w:szCs w:val="20"/>
                <w:lang w:eastAsia="en-US"/>
              </w:rPr>
            </w:pPr>
            <w:r w:rsidRPr="009941F8">
              <w:rPr>
                <w:rFonts w:ascii="Arial Narrow" w:hAnsi="Arial Narrow"/>
                <w:b/>
                <w:bCs/>
                <w:strike/>
                <w:sz w:val="20"/>
                <w:szCs w:val="20"/>
              </w:rPr>
              <w:t>Prescribing Instructions:</w:t>
            </w:r>
          </w:p>
          <w:p w14:paraId="304D33ED" w14:textId="77777777" w:rsidR="006C13E2" w:rsidRPr="009941F8" w:rsidRDefault="006C13E2" w:rsidP="00460084">
            <w:pPr>
              <w:rPr>
                <w:rFonts w:ascii="Arial Narrow" w:hAnsi="Arial Narrow"/>
                <w:iCs/>
                <w:strike/>
                <w:sz w:val="20"/>
                <w:szCs w:val="20"/>
              </w:rPr>
            </w:pPr>
            <w:r w:rsidRPr="009941F8">
              <w:rPr>
                <w:rFonts w:ascii="Arial Narrow" w:hAnsi="Arial Narrow"/>
                <w:iCs/>
                <w:strike/>
                <w:sz w:val="20"/>
                <w:szCs w:val="20"/>
              </w:rPr>
              <w:t>History of systemic lupus erythematosus medication therapy should be based on documented use of treatment prescribed by a physician.</w:t>
            </w:r>
          </w:p>
          <w:p w14:paraId="1CCDD175" w14:textId="77777777" w:rsidR="006C13E2" w:rsidRPr="009941F8" w:rsidRDefault="006C13E2" w:rsidP="00460084">
            <w:pPr>
              <w:rPr>
                <w:rFonts w:ascii="Arial Narrow" w:hAnsi="Arial Narrow"/>
                <w:iCs/>
                <w:strike/>
                <w:sz w:val="20"/>
                <w:szCs w:val="20"/>
              </w:rPr>
            </w:pPr>
          </w:p>
          <w:p w14:paraId="1EE93E7D" w14:textId="77777777" w:rsidR="006C13E2" w:rsidRPr="009941F8" w:rsidRDefault="006C13E2" w:rsidP="00460084">
            <w:pPr>
              <w:rPr>
                <w:rFonts w:ascii="Arial Narrow" w:hAnsi="Arial Narrow"/>
                <w:iCs/>
                <w:strike/>
                <w:sz w:val="20"/>
                <w:szCs w:val="20"/>
              </w:rPr>
            </w:pPr>
            <w:r w:rsidRPr="009941F8">
              <w:rPr>
                <w:rFonts w:ascii="Arial Narrow" w:hAnsi="Arial Narrow"/>
                <w:iCs/>
                <w:strike/>
                <w:sz w:val="20"/>
                <w:szCs w:val="20"/>
              </w:rPr>
              <w:t>Standard of care for this condition is a combination of an antimalarial medicine, a corticosteroid (at least 7.5 mg per day prednisolone or equivalent) and a systemic immunosuppressive medicine.</w:t>
            </w:r>
          </w:p>
          <w:p w14:paraId="750EF1BC" w14:textId="77777777" w:rsidR="006C13E2" w:rsidRPr="009941F8" w:rsidRDefault="006C13E2" w:rsidP="00460084">
            <w:pPr>
              <w:rPr>
                <w:rFonts w:ascii="Arial Narrow" w:hAnsi="Arial Narrow"/>
                <w:iCs/>
                <w:strike/>
                <w:sz w:val="20"/>
                <w:szCs w:val="20"/>
              </w:rPr>
            </w:pPr>
          </w:p>
          <w:p w14:paraId="595CBF91" w14:textId="77777777" w:rsidR="006C13E2" w:rsidRPr="009941F8" w:rsidRDefault="006C13E2" w:rsidP="00460084">
            <w:pPr>
              <w:rPr>
                <w:rFonts w:ascii="Arial Narrow" w:hAnsi="Arial Narrow"/>
                <w:iCs/>
                <w:strike/>
                <w:sz w:val="20"/>
                <w:szCs w:val="20"/>
              </w:rPr>
            </w:pPr>
            <w:r w:rsidRPr="009941F8">
              <w:rPr>
                <w:rFonts w:ascii="Arial Narrow" w:hAnsi="Arial Narrow"/>
                <w:iCs/>
                <w:strike/>
                <w:sz w:val="20"/>
                <w:szCs w:val="20"/>
              </w:rPr>
              <w:t>Where intolerance to standard of care of a severity necessitating permanent treatment withdrawal has occurred or is expected to occur, details of the degree of this toxicity must be provided at the time of application.</w:t>
            </w:r>
          </w:p>
          <w:p w14:paraId="562E0AB2" w14:textId="77777777" w:rsidR="006C13E2" w:rsidRPr="009941F8" w:rsidRDefault="006C13E2" w:rsidP="00460084">
            <w:pPr>
              <w:rPr>
                <w:rFonts w:ascii="Arial Narrow" w:hAnsi="Arial Narrow"/>
                <w:iCs/>
                <w:strike/>
                <w:sz w:val="20"/>
                <w:szCs w:val="20"/>
              </w:rPr>
            </w:pPr>
          </w:p>
          <w:p w14:paraId="3F5D3385" w14:textId="77777777" w:rsidR="006C13E2" w:rsidRPr="009941F8" w:rsidRDefault="006C13E2" w:rsidP="00460084">
            <w:pPr>
              <w:rPr>
                <w:rFonts w:ascii="Arial Narrow" w:hAnsi="Arial Narrow"/>
                <w:iCs/>
                <w:sz w:val="20"/>
                <w:szCs w:val="20"/>
              </w:rPr>
            </w:pPr>
            <w:r w:rsidRPr="009941F8">
              <w:rPr>
                <w:rFonts w:ascii="Arial Narrow" w:hAnsi="Arial Narrow"/>
                <w:iCs/>
                <w:strike/>
                <w:sz w:val="20"/>
                <w:szCs w:val="20"/>
              </w:rPr>
              <w:t>If treatment with standard of care therapy is contraindicated according to the relevant TGA approved Product Information, details of the contraindication must be provided at the time of application.</w:t>
            </w:r>
          </w:p>
        </w:tc>
      </w:tr>
      <w:tr w:rsidR="00E96FF5" w:rsidRPr="009941F8" w14:paraId="66EBAE45"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C8E6516" w14:textId="77777777" w:rsidR="006C13E2" w:rsidRPr="009941F8" w:rsidRDefault="006C13E2" w:rsidP="00460084">
            <w:pPr>
              <w:rPr>
                <w:rFonts w:ascii="Arial Narrow" w:hAnsi="Arial Narrow"/>
                <w:b/>
                <w:bCs/>
                <w:iCs/>
                <w:sz w:val="20"/>
                <w:szCs w:val="20"/>
              </w:rPr>
            </w:pPr>
            <w:r w:rsidRPr="009941F8">
              <w:rPr>
                <w:rFonts w:ascii="Arial Narrow" w:hAnsi="Arial Narrow"/>
                <w:b/>
                <w:bCs/>
                <w:iCs/>
                <w:sz w:val="20"/>
                <w:szCs w:val="20"/>
              </w:rPr>
              <w:t>Administrative Advice:</w:t>
            </w:r>
          </w:p>
          <w:p w14:paraId="2DC8DBEE"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SLEDAI-2K can be accessed via Gladman 2002 J. Rheumatol. 29 (2) 288-291 or from AstraZeneca Medical Information on 1800 805 342.</w:t>
            </w:r>
          </w:p>
        </w:tc>
      </w:tr>
      <w:tr w:rsidR="00E96FF5" w:rsidRPr="009941F8" w14:paraId="2F488AC7"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C27B8C" w14:textId="77777777" w:rsidR="006C13E2" w:rsidRPr="009941F8" w:rsidRDefault="006C13E2" w:rsidP="00460084">
            <w:pPr>
              <w:rPr>
                <w:rFonts w:ascii="Arial Narrow" w:hAnsi="Arial Narrow"/>
                <w:iCs/>
                <w:sz w:val="20"/>
                <w:szCs w:val="20"/>
              </w:rPr>
            </w:pPr>
            <w:r w:rsidRPr="009941F8">
              <w:rPr>
                <w:rFonts w:ascii="Arial Narrow" w:hAnsi="Arial Narrow"/>
                <w:b/>
                <w:bCs/>
                <w:iCs/>
                <w:sz w:val="20"/>
                <w:szCs w:val="20"/>
              </w:rPr>
              <w:t>Administrative Advice:</w:t>
            </w:r>
          </w:p>
          <w:p w14:paraId="7F0A8D70"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Any queries concerning the arrangements to prescribe may be directed to the Services Australia on 1800 700 270 (hours of operation 8 a.m. to 5 p.m. Monday to Friday).</w:t>
            </w:r>
          </w:p>
          <w:p w14:paraId="52E0EAE3"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 </w:t>
            </w:r>
          </w:p>
          <w:p w14:paraId="199FE135"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Prescribing information (including Authority Application forms and other relevant documentation as applicable) is available on the Services Australia website at </w:t>
            </w:r>
            <w:hyperlink r:id="rId10" w:history="1">
              <w:r w:rsidRPr="009941F8">
                <w:rPr>
                  <w:rStyle w:val="Hyperlink"/>
                  <w:rFonts w:ascii="Arial Narrow" w:hAnsi="Arial Narrow"/>
                  <w:iCs/>
                  <w:sz w:val="20"/>
                  <w:szCs w:val="20"/>
                </w:rPr>
                <w:t>servicesaustralia.gov.au</w:t>
              </w:r>
            </w:hyperlink>
          </w:p>
          <w:p w14:paraId="258F6075" w14:textId="77777777" w:rsidR="006C13E2" w:rsidRPr="009941F8" w:rsidRDefault="006C13E2" w:rsidP="00460084">
            <w:pPr>
              <w:rPr>
                <w:rFonts w:ascii="Arial Narrow" w:hAnsi="Arial Narrow"/>
                <w:iCs/>
                <w:sz w:val="20"/>
                <w:szCs w:val="20"/>
              </w:rPr>
            </w:pPr>
          </w:p>
          <w:p w14:paraId="087436CF" w14:textId="77777777" w:rsidR="006C13E2" w:rsidRPr="009941F8" w:rsidRDefault="006C13E2" w:rsidP="00460084">
            <w:pPr>
              <w:textAlignment w:val="baseline"/>
              <w:rPr>
                <w:rFonts w:ascii="Arial Narrow" w:hAnsi="Arial Narrow" w:cstheme="minorHAnsi"/>
                <w:iCs/>
                <w:color w:val="333333"/>
                <w:sz w:val="20"/>
                <w:szCs w:val="20"/>
              </w:rPr>
            </w:pPr>
            <w:r w:rsidRPr="009941F8">
              <w:rPr>
                <w:rFonts w:ascii="Arial Narrow" w:hAnsi="Arial Narrow" w:cstheme="minorHAnsi"/>
                <w:iCs/>
                <w:color w:val="333333"/>
                <w:sz w:val="20"/>
                <w:szCs w:val="20"/>
              </w:rPr>
              <w:t xml:space="preserve">Applications for authorisation under this restriction should be made in real time using the Online PBS Authorities system (see </w:t>
            </w:r>
            <w:hyperlink r:id="rId11" w:history="1">
              <w:r w:rsidRPr="009941F8">
                <w:rPr>
                  <w:rStyle w:val="Hyperlink"/>
                  <w:rFonts w:ascii="Arial Narrow" w:hAnsi="Arial Narrow" w:cstheme="minorHAnsi"/>
                  <w:iCs/>
                  <w:sz w:val="20"/>
                  <w:szCs w:val="20"/>
                </w:rPr>
                <w:t>www.servicesaustralia.gov.au</w:t>
              </w:r>
            </w:hyperlink>
            <w:r w:rsidRPr="009941F8">
              <w:rPr>
                <w:rFonts w:ascii="Arial Narrow" w:hAnsi="Arial Narrow" w:cstheme="minorHAnsi"/>
                <w:iCs/>
                <w:color w:val="333333"/>
                <w:sz w:val="20"/>
                <w:szCs w:val="20"/>
              </w:rPr>
              <w:t>/hpos)</w:t>
            </w:r>
          </w:p>
          <w:p w14:paraId="6D674F8E" w14:textId="77777777" w:rsidR="006C13E2" w:rsidRPr="009941F8" w:rsidRDefault="006C13E2" w:rsidP="00460084">
            <w:pPr>
              <w:rPr>
                <w:rFonts w:ascii="Arial Narrow" w:hAnsi="Arial Narrow" w:cs="Times New Roman"/>
                <w:iCs/>
                <w:sz w:val="20"/>
                <w:szCs w:val="20"/>
              </w:rPr>
            </w:pPr>
          </w:p>
          <w:p w14:paraId="2F63E8CF"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Alternatively, applications for authority to prescribe can be submitted online using the form upload facility in Health Professional Online Services (HPOS)</w:t>
            </w:r>
            <w:r w:rsidRPr="009941F8">
              <w:rPr>
                <w:rFonts w:ascii="Arial Narrow" w:hAnsi="Arial Narrow"/>
                <w:bCs/>
                <w:iCs/>
                <w:sz w:val="20"/>
                <w:szCs w:val="20"/>
              </w:rPr>
              <w:t xml:space="preserve"> at www.servicesaustralia.gov.au/hpos </w:t>
            </w:r>
          </w:p>
          <w:p w14:paraId="26E7082B" w14:textId="77777777" w:rsidR="006C13E2" w:rsidRPr="009941F8" w:rsidRDefault="006C13E2" w:rsidP="00460084">
            <w:pPr>
              <w:rPr>
                <w:rFonts w:ascii="Arial Narrow" w:hAnsi="Arial Narrow"/>
                <w:iCs/>
                <w:sz w:val="20"/>
                <w:szCs w:val="20"/>
              </w:rPr>
            </w:pPr>
          </w:p>
          <w:p w14:paraId="08313197"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Or mailed to:</w:t>
            </w:r>
          </w:p>
          <w:p w14:paraId="62482AC5"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Services Australia</w:t>
            </w:r>
          </w:p>
          <w:p w14:paraId="059DBB42"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Complex Drugs </w:t>
            </w:r>
          </w:p>
          <w:p w14:paraId="0F2597D7"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 xml:space="preserve">Reply Paid 9826 </w:t>
            </w:r>
          </w:p>
          <w:p w14:paraId="61FB3247" w14:textId="77777777" w:rsidR="006C13E2" w:rsidRPr="009941F8" w:rsidRDefault="006C13E2" w:rsidP="00460084">
            <w:pPr>
              <w:rPr>
                <w:rFonts w:ascii="Arial Narrow" w:hAnsi="Arial Narrow"/>
                <w:iCs/>
                <w:sz w:val="20"/>
                <w:szCs w:val="20"/>
              </w:rPr>
            </w:pPr>
            <w:r w:rsidRPr="009941F8">
              <w:rPr>
                <w:rFonts w:ascii="Arial Narrow" w:hAnsi="Arial Narrow"/>
                <w:iCs/>
                <w:sz w:val="20"/>
                <w:szCs w:val="20"/>
              </w:rPr>
              <w:t>HOBART TAS 7001</w:t>
            </w:r>
          </w:p>
          <w:p w14:paraId="3CB7F2AF" w14:textId="77777777" w:rsidR="006C13E2" w:rsidRPr="009941F8" w:rsidRDefault="006C13E2" w:rsidP="00460084">
            <w:pPr>
              <w:rPr>
                <w:rFonts w:ascii="Arial Narrow" w:hAnsi="Arial Narrow"/>
                <w:sz w:val="20"/>
                <w:szCs w:val="20"/>
              </w:rPr>
            </w:pPr>
          </w:p>
          <w:p w14:paraId="303EC3CF" w14:textId="375761D9" w:rsidR="006C13E2" w:rsidRPr="009941F8" w:rsidRDefault="006C13E2" w:rsidP="00460084">
            <w:pPr>
              <w:rPr>
                <w:rFonts w:ascii="Arial Narrow" w:hAnsi="Arial Narrow"/>
                <w:i/>
                <w:sz w:val="20"/>
                <w:szCs w:val="20"/>
              </w:rPr>
            </w:pPr>
            <w:r w:rsidRPr="009941F8">
              <w:rPr>
                <w:rFonts w:ascii="Arial Narrow" w:hAnsi="Arial Narrow"/>
                <w:i/>
                <w:iCs/>
                <w:sz w:val="20"/>
                <w:szCs w:val="20"/>
              </w:rPr>
              <w:t>[Instructions regarding Services Australia contact information - as above]</w:t>
            </w:r>
          </w:p>
        </w:tc>
      </w:tr>
      <w:tr w:rsidR="00E96FF5" w:rsidRPr="009941F8" w14:paraId="5CB7A169"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B82AE9"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t>Administrative Advice:</w:t>
            </w:r>
          </w:p>
          <w:p w14:paraId="0152ED03" w14:textId="77777777" w:rsidR="006C13E2" w:rsidRPr="009941F8" w:rsidRDefault="006C13E2" w:rsidP="00460084">
            <w:pPr>
              <w:rPr>
                <w:rFonts w:ascii="Arial Narrow" w:hAnsi="Arial Narrow"/>
                <w:bCs/>
                <w:sz w:val="20"/>
                <w:szCs w:val="20"/>
              </w:rPr>
            </w:pPr>
            <w:r w:rsidRPr="009941F8">
              <w:rPr>
                <w:rFonts w:ascii="Arial Narrow" w:hAnsi="Arial Narrow"/>
                <w:bCs/>
                <w:sz w:val="20"/>
                <w:szCs w:val="20"/>
              </w:rPr>
              <w:t>No increase in the maximum number of repeats may be authorised.</w:t>
            </w:r>
          </w:p>
        </w:tc>
      </w:tr>
      <w:tr w:rsidR="00E96FF5" w:rsidRPr="009941F8" w14:paraId="5368F4FF" w14:textId="77777777" w:rsidTr="006C13E2">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D8D68" w14:textId="77777777" w:rsidR="006C13E2" w:rsidRPr="009941F8" w:rsidRDefault="006C13E2" w:rsidP="00460084">
            <w:pPr>
              <w:rPr>
                <w:rFonts w:ascii="Arial Narrow" w:hAnsi="Arial Narrow"/>
                <w:b/>
                <w:bCs/>
                <w:sz w:val="20"/>
                <w:szCs w:val="20"/>
              </w:rPr>
            </w:pPr>
            <w:r w:rsidRPr="009941F8">
              <w:rPr>
                <w:rFonts w:ascii="Arial Narrow" w:hAnsi="Arial Narrow"/>
                <w:b/>
                <w:bCs/>
                <w:sz w:val="20"/>
                <w:szCs w:val="20"/>
              </w:rPr>
              <w:lastRenderedPageBreak/>
              <w:t>Administrative Advice:</w:t>
            </w:r>
          </w:p>
          <w:p w14:paraId="00B6C28D" w14:textId="77777777" w:rsidR="006C13E2" w:rsidRPr="009941F8" w:rsidRDefault="006C13E2" w:rsidP="00460084">
            <w:pPr>
              <w:rPr>
                <w:rFonts w:ascii="Arial Narrow" w:hAnsi="Arial Narrow"/>
                <w:bCs/>
                <w:sz w:val="20"/>
                <w:szCs w:val="20"/>
              </w:rPr>
            </w:pPr>
            <w:r w:rsidRPr="009941F8">
              <w:rPr>
                <w:rFonts w:ascii="Arial Narrow" w:hAnsi="Arial Narrow"/>
                <w:bCs/>
                <w:sz w:val="20"/>
                <w:szCs w:val="20"/>
              </w:rPr>
              <w:t>No increase in the maximum quantity or number of units may be authorised.</w:t>
            </w:r>
          </w:p>
        </w:tc>
      </w:tr>
    </w:tbl>
    <w:p w14:paraId="40E1C9AE" w14:textId="77777777" w:rsidR="00357D22" w:rsidRPr="00357D22" w:rsidRDefault="00357D22" w:rsidP="006C13E2">
      <w:pPr>
        <w:pStyle w:val="Bodytextitalics"/>
        <w:spacing w:after="0"/>
        <w:rPr>
          <w:i w:val="0"/>
          <w:snapToGrid w:val="0"/>
          <w:sz w:val="20"/>
          <w:szCs w:val="20"/>
        </w:rPr>
      </w:pPr>
    </w:p>
    <w:p w14:paraId="78DF09F7" w14:textId="00DFB8BF" w:rsidR="006C5BDD" w:rsidRPr="009941F8" w:rsidRDefault="001728F0" w:rsidP="00A244E2">
      <w:pPr>
        <w:pStyle w:val="ExecSumBodyText"/>
        <w:numPr>
          <w:ilvl w:val="1"/>
          <w:numId w:val="1"/>
        </w:numPr>
      </w:pPr>
      <w:bookmarkStart w:id="15" w:name="_Hlk156458195"/>
      <w:r w:rsidRPr="009941F8">
        <w:rPr>
          <w:rFonts w:eastAsia="SimSun"/>
        </w:rPr>
        <w:t>In addition to the initial and continuing supply restrictions, t</w:t>
      </w:r>
      <w:r w:rsidR="006C5BDD" w:rsidRPr="009941F8">
        <w:rPr>
          <w:rFonts w:eastAsia="SimSun"/>
        </w:rPr>
        <w:t xml:space="preserve">he resubmission requested 1-2 months balance of supply for initial and continuing treatment to allow for situations when patients could not meet the 6-month assessment of treatment response criteria. For example, at the time the patient is due for assessment, the patient had intercurrent illness (e.g. viral infection), comorbid asthma or allergic reaction, where </w:t>
      </w:r>
      <w:r w:rsidR="00486F0E" w:rsidRPr="009941F8">
        <w:rPr>
          <w:rFonts w:eastAsia="SimSun"/>
        </w:rPr>
        <w:t>oral corticosteroids (</w:t>
      </w:r>
      <w:r w:rsidR="006C5BDD" w:rsidRPr="009941F8">
        <w:rPr>
          <w:rFonts w:eastAsia="SimSun"/>
        </w:rPr>
        <w:t>OCS</w:t>
      </w:r>
      <w:r w:rsidR="00486F0E" w:rsidRPr="009941F8">
        <w:rPr>
          <w:rFonts w:eastAsia="SimSun"/>
        </w:rPr>
        <w:t>)</w:t>
      </w:r>
      <w:r w:rsidR="006C5BDD" w:rsidRPr="009941F8">
        <w:rPr>
          <w:rFonts w:eastAsia="SimSun"/>
        </w:rPr>
        <w:t xml:space="preserve"> dose temporarily increased above 7.5</w:t>
      </w:r>
      <w:r w:rsidR="00704C33">
        <w:rPr>
          <w:rFonts w:eastAsia="SimSun"/>
        </w:rPr>
        <w:t> </w:t>
      </w:r>
      <w:r w:rsidR="006C5BDD" w:rsidRPr="009941F8">
        <w:rPr>
          <w:rFonts w:eastAsia="SimSun"/>
        </w:rPr>
        <w:t>mg/day.</w:t>
      </w:r>
    </w:p>
    <w:p w14:paraId="6AC59C17" w14:textId="217D7053" w:rsidR="002966B2" w:rsidRPr="009941F8" w:rsidRDefault="001250B7" w:rsidP="00A244E2">
      <w:pPr>
        <w:pStyle w:val="ExecSumBodyText"/>
        <w:numPr>
          <w:ilvl w:val="1"/>
          <w:numId w:val="1"/>
        </w:numPr>
      </w:pPr>
      <w:bookmarkStart w:id="16" w:name="_Ref162023552"/>
      <w:r w:rsidRPr="009941F8">
        <w:rPr>
          <w:rFonts w:eastAsia="SimSun"/>
        </w:rPr>
        <w:t xml:space="preserve">The additional exploratory and post hoc analysis showed that LLDAS attainment increased over 52 weeks and while the difference between anifrolumab and placebo group was maintained over time, </w:t>
      </w:r>
      <w:r w:rsidR="00811930" w:rsidRPr="009941F8">
        <w:rPr>
          <w:rFonts w:eastAsia="SimSun"/>
        </w:rPr>
        <w:t>in the pooled TULIP-1/TULIP-2 analyses</w:t>
      </w:r>
      <w:r w:rsidR="00224035" w:rsidRPr="009941F8">
        <w:rPr>
          <w:rFonts w:eastAsia="SimSun"/>
        </w:rPr>
        <w:t xml:space="preserve"> (ITT population)</w:t>
      </w:r>
      <w:r w:rsidR="00811930" w:rsidRPr="009941F8">
        <w:rPr>
          <w:rFonts w:eastAsia="SimSun"/>
        </w:rPr>
        <w:t xml:space="preserve"> </w:t>
      </w:r>
      <w:r w:rsidRPr="009941F8">
        <w:rPr>
          <w:rFonts w:eastAsia="SimSun"/>
        </w:rPr>
        <w:t>more patients achieved LLDAS at 52 weeks (30% vs 19.6%) than at 24</w:t>
      </w:r>
      <w:r w:rsidR="00F54881">
        <w:rPr>
          <w:rFonts w:eastAsia="SimSun"/>
        </w:rPr>
        <w:t> </w:t>
      </w:r>
      <w:r w:rsidRPr="009941F8">
        <w:rPr>
          <w:rFonts w:eastAsia="SimSun"/>
        </w:rPr>
        <w:t xml:space="preserve">weeks (23.1% vs 11.2%). </w:t>
      </w:r>
      <w:r w:rsidR="00811930" w:rsidRPr="009941F8">
        <w:rPr>
          <w:rFonts w:eastAsia="SimSun"/>
        </w:rPr>
        <w:t>The requested restriction for continuing treatment beyond six months requires the patient to have attained LLDAS</w:t>
      </w:r>
      <w:r w:rsidR="00393221" w:rsidRPr="009941F8">
        <w:rPr>
          <w:rFonts w:eastAsia="SimSun"/>
        </w:rPr>
        <w:t>;</w:t>
      </w:r>
      <w:r w:rsidR="002966B2" w:rsidRPr="009941F8">
        <w:rPr>
          <w:rFonts w:eastAsia="SimSun"/>
        </w:rPr>
        <w:t xml:space="preserve"> however</w:t>
      </w:r>
      <w:r w:rsidR="00393221" w:rsidRPr="009941F8">
        <w:rPr>
          <w:rFonts w:eastAsia="SimSun"/>
        </w:rPr>
        <w:t>,</w:t>
      </w:r>
      <w:r w:rsidR="002966B2" w:rsidRPr="009941F8">
        <w:rPr>
          <w:rFonts w:eastAsia="SimSun"/>
        </w:rPr>
        <w:t xml:space="preserve"> </w:t>
      </w:r>
      <w:r w:rsidR="00BF0193" w:rsidRPr="009941F8">
        <w:rPr>
          <w:rFonts w:eastAsia="SimSun"/>
        </w:rPr>
        <w:t xml:space="preserve">data from the TULIP-1/TULIP-2 trials indicate additional responders have been reported beyond six months. </w:t>
      </w:r>
      <w:r w:rsidR="002966B2" w:rsidRPr="009941F8">
        <w:rPr>
          <w:rFonts w:eastAsia="SimSun"/>
        </w:rPr>
        <w:t>Alternative response criteria at six months, and/or a later assessment time for the LLDAS such as 12 months, may be relevant for consideration to avoid inadvertent exclusion of patients that have achieved some improvement at six months, but not sufficient for the LLDAS criteria</w:t>
      </w:r>
      <w:r w:rsidR="009941F8">
        <w:rPr>
          <w:rFonts w:eastAsia="SimSun"/>
        </w:rPr>
        <w:t xml:space="preserve">. </w:t>
      </w:r>
      <w:r w:rsidR="000D3EDD" w:rsidRPr="009941F8">
        <w:t xml:space="preserve"> </w:t>
      </w:r>
      <w:bookmarkEnd w:id="16"/>
    </w:p>
    <w:p w14:paraId="75221A37" w14:textId="538AB36A" w:rsidR="0031684D" w:rsidRPr="009941F8" w:rsidRDefault="0031684D" w:rsidP="00A244E2">
      <w:pPr>
        <w:pStyle w:val="ExecSumBodyText"/>
        <w:numPr>
          <w:ilvl w:val="1"/>
          <w:numId w:val="1"/>
        </w:numPr>
      </w:pPr>
      <w:bookmarkStart w:id="17" w:name="_Ref156378405"/>
      <w:bookmarkStart w:id="18" w:name="_Ref162250087"/>
      <w:r w:rsidRPr="009941F8">
        <w:t xml:space="preserve">It may be more difficult for patients with severe SLE (with high disease activity, SLEDAI-2K </w:t>
      </w:r>
      <w:r w:rsidRPr="009941F8">
        <w:rPr>
          <w:rFonts w:cs="Calibri"/>
        </w:rPr>
        <w:t>≥</w:t>
      </w:r>
      <w:r w:rsidRPr="009941F8">
        <w:t xml:space="preserve">10) who require more reduction in disease activity score to achieve LLDAS criteria of SLEDAI-2K </w:t>
      </w:r>
      <w:r w:rsidRPr="009941F8">
        <w:rPr>
          <w:rFonts w:cs="Calibri"/>
        </w:rPr>
        <w:t>≤</w:t>
      </w:r>
      <w:r w:rsidRPr="009941F8">
        <w:t xml:space="preserve">4. Further, using LLDAS as a stopping rule may disadvantage severe patients, who would be required to stop treatment even if they have some improvement. In addition, the updated EULAR 2023 recommendation for the threshold of OCS to be lowered to </w:t>
      </w:r>
      <w:r w:rsidRPr="009941F8">
        <w:rPr>
          <w:rFonts w:cs="Calibri"/>
        </w:rPr>
        <w:t>≤</w:t>
      </w:r>
      <w:r w:rsidRPr="009941F8">
        <w:t>5 mg/day, which is also a criterion for remission, may be difficult for some patients to attain.</w:t>
      </w:r>
      <w:bookmarkEnd w:id="17"/>
      <w:r w:rsidRPr="009941F8">
        <w:t xml:space="preserve"> </w:t>
      </w:r>
      <w:bookmarkEnd w:id="18"/>
    </w:p>
    <w:p w14:paraId="6DDA806F" w14:textId="299F2B61" w:rsidR="001250B7" w:rsidRPr="009941F8" w:rsidRDefault="001250B7" w:rsidP="00A244E2">
      <w:pPr>
        <w:pStyle w:val="ExecSumBodyText"/>
        <w:numPr>
          <w:ilvl w:val="1"/>
          <w:numId w:val="1"/>
        </w:numPr>
      </w:pPr>
      <w:r w:rsidRPr="009941F8">
        <w:t xml:space="preserve"> The requested restriction</w:t>
      </w:r>
      <w:r w:rsidR="00393221" w:rsidRPr="009941F8">
        <w:t>,</w:t>
      </w:r>
      <w:r w:rsidRPr="009941F8">
        <w:t xml:space="preserve"> whilst similar to that proposed in the March</w:t>
      </w:r>
      <w:r w:rsidR="00F54881">
        <w:t> </w:t>
      </w:r>
      <w:r w:rsidRPr="009941F8">
        <w:t>2023 resubmission, was modified in the following aspects:</w:t>
      </w:r>
    </w:p>
    <w:p w14:paraId="58903029" w14:textId="1544BA85" w:rsidR="001250B7" w:rsidRPr="009941F8" w:rsidRDefault="001250B7" w:rsidP="00F54881">
      <w:pPr>
        <w:pStyle w:val="ListBullet"/>
        <w:numPr>
          <w:ilvl w:val="0"/>
          <w:numId w:val="10"/>
        </w:numPr>
        <w:spacing w:after="120"/>
        <w:ind w:left="1037" w:hanging="357"/>
        <w:contextualSpacing w:val="0"/>
      </w:pPr>
      <w:r w:rsidRPr="009941F8">
        <w:t>Clinical criteria wording for initial treatment in patients who were “contraindicated or intolerant necessitating treatment withdrawal” of one, two or three of the SOC therap</w:t>
      </w:r>
      <w:r w:rsidR="00E66637" w:rsidRPr="009941F8">
        <w:t>ies</w:t>
      </w:r>
      <w:r w:rsidRPr="009941F8">
        <w:t xml:space="preserve"> (</w:t>
      </w:r>
      <w:r w:rsidR="00830E95" w:rsidRPr="009941F8">
        <w:t>hydroxychloroquine (</w:t>
      </w:r>
      <w:r w:rsidRPr="009941F8">
        <w:t>HCQ</w:t>
      </w:r>
      <w:r w:rsidR="00830E95" w:rsidRPr="009941F8">
        <w:t>)</w:t>
      </w:r>
      <w:r w:rsidRPr="009941F8">
        <w:t>, OCS and immunosuppressive agent).</w:t>
      </w:r>
    </w:p>
    <w:p w14:paraId="2E947853" w14:textId="2B5511FF" w:rsidR="001250B7" w:rsidRPr="009941F8" w:rsidRDefault="001250B7" w:rsidP="00F54881">
      <w:pPr>
        <w:pStyle w:val="ListBullet"/>
        <w:numPr>
          <w:ilvl w:val="0"/>
          <w:numId w:val="10"/>
        </w:numPr>
        <w:spacing w:after="120"/>
        <w:ind w:left="1037" w:hanging="357"/>
        <w:contextualSpacing w:val="0"/>
      </w:pPr>
      <w:r w:rsidRPr="009941F8">
        <w:t xml:space="preserve">Additional criteria to state that patients who were contraindicated or intolerant to OCS </w:t>
      </w:r>
      <w:r w:rsidRPr="009941F8">
        <w:rPr>
          <w:rFonts w:cs="Calibri"/>
        </w:rPr>
        <w:t>≥</w:t>
      </w:r>
      <w:r w:rsidRPr="009941F8">
        <w:t xml:space="preserve"> 7.5 mg must be treated with at least two SOC therapies (HCQ and one immunosuppressive agent). Alternatively, if patients were contraindicated or intolerant to SOC triple therapy (HCQ, OCS and immunosuppressive agent), then cycling/switching to another immunosuppressive agent was permitted. </w:t>
      </w:r>
      <w:r w:rsidR="00457053" w:rsidRPr="009941F8">
        <w:t>The submission proposed that details must be provided in the authority application for p</w:t>
      </w:r>
      <w:r w:rsidRPr="009941F8">
        <w:t xml:space="preserve">atients with </w:t>
      </w:r>
      <w:r w:rsidR="00457053" w:rsidRPr="009941F8">
        <w:t xml:space="preserve">a </w:t>
      </w:r>
      <w:r w:rsidRPr="009941F8">
        <w:t xml:space="preserve">contraindication or severe intolerance to all specified SOC </w:t>
      </w:r>
      <w:r w:rsidRPr="009941F8">
        <w:lastRenderedPageBreak/>
        <w:t xml:space="preserve">therapies. This was informed by the </w:t>
      </w:r>
      <w:r w:rsidR="00457053" w:rsidRPr="009941F8">
        <w:t xml:space="preserve">PBS listing </w:t>
      </w:r>
      <w:r w:rsidRPr="009941F8">
        <w:t xml:space="preserve">for abatacept (item 11693K) for severe rheumatoid arthritis. </w:t>
      </w:r>
    </w:p>
    <w:p w14:paraId="421C73B8" w14:textId="3B4F0F70" w:rsidR="001250B7" w:rsidRPr="009941F8" w:rsidRDefault="001250B7" w:rsidP="00A244E2">
      <w:pPr>
        <w:pStyle w:val="ListBullet"/>
        <w:numPr>
          <w:ilvl w:val="0"/>
          <w:numId w:val="10"/>
        </w:numPr>
        <w:spacing w:after="120"/>
        <w:ind w:left="1037" w:hanging="357"/>
      </w:pPr>
      <w:r w:rsidRPr="009941F8">
        <w:rPr>
          <w:snapToGrid w:val="0"/>
        </w:rPr>
        <w:t>Revised continuation criteria which required patients to demonstrate adequate response on</w:t>
      </w:r>
      <w:r w:rsidRPr="009941F8">
        <w:t xml:space="preserve"> LLDAS defined by a) total </w:t>
      </w:r>
      <w:r w:rsidR="00A532F8" w:rsidRPr="009941F8">
        <w:t>SLE Disease Activity Index 2000 (</w:t>
      </w:r>
      <w:r w:rsidRPr="009941F8">
        <w:t>SLEDAI-2K</w:t>
      </w:r>
      <w:r w:rsidR="00A532F8" w:rsidRPr="009941F8">
        <w:t>)</w:t>
      </w:r>
      <w:r w:rsidRPr="009941F8">
        <w:t xml:space="preserve"> ≤4, with no activity in major organ systems (renal, CNS, cardiopulmonary, vasculitis, fever), and b) no new features of lupus disease activity compared with the previous assessment, and c) </w:t>
      </w:r>
      <w:r w:rsidR="00A532F8" w:rsidRPr="009941F8">
        <w:t>Physician global assessment (</w:t>
      </w:r>
      <w:r w:rsidRPr="009941F8">
        <w:t>PGA</w:t>
      </w:r>
      <w:r w:rsidR="00A532F8" w:rsidRPr="009941F8">
        <w:t>)</w:t>
      </w:r>
      <w:r w:rsidRPr="009941F8">
        <w:t xml:space="preserve"> ≤1, and d) current prednisolone (or equivalent) dose ≤7.5 mg daily, and e) standard anti-malarial and immunosuppressive drugs allowed.</w:t>
      </w:r>
    </w:p>
    <w:p w14:paraId="07707E5C" w14:textId="155A5C69" w:rsidR="00714247" w:rsidRPr="009941F8" w:rsidRDefault="001250B7" w:rsidP="00A244E2">
      <w:pPr>
        <w:pStyle w:val="ExecSumBodyText"/>
        <w:numPr>
          <w:ilvl w:val="1"/>
          <w:numId w:val="1"/>
        </w:numPr>
      </w:pPr>
      <w:r w:rsidRPr="009941F8">
        <w:t xml:space="preserve">The requested </w:t>
      </w:r>
      <w:r w:rsidR="002966B2" w:rsidRPr="009941F8">
        <w:t xml:space="preserve">eligibility criteria </w:t>
      </w:r>
      <w:r w:rsidR="00E32906" w:rsidRPr="009941F8">
        <w:t>were unchanged with respect to the requirement for persistent disease activity defined by a SLEDAI-2K score of at least 10 points</w:t>
      </w:r>
      <w:r w:rsidR="00CF0DB4" w:rsidRPr="009941F8">
        <w:t xml:space="preserve">, </w:t>
      </w:r>
      <w:r w:rsidR="00025B90" w:rsidRPr="009941F8">
        <w:t xml:space="preserve">corresponding to a subgroup of the </w:t>
      </w:r>
      <w:r w:rsidR="00CF0DB4" w:rsidRPr="009941F8">
        <w:t xml:space="preserve">overall TULIP-1 and TULIP-2 trial populations (which were required to have SLEDAI-2K </w:t>
      </w:r>
      <w:r w:rsidR="00CF0DB4" w:rsidRPr="009941F8">
        <w:rPr>
          <w:rFonts w:cs="Calibri"/>
        </w:rPr>
        <w:t>≥</w:t>
      </w:r>
      <w:r w:rsidR="00CF0DB4" w:rsidRPr="009941F8">
        <w:t xml:space="preserve">6 at baseline). However, the requested criteria </w:t>
      </w:r>
      <w:r w:rsidR="00E32906" w:rsidRPr="009941F8">
        <w:t xml:space="preserve">were </w:t>
      </w:r>
      <w:r w:rsidRPr="009941F8">
        <w:t xml:space="preserve">less restrictive compared to previous submissions as patients </w:t>
      </w:r>
      <w:r w:rsidR="002966B2" w:rsidRPr="009941F8">
        <w:t xml:space="preserve">were no longer required </w:t>
      </w:r>
      <w:r w:rsidRPr="009941F8">
        <w:t xml:space="preserve">to be on triple therapy SOC if </w:t>
      </w:r>
      <w:r w:rsidR="002966B2" w:rsidRPr="009941F8">
        <w:t xml:space="preserve">there was evidence of </w:t>
      </w:r>
      <w:r w:rsidRPr="009941F8">
        <w:t xml:space="preserve">either contraindication or severe intolerance to one or more agents. It was noted that the updated EULAR 2023 guidelines also </w:t>
      </w:r>
      <w:r w:rsidR="002966B2" w:rsidRPr="009941F8">
        <w:t xml:space="preserve">did </w:t>
      </w:r>
      <w:r w:rsidRPr="009941F8">
        <w:t xml:space="preserve">not require prior failure to one or more standard therapies before initiating biological drug (e.g., anifrolumab), although it stated that for the majority </w:t>
      </w:r>
      <w:r w:rsidR="00F954FE" w:rsidRPr="009941F8">
        <w:t xml:space="preserve">of </w:t>
      </w:r>
      <w:r w:rsidRPr="009941F8">
        <w:t xml:space="preserve">cases at least one conventional immunosuppressive should be tried. In the main trial evidence, enrolled patients were taking either one or any combination of OCS, antimalarial or immunosuppressants (baseline characteristics of patients with SLEDAI-2K </w:t>
      </w:r>
      <w:r w:rsidRPr="009941F8">
        <w:rPr>
          <w:rFonts w:cs="Calibri"/>
        </w:rPr>
        <w:t>≥</w:t>
      </w:r>
      <w:r w:rsidRPr="009941F8">
        <w:t xml:space="preserve">10 showed 70.4% had antimalarial, 82.4% OCS, 50.4% immunosuppressive). </w:t>
      </w:r>
      <w:r w:rsidR="00714247" w:rsidRPr="009941F8">
        <w:t xml:space="preserve">The </w:t>
      </w:r>
      <w:r w:rsidR="00E706BA" w:rsidRPr="00E706BA">
        <w:t xml:space="preserve">Pre-Sub-Committee Response </w:t>
      </w:r>
      <w:r w:rsidR="00E706BA">
        <w:t>(</w:t>
      </w:r>
      <w:r w:rsidR="00714247" w:rsidRPr="009941F8">
        <w:t>PSCR</w:t>
      </w:r>
      <w:r w:rsidR="00E706BA">
        <w:t>)</w:t>
      </w:r>
      <w:r w:rsidR="00714247" w:rsidRPr="009941F8">
        <w:t xml:space="preserve"> noted the proposed restriction would allow some patients to optimise their therapy with one or two immunosuppressive therapies due contraindication or intolerance to prespecified triple therapy SOC</w:t>
      </w:r>
      <w:r w:rsidR="009941F8">
        <w:t xml:space="preserve">. </w:t>
      </w:r>
      <w:r w:rsidRPr="009941F8">
        <w:t xml:space="preserve">This change </w:t>
      </w:r>
      <w:r w:rsidR="002966B2" w:rsidRPr="009941F8">
        <w:t xml:space="preserve">would allow </w:t>
      </w:r>
      <w:r w:rsidRPr="009941F8">
        <w:t>more patients to access anifrolumab on the PBS</w:t>
      </w:r>
      <w:r w:rsidR="001C1DC1" w:rsidRPr="009941F8">
        <w:t xml:space="preserve">, </w:t>
      </w:r>
      <w:bookmarkStart w:id="19" w:name="_Hlk156474175"/>
      <w:r w:rsidR="001C1DC1" w:rsidRPr="009941F8">
        <w:t>including those not optimised on SOC.</w:t>
      </w:r>
      <w:r w:rsidR="002966B2" w:rsidRPr="009941F8">
        <w:t xml:space="preserve"> </w:t>
      </w:r>
      <w:bookmarkEnd w:id="19"/>
    </w:p>
    <w:p w14:paraId="59C20287" w14:textId="5483AD3B" w:rsidR="00D139B0" w:rsidRPr="009941F8" w:rsidRDefault="001250B7" w:rsidP="00A244E2">
      <w:pPr>
        <w:pStyle w:val="ExecSumBodyText"/>
        <w:numPr>
          <w:ilvl w:val="1"/>
          <w:numId w:val="1"/>
        </w:numPr>
      </w:pPr>
      <w:r w:rsidRPr="009941F8">
        <w:t xml:space="preserve">The requested response criteria also </w:t>
      </w:r>
      <w:r w:rsidR="0032109A" w:rsidRPr="009941F8">
        <w:t>did</w:t>
      </w:r>
      <w:r w:rsidRPr="009941F8">
        <w:t xml:space="preserve"> not require maintenance of response on LLDAS following the first follow-up assessment for continuing treatment. Patients who achieved LLDAS after 6 months of initial treatment (or up to 8 months with balance of supply) could potentially continue anifrolumab indefinitely even if LLDAS was not maintained in the long term</w:t>
      </w:r>
      <w:r w:rsidR="009941F8">
        <w:t xml:space="preserve">. </w:t>
      </w:r>
      <w:r w:rsidR="00D139B0" w:rsidRPr="009941F8">
        <w:t>The PSCR clarified that the sponsor had intended that patients only continue to have access to anifrolumab if they maintain LLDAS every 6</w:t>
      </w:r>
      <w:r w:rsidR="00F54881">
        <w:t> </w:t>
      </w:r>
      <w:r w:rsidR="00D139B0" w:rsidRPr="009941F8">
        <w:t xml:space="preserve">months beyond the first assessment for continuing treatment. An amendment to the continuation </w:t>
      </w:r>
      <w:r w:rsidR="0031684D" w:rsidRPr="009941F8">
        <w:t>and</w:t>
      </w:r>
      <w:r w:rsidR="00D139B0" w:rsidRPr="009941F8">
        <w:t xml:space="preserve"> recommencement criteria was proposed. </w:t>
      </w:r>
    </w:p>
    <w:p w14:paraId="0FFBBAA8" w14:textId="4E99D9C4" w:rsidR="00CB223D" w:rsidRPr="009941F8" w:rsidRDefault="00CB223D" w:rsidP="00A244E2">
      <w:pPr>
        <w:pStyle w:val="ExecSumBodyText"/>
        <w:numPr>
          <w:ilvl w:val="1"/>
          <w:numId w:val="1"/>
        </w:numPr>
      </w:pPr>
      <w:r w:rsidRPr="009941F8">
        <w:rPr>
          <w:rFonts w:eastAsia="SimSun"/>
        </w:rPr>
        <w:t xml:space="preserve">The resubmission maintained its request for a grandfathering </w:t>
      </w:r>
      <w:r w:rsidRPr="0031580A">
        <w:rPr>
          <w:rFonts w:eastAsia="SimSun"/>
        </w:rPr>
        <w:t xml:space="preserve">restriction for </w:t>
      </w:r>
      <w:r w:rsidR="0031580A" w:rsidRPr="0031580A">
        <w:rPr>
          <w:rFonts w:eastAsia="SimSun"/>
        </w:rPr>
        <w:t>&lt;</w:t>
      </w:r>
      <w:r w:rsidR="00F54881">
        <w:rPr>
          <w:rFonts w:eastAsia="SimSun"/>
        </w:rPr>
        <w:t> </w:t>
      </w:r>
      <w:r w:rsidR="0031580A" w:rsidRPr="0031580A">
        <w:rPr>
          <w:rFonts w:eastAsia="SimSun"/>
        </w:rPr>
        <w:t>500</w:t>
      </w:r>
      <w:r w:rsidR="00831A70">
        <w:rPr>
          <w:rFonts w:eastAsia="SimSun"/>
        </w:rPr>
        <w:t xml:space="preserve"> </w:t>
      </w:r>
      <w:r w:rsidRPr="009941F8">
        <w:rPr>
          <w:rFonts w:eastAsia="SimSun"/>
        </w:rPr>
        <w:t>patients treated with anifrolumab on a Patient Access Program (PAP), initiated early in 2023. The resubmission indicated that the financial estimates implicitly captured the patients anticipated to be grandfathered in the estimated prevalent population.</w:t>
      </w:r>
    </w:p>
    <w:p w14:paraId="38A08733" w14:textId="704B36DB" w:rsidR="00C44237" w:rsidRPr="009941F8" w:rsidRDefault="00BA2A14" w:rsidP="00A244E2">
      <w:pPr>
        <w:pStyle w:val="ExecSumBodyText"/>
        <w:numPr>
          <w:ilvl w:val="1"/>
          <w:numId w:val="1"/>
        </w:numPr>
      </w:pPr>
      <w:bookmarkStart w:id="20" w:name="_Ref162024143"/>
      <w:r w:rsidRPr="009941F8">
        <w:t xml:space="preserve">The PSCR stated </w:t>
      </w:r>
      <w:r w:rsidR="0031684D" w:rsidRPr="009941F8">
        <w:t>that</w:t>
      </w:r>
      <w:r w:rsidRPr="009941F8">
        <w:t xml:space="preserve"> the sponsor opposed the suggested changes by the Secretariat on the Prescriber Instruction: “Prescribers should refer to the relevant TGA-approved </w:t>
      </w:r>
      <w:r w:rsidRPr="009941F8">
        <w:lastRenderedPageBreak/>
        <w:t>product information for dosing schedules where there is a contraindication or severe intolerance”</w:t>
      </w:r>
      <w:r w:rsidR="00D139B0" w:rsidRPr="009941F8">
        <w:t xml:space="preserve"> on the basis that the proposed restriction includes </w:t>
      </w:r>
      <w:r w:rsidR="0031684D" w:rsidRPr="009941F8">
        <w:t xml:space="preserve">sufficient </w:t>
      </w:r>
      <w:r w:rsidR="00D139B0" w:rsidRPr="009941F8">
        <w:t>direction</w:t>
      </w:r>
      <w:r w:rsidR="0031684D" w:rsidRPr="009941F8">
        <w:t>s</w:t>
      </w:r>
      <w:r w:rsidR="00D139B0" w:rsidRPr="009941F8">
        <w:t xml:space="preserve"> on how to optimi</w:t>
      </w:r>
      <w:r w:rsidR="0031684D" w:rsidRPr="009941F8">
        <w:t>s</w:t>
      </w:r>
      <w:r w:rsidR="00D139B0" w:rsidRPr="009941F8">
        <w:t xml:space="preserve">e SOC in patients who have experienced contraindications or intolerance to one or more components of triple therapy. </w:t>
      </w:r>
      <w:bookmarkEnd w:id="20"/>
    </w:p>
    <w:p w14:paraId="23646D7E" w14:textId="34DD2574" w:rsidR="003050A4" w:rsidRPr="009941F8" w:rsidRDefault="00CA2708" w:rsidP="00C44237">
      <w:pPr>
        <w:pStyle w:val="ExecSumBodyText"/>
        <w:numPr>
          <w:ilvl w:val="1"/>
          <w:numId w:val="1"/>
        </w:numPr>
      </w:pPr>
      <w:r w:rsidRPr="009941F8">
        <w:t>The PSCR indicated that the sponsor accepted the Secretariat’s proposed wording in the LLDAS definition for the requested PBS continuation criteria: “Well tolerated standard maintenance doses of anti-malarial and immunosuppressive drugs are allowed”.</w:t>
      </w:r>
    </w:p>
    <w:p w14:paraId="775E1B58" w14:textId="728E5A0A" w:rsidR="00A244E2" w:rsidRPr="009941F8" w:rsidRDefault="00A244E2" w:rsidP="00A244E2">
      <w:pPr>
        <w:pStyle w:val="3-BodyText"/>
        <w:numPr>
          <w:ilvl w:val="0"/>
          <w:numId w:val="0"/>
        </w:numPr>
        <w:ind w:left="720"/>
        <w:rPr>
          <w:i/>
          <w:iCs/>
        </w:rPr>
      </w:pPr>
      <w:r w:rsidRPr="009941F8">
        <w:rPr>
          <w:rFonts w:eastAsia="SimSun"/>
          <w:i/>
          <w:iCs/>
        </w:rPr>
        <w:t>For more detail on PBAC’s view, see section 7 PBAC outcome.</w:t>
      </w:r>
    </w:p>
    <w:p w14:paraId="7075B85C" w14:textId="62A47B7B" w:rsidR="00B50DB8" w:rsidRPr="009941F8" w:rsidDel="00195452" w:rsidRDefault="00203181" w:rsidP="00A244E2">
      <w:pPr>
        <w:pStyle w:val="2-SectionHeading"/>
      </w:pPr>
      <w:bookmarkStart w:id="21" w:name="_Toc156918341"/>
      <w:bookmarkEnd w:id="15"/>
      <w:r w:rsidRPr="009941F8" w:rsidDel="00195452">
        <w:t xml:space="preserve">Population and </w:t>
      </w:r>
      <w:r w:rsidR="008E0D3C" w:rsidRPr="009941F8" w:rsidDel="00195452">
        <w:t>d</w:t>
      </w:r>
      <w:r w:rsidRPr="009941F8" w:rsidDel="00195452">
        <w:t>isease</w:t>
      </w:r>
      <w:bookmarkEnd w:id="21"/>
    </w:p>
    <w:p w14:paraId="6F2FD5A3" w14:textId="30767BF8" w:rsidR="00830E95" w:rsidRPr="009941F8" w:rsidRDefault="00830E95" w:rsidP="00A244E2">
      <w:pPr>
        <w:pStyle w:val="3-BodyText"/>
      </w:pPr>
      <w:r w:rsidRPr="009941F8">
        <w:rPr>
          <w:rFonts w:eastAsia="SimSun"/>
        </w:rPr>
        <w:t xml:space="preserve">SLE is a complex chronic autoimmune disease with clinical manifestations that are diverse and systemic. The overall goals of treatment are to ensure long-term patient survival, prevention of organ damage and minimise drug side-effects. Management of SLE should aim for remission of disease symptoms and signs (or low disease activity) to improve long-term patient outcomes. </w:t>
      </w:r>
      <w:r w:rsidR="00BA5DE5" w:rsidRPr="009941F8">
        <w:rPr>
          <w:rFonts w:eastAsia="SimSun"/>
        </w:rPr>
        <w:t>The target population in the proposed restriction was adult patients (aged ≥18 years) with diagnosed severe SLE who have a high degree of disease activity (SLEDAI-2K ≥10) despite triple therapy SOC (i.e. an antimalarial [HCQ], an immunosuppressant, and 7.5 mg/day prednisone or equivalent).</w:t>
      </w:r>
    </w:p>
    <w:p w14:paraId="2401F6C8" w14:textId="16CCF567" w:rsidR="00E71FD3" w:rsidRPr="009941F8" w:rsidRDefault="00E71FD3" w:rsidP="00A244E2">
      <w:pPr>
        <w:pStyle w:val="3-BodyText"/>
      </w:pPr>
      <w:r w:rsidRPr="009941F8">
        <w:t xml:space="preserve">The PBAC considered that the proposed clinical place for anifrolumab, which was in patients with persistent disease activity despite receiving SOC, was appropriate (paragraph 7.3, anifrolumab </w:t>
      </w:r>
      <w:r w:rsidR="00E706BA" w:rsidRPr="00E706BA">
        <w:t xml:space="preserve">Public Summary Document </w:t>
      </w:r>
      <w:r w:rsidR="00E706BA">
        <w:t>(</w:t>
      </w:r>
      <w:r w:rsidRPr="009941F8">
        <w:t>PSD</w:t>
      </w:r>
      <w:r w:rsidR="00E706BA">
        <w:t>)</w:t>
      </w:r>
      <w:r w:rsidRPr="009941F8">
        <w:t xml:space="preserve"> July 2022 and paragraph 7.3, anifrolumab March 2023).</w:t>
      </w:r>
    </w:p>
    <w:p w14:paraId="09A7DF2E" w14:textId="6B441B14" w:rsidR="00830E95" w:rsidRPr="009941F8" w:rsidRDefault="00BA5DE5" w:rsidP="00A244E2">
      <w:pPr>
        <w:pStyle w:val="3-BodyText"/>
      </w:pPr>
      <w:r w:rsidRPr="009941F8">
        <w:rPr>
          <w:rFonts w:eastAsia="SimSun"/>
        </w:rPr>
        <w:t>Anifrolumab is a human immunoglobulin G1 kappa monoclonal antibody which is administered by intravenous (IV) infusion as add-on treatment to SOC (triple therapy). The recommended dose of anifrolumab is 300 mg IV over a 30-minute period, every four weeks (Q4W). The</w:t>
      </w:r>
      <w:r w:rsidR="005C1EA3" w:rsidRPr="009941F8">
        <w:rPr>
          <w:rFonts w:eastAsia="SimSun"/>
        </w:rPr>
        <w:t xml:space="preserve"> approved product information (</w:t>
      </w:r>
      <w:r w:rsidRPr="009941F8">
        <w:rPr>
          <w:rFonts w:eastAsia="SimSun"/>
        </w:rPr>
        <w:t>PI</w:t>
      </w:r>
      <w:r w:rsidR="005C1EA3" w:rsidRPr="009941F8">
        <w:rPr>
          <w:rFonts w:eastAsia="SimSun"/>
        </w:rPr>
        <w:t>)</w:t>
      </w:r>
      <w:r w:rsidRPr="009941F8">
        <w:rPr>
          <w:rFonts w:eastAsia="SimSun"/>
        </w:rPr>
        <w:t xml:space="preserve"> also recommends discontinuation of treatment with anifrolumab if there is no improvement in disease control after 6 months of treatment. Anifrolumab is not recommended for use in combination with other biologic therapies.</w:t>
      </w:r>
    </w:p>
    <w:p w14:paraId="3E4A7C96" w14:textId="2B38CD91" w:rsidR="00830E95" w:rsidRPr="009941F8" w:rsidRDefault="00BA5DE5" w:rsidP="00A244E2">
      <w:pPr>
        <w:pStyle w:val="3-BodyText"/>
      </w:pPr>
      <w:r w:rsidRPr="009941F8">
        <w:t xml:space="preserve">The </w:t>
      </w:r>
      <w:r w:rsidR="00192C6C" w:rsidRPr="009941F8">
        <w:t xml:space="preserve">updated </w:t>
      </w:r>
      <w:r w:rsidRPr="009941F8">
        <w:t>EULAR 2023 guideline recommended early diagnosis, monitoring and treatment target aiming at remission (Definition of Remission in SLE (DORIS) criteria) or low disease activity if this is not possible such as LLDAS. In addition, EULAR</w:t>
      </w:r>
      <w:r w:rsidR="00F54881">
        <w:t> </w:t>
      </w:r>
      <w:r w:rsidRPr="009941F8">
        <w:t>2023 recommended HCQ for all patients at a target dose 5 mg/kg real body weight/day, considering the individual's risk for flares and retinal toxicity. Glucocorticoids are used as 'bridging therapy' during periods of disease activity; for maintenance treatment, they should be minimised to equal or less than 5 mg/day (prednisone equivalent) and, when possible withdrawn, as compared with 7.5</w:t>
      </w:r>
      <w:r w:rsidR="00F54881">
        <w:t> </w:t>
      </w:r>
      <w:r w:rsidRPr="009941F8">
        <w:t>mg/day in the 2019 recommendations. As discussed</w:t>
      </w:r>
      <w:r w:rsidR="001638E0" w:rsidRPr="009941F8">
        <w:t xml:space="preserve"> (see paragraph </w:t>
      </w:r>
      <w:r w:rsidR="001638E0" w:rsidRPr="009941F8">
        <w:fldChar w:fldCharType="begin" w:fldLock="1"/>
      </w:r>
      <w:r w:rsidR="001638E0" w:rsidRPr="009941F8">
        <w:instrText xml:space="preserve"> REF _Ref156378405 \r \h </w:instrText>
      </w:r>
      <w:r w:rsidR="00901668" w:rsidRPr="009941F8">
        <w:instrText xml:space="preserve"> \* MERGEFORMAT </w:instrText>
      </w:r>
      <w:r w:rsidR="001638E0" w:rsidRPr="009941F8">
        <w:fldChar w:fldCharType="separate"/>
      </w:r>
      <w:r w:rsidR="00F07501">
        <w:t>3.4</w:t>
      </w:r>
      <w:r w:rsidR="001638E0" w:rsidRPr="009941F8">
        <w:fldChar w:fldCharType="end"/>
      </w:r>
      <w:r w:rsidR="001638E0" w:rsidRPr="009941F8">
        <w:t>)</w:t>
      </w:r>
      <w:r w:rsidRPr="009941F8">
        <w:t xml:space="preserve">, the resubmission’s requested </w:t>
      </w:r>
      <w:r w:rsidRPr="009941F8">
        <w:lastRenderedPageBreak/>
        <w:t>restriction and clinical evidence was based on LLDAS definition with less stringent maintenance dose of OCS ≤</w:t>
      </w:r>
      <w:r w:rsidR="00F54881">
        <w:t> </w:t>
      </w:r>
      <w:r w:rsidRPr="009941F8">
        <w:t>7.5</w:t>
      </w:r>
      <w:r w:rsidR="00F54881">
        <w:t> </w:t>
      </w:r>
      <w:r w:rsidRPr="009941F8">
        <w:t>mg/day.</w:t>
      </w:r>
    </w:p>
    <w:p w14:paraId="73885E51" w14:textId="234F4604" w:rsidR="00BA5DE5" w:rsidRPr="009941F8" w:rsidRDefault="00E71FD3" w:rsidP="00A244E2">
      <w:pPr>
        <w:pStyle w:val="3-BodyText"/>
      </w:pPr>
      <w:r w:rsidRPr="009941F8">
        <w:t xml:space="preserve">The PBAC previously noted that there were no core outcomes set for SLE (paragraph 7.6, anifrolumab PSD, July 2022) and instruments used to assess disease activity include the </w:t>
      </w:r>
      <w:r w:rsidR="00821370" w:rsidRPr="009941F8">
        <w:t>British Isles Lupus Assessment Group (BILAG)</w:t>
      </w:r>
      <w:r w:rsidRPr="009941F8">
        <w:t xml:space="preserve"> 2004 index, SLEDAI-2K and PGA. Two composite outcomes presented in previous submissions were the SLE Responder Index (SRI) and the BILAG-Based Composite Lupus Assessment (BICLA). An additional outcome relevant for the resubmission was the LLDAS, </w:t>
      </w:r>
      <w:r w:rsidR="00821370" w:rsidRPr="009941F8">
        <w:t xml:space="preserve">a composite </w:t>
      </w:r>
      <w:r w:rsidRPr="009941F8">
        <w:t>of SLEDAI-2K, PGA and OCS reduction.</w:t>
      </w:r>
    </w:p>
    <w:p w14:paraId="1DA5631E" w14:textId="3C20860C" w:rsidR="00830E95" w:rsidRPr="009941F8" w:rsidRDefault="00E71FD3" w:rsidP="00A244E2">
      <w:pPr>
        <w:pStyle w:val="3-BodyText"/>
      </w:pPr>
      <w:bookmarkStart w:id="22" w:name="_Ref159442541"/>
      <w:r w:rsidRPr="009941F8">
        <w:t>LLDAS was designed to take into account validated measures of disease activity and treatment burden, given that treatment especially with glucocorticoids, is known to contribute to poor long-term outcomes in SLE. It refers to a desired clinical state, rather than a treatment response or change in disease activity. LLDAS as a measure stratifies clinically diverse disease manifestations to a binary outcome, i.e. a patient is either in LLDAS or not. Whereas measures of disease activity alone, such as the SLEDAI-2K or the BILAG, do not take into account treatment burden and therefore omit consideration of treatment effects as a contributor to long-term morbidity in SLE. Similarly, composite measures of treatment response such as the SRI, although they combine different measures of disease activity, do not represent a target state and do not include treatment variables (Golder et al 2016</w:t>
      </w:r>
      <w:r w:rsidRPr="009941F8">
        <w:rPr>
          <w:rStyle w:val="FootnoteReference"/>
        </w:rPr>
        <w:footnoteReference w:id="2"/>
      </w:r>
      <w:r w:rsidRPr="009941F8">
        <w:t>).</w:t>
      </w:r>
      <w:bookmarkEnd w:id="22"/>
    </w:p>
    <w:p w14:paraId="3C1CB505" w14:textId="651E0649" w:rsidR="00830E95" w:rsidRPr="009941F8" w:rsidRDefault="00E13D1C" w:rsidP="00A244E2">
      <w:pPr>
        <w:pStyle w:val="3-BodyText"/>
      </w:pPr>
      <w:r w:rsidRPr="009941F8">
        <w:t>T</w:t>
      </w:r>
      <w:r w:rsidR="000C092C" w:rsidRPr="009941F8">
        <w:t>h</w:t>
      </w:r>
      <w:r w:rsidR="00E71FD3" w:rsidRPr="009941F8">
        <w:t>e definition of LLDAS response was not entirely consistent between the requested restriction (informed by Golder et al 2019) the clinical evidence (based on either Franklyn et al 2016 or modified Golder et al 2019) and EULAR 2023 (based on Franklyn et al 2016 plus specifying a maintenance dose of OCS ≤</w:t>
      </w:r>
      <w:r w:rsidR="00F54881">
        <w:t> </w:t>
      </w:r>
      <w:r w:rsidR="00E71FD3" w:rsidRPr="009941F8">
        <w:t>5</w:t>
      </w:r>
      <w:r w:rsidR="00F54881">
        <w:t> </w:t>
      </w:r>
      <w:r w:rsidR="00E71FD3" w:rsidRPr="009941F8">
        <w:t>mg/day) in terms of assessment of haematological or gastrointestinal activity (criteria 1), maintenance OCS dose (criteria 4) and permitted drugs (criteria 5)</w:t>
      </w:r>
      <w:r w:rsidR="009941F8">
        <w:t xml:space="preserve">. </w:t>
      </w:r>
    </w:p>
    <w:p w14:paraId="1274EA16" w14:textId="2977A206" w:rsidR="00A244E2" w:rsidRPr="009941F8" w:rsidRDefault="000C092C" w:rsidP="00A244E2">
      <w:pPr>
        <w:pStyle w:val="3-BodyText"/>
      </w:pPr>
      <w:r w:rsidRPr="009941F8">
        <w:t xml:space="preserve">LLDAS has been tested as a clinical outcome in several post hoc analyses </w:t>
      </w:r>
      <w:r w:rsidR="008C33A3" w:rsidRPr="009941F8">
        <w:t>of SLE</w:t>
      </w:r>
      <w:r w:rsidRPr="009941F8">
        <w:t xml:space="preserve"> RCTs</w:t>
      </w:r>
      <w:r w:rsidR="008C33A3" w:rsidRPr="009941F8">
        <w:t xml:space="preserve"> </w:t>
      </w:r>
      <w:r w:rsidRPr="009941F8">
        <w:t>including of anifrolumab, atacicept, belimumab, baricitinib, and deucravacitinib. The results generally show odds ratio</w:t>
      </w:r>
      <w:r w:rsidR="00235540" w:rsidRPr="009941F8">
        <w:t>s</w:t>
      </w:r>
      <w:r w:rsidRPr="009941F8">
        <w:t xml:space="preserve"> in favour of active treatment compared with placebo</w:t>
      </w:r>
      <w:r w:rsidRPr="00831A70">
        <w:t>. For belimumab, Oon et al 2019</w:t>
      </w:r>
      <w:r w:rsidRPr="00831A70">
        <w:rPr>
          <w:rStyle w:val="FootnoteReference"/>
        </w:rPr>
        <w:footnoteReference w:id="3"/>
      </w:r>
      <w:r w:rsidRPr="00831A70">
        <w:t xml:space="preserve"> reported significantly more patients attained LLDAS (defined by Franklyn et al 2016) in patients receiving belimumab compared to placebo at Week 52 (12.5% vs 5.8%, OR 2.32, p=0.02 for BLISS-52; 14.4% vs 7.8%, OR 1.98, p=0.04 for BLISS-76). Additional subgroup analysis showed difference in LLDAS attainment at Week 52 between belimumab and placebo was greater in patients with </w:t>
      </w:r>
      <w:r w:rsidRPr="00831A70">
        <w:lastRenderedPageBreak/>
        <w:t xml:space="preserve">higher disease activity (SLEDAI-2K </w:t>
      </w:r>
      <w:r w:rsidRPr="00831A70">
        <w:rPr>
          <w:rFonts w:cs="Calibri"/>
        </w:rPr>
        <w:t>≥</w:t>
      </w:r>
      <w:r w:rsidRPr="00831A70">
        <w:t>10) compared to the overall patient population</w:t>
      </w:r>
      <w:r w:rsidR="00715747">
        <w:t xml:space="preserve"> </w:t>
      </w:r>
      <w:r w:rsidR="00715747">
        <w:rPr>
          <w:rStyle w:val="FootnoteReference"/>
        </w:rPr>
        <w:footnoteReference w:id="4"/>
      </w:r>
      <w:r w:rsidRPr="00831A70">
        <w:t>. For anifrolumab, the results were mixed and varied with the LLDAS definition. Using</w:t>
      </w:r>
      <w:r w:rsidRPr="009941F8">
        <w:t xml:space="preserve"> the LLDAS definition from Franklyn et al 2016, the results in the post hoc analyses of MUSE was significantly in favour of anifrolumab, but the pre-specified exploratory analyses in TULIP-1 and TULIP-2 showed no difference between groups. However, using the LLDAS definition by Golder et al 2019 in the post hoc analyses of TULIP-1 and TULIP-2, the results significantly favoured anifrolumab.</w:t>
      </w:r>
      <w:r w:rsidR="00C727E1" w:rsidRPr="009941F8">
        <w:t xml:space="preserve"> See </w:t>
      </w:r>
      <w:r w:rsidR="00C727E1" w:rsidRPr="009941F8">
        <w:fldChar w:fldCharType="begin" w:fldLock="1"/>
      </w:r>
      <w:r w:rsidR="00C727E1" w:rsidRPr="009941F8">
        <w:instrText xml:space="preserve"> REF _Ref153929929 \h  \* MERGEFORMAT </w:instrText>
      </w:r>
      <w:r w:rsidR="00C727E1" w:rsidRPr="009941F8">
        <w:fldChar w:fldCharType="separate"/>
      </w:r>
      <w:r w:rsidR="00F07501" w:rsidRPr="009941F8">
        <w:t xml:space="preserve">Table </w:t>
      </w:r>
      <w:r w:rsidR="00F07501">
        <w:t>5</w:t>
      </w:r>
      <w:r w:rsidR="00C727E1" w:rsidRPr="009941F8">
        <w:fldChar w:fldCharType="end"/>
      </w:r>
      <w:r w:rsidR="00C727E1" w:rsidRPr="009941F8">
        <w:t>, Comparative effectiveness</w:t>
      </w:r>
      <w:r w:rsidR="009941F8">
        <w:t xml:space="preserve">. </w:t>
      </w:r>
      <w:r w:rsidR="00CE0B67" w:rsidRPr="009941F8">
        <w:t>The PSCR stated that irrespective of LLDAS definition and adjustment for response in the statistical analysis, LLDAS was consistently attained more frequently compared with placebo, and that the adjusted LLDAS definition used in the post-hoc analysis reflected new research findings (Golder et al. 2019 Validation study</w:t>
      </w:r>
      <w:r w:rsidR="00A77921" w:rsidRPr="009941F8">
        <w:t xml:space="preserve">; see paragraph </w:t>
      </w:r>
      <w:r w:rsidR="00A77921" w:rsidRPr="009941F8">
        <w:fldChar w:fldCharType="begin" w:fldLock="1"/>
      </w:r>
      <w:r w:rsidR="00A77921" w:rsidRPr="009941F8">
        <w:instrText xml:space="preserve"> REF _Ref162252351 \r \h </w:instrText>
      </w:r>
      <w:r w:rsidR="00A77921" w:rsidRPr="009941F8">
        <w:fldChar w:fldCharType="separate"/>
      </w:r>
      <w:r w:rsidR="00F07501">
        <w:t>6.17</w:t>
      </w:r>
      <w:r w:rsidR="00A77921" w:rsidRPr="009941F8">
        <w:fldChar w:fldCharType="end"/>
      </w:r>
      <w:r w:rsidR="00CE0B67" w:rsidRPr="009941F8">
        <w:t>).</w:t>
      </w:r>
    </w:p>
    <w:p w14:paraId="0E2EA42B" w14:textId="6698E422" w:rsidR="00A244E2" w:rsidRPr="009941F8" w:rsidRDefault="00A244E2" w:rsidP="00A244E2">
      <w:pPr>
        <w:pStyle w:val="3-BodyText"/>
        <w:numPr>
          <w:ilvl w:val="0"/>
          <w:numId w:val="0"/>
        </w:numPr>
        <w:ind w:left="720"/>
        <w:rPr>
          <w:i/>
          <w:iCs/>
        </w:rPr>
      </w:pPr>
      <w:r w:rsidRPr="009941F8">
        <w:rPr>
          <w:rFonts w:eastAsia="SimSun"/>
          <w:i/>
          <w:iCs/>
        </w:rPr>
        <w:t>For more detail on PBAC’s view, see section 7 PBAC outcome.</w:t>
      </w:r>
    </w:p>
    <w:p w14:paraId="51E5AE96" w14:textId="136A63B1" w:rsidR="00B50DB8" w:rsidRPr="009941F8" w:rsidRDefault="00B50DB8" w:rsidP="00A244E2">
      <w:pPr>
        <w:pStyle w:val="2-SectionHeading"/>
      </w:pPr>
      <w:bookmarkStart w:id="23" w:name="_Toc156918342"/>
      <w:r w:rsidRPr="009941F8">
        <w:t>Comparator</w:t>
      </w:r>
      <w:bookmarkEnd w:id="23"/>
    </w:p>
    <w:p w14:paraId="317253F2" w14:textId="4CE5D590" w:rsidR="00BA5DE5" w:rsidRPr="009941F8" w:rsidRDefault="00BA5DE5" w:rsidP="00A244E2">
      <w:pPr>
        <w:pStyle w:val="3-BodyText"/>
        <w:rPr>
          <w:snapToGrid/>
        </w:rPr>
      </w:pPr>
      <w:r w:rsidRPr="009941F8">
        <w:t>The resubmission maintained that SOC alone (placebo) was the main comparator comprising triple therapy with: i) HCQ, ii) an immunosuppressant (minimum dose of MTX 20 mg per week, AZA 100 mg per day or mycophenolate 1000</w:t>
      </w:r>
      <w:r w:rsidR="00F54881">
        <w:t> </w:t>
      </w:r>
      <w:r w:rsidRPr="009941F8">
        <w:t>mg per day) for at least 12 weeks, and iii) prednisone ≥</w:t>
      </w:r>
      <w:r w:rsidR="00F54881">
        <w:t> </w:t>
      </w:r>
      <w:r w:rsidRPr="009941F8">
        <w:t>7.5</w:t>
      </w:r>
      <w:r w:rsidR="00F54881">
        <w:t> </w:t>
      </w:r>
      <w:r w:rsidRPr="009941F8">
        <w:t>mg per day (or equivalent) for at least 4</w:t>
      </w:r>
      <w:r w:rsidR="00F54881">
        <w:t> </w:t>
      </w:r>
      <w:r w:rsidRPr="009941F8">
        <w:t>weeks.</w:t>
      </w:r>
    </w:p>
    <w:p w14:paraId="0E77D7BD" w14:textId="1DF14C59" w:rsidR="00A244E2" w:rsidRPr="009941F8" w:rsidRDefault="00BA5DE5" w:rsidP="00A244E2">
      <w:pPr>
        <w:pStyle w:val="3-BodyText"/>
        <w:rPr>
          <w:snapToGrid/>
        </w:rPr>
      </w:pPr>
      <w:r w:rsidRPr="009941F8">
        <w:t>The PBAC previously considered the nominated comparator was appropriate (paragraph 7.4, anifrolumab PSD, July 2022).</w:t>
      </w:r>
    </w:p>
    <w:p w14:paraId="298ABD04" w14:textId="6496F668" w:rsidR="00A244E2" w:rsidRPr="009941F8" w:rsidRDefault="00A244E2" w:rsidP="00A244E2">
      <w:pPr>
        <w:pStyle w:val="3-BodyText"/>
        <w:numPr>
          <w:ilvl w:val="0"/>
          <w:numId w:val="0"/>
        </w:numPr>
        <w:ind w:left="720"/>
        <w:rPr>
          <w:i/>
          <w:iCs/>
          <w:snapToGrid/>
        </w:rPr>
      </w:pPr>
      <w:r w:rsidRPr="009941F8">
        <w:rPr>
          <w:rFonts w:eastAsia="SimSun"/>
          <w:i/>
          <w:iCs/>
        </w:rPr>
        <w:t>For more detail on PBAC’s view, see section 7 PBAC outcome.</w:t>
      </w:r>
    </w:p>
    <w:p w14:paraId="7F9C27C8" w14:textId="77777777" w:rsidR="00223D5A" w:rsidRPr="009941F8" w:rsidRDefault="00223D5A" w:rsidP="00A244E2">
      <w:pPr>
        <w:pStyle w:val="2-SectionHeading"/>
        <w:numPr>
          <w:ilvl w:val="0"/>
          <w:numId w:val="1"/>
        </w:numPr>
      </w:pPr>
      <w:bookmarkStart w:id="24" w:name="_Toc156918343"/>
      <w:bookmarkStart w:id="25" w:name="_Toc22897640"/>
      <w:r w:rsidRPr="009941F8">
        <w:t>Consideration of the evidence</w:t>
      </w:r>
      <w:bookmarkEnd w:id="24"/>
    </w:p>
    <w:p w14:paraId="5A40408E" w14:textId="77777777" w:rsidR="00357D22" w:rsidRPr="00357D22" w:rsidRDefault="00A244E2" w:rsidP="00A244E2">
      <w:pPr>
        <w:pStyle w:val="4-SubsectionHeading"/>
      </w:pPr>
      <w:bookmarkStart w:id="26" w:name="_Hlk76375935"/>
      <w:bookmarkStart w:id="27" w:name="_Toc156918344"/>
      <w:r w:rsidRPr="009941F8">
        <w:t>Sponsor hearing</w:t>
      </w:r>
    </w:p>
    <w:p w14:paraId="277AC3CC" w14:textId="3102FA12" w:rsidR="0047273E" w:rsidRPr="009941F8" w:rsidRDefault="0047273E" w:rsidP="0047273E">
      <w:pPr>
        <w:widowControl w:val="0"/>
        <w:numPr>
          <w:ilvl w:val="1"/>
          <w:numId w:val="1"/>
        </w:numPr>
        <w:rPr>
          <w:bCs/>
        </w:rPr>
      </w:pPr>
      <w:bookmarkStart w:id="28" w:name="_Hlk76382586"/>
      <w:r w:rsidRPr="009941F8">
        <w:rPr>
          <w:snapToGrid w:val="0"/>
        </w:rPr>
        <w:t>The sponsor requested a hearing for this item. The clinician discussed the clinical significance of the LLDAS as a treatment goal in SLE</w:t>
      </w:r>
      <w:r w:rsidR="008036EB" w:rsidRPr="009941F8">
        <w:rPr>
          <w:snapToGrid w:val="0"/>
        </w:rPr>
        <w:t xml:space="preserve">. In addition, the clinician discussed </w:t>
      </w:r>
      <w:r w:rsidRPr="009941F8">
        <w:rPr>
          <w:snapToGrid w:val="0"/>
        </w:rPr>
        <w:t xml:space="preserve">the </w:t>
      </w:r>
      <w:r w:rsidRPr="009941F8">
        <w:rPr>
          <w:bCs/>
        </w:rPr>
        <w:t>evolution of the LLDAS definition; clarification of standard of care with respect to immunosuppressant dosing; and the impact of LLDAS on patients</w:t>
      </w:r>
      <w:r w:rsidR="009941F8">
        <w:rPr>
          <w:bCs/>
        </w:rPr>
        <w:t xml:space="preserve">. </w:t>
      </w:r>
      <w:r w:rsidRPr="009941F8">
        <w:rPr>
          <w:bCs/>
        </w:rPr>
        <w:t xml:space="preserve">The PBAC considered that the hearing was informative as it provided a clinical perspective on </w:t>
      </w:r>
      <w:r w:rsidR="003456DA" w:rsidRPr="009941F8">
        <w:rPr>
          <w:bCs/>
        </w:rPr>
        <w:t>the impact of SLE on mortality, organ damage, and HRQoL and the challenges associated with measurement of treatment effect in this heterogeneous disease</w:t>
      </w:r>
      <w:r w:rsidRPr="009941F8">
        <w:rPr>
          <w:bCs/>
        </w:rPr>
        <w:t>.</w:t>
      </w:r>
    </w:p>
    <w:bookmarkEnd w:id="28"/>
    <w:p w14:paraId="06B8CDAB" w14:textId="77777777" w:rsidR="00A244E2" w:rsidRPr="009941F8" w:rsidRDefault="00A244E2" w:rsidP="00A244E2">
      <w:pPr>
        <w:pStyle w:val="4-SubsectionHeading"/>
      </w:pPr>
      <w:r w:rsidRPr="009941F8">
        <w:lastRenderedPageBreak/>
        <w:t>Consumer comments</w:t>
      </w:r>
    </w:p>
    <w:p w14:paraId="39F4A970" w14:textId="4AC4AE1B" w:rsidR="00D53405" w:rsidRPr="009941F8" w:rsidRDefault="00D53405" w:rsidP="00D53405">
      <w:pPr>
        <w:widowControl w:val="0"/>
        <w:numPr>
          <w:ilvl w:val="1"/>
          <w:numId w:val="1"/>
        </w:numPr>
        <w:spacing w:after="120"/>
        <w:rPr>
          <w:rFonts w:asciiTheme="minorHAnsi" w:hAnsiTheme="minorHAnsi"/>
          <w:bCs/>
          <w:snapToGrid w:val="0"/>
        </w:rPr>
      </w:pPr>
      <w:bookmarkStart w:id="29" w:name="_Hlk76382618"/>
      <w:r w:rsidRPr="009941F8">
        <w:rPr>
          <w:rFonts w:asciiTheme="minorHAnsi" w:hAnsiTheme="minorHAnsi"/>
          <w:bCs/>
          <w:snapToGrid w:val="0"/>
        </w:rPr>
        <w:t xml:space="preserve">The PBAC noted and welcomed the input from individuals (3), health care professionals (8) and organisations (5) via the Consumer Comments facility on the PBS website. The PBAC noted that this input was additional to the consumer comments </w:t>
      </w:r>
      <w:r w:rsidR="003E4329" w:rsidRPr="009941F8">
        <w:rPr>
          <w:rFonts w:asciiTheme="minorHAnsi" w:hAnsiTheme="minorHAnsi"/>
          <w:bCs/>
          <w:snapToGrid w:val="0"/>
        </w:rPr>
        <w:t>submitted</w:t>
      </w:r>
      <w:r w:rsidRPr="009941F8">
        <w:rPr>
          <w:rFonts w:asciiTheme="minorHAnsi" w:hAnsiTheme="minorHAnsi"/>
          <w:bCs/>
          <w:snapToGrid w:val="0"/>
        </w:rPr>
        <w:t xml:space="preserve"> during the previous considerations of anifrolumab at the July 2022 meeting which included input from individuals (128), a health care professional (1) and organisations (5); and the March 2023 meeting which included input from individuals (11), health care professionals (2) and organisations (5).</w:t>
      </w:r>
    </w:p>
    <w:p w14:paraId="3259B7F6" w14:textId="4AD1BE78" w:rsidR="00D53405" w:rsidRPr="009941F8" w:rsidRDefault="00D53405" w:rsidP="00460084">
      <w:pPr>
        <w:widowControl w:val="0"/>
        <w:numPr>
          <w:ilvl w:val="1"/>
          <w:numId w:val="1"/>
        </w:numPr>
        <w:spacing w:after="120"/>
        <w:rPr>
          <w:rFonts w:asciiTheme="minorHAnsi" w:hAnsiTheme="minorHAnsi"/>
          <w:bCs/>
          <w:snapToGrid w:val="0"/>
        </w:rPr>
      </w:pPr>
      <w:bookmarkStart w:id="30" w:name="_Ref109219584"/>
      <w:r w:rsidRPr="009941F8">
        <w:rPr>
          <w:rFonts w:asciiTheme="minorHAnsi" w:hAnsiTheme="minorHAnsi"/>
          <w:bCs/>
          <w:snapToGrid w:val="0"/>
        </w:rPr>
        <w:t>The PBAC noted the consumer input was consistent with the previously considered comments</w:t>
      </w:r>
      <w:r w:rsidR="009941F8">
        <w:rPr>
          <w:rFonts w:asciiTheme="minorHAnsi" w:hAnsiTheme="minorHAnsi"/>
          <w:bCs/>
          <w:snapToGrid w:val="0"/>
        </w:rPr>
        <w:t xml:space="preserve">. </w:t>
      </w:r>
      <w:r w:rsidRPr="009941F8">
        <w:rPr>
          <w:rFonts w:asciiTheme="minorHAnsi" w:hAnsiTheme="minorHAnsi"/>
          <w:bCs/>
          <w:snapToGrid w:val="0"/>
        </w:rPr>
        <w:t xml:space="preserve">Health professionals supported the proposed listing and </w:t>
      </w:r>
      <w:r w:rsidR="00546D4D" w:rsidRPr="009941F8">
        <w:rPr>
          <w:rFonts w:asciiTheme="minorHAnsi" w:hAnsiTheme="minorHAnsi"/>
          <w:bCs/>
          <w:snapToGrid w:val="0"/>
        </w:rPr>
        <w:t>described</w:t>
      </w:r>
      <w:r w:rsidRPr="009941F8">
        <w:rPr>
          <w:rFonts w:asciiTheme="minorHAnsi" w:hAnsiTheme="minorHAnsi"/>
          <w:bCs/>
          <w:snapToGrid w:val="0"/>
        </w:rPr>
        <w:t xml:space="preserve"> an unmet clinical need for the group of patients who have refractory disease, despite other therapies</w:t>
      </w:r>
      <w:r w:rsidR="009941F8">
        <w:rPr>
          <w:rFonts w:asciiTheme="minorHAnsi" w:hAnsiTheme="minorHAnsi"/>
          <w:bCs/>
          <w:snapToGrid w:val="0"/>
        </w:rPr>
        <w:t xml:space="preserve">. </w:t>
      </w:r>
      <w:r w:rsidRPr="009941F8">
        <w:rPr>
          <w:rFonts w:asciiTheme="minorHAnsi" w:hAnsiTheme="minorHAnsi"/>
          <w:bCs/>
          <w:snapToGrid w:val="0"/>
        </w:rPr>
        <w:t>Individuals described the significant impact of SLE on patient quality of life and noted that anifrolumab treatment would be unavailable to most, in the absence of PBS listing due to cost</w:t>
      </w:r>
      <w:r w:rsidR="009941F8">
        <w:rPr>
          <w:rFonts w:asciiTheme="minorHAnsi" w:hAnsiTheme="minorHAnsi"/>
          <w:bCs/>
          <w:snapToGrid w:val="0"/>
        </w:rPr>
        <w:t xml:space="preserve">. </w:t>
      </w:r>
    </w:p>
    <w:p w14:paraId="31E8AAA9" w14:textId="05311892" w:rsidR="00A244E2" w:rsidRPr="009941F8" w:rsidRDefault="009A6242" w:rsidP="00546D4D">
      <w:pPr>
        <w:pStyle w:val="3-BodyText"/>
        <w:rPr>
          <w:bCs/>
        </w:rPr>
      </w:pPr>
      <w:r w:rsidRPr="009941F8">
        <w:t xml:space="preserve">The PBAC noted the advice received from the Australasian Society of Clinical Immunology and Allergy (ASCIA), the Australian Rheumatology Association (ARA), Lupus WA, </w:t>
      </w:r>
      <w:r w:rsidRPr="009941F8">
        <w:rPr>
          <w:bCs/>
        </w:rPr>
        <w:t xml:space="preserve">CreakyJoints Australia </w:t>
      </w:r>
      <w:r w:rsidR="00546D4D" w:rsidRPr="009941F8">
        <w:rPr>
          <w:bCs/>
        </w:rPr>
        <w:t>(</w:t>
      </w:r>
      <w:r w:rsidRPr="009941F8">
        <w:rPr>
          <w:bCs/>
        </w:rPr>
        <w:t>and parent organisation, Global Healthy Living Foundation Australia</w:t>
      </w:r>
      <w:r w:rsidR="00546D4D" w:rsidRPr="009941F8">
        <w:rPr>
          <w:bCs/>
        </w:rPr>
        <w:t>)</w:t>
      </w:r>
      <w:r w:rsidRPr="009941F8">
        <w:rPr>
          <w:bCs/>
        </w:rPr>
        <w:t>, and Dragon Claw Charity Ltd</w:t>
      </w:r>
      <w:r w:rsidR="009941F8">
        <w:rPr>
          <w:bCs/>
        </w:rPr>
        <w:t xml:space="preserve">. </w:t>
      </w:r>
      <w:r w:rsidRPr="009941F8">
        <w:t>All organisations supported the proposed listing</w:t>
      </w:r>
      <w:r w:rsidR="009941F8">
        <w:t xml:space="preserve">. </w:t>
      </w:r>
      <w:r w:rsidRPr="009941F8">
        <w:t xml:space="preserve">The ARA and ASCIA input </w:t>
      </w:r>
      <w:r w:rsidR="00546D4D" w:rsidRPr="009941F8">
        <w:t>noted the limitations of current therapies, and the need for new therapies to improve disease control</w:t>
      </w:r>
      <w:r w:rsidR="009941F8">
        <w:t xml:space="preserve">. </w:t>
      </w:r>
      <w:r w:rsidR="00546D4D" w:rsidRPr="009941F8">
        <w:t xml:space="preserve">The input from Lupus WA, </w:t>
      </w:r>
      <w:r w:rsidR="00546D4D" w:rsidRPr="009941F8">
        <w:rPr>
          <w:bCs/>
        </w:rPr>
        <w:t xml:space="preserve">CreakyJoints Australia, and Dragon Claw Charity Ltd described the patient impact of the condition including substantial impact on quality of life and a desire for PBS listing to enable equitable access to high cost therapies which have been approved by the TGA for SLE, such as anifrolumab. </w:t>
      </w:r>
      <w:bookmarkEnd w:id="30"/>
      <w:r w:rsidR="00546D4D" w:rsidRPr="009941F8">
        <w:rPr>
          <w:bCs/>
        </w:rPr>
        <w:t>T</w:t>
      </w:r>
      <w:r w:rsidRPr="009941F8">
        <w:t>he PBAC noted that the advice from organisations was supportive of the evidence provided in the submission.</w:t>
      </w:r>
    </w:p>
    <w:bookmarkEnd w:id="26"/>
    <w:bookmarkEnd w:id="29"/>
    <w:p w14:paraId="609C0765" w14:textId="01CFB99D" w:rsidR="00B60939" w:rsidRPr="009941F8" w:rsidRDefault="00B60939" w:rsidP="00A244E2">
      <w:pPr>
        <w:pStyle w:val="4-SubsectionHeading"/>
      </w:pPr>
      <w:r w:rsidRPr="009941F8">
        <w:t>Clinical trials</w:t>
      </w:r>
      <w:bookmarkEnd w:id="25"/>
      <w:bookmarkEnd w:id="27"/>
    </w:p>
    <w:p w14:paraId="133EFE32" w14:textId="283ECCE8" w:rsidR="00023F5F" w:rsidRPr="009941F8" w:rsidRDefault="00816E0F" w:rsidP="00A244E2">
      <w:pPr>
        <w:pStyle w:val="3-BodyText"/>
      </w:pPr>
      <w:r w:rsidRPr="009941F8">
        <w:t xml:space="preserve">The resubmission presented results in the total trial population with moderate to severe SLE (SLEDAI-2K </w:t>
      </w:r>
      <w:r w:rsidRPr="009941F8">
        <w:rPr>
          <w:rFonts w:cstheme="minorHAnsi"/>
        </w:rPr>
        <w:t>≥</w:t>
      </w:r>
      <w:r w:rsidRPr="009941F8">
        <w:t xml:space="preserve">6) and </w:t>
      </w:r>
      <w:r w:rsidR="00A77981" w:rsidRPr="009941F8">
        <w:t xml:space="preserve">for the </w:t>
      </w:r>
      <w:r w:rsidRPr="009941F8">
        <w:t>post hoc subgroup</w:t>
      </w:r>
      <w:r w:rsidR="00554DE8" w:rsidRPr="009941F8">
        <w:t xml:space="preserve"> </w:t>
      </w:r>
      <w:r w:rsidR="00A77981" w:rsidRPr="009941F8">
        <w:t xml:space="preserve">of patients </w:t>
      </w:r>
      <w:r w:rsidR="00DA16C9" w:rsidRPr="009941F8">
        <w:t xml:space="preserve">with baseline SLEDAI-2K </w:t>
      </w:r>
      <w:r w:rsidR="00DA16C9" w:rsidRPr="009941F8">
        <w:rPr>
          <w:rFonts w:cstheme="minorHAnsi"/>
        </w:rPr>
        <w:t>≥</w:t>
      </w:r>
      <w:r w:rsidR="00DA16C9" w:rsidRPr="009941F8">
        <w:t>10</w:t>
      </w:r>
      <w:r w:rsidRPr="009941F8">
        <w:t>. The resubmission stated that the subgroup with SLEDAI-2K ≥</w:t>
      </w:r>
      <w:r w:rsidR="00F54881">
        <w:t> </w:t>
      </w:r>
      <w:r w:rsidRPr="009941F8">
        <w:t xml:space="preserve">10 enrolled in the trials would be a reasonable proxy for the requested PBS population, given these patients have high disease activity. The resubmission claimed that, in the trials, the numbers of patients meeting all three PBS eligibility criteria (i.e. SLEDAI-2K ≥10 </w:t>
      </w:r>
      <w:bookmarkStart w:id="31" w:name="_Hlk156481197"/>
      <w:r w:rsidRPr="009941F8">
        <w:t>and receiving triple therapy, consisting of HCQ, an immunosuppressant and OCS ≥7.5 mg/day</w:t>
      </w:r>
      <w:bookmarkEnd w:id="31"/>
      <w:r w:rsidRPr="009941F8">
        <w:t>) were too small for any meaningful and robust analyses. The PBAC previously noted that the exploratory subgroup analysis of patients in the TULIP trials with SLEDAI-2K ≥10, reflected the proposed PBS population (paragraph 7.6, anifrolumab PSD March 2023).</w:t>
      </w:r>
    </w:p>
    <w:p w14:paraId="28DEF683" w14:textId="3920DE53" w:rsidR="00574BF8" w:rsidRPr="009941F8" w:rsidRDefault="00017D6C" w:rsidP="00A244E2">
      <w:pPr>
        <w:pStyle w:val="3-BodyText"/>
      </w:pPr>
      <w:r w:rsidRPr="009941F8">
        <w:t xml:space="preserve">Compared to the March 2023 </w:t>
      </w:r>
      <w:r w:rsidR="005C1EA3" w:rsidRPr="009941F8">
        <w:t>re</w:t>
      </w:r>
      <w:r w:rsidRPr="009941F8">
        <w:t xml:space="preserve">submission, the main change to the clinical data </w:t>
      </w:r>
      <w:bookmarkStart w:id="32" w:name="_Hlk156394182"/>
      <w:r w:rsidRPr="009941F8">
        <w:t>presented in th</w:t>
      </w:r>
      <w:r w:rsidR="005C1EA3" w:rsidRPr="009941F8">
        <w:t>is</w:t>
      </w:r>
      <w:r w:rsidRPr="009941F8">
        <w:t xml:space="preserve"> resubmission was the inclusion of additional results for the outcome LLDAS attainment from the included trials (MUSE (post hoc) and TULIP-1, TULIP-2 and </w:t>
      </w:r>
      <w:r w:rsidRPr="009941F8">
        <w:lastRenderedPageBreak/>
        <w:t>TULIP-LTE (pre-specified exploratory analysis and post hoc analysis with adjustment for immunosuppressant discontinuation/non-standard dosing as responders)).</w:t>
      </w:r>
      <w:bookmarkEnd w:id="32"/>
    </w:p>
    <w:p w14:paraId="278E4AF3" w14:textId="2647FB69" w:rsidR="000C092C" w:rsidRPr="009941F8" w:rsidRDefault="00574BF8" w:rsidP="00A244E2">
      <w:pPr>
        <w:pStyle w:val="3-BodyText"/>
      </w:pPr>
      <w:r w:rsidRPr="009941F8">
        <w:t>The resubmission’s clinical claims were based on the results at 52 and 208 weeks. In comparison</w:t>
      </w:r>
      <w:r w:rsidR="004B2A97" w:rsidRPr="009941F8">
        <w:t>,</w:t>
      </w:r>
      <w:r w:rsidRPr="009941F8">
        <w:t xml:space="preserve"> the economic analysis was based on LLDAS response for the post hoc subgroup of patients with baseline SLEDAI-2K </w:t>
      </w:r>
      <w:r w:rsidRPr="009941F8">
        <w:rPr>
          <w:rFonts w:cstheme="minorHAnsi"/>
        </w:rPr>
        <w:t>≥</w:t>
      </w:r>
      <w:r w:rsidRPr="009941F8">
        <w:t>10 at 26 weeks.</w:t>
      </w:r>
    </w:p>
    <w:p w14:paraId="0C9785CB" w14:textId="041F5464" w:rsidR="00017D6C" w:rsidRPr="009941F8" w:rsidRDefault="00017D6C" w:rsidP="00A244E2">
      <w:pPr>
        <w:pStyle w:val="3-BodyText"/>
      </w:pPr>
      <w:r w:rsidRPr="009941F8">
        <w:rPr>
          <w:rFonts w:cs="Calibri"/>
        </w:rPr>
        <w:t>The clinical evidence (</w:t>
      </w:r>
      <w:r w:rsidR="001F01CC" w:rsidRPr="009941F8">
        <w:rPr>
          <w:rFonts w:cs="Calibri"/>
          <w:shd w:val="clear" w:color="auto" w:fill="B8CCE4" w:themeFill="accent1" w:themeFillTint="66"/>
        </w:rPr>
        <w:fldChar w:fldCharType="begin" w:fldLock="1"/>
      </w:r>
      <w:r w:rsidR="001F01CC" w:rsidRPr="009941F8">
        <w:rPr>
          <w:rFonts w:cs="Calibri"/>
          <w:shd w:val="clear" w:color="auto" w:fill="B8CCE4" w:themeFill="accent1" w:themeFillTint="66"/>
        </w:rPr>
        <w:instrText xml:space="preserve"> REF _Ref153929765 \h </w:instrText>
      </w:r>
      <w:r w:rsidR="0032109A" w:rsidRPr="009941F8">
        <w:rPr>
          <w:rFonts w:cs="Calibri"/>
          <w:shd w:val="clear" w:color="auto" w:fill="B8CCE4" w:themeFill="accent1" w:themeFillTint="66"/>
        </w:rPr>
        <w:instrText xml:space="preserve"> \* MERGEFORMAT </w:instrText>
      </w:r>
      <w:r w:rsidR="001F01CC" w:rsidRPr="009941F8">
        <w:rPr>
          <w:rFonts w:cs="Calibri"/>
          <w:shd w:val="clear" w:color="auto" w:fill="B8CCE4" w:themeFill="accent1" w:themeFillTint="66"/>
        </w:rPr>
      </w:r>
      <w:r w:rsidR="001F01CC" w:rsidRPr="009941F8">
        <w:rPr>
          <w:rFonts w:cs="Calibri"/>
          <w:shd w:val="clear" w:color="auto" w:fill="B8CCE4" w:themeFill="accent1" w:themeFillTint="66"/>
        </w:rPr>
        <w:fldChar w:fldCharType="separate"/>
      </w:r>
      <w:r w:rsidR="00F07501" w:rsidRPr="009941F8">
        <w:t xml:space="preserve">Table </w:t>
      </w:r>
      <w:r w:rsidR="00F07501">
        <w:t>3</w:t>
      </w:r>
      <w:r w:rsidR="001F01CC" w:rsidRPr="009941F8">
        <w:rPr>
          <w:rFonts w:cs="Calibri"/>
          <w:shd w:val="clear" w:color="auto" w:fill="B8CCE4" w:themeFill="accent1" w:themeFillTint="66"/>
        </w:rPr>
        <w:fldChar w:fldCharType="end"/>
      </w:r>
      <w:r w:rsidRPr="009941F8">
        <w:rPr>
          <w:rFonts w:cs="Calibri"/>
        </w:rPr>
        <w:t>) was based on:</w:t>
      </w:r>
      <w:r w:rsidRPr="009941F8">
        <w:t xml:space="preserve"> </w:t>
      </w:r>
    </w:p>
    <w:p w14:paraId="32FD9619" w14:textId="180F9A92" w:rsidR="00017D6C" w:rsidRPr="009941F8" w:rsidRDefault="00017D6C" w:rsidP="00233562">
      <w:pPr>
        <w:pStyle w:val="ListBullet"/>
        <w:numPr>
          <w:ilvl w:val="0"/>
          <w:numId w:val="4"/>
        </w:numPr>
        <w:spacing w:after="120"/>
        <w:ind w:left="1037" w:hanging="357"/>
        <w:contextualSpacing w:val="0"/>
      </w:pPr>
      <w:r w:rsidRPr="009941F8">
        <w:rPr>
          <w:rFonts w:cs="Calibri"/>
        </w:rPr>
        <w:t xml:space="preserve">three head-to-head randomised controlled trials (RCTs) comparing anifrolumab 300 mg IV Q4W to SOC alone (also referred to as placebo in the </w:t>
      </w:r>
      <w:r w:rsidR="00AA03A7" w:rsidRPr="009941F8">
        <w:rPr>
          <w:rFonts w:cs="Calibri"/>
        </w:rPr>
        <w:t>re</w:t>
      </w:r>
      <w:r w:rsidRPr="009941F8">
        <w:rPr>
          <w:rFonts w:cs="Calibri"/>
        </w:rPr>
        <w:t>submission) in adults with moderate to severe SLE: TULIP 1, TULIP 2, MUSE;</w:t>
      </w:r>
    </w:p>
    <w:p w14:paraId="1B9EA333" w14:textId="5E767E6C" w:rsidR="000C092C" w:rsidRPr="009941F8" w:rsidRDefault="00017D6C" w:rsidP="00F54881">
      <w:pPr>
        <w:pStyle w:val="ListBullet"/>
        <w:numPr>
          <w:ilvl w:val="0"/>
          <w:numId w:val="4"/>
        </w:numPr>
        <w:spacing w:after="120"/>
        <w:ind w:left="1040"/>
      </w:pPr>
      <w:r w:rsidRPr="009941F8">
        <w:rPr>
          <w:rFonts w:cs="Calibri"/>
        </w:rPr>
        <w:t>two treatment extension studies (MUSE LTE and TULIP LTE).</w:t>
      </w:r>
    </w:p>
    <w:p w14:paraId="4C4F6EB4" w14:textId="15460CBB" w:rsidR="00017D6C" w:rsidRPr="009941F8" w:rsidRDefault="001F01CC" w:rsidP="00A244E2">
      <w:pPr>
        <w:pStyle w:val="Caption"/>
        <w:rPr>
          <w:rFonts w:eastAsiaTheme="majorEastAsia" w:cstheme="majorBidi"/>
          <w:b w:val="0"/>
          <w:bCs w:val="0"/>
        </w:rPr>
      </w:pPr>
      <w:bookmarkStart w:id="33" w:name="_Ref153929765"/>
      <w:r w:rsidRPr="009941F8">
        <w:t xml:space="preserve">Table </w:t>
      </w:r>
      <w:r w:rsidR="00CE7EC7">
        <w:fldChar w:fldCharType="begin" w:fldLock="1"/>
      </w:r>
      <w:r w:rsidR="00CE7EC7">
        <w:instrText xml:space="preserve"> SEQ Table \* ARABIC </w:instrText>
      </w:r>
      <w:r w:rsidR="00CE7EC7">
        <w:fldChar w:fldCharType="separate"/>
      </w:r>
      <w:r w:rsidR="00F07501">
        <w:rPr>
          <w:noProof/>
        </w:rPr>
        <w:t>3</w:t>
      </w:r>
      <w:r w:rsidR="00CE7EC7">
        <w:rPr>
          <w:noProof/>
        </w:rPr>
        <w:fldChar w:fldCharType="end"/>
      </w:r>
      <w:bookmarkEnd w:id="33"/>
      <w:r w:rsidR="00017D6C" w:rsidRPr="009941F8">
        <w:rPr>
          <w:rFonts w:eastAsiaTheme="majorEastAsia" w:cstheme="majorBidi"/>
        </w:rPr>
        <w:t>: Trials and associated reports presented in th</w:t>
      </w:r>
      <w:r w:rsidR="005C1EA3" w:rsidRPr="009941F8">
        <w:rPr>
          <w:rFonts w:eastAsiaTheme="majorEastAsia" w:cstheme="majorBidi"/>
          <w:bCs w:val="0"/>
        </w:rPr>
        <w:t>is</w:t>
      </w:r>
      <w:r w:rsidR="00017D6C" w:rsidRPr="009941F8">
        <w:rPr>
          <w:rFonts w:eastAsiaTheme="majorEastAsia" w:cstheme="majorBidi"/>
        </w:rPr>
        <w:t xml:space="preserv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is resubmission"/>
      </w:tblPr>
      <w:tblGrid>
        <w:gridCol w:w="1129"/>
        <w:gridCol w:w="5765"/>
        <w:gridCol w:w="2123"/>
      </w:tblGrid>
      <w:tr w:rsidR="00017D6C" w:rsidRPr="009941F8" w14:paraId="594A9946" w14:textId="77777777" w:rsidTr="0015315D">
        <w:trPr>
          <w:tblHeader/>
        </w:trPr>
        <w:tc>
          <w:tcPr>
            <w:tcW w:w="626" w:type="pct"/>
            <w:vAlign w:val="center"/>
          </w:tcPr>
          <w:p w14:paraId="1E56D1EC" w14:textId="77777777" w:rsidR="00017D6C" w:rsidRPr="009941F8" w:rsidRDefault="00017D6C" w:rsidP="00A244E2">
            <w:pPr>
              <w:keepNext/>
              <w:jc w:val="left"/>
              <w:rPr>
                <w:rFonts w:ascii="Arial Narrow" w:eastAsiaTheme="majorEastAsia" w:hAnsi="Arial Narrow" w:cs="Times New Roman"/>
                <w:b/>
                <w:sz w:val="20"/>
              </w:rPr>
            </w:pPr>
            <w:r w:rsidRPr="009941F8">
              <w:rPr>
                <w:rFonts w:ascii="Arial Narrow" w:eastAsiaTheme="majorEastAsia" w:hAnsi="Arial Narrow" w:cs="Times New Roman"/>
                <w:b/>
                <w:sz w:val="20"/>
              </w:rPr>
              <w:t>Trial ID</w:t>
            </w:r>
          </w:p>
        </w:tc>
        <w:tc>
          <w:tcPr>
            <w:tcW w:w="3197" w:type="pct"/>
            <w:vAlign w:val="center"/>
          </w:tcPr>
          <w:p w14:paraId="03C01F1C" w14:textId="77777777" w:rsidR="00017D6C" w:rsidRPr="009941F8" w:rsidRDefault="00017D6C" w:rsidP="00A244E2">
            <w:pPr>
              <w:keepNext/>
              <w:jc w:val="left"/>
              <w:rPr>
                <w:rFonts w:ascii="Arial Narrow" w:eastAsiaTheme="majorEastAsia" w:hAnsi="Arial Narrow" w:cs="Times New Roman"/>
                <w:b/>
                <w:sz w:val="20"/>
              </w:rPr>
            </w:pPr>
            <w:r w:rsidRPr="009941F8">
              <w:rPr>
                <w:rFonts w:ascii="Arial Narrow" w:eastAsiaTheme="majorEastAsia" w:hAnsi="Arial Narrow" w:cs="Times New Roman"/>
                <w:b/>
                <w:sz w:val="20"/>
              </w:rPr>
              <w:t>Protocol title/ Publication title</w:t>
            </w:r>
          </w:p>
        </w:tc>
        <w:tc>
          <w:tcPr>
            <w:tcW w:w="1177" w:type="pct"/>
            <w:vAlign w:val="center"/>
          </w:tcPr>
          <w:p w14:paraId="7C761683" w14:textId="77777777" w:rsidR="00017D6C" w:rsidRPr="009941F8" w:rsidRDefault="00017D6C" w:rsidP="00A244E2">
            <w:pPr>
              <w:keepNext/>
              <w:jc w:val="left"/>
              <w:rPr>
                <w:rFonts w:ascii="Arial Narrow" w:eastAsiaTheme="majorEastAsia" w:hAnsi="Arial Narrow" w:cs="Times New Roman"/>
                <w:b/>
                <w:sz w:val="20"/>
              </w:rPr>
            </w:pPr>
            <w:r w:rsidRPr="009941F8">
              <w:rPr>
                <w:rFonts w:ascii="Arial Narrow" w:eastAsiaTheme="majorEastAsia" w:hAnsi="Arial Narrow" w:cs="Times New Roman"/>
                <w:b/>
                <w:sz w:val="20"/>
              </w:rPr>
              <w:t>Publication citation</w:t>
            </w:r>
          </w:p>
        </w:tc>
      </w:tr>
      <w:tr w:rsidR="00017D6C" w:rsidRPr="009941F8" w14:paraId="61043B14" w14:textId="77777777" w:rsidTr="00A244E2">
        <w:tc>
          <w:tcPr>
            <w:tcW w:w="626" w:type="pct"/>
            <w:vMerge w:val="restart"/>
            <w:shd w:val="clear" w:color="auto" w:fill="auto"/>
            <w:vAlign w:val="center"/>
          </w:tcPr>
          <w:p w14:paraId="1DE6EBAC"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TULIP-1 (Study 05)</w:t>
            </w:r>
          </w:p>
          <w:p w14:paraId="3EEBE5C6"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NCT02446912</w:t>
            </w:r>
          </w:p>
        </w:tc>
        <w:tc>
          <w:tcPr>
            <w:tcW w:w="3197" w:type="pct"/>
            <w:tcBorders>
              <w:bottom w:val="nil"/>
            </w:tcBorders>
            <w:shd w:val="clear" w:color="auto" w:fill="auto"/>
            <w:vAlign w:val="center"/>
          </w:tcPr>
          <w:p w14:paraId="7ADAB0EC"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A Multicentre, Randomised, Double-blind, Placebo-controlled, Phase 3 Study Evaluating the Efficacy and Safety of Two Doses of Anifrolumab in Adult Subjects with Active Systemic Lupus Erythematosus</w:t>
            </w:r>
          </w:p>
        </w:tc>
        <w:tc>
          <w:tcPr>
            <w:tcW w:w="1177" w:type="pct"/>
            <w:tcBorders>
              <w:bottom w:val="nil"/>
            </w:tcBorders>
            <w:shd w:val="clear" w:color="auto" w:fill="auto"/>
            <w:vAlign w:val="center"/>
          </w:tcPr>
          <w:p w14:paraId="32C23F54"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20 May 2019</w:t>
            </w:r>
          </w:p>
        </w:tc>
      </w:tr>
      <w:tr w:rsidR="00017D6C" w:rsidRPr="009941F8" w14:paraId="4FB8454E" w14:textId="77777777" w:rsidTr="00A244E2">
        <w:tc>
          <w:tcPr>
            <w:tcW w:w="626" w:type="pct"/>
            <w:vMerge/>
            <w:tcBorders>
              <w:bottom w:val="nil"/>
            </w:tcBorders>
            <w:shd w:val="clear" w:color="auto" w:fill="auto"/>
            <w:vAlign w:val="center"/>
          </w:tcPr>
          <w:p w14:paraId="7A5B45A1" w14:textId="77777777" w:rsidR="00017D6C" w:rsidRPr="009941F8" w:rsidRDefault="00017D6C" w:rsidP="00A244E2">
            <w:pPr>
              <w:keepNext/>
              <w:jc w:val="left"/>
              <w:rPr>
                <w:rFonts w:ascii="Arial Narrow" w:eastAsiaTheme="majorEastAsia" w:hAnsi="Arial Narrow" w:cstheme="majorBidi"/>
                <w:bCs/>
                <w:sz w:val="20"/>
              </w:rPr>
            </w:pPr>
          </w:p>
        </w:tc>
        <w:tc>
          <w:tcPr>
            <w:tcW w:w="3197" w:type="pct"/>
            <w:tcBorders>
              <w:top w:val="nil"/>
              <w:bottom w:val="nil"/>
            </w:tcBorders>
            <w:shd w:val="clear" w:color="auto" w:fill="auto"/>
            <w:vAlign w:val="center"/>
          </w:tcPr>
          <w:p w14:paraId="1A8B29C0"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Furie, R. A., et al. Type I interferon inhibitor anifrolumab in active systemic lupus erythematosus (TULIP-1): a randomised, controlled, phase 3 trial.</w:t>
            </w:r>
          </w:p>
        </w:tc>
        <w:tc>
          <w:tcPr>
            <w:tcW w:w="1177" w:type="pct"/>
            <w:tcBorders>
              <w:top w:val="nil"/>
              <w:bottom w:val="nil"/>
            </w:tcBorders>
            <w:shd w:val="clear" w:color="auto" w:fill="auto"/>
            <w:vAlign w:val="center"/>
          </w:tcPr>
          <w:p w14:paraId="67CD72C1"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The Lancet Rheumatology 2019; 1(4): e208-e219.</w:t>
            </w:r>
          </w:p>
        </w:tc>
      </w:tr>
      <w:tr w:rsidR="008310C5" w:rsidRPr="009941F8" w14:paraId="7054DA29" w14:textId="77777777" w:rsidTr="00A244E2">
        <w:tc>
          <w:tcPr>
            <w:tcW w:w="626" w:type="pct"/>
            <w:vMerge w:val="restart"/>
            <w:shd w:val="clear" w:color="auto" w:fill="auto"/>
            <w:vAlign w:val="center"/>
          </w:tcPr>
          <w:p w14:paraId="6B47B074" w14:textId="77777777" w:rsidR="008310C5" w:rsidRPr="009941F8" w:rsidRDefault="008310C5"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TULIP-2 (Study 04)</w:t>
            </w:r>
          </w:p>
          <w:p w14:paraId="38493A4B" w14:textId="77777777" w:rsidR="008310C5" w:rsidRPr="009941F8" w:rsidRDefault="008310C5"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NCT02446899</w:t>
            </w:r>
          </w:p>
        </w:tc>
        <w:tc>
          <w:tcPr>
            <w:tcW w:w="3197" w:type="pct"/>
            <w:vMerge w:val="restart"/>
            <w:shd w:val="clear" w:color="auto" w:fill="auto"/>
            <w:vAlign w:val="center"/>
          </w:tcPr>
          <w:p w14:paraId="403B5721" w14:textId="77777777" w:rsidR="008310C5" w:rsidRPr="009941F8" w:rsidRDefault="008310C5"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A Multicentre, Randomised, Double-blind, Placebo-controlled, Phase 3 Study Evaluating the Efficacy and Safety of Anifrolumab in Adult Subjects with Active Systemic Lupus Erythematosus. </w:t>
            </w:r>
          </w:p>
          <w:p w14:paraId="6C4E154D" w14:textId="3F8A5B97" w:rsidR="008310C5" w:rsidRPr="009941F8" w:rsidRDefault="008310C5"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szCs w:val="18"/>
              </w:rPr>
              <w:t xml:space="preserve">Morand, E. F., et al. Trial of anifrolumab in active systemic lupus erythematosus. </w:t>
            </w:r>
          </w:p>
        </w:tc>
        <w:tc>
          <w:tcPr>
            <w:tcW w:w="1177" w:type="pct"/>
            <w:tcBorders>
              <w:bottom w:val="nil"/>
            </w:tcBorders>
            <w:shd w:val="clear" w:color="auto" w:fill="auto"/>
            <w:vAlign w:val="center"/>
          </w:tcPr>
          <w:p w14:paraId="0A9424CF" w14:textId="77777777" w:rsidR="008310C5" w:rsidRPr="009941F8" w:rsidRDefault="008310C5"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16 December 2019</w:t>
            </w:r>
          </w:p>
        </w:tc>
      </w:tr>
      <w:tr w:rsidR="008310C5" w:rsidRPr="009941F8" w14:paraId="1DAD5C24" w14:textId="77777777" w:rsidTr="00A244E2">
        <w:trPr>
          <w:trHeight w:val="207"/>
        </w:trPr>
        <w:tc>
          <w:tcPr>
            <w:tcW w:w="626" w:type="pct"/>
            <w:vMerge/>
            <w:tcBorders>
              <w:bottom w:val="nil"/>
            </w:tcBorders>
            <w:shd w:val="clear" w:color="auto" w:fill="auto"/>
            <w:vAlign w:val="center"/>
          </w:tcPr>
          <w:p w14:paraId="0242433F" w14:textId="77777777" w:rsidR="008310C5" w:rsidRPr="009941F8" w:rsidRDefault="008310C5" w:rsidP="00A244E2">
            <w:pPr>
              <w:keepNext/>
              <w:jc w:val="left"/>
              <w:rPr>
                <w:rFonts w:ascii="Arial Narrow" w:eastAsiaTheme="majorEastAsia" w:hAnsi="Arial Narrow" w:cstheme="majorBidi"/>
                <w:bCs/>
                <w:sz w:val="20"/>
              </w:rPr>
            </w:pPr>
          </w:p>
        </w:tc>
        <w:tc>
          <w:tcPr>
            <w:tcW w:w="3197" w:type="pct"/>
            <w:vMerge/>
            <w:tcBorders>
              <w:bottom w:val="nil"/>
            </w:tcBorders>
            <w:shd w:val="clear" w:color="auto" w:fill="auto"/>
            <w:vAlign w:val="center"/>
          </w:tcPr>
          <w:p w14:paraId="431A6E2D" w14:textId="31F9338C" w:rsidR="008310C5" w:rsidRPr="009941F8" w:rsidRDefault="008310C5" w:rsidP="00A244E2">
            <w:pPr>
              <w:keepNext/>
              <w:jc w:val="left"/>
              <w:rPr>
                <w:rFonts w:ascii="Arial Narrow" w:eastAsiaTheme="majorEastAsia" w:hAnsi="Arial Narrow" w:cstheme="majorBidi"/>
                <w:bCs/>
                <w:sz w:val="20"/>
                <w:szCs w:val="18"/>
              </w:rPr>
            </w:pPr>
          </w:p>
        </w:tc>
        <w:tc>
          <w:tcPr>
            <w:tcW w:w="1177" w:type="pct"/>
            <w:tcBorders>
              <w:top w:val="nil"/>
              <w:bottom w:val="nil"/>
            </w:tcBorders>
            <w:shd w:val="clear" w:color="auto" w:fill="auto"/>
            <w:vAlign w:val="center"/>
          </w:tcPr>
          <w:p w14:paraId="763BDF53" w14:textId="77777777" w:rsidR="008310C5" w:rsidRPr="009941F8" w:rsidRDefault="008310C5" w:rsidP="00A244E2">
            <w:pPr>
              <w:keepNext/>
              <w:jc w:val="left"/>
              <w:rPr>
                <w:rFonts w:ascii="Arial Narrow" w:eastAsiaTheme="majorEastAsia" w:hAnsi="Arial Narrow" w:cstheme="majorBidi"/>
                <w:bCs/>
                <w:sz w:val="20"/>
                <w:szCs w:val="18"/>
              </w:rPr>
            </w:pPr>
          </w:p>
          <w:p w14:paraId="202DA362" w14:textId="77777777" w:rsidR="008310C5" w:rsidRPr="009941F8" w:rsidRDefault="008310C5" w:rsidP="00A244E2">
            <w:pPr>
              <w:keepNext/>
              <w:jc w:val="left"/>
              <w:rPr>
                <w:rFonts w:ascii="Arial Narrow" w:eastAsiaTheme="majorEastAsia" w:hAnsi="Arial Narrow" w:cstheme="majorBidi"/>
                <w:bCs/>
                <w:sz w:val="20"/>
                <w:szCs w:val="18"/>
              </w:rPr>
            </w:pPr>
          </w:p>
          <w:p w14:paraId="68018738" w14:textId="71F35C6D" w:rsidR="008310C5" w:rsidRPr="009941F8" w:rsidRDefault="008310C5" w:rsidP="00A244E2">
            <w:pPr>
              <w:keepNext/>
              <w:jc w:val="left"/>
              <w:rPr>
                <w:rFonts w:ascii="Arial Narrow" w:eastAsiaTheme="majorEastAsia" w:hAnsi="Arial Narrow" w:cstheme="majorBidi"/>
                <w:bCs/>
                <w:i/>
                <w:sz w:val="20"/>
              </w:rPr>
            </w:pPr>
            <w:r w:rsidRPr="009941F8">
              <w:rPr>
                <w:rFonts w:ascii="Arial Narrow" w:eastAsiaTheme="majorEastAsia" w:hAnsi="Arial Narrow" w:cstheme="majorBidi"/>
                <w:bCs/>
                <w:sz w:val="20"/>
                <w:szCs w:val="18"/>
              </w:rPr>
              <w:t>New England Journal of Medicine 2020; 382(3): 211-221.</w:t>
            </w:r>
          </w:p>
        </w:tc>
      </w:tr>
      <w:tr w:rsidR="00017D6C" w:rsidRPr="009941F8" w14:paraId="528958D8" w14:textId="77777777" w:rsidTr="00A244E2">
        <w:tc>
          <w:tcPr>
            <w:tcW w:w="626" w:type="pct"/>
            <w:vMerge w:val="restart"/>
            <w:shd w:val="clear" w:color="auto" w:fill="auto"/>
            <w:vAlign w:val="center"/>
          </w:tcPr>
          <w:p w14:paraId="1EB4A107"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MUSE</w:t>
            </w:r>
          </w:p>
          <w:p w14:paraId="12925C1E"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NCT01438489</w:t>
            </w:r>
          </w:p>
        </w:tc>
        <w:tc>
          <w:tcPr>
            <w:tcW w:w="3197" w:type="pct"/>
            <w:tcBorders>
              <w:bottom w:val="nil"/>
            </w:tcBorders>
            <w:shd w:val="clear" w:color="auto" w:fill="auto"/>
            <w:vAlign w:val="center"/>
          </w:tcPr>
          <w:p w14:paraId="13E4A4D2"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A Phase 2, Randomized Study to Evaluate the Efficacy and Safety of MEDI-546 in Subjects with Systemic Lupus Erythematosus. </w:t>
            </w:r>
          </w:p>
        </w:tc>
        <w:tc>
          <w:tcPr>
            <w:tcW w:w="1177" w:type="pct"/>
            <w:tcBorders>
              <w:bottom w:val="nil"/>
            </w:tcBorders>
            <w:shd w:val="clear" w:color="auto" w:fill="auto"/>
            <w:vAlign w:val="center"/>
          </w:tcPr>
          <w:p w14:paraId="4593CF6D"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April 2015.</w:t>
            </w:r>
          </w:p>
        </w:tc>
      </w:tr>
      <w:tr w:rsidR="00017D6C" w:rsidRPr="009941F8" w14:paraId="7EAFECC5" w14:textId="77777777" w:rsidTr="00A244E2">
        <w:tc>
          <w:tcPr>
            <w:tcW w:w="626" w:type="pct"/>
            <w:vMerge/>
            <w:tcBorders>
              <w:bottom w:val="single" w:sz="4" w:space="0" w:color="auto"/>
            </w:tcBorders>
            <w:shd w:val="clear" w:color="auto" w:fill="auto"/>
            <w:vAlign w:val="center"/>
          </w:tcPr>
          <w:p w14:paraId="7A2244E9" w14:textId="77777777" w:rsidR="00017D6C" w:rsidRPr="009941F8" w:rsidRDefault="00017D6C" w:rsidP="00A244E2">
            <w:pPr>
              <w:keepNext/>
              <w:jc w:val="left"/>
              <w:rPr>
                <w:rFonts w:ascii="Arial Narrow" w:eastAsiaTheme="majorEastAsia" w:hAnsi="Arial Narrow" w:cstheme="majorBidi"/>
                <w:bCs/>
                <w:sz w:val="20"/>
              </w:rPr>
            </w:pPr>
          </w:p>
        </w:tc>
        <w:tc>
          <w:tcPr>
            <w:tcW w:w="3197" w:type="pct"/>
            <w:tcBorders>
              <w:top w:val="nil"/>
              <w:bottom w:val="single" w:sz="4" w:space="0" w:color="auto"/>
            </w:tcBorders>
            <w:shd w:val="clear" w:color="auto" w:fill="auto"/>
            <w:vAlign w:val="center"/>
          </w:tcPr>
          <w:p w14:paraId="0FBA94CF"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 xml:space="preserve">Furie, R., et al. Anifrolumab, an Anti–Interferon-α Receptor Monoclonal Antibody, in Moderate to Severe Systemic Lupus Erythematosus. </w:t>
            </w:r>
          </w:p>
        </w:tc>
        <w:tc>
          <w:tcPr>
            <w:tcW w:w="1177" w:type="pct"/>
            <w:tcBorders>
              <w:top w:val="nil"/>
              <w:bottom w:val="single" w:sz="4" w:space="0" w:color="auto"/>
            </w:tcBorders>
            <w:shd w:val="clear" w:color="auto" w:fill="auto"/>
            <w:vAlign w:val="center"/>
          </w:tcPr>
          <w:p w14:paraId="03EB8DEA"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szCs w:val="18"/>
              </w:rPr>
              <w:t>Arthritis and Rheumatology 2017; 69(2): 376-386.</w:t>
            </w:r>
          </w:p>
        </w:tc>
      </w:tr>
      <w:tr w:rsidR="00017D6C" w:rsidRPr="009941F8" w14:paraId="1CF0B8DF" w14:textId="77777777" w:rsidTr="00A244E2">
        <w:tc>
          <w:tcPr>
            <w:tcW w:w="626" w:type="pct"/>
            <w:vMerge w:val="restart"/>
            <w:tcBorders>
              <w:top w:val="single" w:sz="4" w:space="0" w:color="auto"/>
            </w:tcBorders>
            <w:shd w:val="clear" w:color="auto" w:fill="auto"/>
            <w:vAlign w:val="center"/>
          </w:tcPr>
          <w:p w14:paraId="3E1B4C8F"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MUSE LTE</w:t>
            </w:r>
          </w:p>
          <w:p w14:paraId="3854E1B1"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NCT01753193</w:t>
            </w:r>
          </w:p>
        </w:tc>
        <w:tc>
          <w:tcPr>
            <w:tcW w:w="3197" w:type="pct"/>
            <w:tcBorders>
              <w:top w:val="single" w:sz="4" w:space="0" w:color="auto"/>
              <w:bottom w:val="nil"/>
            </w:tcBorders>
            <w:shd w:val="clear" w:color="auto" w:fill="auto"/>
            <w:vAlign w:val="center"/>
          </w:tcPr>
          <w:p w14:paraId="2B6311AD"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A Phase 2, Open-label Extension Study to Evaluate Long-term Safety of MEDI-546 in Adults with Systemic Lupus Erythematosus</w:t>
            </w:r>
          </w:p>
        </w:tc>
        <w:tc>
          <w:tcPr>
            <w:tcW w:w="1177" w:type="pct"/>
            <w:tcBorders>
              <w:top w:val="single" w:sz="4" w:space="0" w:color="auto"/>
              <w:bottom w:val="nil"/>
            </w:tcBorders>
            <w:shd w:val="clear" w:color="auto" w:fill="auto"/>
            <w:vAlign w:val="center"/>
          </w:tcPr>
          <w:p w14:paraId="12A9F38A"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05 December 2018</w:t>
            </w:r>
          </w:p>
        </w:tc>
      </w:tr>
      <w:tr w:rsidR="00017D6C" w:rsidRPr="009941F8" w14:paraId="347B4921" w14:textId="77777777" w:rsidTr="00A244E2">
        <w:tc>
          <w:tcPr>
            <w:tcW w:w="626" w:type="pct"/>
            <w:vMerge/>
            <w:shd w:val="clear" w:color="auto" w:fill="auto"/>
            <w:vAlign w:val="center"/>
          </w:tcPr>
          <w:p w14:paraId="59F0FE47" w14:textId="77777777" w:rsidR="00017D6C" w:rsidRPr="009941F8" w:rsidRDefault="00017D6C" w:rsidP="00A244E2">
            <w:pPr>
              <w:keepNext/>
              <w:jc w:val="left"/>
              <w:rPr>
                <w:rFonts w:ascii="Arial Narrow" w:eastAsiaTheme="majorEastAsia" w:hAnsi="Arial Narrow" w:cstheme="majorBidi"/>
                <w:bCs/>
                <w:sz w:val="20"/>
              </w:rPr>
            </w:pPr>
          </w:p>
        </w:tc>
        <w:tc>
          <w:tcPr>
            <w:tcW w:w="3197" w:type="pct"/>
            <w:tcBorders>
              <w:top w:val="nil"/>
              <w:bottom w:val="single" w:sz="4" w:space="0" w:color="auto"/>
            </w:tcBorders>
            <w:shd w:val="clear" w:color="auto" w:fill="auto"/>
            <w:vAlign w:val="center"/>
          </w:tcPr>
          <w:p w14:paraId="0D57DDA3"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Chatham, W. W., et al. Long-Term Safety and Efficacy of Anifrolumab in Adults With Systemic Lupus Erythematosus: Results of a Phase II Open-Label Extension Study.</w:t>
            </w:r>
          </w:p>
        </w:tc>
        <w:tc>
          <w:tcPr>
            <w:tcW w:w="1177" w:type="pct"/>
            <w:tcBorders>
              <w:top w:val="nil"/>
              <w:bottom w:val="single" w:sz="4" w:space="0" w:color="auto"/>
            </w:tcBorders>
            <w:shd w:val="clear" w:color="auto" w:fill="auto"/>
            <w:vAlign w:val="center"/>
          </w:tcPr>
          <w:p w14:paraId="7EDE62A5" w14:textId="09C402BC" w:rsidR="00017D6C" w:rsidRPr="009941F8" w:rsidRDefault="00017D6C" w:rsidP="00A244E2">
            <w:pPr>
              <w:keepNext/>
              <w:jc w:val="left"/>
              <w:rPr>
                <w:rFonts w:ascii="Arial Narrow" w:eastAsiaTheme="majorEastAsia" w:hAnsi="Arial Narrow" w:cstheme="majorBidi"/>
                <w:bCs/>
                <w:i/>
                <w:sz w:val="20"/>
                <w:szCs w:val="18"/>
              </w:rPr>
            </w:pPr>
            <w:r w:rsidRPr="009941F8">
              <w:rPr>
                <w:rFonts w:ascii="Arial Narrow" w:eastAsiaTheme="majorEastAsia" w:hAnsi="Arial Narrow" w:cstheme="majorBidi"/>
                <w:bCs/>
                <w:sz w:val="20"/>
                <w:szCs w:val="18"/>
              </w:rPr>
              <w:t>Arthritis and Rheumatology 2021; 73(5): 816-825.</w:t>
            </w:r>
          </w:p>
        </w:tc>
      </w:tr>
      <w:tr w:rsidR="00017D6C" w:rsidRPr="009941F8" w14:paraId="654E6FCB" w14:textId="77777777" w:rsidTr="00A244E2">
        <w:tc>
          <w:tcPr>
            <w:tcW w:w="626" w:type="pct"/>
            <w:vMerge w:val="restart"/>
            <w:shd w:val="clear" w:color="auto" w:fill="auto"/>
            <w:vAlign w:val="center"/>
          </w:tcPr>
          <w:p w14:paraId="78B1541F"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TULIP LTE</w:t>
            </w:r>
          </w:p>
          <w:p w14:paraId="45F520FF" w14:textId="77777777" w:rsidR="00017D6C" w:rsidRPr="009941F8" w:rsidRDefault="00017D6C"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NCT02794285</w:t>
            </w:r>
          </w:p>
        </w:tc>
        <w:tc>
          <w:tcPr>
            <w:tcW w:w="3197" w:type="pct"/>
            <w:tcBorders>
              <w:top w:val="single" w:sz="4" w:space="0" w:color="auto"/>
              <w:bottom w:val="nil"/>
            </w:tcBorders>
            <w:shd w:val="clear" w:color="auto" w:fill="auto"/>
            <w:vAlign w:val="center"/>
          </w:tcPr>
          <w:p w14:paraId="67FFBAAA"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A Multicentre, Randomised, Double-blind, Placebo-Controlled Phase 3 Extension Study to Characterise the Long-term Safety and Tolerability of Anifrolumab in Adult Subjects with Active Systemic Lupus Erythematosus. Study D3461C00009 Clinical Study Protocol v2.0</w:t>
            </w:r>
          </w:p>
        </w:tc>
        <w:tc>
          <w:tcPr>
            <w:tcW w:w="1177" w:type="pct"/>
            <w:tcBorders>
              <w:top w:val="single" w:sz="4" w:space="0" w:color="auto"/>
              <w:bottom w:val="nil"/>
            </w:tcBorders>
            <w:shd w:val="clear" w:color="auto" w:fill="auto"/>
            <w:vAlign w:val="center"/>
          </w:tcPr>
          <w:p w14:paraId="58A8F867"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6th May 2016</w:t>
            </w:r>
          </w:p>
        </w:tc>
      </w:tr>
      <w:tr w:rsidR="00017D6C" w:rsidRPr="009941F8" w14:paraId="5D96792A" w14:textId="77777777" w:rsidTr="00A244E2">
        <w:tc>
          <w:tcPr>
            <w:tcW w:w="626" w:type="pct"/>
            <w:vMerge/>
            <w:shd w:val="clear" w:color="auto" w:fill="auto"/>
            <w:vAlign w:val="center"/>
          </w:tcPr>
          <w:p w14:paraId="0D239990" w14:textId="77777777" w:rsidR="00017D6C" w:rsidRPr="009941F8" w:rsidRDefault="00017D6C" w:rsidP="00A244E2">
            <w:pPr>
              <w:keepNext/>
              <w:jc w:val="left"/>
              <w:rPr>
                <w:rFonts w:ascii="Arial Narrow" w:eastAsiaTheme="majorEastAsia" w:hAnsi="Arial Narrow" w:cstheme="majorBidi"/>
                <w:bCs/>
                <w:sz w:val="20"/>
              </w:rPr>
            </w:pPr>
          </w:p>
        </w:tc>
        <w:tc>
          <w:tcPr>
            <w:tcW w:w="3197" w:type="pct"/>
            <w:tcBorders>
              <w:top w:val="nil"/>
              <w:bottom w:val="nil"/>
            </w:tcBorders>
            <w:vAlign w:val="center"/>
          </w:tcPr>
          <w:p w14:paraId="29C6E27C"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A Multicentre, Randomised, Double-blind, Placebo-Controlled Phase 3 Extension Study to Characterise the Long-term Safety and Tolerability of Anifrolumab in Adult Subjects with Active Systemic Lupus Erythematosus. Study D3461C00009 Clinical Study Report v2.0</w:t>
            </w:r>
          </w:p>
        </w:tc>
        <w:tc>
          <w:tcPr>
            <w:tcW w:w="1177" w:type="pct"/>
            <w:tcBorders>
              <w:top w:val="nil"/>
              <w:bottom w:val="nil"/>
            </w:tcBorders>
            <w:vAlign w:val="center"/>
          </w:tcPr>
          <w:p w14:paraId="4DEB793A"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9th November 2022 (LTE CSR 9.11.22)</w:t>
            </w:r>
          </w:p>
        </w:tc>
      </w:tr>
      <w:tr w:rsidR="00017D6C" w:rsidRPr="009941F8" w14:paraId="0AC0A396" w14:textId="77777777" w:rsidTr="00A244E2">
        <w:tc>
          <w:tcPr>
            <w:tcW w:w="626" w:type="pct"/>
            <w:vMerge/>
            <w:tcBorders>
              <w:bottom w:val="single" w:sz="4" w:space="0" w:color="auto"/>
            </w:tcBorders>
            <w:shd w:val="clear" w:color="auto" w:fill="auto"/>
            <w:vAlign w:val="center"/>
          </w:tcPr>
          <w:p w14:paraId="70B32AF4" w14:textId="77777777" w:rsidR="00017D6C" w:rsidRPr="009941F8" w:rsidRDefault="00017D6C" w:rsidP="00A244E2">
            <w:pPr>
              <w:keepNext/>
              <w:jc w:val="left"/>
              <w:rPr>
                <w:rFonts w:ascii="Arial Narrow" w:eastAsiaTheme="majorEastAsia" w:hAnsi="Arial Narrow" w:cstheme="majorBidi"/>
                <w:bCs/>
                <w:sz w:val="20"/>
              </w:rPr>
            </w:pPr>
          </w:p>
        </w:tc>
        <w:tc>
          <w:tcPr>
            <w:tcW w:w="3197" w:type="pct"/>
            <w:tcBorders>
              <w:top w:val="nil"/>
              <w:bottom w:val="single" w:sz="4" w:space="0" w:color="auto"/>
            </w:tcBorders>
            <w:vAlign w:val="center"/>
          </w:tcPr>
          <w:p w14:paraId="2483C5A8"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 xml:space="preserve">Kalunian K, et al. A randomized, placebo-controlled phase III extension trial of the long-term safety and tolerability of anifrolumab in active systemic lupus erythematosus. </w:t>
            </w:r>
          </w:p>
        </w:tc>
        <w:tc>
          <w:tcPr>
            <w:tcW w:w="1177" w:type="pct"/>
            <w:tcBorders>
              <w:top w:val="nil"/>
              <w:bottom w:val="single" w:sz="4" w:space="0" w:color="auto"/>
            </w:tcBorders>
            <w:vAlign w:val="center"/>
          </w:tcPr>
          <w:p w14:paraId="6E4290F9" w14:textId="77777777" w:rsidR="00017D6C" w:rsidRPr="009941F8" w:rsidRDefault="00017D6C" w:rsidP="00A244E2">
            <w:pPr>
              <w:keepNext/>
              <w:jc w:val="left"/>
              <w:rPr>
                <w:rFonts w:ascii="Arial Narrow" w:eastAsiaTheme="majorEastAsia" w:hAnsi="Arial Narrow" w:cstheme="majorBidi"/>
                <w:bCs/>
                <w:sz w:val="20"/>
                <w:szCs w:val="18"/>
              </w:rPr>
            </w:pPr>
            <w:r w:rsidRPr="009941F8">
              <w:rPr>
                <w:rFonts w:ascii="Arial Narrow" w:eastAsiaTheme="majorEastAsia" w:hAnsi="Arial Narrow" w:cstheme="majorBidi"/>
                <w:bCs/>
                <w:sz w:val="20"/>
                <w:szCs w:val="18"/>
              </w:rPr>
              <w:t>Arthritis and Rheumatology 2023. 75(2): 253-265.</w:t>
            </w:r>
          </w:p>
        </w:tc>
      </w:tr>
    </w:tbl>
    <w:p w14:paraId="7586580A" w14:textId="77777777" w:rsidR="00017D6C" w:rsidRPr="009941F8" w:rsidRDefault="00017D6C" w:rsidP="00A244E2">
      <w:pPr>
        <w:spacing w:after="120"/>
        <w:contextualSpacing/>
        <w:rPr>
          <w:rFonts w:ascii="Arial Narrow" w:eastAsia="SimSun" w:hAnsi="Arial Narrow"/>
          <w:snapToGrid w:val="0"/>
          <w:sz w:val="18"/>
          <w:szCs w:val="22"/>
        </w:rPr>
      </w:pPr>
      <w:r w:rsidRPr="009941F8">
        <w:rPr>
          <w:rFonts w:ascii="Arial Narrow" w:eastAsia="SimSun" w:hAnsi="Arial Narrow"/>
          <w:snapToGrid w:val="0"/>
          <w:sz w:val="18"/>
          <w:szCs w:val="22"/>
        </w:rPr>
        <w:t>Source: Table 2-4, pp77-79 of the resubmission.</w:t>
      </w:r>
    </w:p>
    <w:p w14:paraId="4A4FE085" w14:textId="1C5613CC" w:rsidR="00B60939" w:rsidRPr="009941F8" w:rsidRDefault="00B60939" w:rsidP="00A244E2">
      <w:pPr>
        <w:pStyle w:val="4-SubsectionHeading"/>
      </w:pPr>
      <w:bookmarkStart w:id="34" w:name="_Toc22897641"/>
      <w:bookmarkStart w:id="35" w:name="_Toc156918345"/>
      <w:r w:rsidRPr="009941F8">
        <w:t>Comparative effectiveness</w:t>
      </w:r>
      <w:bookmarkEnd w:id="34"/>
      <w:bookmarkEnd w:id="35"/>
    </w:p>
    <w:p w14:paraId="06AD62F1" w14:textId="7A5D6E67" w:rsidR="00214181" w:rsidRPr="009941F8" w:rsidRDefault="00214181" w:rsidP="00A244E2">
      <w:pPr>
        <w:pStyle w:val="3-BodyText"/>
      </w:pPr>
      <w:bookmarkStart w:id="36" w:name="_Ref156390457"/>
      <w:r w:rsidRPr="009941F8">
        <w:t xml:space="preserve">LLDAS attainment was a post hoc analysis in MUSE and a pre-specified exploratory outcome in the TULIP trials based on the Franklyn et al 2016 definition (comprised of </w:t>
      </w:r>
      <w:r w:rsidRPr="009941F8">
        <w:lastRenderedPageBreak/>
        <w:t xml:space="preserve">SLEDAI-2K </w:t>
      </w:r>
      <w:r w:rsidRPr="009941F8">
        <w:rPr>
          <w:rFonts w:cs="Calibri"/>
        </w:rPr>
        <w:t>≤</w:t>
      </w:r>
      <w:r w:rsidRPr="009941F8">
        <w:t xml:space="preserve">4, PGA&lt;1, no new disease activity, OCS dose </w:t>
      </w:r>
      <w:r w:rsidRPr="009941F8">
        <w:rPr>
          <w:rFonts w:cs="Calibri"/>
        </w:rPr>
        <w:t>≤7.5mg</w:t>
      </w:r>
      <w:r w:rsidRPr="009941F8">
        <w:t xml:space="preserve"> and standard maintenance doses of immunosuppressants, approved biologics and antimalarials).</w:t>
      </w:r>
      <w:bookmarkEnd w:id="36"/>
    </w:p>
    <w:p w14:paraId="13E2E64B" w14:textId="3FE79942" w:rsidR="001C0E32" w:rsidRPr="009941F8" w:rsidRDefault="00214181" w:rsidP="00A244E2">
      <w:pPr>
        <w:pStyle w:val="3-BodyText"/>
      </w:pPr>
      <w:bookmarkStart w:id="37" w:name="_Ref156390560"/>
      <w:r w:rsidRPr="009941F8">
        <w:t>The resubmission also presented post hoc analysis of LLDAS using the Golder et al 2019 definition in the TULIP trials, in which assessment of haematological or gastrointestinal activity (criterion 1) other than through PGA are not required, and new activity is specified using SLEDAI-2K (criterion 2), simplifying the definition by Franklyn et al 2016. The post hoc analysis also ‘corrected’ or adjusted for LLDAS non-response i.e. did not disqualify patients who discontinued immunosuppressants from achieving LLDAS, and did not carry non-response over for all subsequent visit</w:t>
      </w:r>
      <w:r w:rsidR="005C1EA3" w:rsidRPr="009941F8">
        <w:t>s</w:t>
      </w:r>
      <w:r w:rsidRPr="009941F8">
        <w:t xml:space="preserve">. The resubmission reviewed the statistical analysis of the LLDAS criteria of “well tolerated standard immunosuppressive drugs and approved biological agents” and stated that the exploratory analysis had ‘erroneously implemented’: i) additional criterion for “discontinuation of immunosuppressants” </w:t>
      </w:r>
      <w:r w:rsidR="000B51C9" w:rsidRPr="009941F8">
        <w:t xml:space="preserve">which </w:t>
      </w:r>
      <w:r w:rsidRPr="009941F8">
        <w:t>resulted in LLDAS non</w:t>
      </w:r>
      <w:r w:rsidR="000A7A89" w:rsidRPr="009941F8">
        <w:t>-</w:t>
      </w:r>
      <w:r w:rsidRPr="009941F8">
        <w:t xml:space="preserve">response, and ii) violations of “standard dose of immunosuppressants” </w:t>
      </w:r>
      <w:r w:rsidR="000B51C9" w:rsidRPr="009941F8">
        <w:t xml:space="preserve">which </w:t>
      </w:r>
      <w:r w:rsidRPr="009941F8">
        <w:t>resulted in LLDAS non</w:t>
      </w:r>
      <w:r w:rsidR="000A7A89" w:rsidRPr="009941F8">
        <w:t>-</w:t>
      </w:r>
      <w:r w:rsidRPr="009941F8">
        <w:t xml:space="preserve">response for all subsequent visits. Adjusting </w:t>
      </w:r>
      <w:r w:rsidR="00393221" w:rsidRPr="009941F8">
        <w:t xml:space="preserve">the </w:t>
      </w:r>
      <w:r w:rsidR="001C0E32" w:rsidRPr="009941F8">
        <w:t xml:space="preserve">definition </w:t>
      </w:r>
      <w:r w:rsidRPr="009941F8">
        <w:t xml:space="preserve">for response </w:t>
      </w:r>
      <w:r w:rsidR="001C0E32" w:rsidRPr="009941F8">
        <w:t>in relation to immunosuppressants (</w:t>
      </w:r>
      <w:r w:rsidRPr="009941F8">
        <w:t>due to discontinuation and non-standard dose</w:t>
      </w:r>
      <w:r w:rsidR="001C0E32" w:rsidRPr="009941F8">
        <w:t>s</w:t>
      </w:r>
      <w:r w:rsidRPr="009941F8">
        <w:t xml:space="preserve"> of immunosuppressant</w:t>
      </w:r>
      <w:r w:rsidR="001C0E32" w:rsidRPr="009941F8">
        <w:t>)</w:t>
      </w:r>
      <w:r w:rsidRPr="009941F8">
        <w:t xml:space="preserve"> resulted in more patients fulfilling this criterion and </w:t>
      </w:r>
      <w:r w:rsidR="001C0E32" w:rsidRPr="009941F8">
        <w:t xml:space="preserve">being </w:t>
      </w:r>
      <w:r w:rsidRPr="009941F8">
        <w:t>classified as LLDAS responders.</w:t>
      </w:r>
      <w:bookmarkEnd w:id="37"/>
      <w:r w:rsidR="005D15E6" w:rsidRPr="009941F8">
        <w:t xml:space="preserve">  </w:t>
      </w:r>
    </w:p>
    <w:p w14:paraId="0DC162FF" w14:textId="1B9D22D1" w:rsidR="00214181" w:rsidRPr="009941F8" w:rsidRDefault="004B2A97" w:rsidP="00A244E2">
      <w:pPr>
        <w:pStyle w:val="3-BodyText"/>
      </w:pPr>
      <w:bookmarkStart w:id="38" w:name="_Ref156390459"/>
      <w:r w:rsidRPr="009941F8">
        <w:t xml:space="preserve">In contrast to the analyses for LLDAS discussed in paragraph </w:t>
      </w:r>
      <w:r w:rsidRPr="009941F8">
        <w:fldChar w:fldCharType="begin" w:fldLock="1"/>
      </w:r>
      <w:r w:rsidRPr="009941F8">
        <w:instrText xml:space="preserve"> REF _Ref156390560 \r \h  \* MERGEFORMAT </w:instrText>
      </w:r>
      <w:r w:rsidRPr="009941F8">
        <w:fldChar w:fldCharType="separate"/>
      </w:r>
      <w:r w:rsidR="00F07501">
        <w:t>6.10</w:t>
      </w:r>
      <w:r w:rsidRPr="009941F8">
        <w:fldChar w:fldCharType="end"/>
      </w:r>
      <w:r w:rsidRPr="009941F8">
        <w:t>, t</w:t>
      </w:r>
      <w:r w:rsidR="00214181" w:rsidRPr="009941F8">
        <w:t>he resubmission did not</w:t>
      </w:r>
      <w:r w:rsidR="00F40918" w:rsidRPr="009941F8">
        <w:t xml:space="preserve"> present results that</w:t>
      </w:r>
      <w:r w:rsidR="00214181" w:rsidRPr="009941F8">
        <w:t xml:space="preserve"> ‘correct’ or adjust for response due to discontinuation or non-standard dose of immunosuppressant in the primary analysis of SRI(4) and BICLA. </w:t>
      </w:r>
      <w:bookmarkEnd w:id="38"/>
    </w:p>
    <w:p w14:paraId="453702DF" w14:textId="5F715947" w:rsidR="007C2DCA" w:rsidRPr="009941F8" w:rsidRDefault="001F01CC" w:rsidP="00A244E2">
      <w:pPr>
        <w:pStyle w:val="3-BodyText"/>
      </w:pPr>
      <w:r w:rsidRPr="009941F8">
        <w:fldChar w:fldCharType="begin" w:fldLock="1"/>
      </w:r>
      <w:r w:rsidRPr="009941F8">
        <w:instrText xml:space="preserve"> REF _Ref153929883 \h  \* MERGEFORMAT </w:instrText>
      </w:r>
      <w:r w:rsidRPr="009941F8">
        <w:fldChar w:fldCharType="separate"/>
      </w:r>
      <w:r w:rsidR="00F07501" w:rsidRPr="009941F8">
        <w:t xml:space="preserve">Table </w:t>
      </w:r>
      <w:r w:rsidR="00F07501">
        <w:t>4</w:t>
      </w:r>
      <w:r w:rsidRPr="009941F8">
        <w:fldChar w:fldCharType="end"/>
      </w:r>
      <w:r w:rsidRPr="009941F8">
        <w:t xml:space="preserve"> </w:t>
      </w:r>
      <w:r w:rsidR="00214181" w:rsidRPr="009941F8">
        <w:t xml:space="preserve">presents the key outcomes of SRI(4), BICLA response at Week 52 and </w:t>
      </w:r>
      <w:r w:rsidRPr="009941F8">
        <w:fldChar w:fldCharType="begin" w:fldLock="1"/>
      </w:r>
      <w:r w:rsidRPr="009941F8">
        <w:instrText xml:space="preserve"> REF _Ref153929929 \h </w:instrText>
      </w:r>
      <w:r w:rsidR="00901668" w:rsidRPr="009941F8">
        <w:instrText xml:space="preserve"> \* MERGEFORMAT </w:instrText>
      </w:r>
      <w:r w:rsidRPr="009941F8">
        <w:fldChar w:fldCharType="separate"/>
      </w:r>
      <w:r w:rsidR="00F07501" w:rsidRPr="009941F8">
        <w:t xml:space="preserve">Table </w:t>
      </w:r>
      <w:r w:rsidR="00F07501">
        <w:t>5</w:t>
      </w:r>
      <w:r w:rsidRPr="009941F8">
        <w:fldChar w:fldCharType="end"/>
      </w:r>
      <w:r w:rsidRPr="009941F8">
        <w:t xml:space="preserve"> </w:t>
      </w:r>
      <w:r w:rsidR="00214181" w:rsidRPr="009941F8">
        <w:t xml:space="preserve">presents the pre-specified exploratory and post hoc analyses of LLDAS. </w:t>
      </w:r>
      <w:r w:rsidR="00A11665" w:rsidRPr="009941F8">
        <w:t>LLDAS response from a post hoc analysis of the pooled TULIP-1/TULIP-2 data over 52</w:t>
      </w:r>
      <w:r w:rsidR="00F54881">
        <w:t> </w:t>
      </w:r>
      <w:r w:rsidR="00A11665" w:rsidRPr="009941F8">
        <w:t xml:space="preserve">weeks as reported in Morand et al 2021 (abstract) was presented in March 2022. </w:t>
      </w:r>
      <w:r w:rsidR="00214181" w:rsidRPr="009941F8">
        <w:t>Results for the post hoc unadjusted analysis of LLDAS and DORIS remission (from Morand 2023 abstract</w:t>
      </w:r>
      <w:r w:rsidR="00214181" w:rsidRPr="009941F8">
        <w:rPr>
          <w:rStyle w:val="FootnoteReference"/>
        </w:rPr>
        <w:footnoteReference w:id="5"/>
      </w:r>
      <w:r w:rsidR="00214181" w:rsidRPr="009941F8">
        <w:t xml:space="preserve"> and Morand 2022 abstract</w:t>
      </w:r>
      <w:r w:rsidR="00214181" w:rsidRPr="009941F8">
        <w:rPr>
          <w:rStyle w:val="FootnoteReference"/>
        </w:rPr>
        <w:footnoteReference w:id="6"/>
      </w:r>
      <w:r w:rsidR="00214181" w:rsidRPr="009941F8">
        <w:t xml:space="preserve">) to Week 208, in which responders included patients who could discontinue or use non-standard dosing of immunosuppressive drugs were also extracted during the evaluation and summarised in </w:t>
      </w:r>
      <w:r w:rsidRPr="009941F8">
        <w:fldChar w:fldCharType="begin" w:fldLock="1"/>
      </w:r>
      <w:r w:rsidRPr="009941F8">
        <w:instrText xml:space="preserve"> REF _Ref153929929 \h  \* MERGEFORMAT </w:instrText>
      </w:r>
      <w:r w:rsidRPr="009941F8">
        <w:fldChar w:fldCharType="separate"/>
      </w:r>
      <w:r w:rsidR="00F07501" w:rsidRPr="009941F8">
        <w:t xml:space="preserve">Table </w:t>
      </w:r>
      <w:r w:rsidR="00F07501">
        <w:t>5</w:t>
      </w:r>
      <w:r w:rsidRPr="009941F8">
        <w:fldChar w:fldCharType="end"/>
      </w:r>
      <w:r w:rsidR="00214181" w:rsidRPr="009941F8">
        <w:t>.</w:t>
      </w:r>
      <w:r w:rsidR="00FC79DF" w:rsidRPr="009941F8">
        <w:t xml:space="preserve"> </w:t>
      </w:r>
    </w:p>
    <w:p w14:paraId="3F13F4D3" w14:textId="785DC31E" w:rsidR="00214181" w:rsidRPr="009941F8" w:rsidRDefault="007C2DCA" w:rsidP="00A244E2">
      <w:pPr>
        <w:pStyle w:val="3-BodyText"/>
      </w:pPr>
      <w:r w:rsidRPr="009941F8">
        <w:t xml:space="preserve">The </w:t>
      </w:r>
      <w:r w:rsidR="00FC79DF" w:rsidRPr="009941F8">
        <w:t xml:space="preserve">requested </w:t>
      </w:r>
      <w:r w:rsidRPr="009941F8">
        <w:t>restriction would permit</w:t>
      </w:r>
      <w:r w:rsidR="00FC79DF" w:rsidRPr="009941F8">
        <w:t xml:space="preserve"> LLDAS assess</w:t>
      </w:r>
      <w:r w:rsidRPr="009941F8">
        <w:t>ment</w:t>
      </w:r>
      <w:r w:rsidR="00FC79DF" w:rsidRPr="009941F8">
        <w:t xml:space="preserve"> </w:t>
      </w:r>
      <w:r w:rsidR="000C6C84" w:rsidRPr="009941F8">
        <w:t>within</w:t>
      </w:r>
      <w:r w:rsidRPr="009941F8">
        <w:t xml:space="preserve"> </w:t>
      </w:r>
      <w:r w:rsidR="00FC79DF" w:rsidRPr="009941F8">
        <w:t>8 months</w:t>
      </w:r>
      <w:r w:rsidRPr="009941F8">
        <w:t xml:space="preserve"> of initial treatment with anifrolumab</w:t>
      </w:r>
      <w:r w:rsidR="00FC79DF" w:rsidRPr="009941F8">
        <w:t xml:space="preserve">, and the economic model used data </w:t>
      </w:r>
      <w:r w:rsidR="004913A7" w:rsidRPr="009941F8">
        <w:t xml:space="preserve">from </w:t>
      </w:r>
      <w:r w:rsidR="00534983" w:rsidRPr="009941F8">
        <w:t>Week 24 of the TULIP trials</w:t>
      </w:r>
      <w:r w:rsidR="000F1990" w:rsidRPr="009941F8">
        <w:t>. I</w:t>
      </w:r>
      <w:r w:rsidRPr="009941F8">
        <w:t xml:space="preserve">n contrast, </w:t>
      </w:r>
      <w:r w:rsidR="004913A7" w:rsidRPr="009941F8">
        <w:t>the resubmission presented summary LLDAS at</w:t>
      </w:r>
      <w:r w:rsidRPr="009941F8">
        <w:t xml:space="preserve"> Week</w:t>
      </w:r>
      <w:r w:rsidR="004913A7" w:rsidRPr="009941F8">
        <w:t xml:space="preserve"> 52 and </w:t>
      </w:r>
      <w:r w:rsidRPr="009941F8">
        <w:lastRenderedPageBreak/>
        <w:t xml:space="preserve">Week </w:t>
      </w:r>
      <w:r w:rsidR="004913A7" w:rsidRPr="009941F8">
        <w:t xml:space="preserve">208 </w:t>
      </w:r>
      <w:r w:rsidR="00A8287D" w:rsidRPr="009941F8">
        <w:t>(12 and 48 months) in the clinical evaluation</w:t>
      </w:r>
      <w:r w:rsidR="004913A7" w:rsidRPr="009941F8">
        <w:t xml:space="preserve">. LLDAS over time is presented in </w:t>
      </w:r>
      <w:r w:rsidR="00CE7EC7">
        <w:fldChar w:fldCharType="begin" w:fldLock="1"/>
      </w:r>
      <w:r w:rsidR="00CE7EC7">
        <w:instrText xml:space="preserve"> REF _Ref153965101  \* MERGEFORMAT </w:instrText>
      </w:r>
      <w:r w:rsidR="00CE7EC7">
        <w:fldChar w:fldCharType="separate"/>
      </w:r>
      <w:r w:rsidR="00F07501" w:rsidRPr="00F07501">
        <w:t>Figure 1</w:t>
      </w:r>
      <w:r w:rsidR="00CE7EC7">
        <w:fldChar w:fldCharType="end"/>
      </w:r>
      <w:r w:rsidR="00534983" w:rsidRPr="009941F8">
        <w:t>.</w:t>
      </w:r>
    </w:p>
    <w:p w14:paraId="509B4711" w14:textId="565603BF" w:rsidR="00214181" w:rsidRPr="009941F8" w:rsidRDefault="001F01CC" w:rsidP="00F25AA9">
      <w:pPr>
        <w:pStyle w:val="Caption"/>
        <w:rPr>
          <w:rFonts w:eastAsia="SimSun"/>
          <w:b w:val="0"/>
          <w:szCs w:val="20"/>
        </w:rPr>
      </w:pPr>
      <w:bookmarkStart w:id="39" w:name="_Ref153929883"/>
      <w:r w:rsidRPr="009941F8">
        <w:t xml:space="preserve">Table </w:t>
      </w:r>
      <w:r w:rsidR="00CE7EC7">
        <w:fldChar w:fldCharType="begin" w:fldLock="1"/>
      </w:r>
      <w:r w:rsidR="00CE7EC7">
        <w:instrText xml:space="preserve"> SEQ Table \* ARABIC </w:instrText>
      </w:r>
      <w:r w:rsidR="00CE7EC7">
        <w:fldChar w:fldCharType="separate"/>
      </w:r>
      <w:r w:rsidR="00F07501">
        <w:rPr>
          <w:noProof/>
        </w:rPr>
        <w:t>4</w:t>
      </w:r>
      <w:r w:rsidR="00CE7EC7">
        <w:rPr>
          <w:noProof/>
        </w:rPr>
        <w:fldChar w:fldCharType="end"/>
      </w:r>
      <w:bookmarkEnd w:id="39"/>
      <w:r w:rsidR="00214181" w:rsidRPr="009941F8">
        <w:rPr>
          <w:rFonts w:eastAsia="SimSun"/>
          <w:szCs w:val="20"/>
        </w:rPr>
        <w:t xml:space="preserve">: SRI(4) and BICLA plus medication rules at Week 52 </w:t>
      </w:r>
      <w:r w:rsidR="008D742D" w:rsidRPr="009941F8">
        <w:rPr>
          <w:rFonts w:eastAsia="SimSun"/>
          <w:szCs w:val="20"/>
        </w:rPr>
        <w:t>(ITT population)</w:t>
      </w:r>
    </w:p>
    <w:tbl>
      <w:tblPr>
        <w:tblStyle w:val="SummaryTable2"/>
        <w:tblW w:w="5000" w:type="pct"/>
        <w:tblCellMar>
          <w:left w:w="28" w:type="dxa"/>
          <w:right w:w="28" w:type="dxa"/>
        </w:tblCellMar>
        <w:tblLook w:val="04A0" w:firstRow="1" w:lastRow="0" w:firstColumn="1" w:lastColumn="0" w:noHBand="0" w:noVBand="1"/>
        <w:tblCaption w:val="Table 4: SRI(4) and BICLA plus medication rules at Week 52 (ITT population)"/>
      </w:tblPr>
      <w:tblGrid>
        <w:gridCol w:w="3339"/>
        <w:gridCol w:w="1672"/>
        <w:gridCol w:w="1394"/>
        <w:gridCol w:w="2599"/>
        <w:gridCol w:w="13"/>
      </w:tblGrid>
      <w:tr w:rsidR="00214181" w:rsidRPr="009941F8" w14:paraId="190EEBF8" w14:textId="77777777" w:rsidTr="00F25AA9">
        <w:trPr>
          <w:gridAfter w:val="1"/>
          <w:wAfter w:w="7" w:type="pct"/>
          <w:tblHeader/>
        </w:trPr>
        <w:tc>
          <w:tcPr>
            <w:tcW w:w="1852" w:type="pct"/>
            <w:tcBorders>
              <w:bottom w:val="single" w:sz="4" w:space="0" w:color="auto"/>
            </w:tcBorders>
            <w:shd w:val="clear" w:color="auto" w:fill="auto"/>
            <w:vAlign w:val="center"/>
          </w:tcPr>
          <w:p w14:paraId="70024099" w14:textId="77777777" w:rsidR="00214181" w:rsidRPr="009941F8" w:rsidRDefault="00214181" w:rsidP="00F25AA9">
            <w:pPr>
              <w:keepNext/>
              <w:keepLines/>
              <w:jc w:val="left"/>
              <w:rPr>
                <w:rFonts w:ascii="Arial Narrow" w:hAnsi="Arial Narrow"/>
                <w:b/>
                <w:sz w:val="20"/>
                <w:szCs w:val="20"/>
              </w:rPr>
            </w:pPr>
          </w:p>
        </w:tc>
        <w:tc>
          <w:tcPr>
            <w:tcW w:w="927" w:type="pct"/>
            <w:tcBorders>
              <w:bottom w:val="single" w:sz="4" w:space="0" w:color="auto"/>
            </w:tcBorders>
            <w:shd w:val="clear" w:color="auto" w:fill="auto"/>
            <w:vAlign w:val="center"/>
          </w:tcPr>
          <w:p w14:paraId="21751D3A"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Anifrolumab 300 mg</w:t>
            </w:r>
          </w:p>
          <w:p w14:paraId="24EF066D"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n/N (%)</w:t>
            </w:r>
          </w:p>
        </w:tc>
        <w:tc>
          <w:tcPr>
            <w:tcW w:w="773" w:type="pct"/>
            <w:tcBorders>
              <w:bottom w:val="single" w:sz="4" w:space="0" w:color="auto"/>
            </w:tcBorders>
            <w:shd w:val="clear" w:color="auto" w:fill="auto"/>
            <w:vAlign w:val="center"/>
          </w:tcPr>
          <w:p w14:paraId="00D63A99"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Placebo (SOC)</w:t>
            </w:r>
          </w:p>
          <w:p w14:paraId="3592BF7F"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n/N (%)</w:t>
            </w:r>
          </w:p>
        </w:tc>
        <w:tc>
          <w:tcPr>
            <w:tcW w:w="1441" w:type="pct"/>
            <w:tcBorders>
              <w:bottom w:val="single" w:sz="4" w:space="0" w:color="auto"/>
            </w:tcBorders>
            <w:shd w:val="clear" w:color="auto" w:fill="auto"/>
            <w:vAlign w:val="center"/>
          </w:tcPr>
          <w:p w14:paraId="59C942A7"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RD (95%CI)</w:t>
            </w:r>
          </w:p>
        </w:tc>
      </w:tr>
      <w:tr w:rsidR="00214181" w:rsidRPr="009941F8" w14:paraId="68E47777" w14:textId="77777777" w:rsidTr="00F25AA9">
        <w:tc>
          <w:tcPr>
            <w:tcW w:w="5000" w:type="pct"/>
            <w:gridSpan w:val="5"/>
            <w:tcBorders>
              <w:bottom w:val="nil"/>
            </w:tcBorders>
            <w:shd w:val="clear" w:color="auto" w:fill="auto"/>
            <w:vAlign w:val="center"/>
          </w:tcPr>
          <w:p w14:paraId="6C7F40C3" w14:textId="77777777" w:rsidR="00214181" w:rsidRPr="009941F8" w:rsidRDefault="00214181" w:rsidP="00F25AA9">
            <w:pPr>
              <w:keepNext/>
              <w:keepLines/>
              <w:jc w:val="left"/>
              <w:rPr>
                <w:rFonts w:ascii="Arial Narrow" w:hAnsi="Arial Narrow"/>
                <w:b/>
                <w:sz w:val="20"/>
                <w:szCs w:val="20"/>
              </w:rPr>
            </w:pPr>
            <w:r w:rsidRPr="009941F8">
              <w:rPr>
                <w:rFonts w:ascii="Arial Narrow" w:hAnsi="Arial Narrow"/>
                <w:b/>
                <w:sz w:val="20"/>
                <w:szCs w:val="20"/>
              </w:rPr>
              <w:t>SRI(4) response</w:t>
            </w:r>
          </w:p>
        </w:tc>
      </w:tr>
      <w:tr w:rsidR="00214181" w:rsidRPr="009941F8" w14:paraId="6F1C49E3" w14:textId="77777777" w:rsidTr="00F25AA9">
        <w:trPr>
          <w:gridAfter w:val="1"/>
          <w:wAfter w:w="7" w:type="pct"/>
          <w:trHeight w:val="94"/>
        </w:trPr>
        <w:tc>
          <w:tcPr>
            <w:tcW w:w="1852" w:type="pct"/>
            <w:tcBorders>
              <w:top w:val="nil"/>
              <w:bottom w:val="nil"/>
            </w:tcBorders>
            <w:shd w:val="clear" w:color="auto" w:fill="auto"/>
          </w:tcPr>
          <w:p w14:paraId="1FC80F89" w14:textId="77777777" w:rsidR="00214181" w:rsidRPr="009941F8" w:rsidRDefault="00214181" w:rsidP="00F25AA9">
            <w:pPr>
              <w:keepNext/>
              <w:keepLines/>
              <w:jc w:val="left"/>
              <w:rPr>
                <w:rFonts w:ascii="Arial Narrow" w:hAnsi="Arial Narrow"/>
                <w:sz w:val="20"/>
                <w:szCs w:val="20"/>
              </w:rPr>
            </w:pPr>
            <w:r w:rsidRPr="009941F8">
              <w:rPr>
                <w:rFonts w:ascii="Arial Narrow" w:hAnsi="Arial Narrow"/>
                <w:sz w:val="20"/>
                <w:szCs w:val="20"/>
              </w:rPr>
              <w:t>TULIP-1 (original med rules)</w:t>
            </w:r>
            <w:r w:rsidRPr="009941F8">
              <w:rPr>
                <w:rFonts w:ascii="Arial Narrow" w:hAnsi="Arial Narrow"/>
                <w:sz w:val="20"/>
                <w:szCs w:val="20"/>
                <w:vertAlign w:val="superscript"/>
              </w:rPr>
              <w:t># a</w:t>
            </w:r>
          </w:p>
        </w:tc>
        <w:tc>
          <w:tcPr>
            <w:tcW w:w="927" w:type="pct"/>
            <w:tcBorders>
              <w:top w:val="nil"/>
              <w:bottom w:val="nil"/>
            </w:tcBorders>
            <w:shd w:val="clear" w:color="auto" w:fill="auto"/>
            <w:vAlign w:val="center"/>
          </w:tcPr>
          <w:p w14:paraId="5908C58C"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65/180 (36.2)</w:t>
            </w:r>
          </w:p>
        </w:tc>
        <w:tc>
          <w:tcPr>
            <w:tcW w:w="773" w:type="pct"/>
            <w:tcBorders>
              <w:top w:val="nil"/>
              <w:bottom w:val="nil"/>
            </w:tcBorders>
            <w:shd w:val="clear" w:color="auto" w:fill="auto"/>
            <w:vAlign w:val="center"/>
          </w:tcPr>
          <w:p w14:paraId="408F7057"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74/184 (40.4)</w:t>
            </w:r>
          </w:p>
        </w:tc>
        <w:tc>
          <w:tcPr>
            <w:tcW w:w="1441" w:type="pct"/>
            <w:tcBorders>
              <w:top w:val="nil"/>
              <w:bottom w:val="nil"/>
            </w:tcBorders>
            <w:shd w:val="clear" w:color="auto" w:fill="auto"/>
            <w:vAlign w:val="center"/>
          </w:tcPr>
          <w:p w14:paraId="59D58355"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–4.2 (–14·2, 5·8)</w:t>
            </w:r>
            <w:r w:rsidRPr="009941F8">
              <w:rPr>
                <w:rFonts w:ascii="Arial Narrow" w:hAnsi="Arial Narrow"/>
                <w:sz w:val="20"/>
                <w:szCs w:val="20"/>
                <w:vertAlign w:val="superscript"/>
              </w:rPr>
              <w:t>b</w:t>
            </w:r>
          </w:p>
        </w:tc>
      </w:tr>
      <w:tr w:rsidR="00214181" w:rsidRPr="009941F8" w14:paraId="13E04D94" w14:textId="77777777" w:rsidTr="00F25AA9">
        <w:trPr>
          <w:gridAfter w:val="1"/>
          <w:wAfter w:w="7" w:type="pct"/>
        </w:trPr>
        <w:tc>
          <w:tcPr>
            <w:tcW w:w="1852" w:type="pct"/>
            <w:tcBorders>
              <w:top w:val="nil"/>
              <w:bottom w:val="nil"/>
            </w:tcBorders>
            <w:shd w:val="clear" w:color="auto" w:fill="auto"/>
          </w:tcPr>
          <w:p w14:paraId="2B4B8CE4"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TULIP-1 (revised med rules)</w:t>
            </w:r>
            <w:r w:rsidRPr="009941F8">
              <w:rPr>
                <w:rFonts w:ascii="Arial Narrow" w:hAnsi="Arial Narrow"/>
                <w:sz w:val="20"/>
                <w:szCs w:val="20"/>
                <w:vertAlign w:val="superscript"/>
              </w:rPr>
              <w:t># c</w:t>
            </w:r>
          </w:p>
        </w:tc>
        <w:tc>
          <w:tcPr>
            <w:tcW w:w="927" w:type="pct"/>
            <w:tcBorders>
              <w:top w:val="nil"/>
              <w:bottom w:val="nil"/>
            </w:tcBorders>
            <w:shd w:val="clear" w:color="auto" w:fill="auto"/>
            <w:vAlign w:val="center"/>
          </w:tcPr>
          <w:p w14:paraId="0C68D163"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84/180 (46.9)</w:t>
            </w:r>
          </w:p>
        </w:tc>
        <w:tc>
          <w:tcPr>
            <w:tcW w:w="773" w:type="pct"/>
            <w:tcBorders>
              <w:top w:val="nil"/>
              <w:bottom w:val="nil"/>
            </w:tcBorders>
            <w:shd w:val="clear" w:color="auto" w:fill="auto"/>
            <w:vAlign w:val="center"/>
          </w:tcPr>
          <w:p w14:paraId="2C356C2D"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79/184 (43.0)</w:t>
            </w:r>
          </w:p>
        </w:tc>
        <w:tc>
          <w:tcPr>
            <w:tcW w:w="1441" w:type="pct"/>
            <w:tcBorders>
              <w:top w:val="nil"/>
              <w:bottom w:val="nil"/>
            </w:tcBorders>
            <w:shd w:val="clear" w:color="auto" w:fill="auto"/>
            <w:vAlign w:val="center"/>
          </w:tcPr>
          <w:p w14:paraId="1883D071"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3.9 (–6·3, 14·1)</w:t>
            </w:r>
            <w:r w:rsidRPr="009941F8">
              <w:rPr>
                <w:rFonts w:ascii="Arial Narrow" w:hAnsi="Arial Narrow"/>
                <w:sz w:val="20"/>
                <w:szCs w:val="20"/>
                <w:vertAlign w:val="superscript"/>
              </w:rPr>
              <w:t>b</w:t>
            </w:r>
          </w:p>
        </w:tc>
      </w:tr>
      <w:tr w:rsidR="00214181" w:rsidRPr="009941F8" w14:paraId="1FFC3937" w14:textId="77777777" w:rsidTr="00F25AA9">
        <w:trPr>
          <w:gridAfter w:val="1"/>
          <w:wAfter w:w="7" w:type="pct"/>
        </w:trPr>
        <w:tc>
          <w:tcPr>
            <w:tcW w:w="1852" w:type="pct"/>
            <w:tcBorders>
              <w:top w:val="nil"/>
              <w:bottom w:val="nil"/>
            </w:tcBorders>
            <w:shd w:val="clear" w:color="auto" w:fill="auto"/>
          </w:tcPr>
          <w:p w14:paraId="1F0CE808"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TULIP-2</w:t>
            </w:r>
            <w:r w:rsidRPr="009941F8">
              <w:rPr>
                <w:rFonts w:ascii="Arial Narrow" w:hAnsi="Arial Narrow"/>
                <w:sz w:val="20"/>
                <w:szCs w:val="20"/>
                <w:vertAlign w:val="superscript"/>
              </w:rPr>
              <w:t>#</w:t>
            </w:r>
          </w:p>
        </w:tc>
        <w:tc>
          <w:tcPr>
            <w:tcW w:w="927" w:type="pct"/>
            <w:tcBorders>
              <w:top w:val="nil"/>
              <w:bottom w:val="nil"/>
            </w:tcBorders>
            <w:shd w:val="clear" w:color="auto" w:fill="auto"/>
            <w:vAlign w:val="center"/>
          </w:tcPr>
          <w:p w14:paraId="4D2E3666"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100/180 (55.5)</w:t>
            </w:r>
          </w:p>
        </w:tc>
        <w:tc>
          <w:tcPr>
            <w:tcW w:w="773" w:type="pct"/>
            <w:tcBorders>
              <w:top w:val="nil"/>
              <w:bottom w:val="nil"/>
            </w:tcBorders>
            <w:shd w:val="clear" w:color="auto" w:fill="auto"/>
            <w:vAlign w:val="center"/>
          </w:tcPr>
          <w:p w14:paraId="00E9C971"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68/182 (37.3)</w:t>
            </w:r>
          </w:p>
        </w:tc>
        <w:tc>
          <w:tcPr>
            <w:tcW w:w="1441" w:type="pct"/>
            <w:tcBorders>
              <w:top w:val="nil"/>
              <w:bottom w:val="nil"/>
            </w:tcBorders>
            <w:shd w:val="clear" w:color="auto" w:fill="auto"/>
            <w:vAlign w:val="center"/>
          </w:tcPr>
          <w:p w14:paraId="23E1941F"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18.2 (8.1, 28.3)</w:t>
            </w:r>
            <w:r w:rsidRPr="009941F8">
              <w:rPr>
                <w:rFonts w:ascii="Arial Narrow" w:hAnsi="Arial Narrow"/>
                <w:b/>
                <w:sz w:val="20"/>
                <w:szCs w:val="20"/>
                <w:vertAlign w:val="superscript"/>
              </w:rPr>
              <w:t>b</w:t>
            </w:r>
          </w:p>
        </w:tc>
      </w:tr>
      <w:tr w:rsidR="00214181" w:rsidRPr="009941F8" w14:paraId="158E5FC8" w14:textId="77777777" w:rsidTr="00F25AA9">
        <w:trPr>
          <w:gridAfter w:val="1"/>
          <w:wAfter w:w="7" w:type="pct"/>
        </w:trPr>
        <w:tc>
          <w:tcPr>
            <w:tcW w:w="1852" w:type="pct"/>
            <w:tcBorders>
              <w:top w:val="nil"/>
              <w:bottom w:val="nil"/>
            </w:tcBorders>
            <w:shd w:val="clear" w:color="auto" w:fill="auto"/>
          </w:tcPr>
          <w:p w14:paraId="2A2BAAB1" w14:textId="77777777" w:rsidR="00214181" w:rsidRPr="009941F8" w:rsidRDefault="00214181" w:rsidP="00F25AA9">
            <w:pPr>
              <w:keepNext/>
              <w:keepLines/>
              <w:jc w:val="right"/>
              <w:rPr>
                <w:rFonts w:ascii="Arial Narrow" w:hAnsi="Arial Narrow"/>
                <w:sz w:val="20"/>
                <w:szCs w:val="20"/>
              </w:rPr>
            </w:pPr>
            <w:r w:rsidRPr="009941F8">
              <w:rPr>
                <w:rFonts w:ascii="Arial Narrow" w:hAnsi="Arial Narrow"/>
                <w:sz w:val="20"/>
                <w:szCs w:val="20"/>
              </w:rPr>
              <w:t>TULIP 1 &amp; 2 pooled</w:t>
            </w:r>
            <w:r w:rsidRPr="009941F8">
              <w:rPr>
                <w:rFonts w:ascii="Arial Narrow" w:hAnsi="Arial Narrow"/>
                <w:sz w:val="20"/>
                <w:szCs w:val="20"/>
                <w:vertAlign w:val="superscript"/>
              </w:rPr>
              <w:t>d</w:t>
            </w:r>
          </w:p>
        </w:tc>
        <w:tc>
          <w:tcPr>
            <w:tcW w:w="927" w:type="pct"/>
            <w:tcBorders>
              <w:top w:val="nil"/>
              <w:bottom w:val="nil"/>
            </w:tcBorders>
            <w:shd w:val="clear" w:color="auto" w:fill="auto"/>
            <w:vAlign w:val="center"/>
          </w:tcPr>
          <w:p w14:paraId="684010DE"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184/360 (52.2)</w:t>
            </w:r>
          </w:p>
        </w:tc>
        <w:tc>
          <w:tcPr>
            <w:tcW w:w="773" w:type="pct"/>
            <w:tcBorders>
              <w:top w:val="nil"/>
              <w:bottom w:val="nil"/>
            </w:tcBorders>
            <w:shd w:val="clear" w:color="auto" w:fill="auto"/>
            <w:vAlign w:val="center"/>
          </w:tcPr>
          <w:p w14:paraId="7CD3FE8E"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147/366 (40.2)</w:t>
            </w:r>
          </w:p>
        </w:tc>
        <w:tc>
          <w:tcPr>
            <w:tcW w:w="1441" w:type="pct"/>
            <w:tcBorders>
              <w:top w:val="nil"/>
              <w:bottom w:val="nil"/>
            </w:tcBorders>
            <w:shd w:val="clear" w:color="auto" w:fill="auto"/>
            <w:vAlign w:val="center"/>
          </w:tcPr>
          <w:p w14:paraId="6BD9974D"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11 (4, 18)</w:t>
            </w:r>
            <w:r w:rsidRPr="009941F8">
              <w:rPr>
                <w:rFonts w:ascii="Arial Narrow" w:hAnsi="Arial Narrow"/>
                <w:b/>
                <w:sz w:val="20"/>
                <w:szCs w:val="20"/>
                <w:vertAlign w:val="superscript"/>
              </w:rPr>
              <w:t>e</w:t>
            </w:r>
          </w:p>
        </w:tc>
      </w:tr>
      <w:tr w:rsidR="00214181" w:rsidRPr="009941F8" w14:paraId="3FF0B1C6" w14:textId="77777777" w:rsidTr="00F25AA9">
        <w:trPr>
          <w:gridAfter w:val="1"/>
          <w:wAfter w:w="7" w:type="pct"/>
        </w:trPr>
        <w:tc>
          <w:tcPr>
            <w:tcW w:w="1852" w:type="pct"/>
            <w:tcBorders>
              <w:top w:val="nil"/>
              <w:bottom w:val="nil"/>
            </w:tcBorders>
            <w:shd w:val="clear" w:color="auto" w:fill="auto"/>
          </w:tcPr>
          <w:p w14:paraId="11FD4A69"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MUSE (incl. OCS taper)</w:t>
            </w:r>
          </w:p>
        </w:tc>
        <w:tc>
          <w:tcPr>
            <w:tcW w:w="927" w:type="pct"/>
            <w:tcBorders>
              <w:top w:val="nil"/>
              <w:bottom w:val="nil"/>
            </w:tcBorders>
            <w:shd w:val="clear" w:color="auto" w:fill="auto"/>
            <w:vAlign w:val="center"/>
          </w:tcPr>
          <w:p w14:paraId="3D1C4DF3"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51/99 (51.5)</w:t>
            </w:r>
          </w:p>
        </w:tc>
        <w:tc>
          <w:tcPr>
            <w:tcW w:w="773" w:type="pct"/>
            <w:tcBorders>
              <w:top w:val="nil"/>
              <w:bottom w:val="nil"/>
            </w:tcBorders>
            <w:shd w:val="clear" w:color="auto" w:fill="auto"/>
            <w:vAlign w:val="center"/>
          </w:tcPr>
          <w:p w14:paraId="01E738C6"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26/102 (25.5)</w:t>
            </w:r>
          </w:p>
        </w:tc>
        <w:tc>
          <w:tcPr>
            <w:tcW w:w="1441" w:type="pct"/>
            <w:tcBorders>
              <w:top w:val="nil"/>
              <w:bottom w:val="nil"/>
            </w:tcBorders>
            <w:shd w:val="clear" w:color="auto" w:fill="auto"/>
            <w:vAlign w:val="center"/>
          </w:tcPr>
          <w:p w14:paraId="1E79C113"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26 (13, 39)</w:t>
            </w:r>
            <w:r w:rsidRPr="009941F8">
              <w:rPr>
                <w:rFonts w:ascii="Arial Narrow" w:hAnsi="Arial Narrow"/>
                <w:b/>
                <w:sz w:val="20"/>
                <w:szCs w:val="20"/>
                <w:vertAlign w:val="superscript"/>
              </w:rPr>
              <w:t>f</w:t>
            </w:r>
          </w:p>
        </w:tc>
      </w:tr>
      <w:tr w:rsidR="00214181" w:rsidRPr="009941F8" w14:paraId="2C198BC3" w14:textId="77777777" w:rsidTr="00F25AA9">
        <w:trPr>
          <w:gridAfter w:val="1"/>
          <w:wAfter w:w="7" w:type="pct"/>
        </w:trPr>
        <w:tc>
          <w:tcPr>
            <w:tcW w:w="1852" w:type="pct"/>
            <w:tcBorders>
              <w:top w:val="nil"/>
              <w:bottom w:val="single" w:sz="4" w:space="0" w:color="auto"/>
            </w:tcBorders>
            <w:shd w:val="clear" w:color="auto" w:fill="auto"/>
          </w:tcPr>
          <w:p w14:paraId="0FE0C86F"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MUSE (excl. OCS taper)</w:t>
            </w:r>
          </w:p>
        </w:tc>
        <w:tc>
          <w:tcPr>
            <w:tcW w:w="927" w:type="pct"/>
            <w:tcBorders>
              <w:top w:val="nil"/>
              <w:bottom w:val="single" w:sz="4" w:space="0" w:color="auto"/>
            </w:tcBorders>
            <w:shd w:val="clear" w:color="auto" w:fill="auto"/>
            <w:vAlign w:val="center"/>
          </w:tcPr>
          <w:p w14:paraId="3D75F316"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62/99 (62.6)</w:t>
            </w:r>
          </w:p>
        </w:tc>
        <w:tc>
          <w:tcPr>
            <w:tcW w:w="773" w:type="pct"/>
            <w:tcBorders>
              <w:top w:val="nil"/>
              <w:bottom w:val="single" w:sz="4" w:space="0" w:color="auto"/>
            </w:tcBorders>
            <w:shd w:val="clear" w:color="auto" w:fill="auto"/>
            <w:vAlign w:val="center"/>
          </w:tcPr>
          <w:p w14:paraId="70FB65A3"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41/102 (40.2)</w:t>
            </w:r>
          </w:p>
        </w:tc>
        <w:tc>
          <w:tcPr>
            <w:tcW w:w="1441" w:type="pct"/>
            <w:tcBorders>
              <w:top w:val="nil"/>
              <w:bottom w:val="single" w:sz="4" w:space="0" w:color="auto"/>
            </w:tcBorders>
            <w:shd w:val="clear" w:color="auto" w:fill="auto"/>
            <w:vAlign w:val="center"/>
          </w:tcPr>
          <w:p w14:paraId="77770577"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22 (9, 36)</w:t>
            </w:r>
            <w:r w:rsidRPr="009941F8">
              <w:rPr>
                <w:rFonts w:ascii="Arial Narrow" w:hAnsi="Arial Narrow"/>
                <w:b/>
                <w:sz w:val="20"/>
                <w:szCs w:val="20"/>
                <w:vertAlign w:val="superscript"/>
              </w:rPr>
              <w:t>f</w:t>
            </w:r>
          </w:p>
        </w:tc>
      </w:tr>
      <w:tr w:rsidR="00214181" w:rsidRPr="009941F8" w14:paraId="63C0CBD2" w14:textId="77777777" w:rsidTr="00F25AA9">
        <w:tc>
          <w:tcPr>
            <w:tcW w:w="5000" w:type="pct"/>
            <w:gridSpan w:val="5"/>
            <w:tcBorders>
              <w:bottom w:val="nil"/>
            </w:tcBorders>
            <w:shd w:val="clear" w:color="auto" w:fill="auto"/>
            <w:vAlign w:val="center"/>
          </w:tcPr>
          <w:p w14:paraId="6B13701C" w14:textId="77777777" w:rsidR="00214181" w:rsidRPr="009941F8" w:rsidRDefault="00214181" w:rsidP="00F25AA9">
            <w:pPr>
              <w:keepNext/>
              <w:keepLines/>
              <w:jc w:val="left"/>
              <w:rPr>
                <w:rFonts w:ascii="Arial Narrow" w:hAnsi="Arial Narrow"/>
                <w:b/>
                <w:sz w:val="20"/>
                <w:szCs w:val="20"/>
              </w:rPr>
            </w:pPr>
            <w:r w:rsidRPr="009941F8">
              <w:rPr>
                <w:rFonts w:ascii="Arial Narrow" w:hAnsi="Arial Narrow"/>
                <w:b/>
                <w:sz w:val="20"/>
                <w:szCs w:val="20"/>
              </w:rPr>
              <w:t xml:space="preserve">BICLA response </w:t>
            </w:r>
          </w:p>
        </w:tc>
      </w:tr>
      <w:tr w:rsidR="00214181" w:rsidRPr="009941F8" w14:paraId="63FDDF8F" w14:textId="77777777" w:rsidTr="00F25AA9">
        <w:trPr>
          <w:gridAfter w:val="1"/>
          <w:wAfter w:w="7" w:type="pct"/>
        </w:trPr>
        <w:tc>
          <w:tcPr>
            <w:tcW w:w="1852" w:type="pct"/>
            <w:tcBorders>
              <w:top w:val="nil"/>
              <w:bottom w:val="nil"/>
            </w:tcBorders>
            <w:shd w:val="clear" w:color="auto" w:fill="auto"/>
          </w:tcPr>
          <w:p w14:paraId="7658159F"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TULIP-1 (original med rules)</w:t>
            </w:r>
            <w:r w:rsidRPr="009941F8">
              <w:rPr>
                <w:rFonts w:ascii="Arial Narrow" w:hAnsi="Arial Narrow"/>
                <w:sz w:val="20"/>
                <w:szCs w:val="20"/>
                <w:vertAlign w:val="superscript"/>
              </w:rPr>
              <w:t># a</w:t>
            </w:r>
          </w:p>
        </w:tc>
        <w:tc>
          <w:tcPr>
            <w:tcW w:w="927" w:type="pct"/>
            <w:tcBorders>
              <w:top w:val="nil"/>
              <w:bottom w:val="nil"/>
            </w:tcBorders>
            <w:shd w:val="clear" w:color="auto" w:fill="auto"/>
            <w:vAlign w:val="center"/>
          </w:tcPr>
          <w:p w14:paraId="2C4268E7"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67/180 (37.1)</w:t>
            </w:r>
          </w:p>
        </w:tc>
        <w:tc>
          <w:tcPr>
            <w:tcW w:w="773" w:type="pct"/>
            <w:tcBorders>
              <w:top w:val="nil"/>
              <w:bottom w:val="nil"/>
            </w:tcBorders>
            <w:shd w:val="clear" w:color="auto" w:fill="auto"/>
            <w:vAlign w:val="center"/>
          </w:tcPr>
          <w:p w14:paraId="0ABF2E61"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49/184 (27.0)</w:t>
            </w:r>
          </w:p>
        </w:tc>
        <w:tc>
          <w:tcPr>
            <w:tcW w:w="1441" w:type="pct"/>
            <w:tcBorders>
              <w:top w:val="nil"/>
              <w:bottom w:val="nil"/>
            </w:tcBorders>
            <w:shd w:val="clear" w:color="auto" w:fill="auto"/>
            <w:vAlign w:val="center"/>
          </w:tcPr>
          <w:p w14:paraId="6362E526"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10.1 (0.6, 19.7)</w:t>
            </w:r>
          </w:p>
        </w:tc>
      </w:tr>
      <w:tr w:rsidR="00214181" w:rsidRPr="009941F8" w14:paraId="2D189029" w14:textId="77777777" w:rsidTr="00F25AA9">
        <w:trPr>
          <w:gridAfter w:val="1"/>
          <w:wAfter w:w="7" w:type="pct"/>
        </w:trPr>
        <w:tc>
          <w:tcPr>
            <w:tcW w:w="1852" w:type="pct"/>
            <w:tcBorders>
              <w:top w:val="nil"/>
              <w:bottom w:val="nil"/>
            </w:tcBorders>
            <w:shd w:val="clear" w:color="auto" w:fill="auto"/>
          </w:tcPr>
          <w:p w14:paraId="1D765B5A"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TULIP-1 (revised med rules)</w:t>
            </w:r>
            <w:r w:rsidRPr="009941F8">
              <w:rPr>
                <w:rFonts w:ascii="Arial Narrow" w:hAnsi="Arial Narrow"/>
                <w:sz w:val="20"/>
                <w:szCs w:val="20"/>
                <w:vertAlign w:val="superscript"/>
              </w:rPr>
              <w:t># c</w:t>
            </w:r>
          </w:p>
        </w:tc>
        <w:tc>
          <w:tcPr>
            <w:tcW w:w="927" w:type="pct"/>
            <w:tcBorders>
              <w:top w:val="nil"/>
              <w:bottom w:val="nil"/>
            </w:tcBorders>
            <w:shd w:val="clear" w:color="auto" w:fill="auto"/>
            <w:vAlign w:val="center"/>
          </w:tcPr>
          <w:p w14:paraId="609B3C79"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83/180 (46.1)</w:t>
            </w:r>
          </w:p>
        </w:tc>
        <w:tc>
          <w:tcPr>
            <w:tcW w:w="773" w:type="pct"/>
            <w:tcBorders>
              <w:top w:val="nil"/>
              <w:bottom w:val="nil"/>
            </w:tcBorders>
            <w:shd w:val="clear" w:color="auto" w:fill="auto"/>
            <w:vAlign w:val="center"/>
          </w:tcPr>
          <w:p w14:paraId="3E6BD150"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54/184 (29.6)</w:t>
            </w:r>
          </w:p>
        </w:tc>
        <w:tc>
          <w:tcPr>
            <w:tcW w:w="1441" w:type="pct"/>
            <w:tcBorders>
              <w:top w:val="nil"/>
              <w:bottom w:val="nil"/>
            </w:tcBorders>
            <w:shd w:val="clear" w:color="auto" w:fill="auto"/>
            <w:vAlign w:val="center"/>
          </w:tcPr>
          <w:p w14:paraId="4949BE5B"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16.8 (7.0, 26.6)</w:t>
            </w:r>
          </w:p>
        </w:tc>
      </w:tr>
      <w:tr w:rsidR="00214181" w:rsidRPr="009941F8" w14:paraId="0A364E61" w14:textId="77777777" w:rsidTr="00F25AA9">
        <w:trPr>
          <w:gridAfter w:val="1"/>
          <w:wAfter w:w="7" w:type="pct"/>
        </w:trPr>
        <w:tc>
          <w:tcPr>
            <w:tcW w:w="1852" w:type="pct"/>
            <w:tcBorders>
              <w:top w:val="nil"/>
              <w:bottom w:val="nil"/>
            </w:tcBorders>
            <w:shd w:val="clear" w:color="auto" w:fill="auto"/>
          </w:tcPr>
          <w:p w14:paraId="225F4C57" w14:textId="77777777" w:rsidR="00214181" w:rsidRPr="009941F8" w:rsidRDefault="00214181" w:rsidP="00F25AA9">
            <w:pPr>
              <w:keepNext/>
              <w:keepLines/>
              <w:jc w:val="left"/>
              <w:rPr>
                <w:rFonts w:ascii="Arial Narrow" w:hAnsi="Arial Narrow"/>
                <w:sz w:val="20"/>
                <w:szCs w:val="20"/>
              </w:rPr>
            </w:pPr>
            <w:r w:rsidRPr="009941F8">
              <w:rPr>
                <w:rFonts w:ascii="Arial Narrow" w:hAnsi="Arial Narrow"/>
                <w:sz w:val="20"/>
                <w:szCs w:val="20"/>
              </w:rPr>
              <w:t>TULIP-2</w:t>
            </w:r>
            <w:r w:rsidRPr="009941F8">
              <w:rPr>
                <w:rFonts w:ascii="Arial Narrow" w:hAnsi="Arial Narrow"/>
                <w:sz w:val="20"/>
                <w:szCs w:val="20"/>
                <w:vertAlign w:val="superscript"/>
              </w:rPr>
              <w:t>#</w:t>
            </w:r>
          </w:p>
        </w:tc>
        <w:tc>
          <w:tcPr>
            <w:tcW w:w="927" w:type="pct"/>
            <w:tcBorders>
              <w:top w:val="nil"/>
              <w:bottom w:val="nil"/>
            </w:tcBorders>
            <w:shd w:val="clear" w:color="auto" w:fill="auto"/>
            <w:vAlign w:val="center"/>
          </w:tcPr>
          <w:p w14:paraId="3D00581C"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86/180 (47.8)</w:t>
            </w:r>
          </w:p>
        </w:tc>
        <w:tc>
          <w:tcPr>
            <w:tcW w:w="773" w:type="pct"/>
            <w:tcBorders>
              <w:top w:val="nil"/>
              <w:bottom w:val="nil"/>
            </w:tcBorders>
            <w:shd w:val="clear" w:color="auto" w:fill="auto"/>
            <w:vAlign w:val="center"/>
          </w:tcPr>
          <w:p w14:paraId="5140EDFB"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57/182 (31.3)</w:t>
            </w:r>
          </w:p>
        </w:tc>
        <w:tc>
          <w:tcPr>
            <w:tcW w:w="1441" w:type="pct"/>
            <w:tcBorders>
              <w:top w:val="nil"/>
              <w:bottom w:val="nil"/>
            </w:tcBorders>
            <w:shd w:val="clear" w:color="auto" w:fill="auto"/>
            <w:vAlign w:val="center"/>
          </w:tcPr>
          <w:p w14:paraId="42F69EC9"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16.4 (6.6, 26.3)</w:t>
            </w:r>
          </w:p>
        </w:tc>
      </w:tr>
      <w:tr w:rsidR="00214181" w:rsidRPr="009941F8" w14:paraId="5D01D742" w14:textId="77777777" w:rsidTr="00F25AA9">
        <w:trPr>
          <w:gridAfter w:val="1"/>
          <w:wAfter w:w="7" w:type="pct"/>
        </w:trPr>
        <w:tc>
          <w:tcPr>
            <w:tcW w:w="1852" w:type="pct"/>
            <w:tcBorders>
              <w:top w:val="nil"/>
              <w:bottom w:val="nil"/>
            </w:tcBorders>
            <w:shd w:val="clear" w:color="auto" w:fill="auto"/>
          </w:tcPr>
          <w:p w14:paraId="60698C0B" w14:textId="77777777" w:rsidR="00214181" w:rsidRPr="009941F8" w:rsidRDefault="00214181" w:rsidP="00F25AA9">
            <w:pPr>
              <w:keepNext/>
              <w:keepLines/>
              <w:jc w:val="right"/>
              <w:rPr>
                <w:rFonts w:ascii="Arial Narrow" w:hAnsi="Arial Narrow"/>
                <w:sz w:val="20"/>
                <w:szCs w:val="20"/>
              </w:rPr>
            </w:pPr>
            <w:r w:rsidRPr="009941F8">
              <w:rPr>
                <w:rFonts w:ascii="Arial Narrow" w:hAnsi="Arial Narrow"/>
                <w:sz w:val="20"/>
                <w:szCs w:val="20"/>
              </w:rPr>
              <w:t>TULIP 1 &amp; 2 pooled</w:t>
            </w:r>
            <w:r w:rsidRPr="009941F8">
              <w:rPr>
                <w:rFonts w:ascii="Arial Narrow" w:hAnsi="Arial Narrow"/>
                <w:sz w:val="20"/>
                <w:szCs w:val="20"/>
                <w:vertAlign w:val="superscript"/>
              </w:rPr>
              <w:t>d</w:t>
            </w:r>
          </w:p>
        </w:tc>
        <w:tc>
          <w:tcPr>
            <w:tcW w:w="927" w:type="pct"/>
            <w:tcBorders>
              <w:top w:val="nil"/>
              <w:bottom w:val="nil"/>
            </w:tcBorders>
            <w:shd w:val="clear" w:color="auto" w:fill="auto"/>
            <w:vAlign w:val="center"/>
          </w:tcPr>
          <w:p w14:paraId="4C2E73A9"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169/360 (46.9)</w:t>
            </w:r>
          </w:p>
        </w:tc>
        <w:tc>
          <w:tcPr>
            <w:tcW w:w="773" w:type="pct"/>
            <w:tcBorders>
              <w:top w:val="nil"/>
              <w:bottom w:val="nil"/>
            </w:tcBorders>
            <w:shd w:val="clear" w:color="auto" w:fill="auto"/>
            <w:vAlign w:val="center"/>
          </w:tcPr>
          <w:p w14:paraId="2D18094A"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111/366 (30.3)</w:t>
            </w:r>
          </w:p>
        </w:tc>
        <w:tc>
          <w:tcPr>
            <w:tcW w:w="1441" w:type="pct"/>
            <w:tcBorders>
              <w:top w:val="nil"/>
              <w:bottom w:val="nil"/>
            </w:tcBorders>
            <w:shd w:val="clear" w:color="auto" w:fill="auto"/>
            <w:vAlign w:val="center"/>
          </w:tcPr>
          <w:p w14:paraId="0E292F22"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17 (10, 24)</w:t>
            </w:r>
            <w:r w:rsidRPr="009941F8">
              <w:rPr>
                <w:rFonts w:ascii="Arial Narrow" w:hAnsi="Arial Narrow"/>
                <w:b/>
                <w:sz w:val="20"/>
                <w:szCs w:val="20"/>
                <w:vertAlign w:val="superscript"/>
              </w:rPr>
              <w:t>e</w:t>
            </w:r>
          </w:p>
        </w:tc>
      </w:tr>
      <w:tr w:rsidR="00214181" w:rsidRPr="009941F8" w14:paraId="0F7A89B9" w14:textId="77777777" w:rsidTr="00F25AA9">
        <w:trPr>
          <w:gridAfter w:val="1"/>
          <w:wAfter w:w="7" w:type="pct"/>
        </w:trPr>
        <w:tc>
          <w:tcPr>
            <w:tcW w:w="1852" w:type="pct"/>
            <w:tcBorders>
              <w:top w:val="nil"/>
              <w:bottom w:val="nil"/>
            </w:tcBorders>
            <w:shd w:val="clear" w:color="auto" w:fill="auto"/>
          </w:tcPr>
          <w:p w14:paraId="2AABE9C0"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MUSE (incl. OCS taper)</w:t>
            </w:r>
          </w:p>
        </w:tc>
        <w:tc>
          <w:tcPr>
            <w:tcW w:w="927" w:type="pct"/>
            <w:tcBorders>
              <w:top w:val="nil"/>
              <w:bottom w:val="nil"/>
            </w:tcBorders>
            <w:shd w:val="clear" w:color="auto" w:fill="auto"/>
            <w:vAlign w:val="center"/>
          </w:tcPr>
          <w:p w14:paraId="20333E5F"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43/99 (43.4)</w:t>
            </w:r>
          </w:p>
        </w:tc>
        <w:tc>
          <w:tcPr>
            <w:tcW w:w="773" w:type="pct"/>
            <w:tcBorders>
              <w:top w:val="nil"/>
              <w:bottom w:val="nil"/>
            </w:tcBorders>
            <w:shd w:val="clear" w:color="auto" w:fill="auto"/>
            <w:vAlign w:val="center"/>
          </w:tcPr>
          <w:p w14:paraId="68EC9142"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17/102 (16.8)</w:t>
            </w:r>
          </w:p>
        </w:tc>
        <w:tc>
          <w:tcPr>
            <w:tcW w:w="1441" w:type="pct"/>
            <w:tcBorders>
              <w:top w:val="nil"/>
              <w:bottom w:val="nil"/>
            </w:tcBorders>
            <w:shd w:val="clear" w:color="auto" w:fill="auto"/>
            <w:vAlign w:val="center"/>
          </w:tcPr>
          <w:p w14:paraId="568D8D82"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27 (15, 39)</w:t>
            </w:r>
            <w:r w:rsidRPr="009941F8">
              <w:rPr>
                <w:rFonts w:ascii="Arial Narrow" w:hAnsi="Arial Narrow"/>
                <w:b/>
                <w:sz w:val="20"/>
                <w:szCs w:val="20"/>
                <w:vertAlign w:val="superscript"/>
              </w:rPr>
              <w:t>f</w:t>
            </w:r>
          </w:p>
        </w:tc>
      </w:tr>
      <w:tr w:rsidR="00214181" w:rsidRPr="009941F8" w14:paraId="19CF3810" w14:textId="77777777" w:rsidTr="00F25AA9">
        <w:trPr>
          <w:gridAfter w:val="1"/>
          <w:wAfter w:w="7" w:type="pct"/>
        </w:trPr>
        <w:tc>
          <w:tcPr>
            <w:tcW w:w="1852" w:type="pct"/>
            <w:tcBorders>
              <w:top w:val="nil"/>
              <w:bottom w:val="single" w:sz="4" w:space="0" w:color="auto"/>
            </w:tcBorders>
            <w:shd w:val="clear" w:color="auto" w:fill="auto"/>
          </w:tcPr>
          <w:p w14:paraId="6B023B59" w14:textId="77777777" w:rsidR="00214181" w:rsidRPr="009941F8" w:rsidRDefault="00214181" w:rsidP="00F25AA9">
            <w:pPr>
              <w:keepNext/>
              <w:keepLines/>
              <w:rPr>
                <w:rFonts w:ascii="Arial Narrow" w:hAnsi="Arial Narrow"/>
                <w:sz w:val="20"/>
                <w:szCs w:val="20"/>
              </w:rPr>
            </w:pPr>
            <w:r w:rsidRPr="009941F8">
              <w:rPr>
                <w:rFonts w:ascii="Arial Narrow" w:hAnsi="Arial Narrow"/>
                <w:sz w:val="20"/>
                <w:szCs w:val="20"/>
              </w:rPr>
              <w:t>MUSE (excl. OCS taper)</w:t>
            </w:r>
          </w:p>
        </w:tc>
        <w:tc>
          <w:tcPr>
            <w:tcW w:w="927" w:type="pct"/>
            <w:tcBorders>
              <w:top w:val="nil"/>
              <w:bottom w:val="single" w:sz="4" w:space="0" w:color="auto"/>
            </w:tcBorders>
            <w:shd w:val="clear" w:color="auto" w:fill="auto"/>
            <w:vAlign w:val="center"/>
          </w:tcPr>
          <w:p w14:paraId="4FABA790"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53/99 (53.5)</w:t>
            </w:r>
          </w:p>
        </w:tc>
        <w:tc>
          <w:tcPr>
            <w:tcW w:w="773" w:type="pct"/>
            <w:tcBorders>
              <w:top w:val="nil"/>
              <w:bottom w:val="single" w:sz="4" w:space="0" w:color="auto"/>
            </w:tcBorders>
            <w:shd w:val="clear" w:color="auto" w:fill="auto"/>
            <w:vAlign w:val="center"/>
          </w:tcPr>
          <w:p w14:paraId="07481E40" w14:textId="77777777" w:rsidR="00214181" w:rsidRPr="009941F8" w:rsidRDefault="00214181" w:rsidP="00F25AA9">
            <w:pPr>
              <w:keepNext/>
              <w:keepLines/>
              <w:jc w:val="center"/>
              <w:rPr>
                <w:rFonts w:ascii="Arial Narrow" w:hAnsi="Arial Narrow"/>
                <w:sz w:val="20"/>
                <w:szCs w:val="20"/>
              </w:rPr>
            </w:pPr>
            <w:r w:rsidRPr="009941F8">
              <w:rPr>
                <w:rFonts w:ascii="Arial Narrow" w:hAnsi="Arial Narrow"/>
                <w:sz w:val="20"/>
                <w:szCs w:val="20"/>
              </w:rPr>
              <w:t>26/102 (25.7)</w:t>
            </w:r>
          </w:p>
        </w:tc>
        <w:tc>
          <w:tcPr>
            <w:tcW w:w="1441" w:type="pct"/>
            <w:tcBorders>
              <w:top w:val="nil"/>
              <w:bottom w:val="single" w:sz="4" w:space="0" w:color="auto"/>
            </w:tcBorders>
            <w:shd w:val="clear" w:color="auto" w:fill="auto"/>
            <w:vAlign w:val="center"/>
          </w:tcPr>
          <w:p w14:paraId="74BD360B" w14:textId="77777777" w:rsidR="00214181" w:rsidRPr="009941F8" w:rsidRDefault="00214181" w:rsidP="00F25AA9">
            <w:pPr>
              <w:keepNext/>
              <w:keepLines/>
              <w:jc w:val="center"/>
              <w:rPr>
                <w:rFonts w:ascii="Arial Narrow" w:hAnsi="Arial Narrow"/>
                <w:b/>
                <w:sz w:val="20"/>
                <w:szCs w:val="20"/>
              </w:rPr>
            </w:pPr>
            <w:r w:rsidRPr="009941F8">
              <w:rPr>
                <w:rFonts w:ascii="Arial Narrow" w:hAnsi="Arial Narrow"/>
                <w:b/>
                <w:sz w:val="20"/>
                <w:szCs w:val="20"/>
              </w:rPr>
              <w:t>28 (15, 41)</w:t>
            </w:r>
            <w:r w:rsidRPr="009941F8">
              <w:rPr>
                <w:rFonts w:ascii="Arial Narrow" w:hAnsi="Arial Narrow"/>
                <w:b/>
                <w:sz w:val="20"/>
                <w:szCs w:val="20"/>
                <w:vertAlign w:val="superscript"/>
              </w:rPr>
              <w:t>f</w:t>
            </w:r>
          </w:p>
        </w:tc>
      </w:tr>
    </w:tbl>
    <w:p w14:paraId="376B9D80" w14:textId="51BCD5F5" w:rsidR="00214181" w:rsidRPr="009941F8" w:rsidRDefault="00214181" w:rsidP="00F25AA9">
      <w:pPr>
        <w:keepNext/>
        <w:keepLines/>
        <w:contextualSpacing/>
        <w:rPr>
          <w:rFonts w:ascii="Arial Narrow" w:eastAsia="SimSun" w:hAnsi="Arial Narrow"/>
          <w:i/>
          <w:iCs/>
          <w:snapToGrid w:val="0"/>
          <w:sz w:val="18"/>
          <w:szCs w:val="22"/>
        </w:rPr>
      </w:pPr>
      <w:r w:rsidRPr="009941F8">
        <w:rPr>
          <w:rFonts w:ascii="Arial Narrow" w:eastAsia="SimSun" w:hAnsi="Arial Narrow"/>
          <w:b/>
          <w:bCs/>
          <w:snapToGrid w:val="0"/>
          <w:sz w:val="18"/>
          <w:szCs w:val="22"/>
        </w:rPr>
        <w:t>Bold</w:t>
      </w:r>
      <w:r w:rsidRPr="009941F8">
        <w:rPr>
          <w:rFonts w:ascii="Arial Narrow" w:eastAsia="SimSun" w:hAnsi="Arial Narrow"/>
          <w:snapToGrid w:val="0"/>
          <w:sz w:val="18"/>
          <w:szCs w:val="22"/>
        </w:rPr>
        <w:t xml:space="preserve"> text designates statistical significance.</w:t>
      </w:r>
    </w:p>
    <w:p w14:paraId="368611A4" w14:textId="77777777" w:rsidR="00214181" w:rsidRPr="009941F8" w:rsidRDefault="00214181" w:rsidP="00F25AA9">
      <w:pPr>
        <w:keepNext/>
        <w:keepLines/>
        <w:rPr>
          <w:rFonts w:ascii="Arial Narrow" w:eastAsia="SimSun" w:hAnsi="Arial Narrow"/>
          <w:sz w:val="18"/>
          <w:szCs w:val="18"/>
        </w:rPr>
      </w:pPr>
      <w:r w:rsidRPr="009941F8">
        <w:rPr>
          <w:rFonts w:ascii="Arial Narrow" w:eastAsia="SimSun" w:hAnsi="Arial Narrow"/>
          <w:sz w:val="18"/>
          <w:szCs w:val="18"/>
        </w:rPr>
        <w:t>Source: Table 2-19,pp133-134, Table 2-20, p1384 of the resubmission, Table 11.2.3.2.2 and 11.2.3.2.2a, pp315-322, Tables 11.2.3.2.3 and 11.2.3.2.4, pp327-328 of TULIP-1 CSR Section 11 Tables, Table 11.2.1.1, pp199-201, Table 11.2.1.3, p203 and Table 11.2.3.1.2, pp291-292, Table 11.2.3.1.4, p294 of TULIP-2 CSR Section 11 Tables, Table 14.2.2.3.4, pp283-285, Table 14.2.2.4.17, pp374-376, Table 14.2.2.5.5, pp395-397 of MUSE CSR Errata List, Figure 4, Morand 2018 (MUSE post hoc)</w:t>
      </w:r>
    </w:p>
    <w:p w14:paraId="505F87C2" w14:textId="77777777" w:rsidR="00214181" w:rsidRPr="009941F8" w:rsidRDefault="00214181" w:rsidP="00F25AA9">
      <w:pPr>
        <w:keepNext/>
        <w:keepLines/>
        <w:rPr>
          <w:rFonts w:ascii="Arial Narrow" w:eastAsia="SimSun" w:hAnsi="Arial Narrow"/>
          <w:sz w:val="18"/>
          <w:szCs w:val="18"/>
        </w:rPr>
      </w:pPr>
      <w:r w:rsidRPr="009941F8">
        <w:rPr>
          <w:rFonts w:ascii="Arial Narrow" w:eastAsia="SimSun" w:hAnsi="Arial Narrow"/>
          <w:sz w:val="18"/>
          <w:szCs w:val="18"/>
        </w:rPr>
        <w:t>BICLA=BILAG-Based Composite Lupus Assessment; CI=confidence interval; CMH=Cochran-Mantel-Haenszel; OCS=oral corticosteroids; RD=risk difference; SLE=Systemic Lupus Erythematosus; SLEDAI-2K=Systemic Lupus Erythematosus Disease Activity Index 2000; SOC=standard of care; SRI(4)=4-point reduction on SLE Responder Index.</w:t>
      </w:r>
    </w:p>
    <w:p w14:paraId="7BE80CBE" w14:textId="77777777" w:rsidR="00214181" w:rsidRPr="009941F8" w:rsidRDefault="00214181" w:rsidP="00F25AA9">
      <w:pPr>
        <w:keepNext/>
        <w:keepLines/>
        <w:ind w:left="170" w:hanging="170"/>
        <w:rPr>
          <w:rFonts w:ascii="Arial Narrow" w:eastAsia="SimSun" w:hAnsi="Arial Narrow"/>
          <w:sz w:val="18"/>
          <w:szCs w:val="18"/>
        </w:rPr>
      </w:pPr>
      <w:r w:rsidRPr="009941F8">
        <w:rPr>
          <w:rFonts w:ascii="Arial Narrow" w:eastAsia="SimSun" w:hAnsi="Arial Narrow"/>
          <w:sz w:val="18"/>
          <w:szCs w:val="18"/>
        </w:rPr>
        <w:t>#</w:t>
      </w:r>
      <w:r w:rsidRPr="009941F8">
        <w:rPr>
          <w:rFonts w:ascii="Arial Narrow" w:eastAsia="SimSun" w:hAnsi="Arial Narrow"/>
          <w:sz w:val="18"/>
          <w:szCs w:val="18"/>
        </w:rPr>
        <w:tab/>
        <w:t>The responder/non-responder rates (percentages), the difference in estimates and associated 95% CI are weighted and calculated using a stratified CMH approach, with stratification factors (SLEDAI-2K score at screening [&lt;10 vs ≥10 points], Week 0 OCS dose [&lt;10 vs ≥10 mg/day prednisone or equivalent] and type I IFN gene signature test result at screening [high vs low]).</w:t>
      </w:r>
    </w:p>
    <w:p w14:paraId="103DCB1D" w14:textId="77777777" w:rsidR="00214181" w:rsidRPr="009941F8" w:rsidRDefault="00214181" w:rsidP="00F25AA9">
      <w:pPr>
        <w:keepNext/>
        <w:keepLines/>
        <w:rPr>
          <w:rFonts w:ascii="Arial Narrow" w:eastAsia="SimSun" w:hAnsi="Arial Narrow"/>
          <w:sz w:val="18"/>
          <w:szCs w:val="18"/>
        </w:rPr>
      </w:pPr>
      <w:r w:rsidRPr="009941F8">
        <w:rPr>
          <w:rFonts w:ascii="Arial Narrow" w:eastAsia="SimSun" w:hAnsi="Arial Narrow"/>
          <w:sz w:val="18"/>
          <w:szCs w:val="18"/>
        </w:rPr>
        <w:t>a</w:t>
      </w:r>
      <w:r w:rsidRPr="009941F8">
        <w:rPr>
          <w:rFonts w:ascii="Arial Narrow" w:eastAsia="SimSun" w:hAnsi="Arial Narrow"/>
          <w:sz w:val="18"/>
          <w:szCs w:val="18"/>
        </w:rPr>
        <w:tab/>
        <w:t>Original prespecified restricted medication rules.</w:t>
      </w:r>
    </w:p>
    <w:p w14:paraId="2DA5D534" w14:textId="77777777" w:rsidR="00214181" w:rsidRPr="009941F8" w:rsidRDefault="00214181" w:rsidP="00F25AA9">
      <w:pPr>
        <w:keepNext/>
        <w:keepLines/>
        <w:rPr>
          <w:rFonts w:ascii="Arial Narrow" w:eastAsia="SimSun" w:hAnsi="Arial Narrow"/>
          <w:sz w:val="18"/>
          <w:szCs w:val="18"/>
        </w:rPr>
      </w:pPr>
      <w:r w:rsidRPr="009941F8">
        <w:rPr>
          <w:rFonts w:ascii="Arial Narrow" w:eastAsia="SimSun" w:hAnsi="Arial Narrow"/>
          <w:sz w:val="18"/>
          <w:szCs w:val="18"/>
        </w:rPr>
        <w:t>b</w:t>
      </w:r>
      <w:r w:rsidRPr="009941F8">
        <w:rPr>
          <w:rFonts w:ascii="Arial Narrow" w:eastAsia="SimSun" w:hAnsi="Arial Narrow"/>
          <w:sz w:val="18"/>
          <w:szCs w:val="18"/>
        </w:rPr>
        <w:tab/>
        <w:t>Unadjusted p-value.</w:t>
      </w:r>
    </w:p>
    <w:p w14:paraId="4DF0F22C" w14:textId="77777777" w:rsidR="00214181" w:rsidRPr="009941F8" w:rsidRDefault="00214181" w:rsidP="00F25AA9">
      <w:pPr>
        <w:keepNext/>
        <w:keepLines/>
        <w:rPr>
          <w:rFonts w:ascii="Arial Narrow" w:eastAsia="SimSun" w:hAnsi="Arial Narrow"/>
          <w:sz w:val="18"/>
          <w:szCs w:val="18"/>
        </w:rPr>
      </w:pPr>
      <w:r w:rsidRPr="009941F8">
        <w:rPr>
          <w:rFonts w:ascii="Arial Narrow" w:eastAsia="SimSun" w:hAnsi="Arial Narrow"/>
          <w:sz w:val="18"/>
          <w:szCs w:val="18"/>
        </w:rPr>
        <w:t>c</w:t>
      </w:r>
      <w:r w:rsidRPr="009941F8">
        <w:rPr>
          <w:rFonts w:ascii="Arial Narrow" w:eastAsia="SimSun" w:hAnsi="Arial Narrow"/>
          <w:sz w:val="18"/>
          <w:szCs w:val="18"/>
        </w:rPr>
        <w:tab/>
        <w:t>Post hoc revised restricted medication rules.</w:t>
      </w:r>
    </w:p>
    <w:p w14:paraId="2F876A5C" w14:textId="77777777" w:rsidR="00214181" w:rsidRPr="009941F8" w:rsidRDefault="00214181" w:rsidP="00F25AA9">
      <w:pPr>
        <w:keepNext/>
        <w:keepLines/>
        <w:rPr>
          <w:rFonts w:ascii="Arial Narrow" w:eastAsia="SimSun" w:hAnsi="Arial Narrow"/>
          <w:sz w:val="18"/>
          <w:szCs w:val="18"/>
        </w:rPr>
      </w:pPr>
      <w:r w:rsidRPr="009941F8">
        <w:rPr>
          <w:rFonts w:ascii="Arial Narrow" w:eastAsia="SimSun" w:hAnsi="Arial Narrow"/>
          <w:sz w:val="18"/>
          <w:szCs w:val="18"/>
        </w:rPr>
        <w:t>d</w:t>
      </w:r>
      <w:r w:rsidRPr="009941F8">
        <w:rPr>
          <w:rFonts w:ascii="Arial Narrow" w:eastAsia="SimSun" w:hAnsi="Arial Narrow"/>
          <w:sz w:val="18"/>
          <w:szCs w:val="18"/>
        </w:rPr>
        <w:tab/>
        <w:t>Pooled analysis excluded the 150 mg group from TULIP-1. Results are based on the revised restricted medication rules.</w:t>
      </w:r>
    </w:p>
    <w:p w14:paraId="7908263B" w14:textId="77777777" w:rsidR="00214181" w:rsidRPr="009941F8" w:rsidRDefault="00214181" w:rsidP="00F25AA9">
      <w:pPr>
        <w:keepNext/>
        <w:keepLines/>
        <w:ind w:left="170" w:hanging="170"/>
        <w:rPr>
          <w:rFonts w:ascii="Arial Narrow" w:eastAsia="SimSun" w:hAnsi="Arial Narrow"/>
          <w:iCs/>
          <w:sz w:val="18"/>
          <w:szCs w:val="18"/>
        </w:rPr>
      </w:pPr>
      <w:r w:rsidRPr="009941F8">
        <w:rPr>
          <w:rFonts w:ascii="Arial Narrow" w:eastAsia="SimSun" w:hAnsi="Arial Narrow"/>
          <w:sz w:val="18"/>
          <w:szCs w:val="18"/>
        </w:rPr>
        <w:t>e</w:t>
      </w:r>
      <w:r w:rsidRPr="009941F8">
        <w:rPr>
          <w:rFonts w:ascii="Arial Narrow" w:eastAsia="SimSun" w:hAnsi="Arial Narrow"/>
          <w:sz w:val="18"/>
          <w:szCs w:val="18"/>
        </w:rPr>
        <w:tab/>
        <w:t>R</w:t>
      </w:r>
      <w:r w:rsidRPr="009941F8">
        <w:rPr>
          <w:rFonts w:ascii="Arial Narrow" w:eastAsia="SimSun" w:hAnsi="Arial Narrow"/>
          <w:iCs/>
          <w:sz w:val="18"/>
          <w:szCs w:val="18"/>
        </w:rPr>
        <w:t>ecalculated by the resubmission in RevMan v5.3 using Mantel-Haenszel (fixed effects) model.</w:t>
      </w:r>
    </w:p>
    <w:p w14:paraId="164CA623" w14:textId="66562296" w:rsidR="00214181" w:rsidRPr="009941F8" w:rsidRDefault="00214181" w:rsidP="00233562">
      <w:pPr>
        <w:keepLines/>
        <w:ind w:left="170" w:hanging="170"/>
      </w:pPr>
      <w:r w:rsidRPr="009941F8">
        <w:rPr>
          <w:rFonts w:ascii="Arial Narrow" w:eastAsia="SimSun" w:hAnsi="Arial Narrow"/>
          <w:iCs/>
          <w:sz w:val="18"/>
          <w:szCs w:val="18"/>
        </w:rPr>
        <w:t>f</w:t>
      </w:r>
      <w:r w:rsidRPr="009941F8">
        <w:rPr>
          <w:rFonts w:ascii="Arial Narrow" w:eastAsia="SimSun" w:hAnsi="Arial Narrow"/>
          <w:iCs/>
          <w:sz w:val="18"/>
          <w:szCs w:val="18"/>
        </w:rPr>
        <w:tab/>
        <w:t xml:space="preserve">MUSE presented odds ratio (90% CI) and nominal p-values based on a logistic regression model for comparisons of each anifrolumab group versus placebo adjusted for randomization stratification factors. </w:t>
      </w:r>
    </w:p>
    <w:p w14:paraId="158E406B" w14:textId="2D49C7C9" w:rsidR="00214181" w:rsidRPr="009941F8" w:rsidRDefault="001F01CC" w:rsidP="00235D09">
      <w:pPr>
        <w:pStyle w:val="Caption"/>
        <w:rPr>
          <w:rFonts w:eastAsia="SimSun"/>
          <w:b w:val="0"/>
          <w:szCs w:val="20"/>
        </w:rPr>
      </w:pPr>
      <w:bookmarkStart w:id="40" w:name="_Ref153929929"/>
      <w:r w:rsidRPr="009941F8">
        <w:lastRenderedPageBreak/>
        <w:t xml:space="preserve">Table </w:t>
      </w:r>
      <w:r w:rsidR="00CE7EC7">
        <w:fldChar w:fldCharType="begin" w:fldLock="1"/>
      </w:r>
      <w:r w:rsidR="00CE7EC7">
        <w:instrText xml:space="preserve"> SEQ Table \* ARABIC </w:instrText>
      </w:r>
      <w:r w:rsidR="00CE7EC7">
        <w:fldChar w:fldCharType="separate"/>
      </w:r>
      <w:r w:rsidR="00F07501">
        <w:rPr>
          <w:noProof/>
        </w:rPr>
        <w:t>5</w:t>
      </w:r>
      <w:r w:rsidR="00CE7EC7">
        <w:rPr>
          <w:noProof/>
        </w:rPr>
        <w:fldChar w:fldCharType="end"/>
      </w:r>
      <w:bookmarkEnd w:id="40"/>
      <w:r w:rsidR="00214181" w:rsidRPr="009941F8">
        <w:rPr>
          <w:rFonts w:eastAsia="SimSun"/>
          <w:szCs w:val="20"/>
        </w:rPr>
        <w:t>: LLDAS attainment and DORIS remission plus revised medication rules at Week 52 and Week 208</w:t>
      </w:r>
      <w:r w:rsidR="008D742D" w:rsidRPr="009941F8">
        <w:rPr>
          <w:rFonts w:eastAsia="SimSun"/>
          <w:szCs w:val="20"/>
        </w:rPr>
        <w:t xml:space="preserve"> (ITT population)</w:t>
      </w:r>
    </w:p>
    <w:tbl>
      <w:tblPr>
        <w:tblStyle w:val="SummaryTable2"/>
        <w:tblW w:w="5000" w:type="pct"/>
        <w:tblCellMar>
          <w:left w:w="28" w:type="dxa"/>
          <w:right w:w="28" w:type="dxa"/>
        </w:tblCellMar>
        <w:tblLook w:val="04A0" w:firstRow="1" w:lastRow="0" w:firstColumn="1" w:lastColumn="0" w:noHBand="0" w:noVBand="1"/>
        <w:tblCaption w:val="Table 5: LLDAS attainment and DORIS remission plus revised medication rules at Week 52 and Week 208 (ITT population)"/>
      </w:tblPr>
      <w:tblGrid>
        <w:gridCol w:w="3331"/>
        <w:gridCol w:w="1663"/>
        <w:gridCol w:w="1387"/>
        <w:gridCol w:w="1253"/>
        <w:gridCol w:w="1383"/>
      </w:tblGrid>
      <w:tr w:rsidR="00214181" w:rsidRPr="009941F8" w14:paraId="126B0402" w14:textId="77777777" w:rsidTr="00F25AA9">
        <w:trPr>
          <w:tblHeader/>
        </w:trPr>
        <w:tc>
          <w:tcPr>
            <w:tcW w:w="1847" w:type="pct"/>
            <w:tcBorders>
              <w:bottom w:val="single" w:sz="4" w:space="0" w:color="auto"/>
            </w:tcBorders>
            <w:shd w:val="clear" w:color="auto" w:fill="auto"/>
            <w:vAlign w:val="center"/>
          </w:tcPr>
          <w:p w14:paraId="0D4A0917" w14:textId="77777777" w:rsidR="00214181" w:rsidRPr="009941F8" w:rsidRDefault="00214181" w:rsidP="00235D09">
            <w:pPr>
              <w:keepNext/>
              <w:jc w:val="left"/>
              <w:rPr>
                <w:rFonts w:ascii="Arial Narrow" w:hAnsi="Arial Narrow"/>
                <w:b/>
                <w:sz w:val="20"/>
                <w:szCs w:val="20"/>
              </w:rPr>
            </w:pPr>
          </w:p>
        </w:tc>
        <w:tc>
          <w:tcPr>
            <w:tcW w:w="922" w:type="pct"/>
            <w:tcBorders>
              <w:bottom w:val="single" w:sz="4" w:space="0" w:color="auto"/>
            </w:tcBorders>
            <w:shd w:val="clear" w:color="auto" w:fill="auto"/>
            <w:vAlign w:val="center"/>
          </w:tcPr>
          <w:p w14:paraId="6C4B5E04"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Anifrolumab 300 mg</w:t>
            </w:r>
          </w:p>
          <w:p w14:paraId="2262B52B"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n/N (%)</w:t>
            </w:r>
          </w:p>
        </w:tc>
        <w:tc>
          <w:tcPr>
            <w:tcW w:w="769" w:type="pct"/>
            <w:tcBorders>
              <w:bottom w:val="single" w:sz="4" w:space="0" w:color="auto"/>
            </w:tcBorders>
            <w:shd w:val="clear" w:color="auto" w:fill="auto"/>
            <w:vAlign w:val="center"/>
          </w:tcPr>
          <w:p w14:paraId="3FCCF3E2"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Placebo (SOC)</w:t>
            </w:r>
          </w:p>
          <w:p w14:paraId="34B506F5"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n/N (%)</w:t>
            </w:r>
          </w:p>
        </w:tc>
        <w:tc>
          <w:tcPr>
            <w:tcW w:w="695" w:type="pct"/>
            <w:tcBorders>
              <w:bottom w:val="single" w:sz="4" w:space="0" w:color="auto"/>
            </w:tcBorders>
            <w:shd w:val="clear" w:color="auto" w:fill="auto"/>
            <w:vAlign w:val="center"/>
          </w:tcPr>
          <w:p w14:paraId="1FD8C763"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RD (95%CI)</w:t>
            </w:r>
          </w:p>
        </w:tc>
        <w:tc>
          <w:tcPr>
            <w:tcW w:w="767" w:type="pct"/>
            <w:tcBorders>
              <w:bottom w:val="single" w:sz="4" w:space="0" w:color="auto"/>
            </w:tcBorders>
            <w:vAlign w:val="center"/>
          </w:tcPr>
          <w:p w14:paraId="5A65E765"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OR (95%CI)</w:t>
            </w:r>
          </w:p>
        </w:tc>
      </w:tr>
      <w:tr w:rsidR="00214181" w:rsidRPr="009941F8" w14:paraId="4FB0ED1B" w14:textId="77777777" w:rsidTr="00F25AA9">
        <w:tc>
          <w:tcPr>
            <w:tcW w:w="5000" w:type="pct"/>
            <w:gridSpan w:val="5"/>
            <w:tcBorders>
              <w:top w:val="nil"/>
              <w:bottom w:val="nil"/>
            </w:tcBorders>
          </w:tcPr>
          <w:p w14:paraId="2E856CF0"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LLDAS (Franklyn 2016)</w:t>
            </w:r>
            <w:r w:rsidRPr="009941F8">
              <w:rPr>
                <w:rFonts w:ascii="Arial Narrow" w:hAnsi="Arial Narrow"/>
                <w:b/>
                <w:sz w:val="20"/>
                <w:szCs w:val="20"/>
                <w:vertAlign w:val="superscript"/>
              </w:rPr>
              <w:t>a</w:t>
            </w:r>
            <w:r w:rsidRPr="009941F8">
              <w:rPr>
                <w:rFonts w:ascii="Arial Narrow" w:hAnsi="Arial Narrow"/>
                <w:b/>
                <w:sz w:val="20"/>
                <w:szCs w:val="20"/>
              </w:rPr>
              <w:t xml:space="preserve"> at Week 52 in TULIP-1/TULIP-2 (pre-specified exploratory) and MUSE (post hoc)</w:t>
            </w:r>
          </w:p>
        </w:tc>
      </w:tr>
      <w:tr w:rsidR="00214181" w:rsidRPr="009941F8" w14:paraId="335B0FEA" w14:textId="77777777" w:rsidTr="00F25AA9">
        <w:tc>
          <w:tcPr>
            <w:tcW w:w="1847" w:type="pct"/>
            <w:tcBorders>
              <w:top w:val="nil"/>
              <w:bottom w:val="nil"/>
            </w:tcBorders>
            <w:shd w:val="clear" w:color="auto" w:fill="auto"/>
          </w:tcPr>
          <w:p w14:paraId="51850E4F" w14:textId="77777777" w:rsidR="00214181" w:rsidRPr="009941F8" w:rsidRDefault="00214181" w:rsidP="00235D09">
            <w:pPr>
              <w:keepNext/>
              <w:jc w:val="left"/>
              <w:rPr>
                <w:rFonts w:ascii="Arial Narrow" w:hAnsi="Arial Narrow"/>
                <w:sz w:val="20"/>
                <w:szCs w:val="20"/>
              </w:rPr>
            </w:pPr>
            <w:r w:rsidRPr="009941F8">
              <w:rPr>
                <w:rFonts w:ascii="Arial Narrow" w:hAnsi="Arial Narrow"/>
                <w:sz w:val="20"/>
                <w:szCs w:val="20"/>
              </w:rPr>
              <w:t>TULIP-1 (original med rules)</w:t>
            </w:r>
            <w:r w:rsidRPr="009941F8">
              <w:rPr>
                <w:rFonts w:ascii="Arial Narrow" w:hAnsi="Arial Narrow"/>
                <w:sz w:val="20"/>
                <w:szCs w:val="20"/>
                <w:vertAlign w:val="superscript"/>
              </w:rPr>
              <w:t>#</w:t>
            </w:r>
            <w:r w:rsidRPr="009941F8">
              <w:rPr>
                <w:rFonts w:ascii="Arial Narrow" w:hAnsi="Arial Narrow"/>
                <w:sz w:val="20"/>
                <w:szCs w:val="20"/>
              </w:rPr>
              <w:t xml:space="preserve"> </w:t>
            </w:r>
            <w:r w:rsidRPr="009941F8">
              <w:rPr>
                <w:rFonts w:ascii="Arial Narrow" w:hAnsi="Arial Narrow"/>
                <w:sz w:val="20"/>
                <w:szCs w:val="20"/>
                <w:vertAlign w:val="superscript"/>
              </w:rPr>
              <w:t>b</w:t>
            </w:r>
            <w:r w:rsidRPr="009941F8">
              <w:rPr>
                <w:rFonts w:ascii="Arial Narrow" w:hAnsi="Arial Narrow"/>
                <w:sz w:val="20"/>
                <w:szCs w:val="20"/>
              </w:rPr>
              <w:t>, 52 wks</w:t>
            </w:r>
          </w:p>
        </w:tc>
        <w:tc>
          <w:tcPr>
            <w:tcW w:w="922" w:type="pct"/>
            <w:tcBorders>
              <w:top w:val="nil"/>
              <w:bottom w:val="nil"/>
            </w:tcBorders>
            <w:shd w:val="clear" w:color="auto" w:fill="auto"/>
            <w:vAlign w:val="center"/>
          </w:tcPr>
          <w:p w14:paraId="7882BCF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27/180 (15.0)</w:t>
            </w:r>
          </w:p>
        </w:tc>
        <w:tc>
          <w:tcPr>
            <w:tcW w:w="769" w:type="pct"/>
            <w:tcBorders>
              <w:top w:val="nil"/>
              <w:bottom w:val="nil"/>
            </w:tcBorders>
            <w:shd w:val="clear" w:color="auto" w:fill="auto"/>
            <w:vAlign w:val="center"/>
          </w:tcPr>
          <w:p w14:paraId="4A977E5C"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19/184 (10.4)</w:t>
            </w:r>
          </w:p>
        </w:tc>
        <w:tc>
          <w:tcPr>
            <w:tcW w:w="695" w:type="pct"/>
            <w:tcBorders>
              <w:top w:val="nil"/>
              <w:bottom w:val="nil"/>
            </w:tcBorders>
            <w:shd w:val="clear" w:color="auto" w:fill="auto"/>
            <w:vAlign w:val="center"/>
          </w:tcPr>
          <w:p w14:paraId="30D75F5F"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4.6 (-2.9, 12.1)</w:t>
            </w:r>
          </w:p>
        </w:tc>
        <w:tc>
          <w:tcPr>
            <w:tcW w:w="767" w:type="pct"/>
            <w:tcBorders>
              <w:top w:val="nil"/>
              <w:bottom w:val="nil"/>
            </w:tcBorders>
            <w:vAlign w:val="center"/>
          </w:tcPr>
          <w:p w14:paraId="5172921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0BBBE21F" w14:textId="77777777" w:rsidTr="00F25AA9">
        <w:tc>
          <w:tcPr>
            <w:tcW w:w="1847" w:type="pct"/>
            <w:tcBorders>
              <w:top w:val="nil"/>
              <w:bottom w:val="nil"/>
            </w:tcBorders>
            <w:shd w:val="clear" w:color="auto" w:fill="auto"/>
          </w:tcPr>
          <w:p w14:paraId="477E4725" w14:textId="77777777" w:rsidR="00214181" w:rsidRPr="009941F8" w:rsidRDefault="00214181" w:rsidP="00235D09">
            <w:pPr>
              <w:keepNext/>
              <w:rPr>
                <w:rFonts w:ascii="Arial Narrow" w:hAnsi="Arial Narrow"/>
                <w:sz w:val="20"/>
                <w:szCs w:val="20"/>
              </w:rPr>
            </w:pPr>
            <w:r w:rsidRPr="009941F8">
              <w:rPr>
                <w:rFonts w:ascii="Arial Narrow" w:hAnsi="Arial Narrow"/>
                <w:sz w:val="20"/>
                <w:szCs w:val="20"/>
              </w:rPr>
              <w:t>TULIP-1 (revised med rules)</w:t>
            </w:r>
            <w:r w:rsidRPr="009941F8">
              <w:rPr>
                <w:rFonts w:ascii="Arial Narrow" w:hAnsi="Arial Narrow"/>
                <w:sz w:val="20"/>
                <w:szCs w:val="20"/>
                <w:vertAlign w:val="superscript"/>
              </w:rPr>
              <w:t># c</w:t>
            </w:r>
            <w:r w:rsidRPr="009941F8">
              <w:rPr>
                <w:rFonts w:ascii="Arial Narrow" w:hAnsi="Arial Narrow"/>
                <w:sz w:val="20"/>
                <w:szCs w:val="20"/>
              </w:rPr>
              <w:t>, 52 wks</w:t>
            </w:r>
          </w:p>
        </w:tc>
        <w:tc>
          <w:tcPr>
            <w:tcW w:w="922" w:type="pct"/>
            <w:tcBorders>
              <w:top w:val="nil"/>
              <w:bottom w:val="nil"/>
            </w:tcBorders>
            <w:shd w:val="clear" w:color="auto" w:fill="auto"/>
            <w:vAlign w:val="center"/>
          </w:tcPr>
          <w:p w14:paraId="527C26B0"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35/180 (19.5)</w:t>
            </w:r>
          </w:p>
        </w:tc>
        <w:tc>
          <w:tcPr>
            <w:tcW w:w="769" w:type="pct"/>
            <w:tcBorders>
              <w:top w:val="nil"/>
              <w:bottom w:val="nil"/>
            </w:tcBorders>
            <w:shd w:val="clear" w:color="auto" w:fill="auto"/>
            <w:vAlign w:val="center"/>
          </w:tcPr>
          <w:p w14:paraId="7FE51C6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22/184 (11.9)</w:t>
            </w:r>
          </w:p>
        </w:tc>
        <w:tc>
          <w:tcPr>
            <w:tcW w:w="695" w:type="pct"/>
            <w:tcBorders>
              <w:top w:val="nil"/>
              <w:bottom w:val="nil"/>
            </w:tcBorders>
            <w:shd w:val="clear" w:color="auto" w:fill="auto"/>
            <w:vAlign w:val="center"/>
          </w:tcPr>
          <w:p w14:paraId="137EAB6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7.6 (-0.4, 15.5)</w:t>
            </w:r>
          </w:p>
        </w:tc>
        <w:tc>
          <w:tcPr>
            <w:tcW w:w="767" w:type="pct"/>
            <w:tcBorders>
              <w:top w:val="nil"/>
              <w:bottom w:val="nil"/>
            </w:tcBorders>
            <w:vAlign w:val="center"/>
          </w:tcPr>
          <w:p w14:paraId="7D825320"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678A9C81" w14:textId="77777777" w:rsidTr="00F25AA9">
        <w:tc>
          <w:tcPr>
            <w:tcW w:w="1847" w:type="pct"/>
            <w:tcBorders>
              <w:top w:val="nil"/>
              <w:bottom w:val="nil"/>
            </w:tcBorders>
            <w:shd w:val="clear" w:color="auto" w:fill="auto"/>
          </w:tcPr>
          <w:p w14:paraId="41DE7D87" w14:textId="77777777" w:rsidR="00214181" w:rsidRPr="009941F8" w:rsidRDefault="00214181" w:rsidP="00235D09">
            <w:pPr>
              <w:keepNext/>
              <w:rPr>
                <w:rFonts w:ascii="Arial Narrow" w:hAnsi="Arial Narrow"/>
                <w:sz w:val="20"/>
                <w:szCs w:val="20"/>
              </w:rPr>
            </w:pPr>
            <w:r w:rsidRPr="009941F8">
              <w:rPr>
                <w:rFonts w:ascii="Arial Narrow" w:hAnsi="Arial Narrow"/>
                <w:sz w:val="20"/>
                <w:szCs w:val="20"/>
              </w:rPr>
              <w:t>TULIP-2</w:t>
            </w:r>
            <w:r w:rsidRPr="009941F8">
              <w:rPr>
                <w:rFonts w:ascii="Arial Narrow" w:hAnsi="Arial Narrow"/>
                <w:sz w:val="20"/>
                <w:szCs w:val="20"/>
                <w:vertAlign w:val="superscript"/>
              </w:rPr>
              <w:t>#</w:t>
            </w:r>
            <w:r w:rsidRPr="009941F8">
              <w:rPr>
                <w:rFonts w:ascii="Arial Narrow" w:hAnsi="Arial Narrow"/>
                <w:sz w:val="20"/>
                <w:szCs w:val="20"/>
              </w:rPr>
              <w:t>, 52 wks</w:t>
            </w:r>
          </w:p>
        </w:tc>
        <w:tc>
          <w:tcPr>
            <w:tcW w:w="922" w:type="pct"/>
            <w:tcBorders>
              <w:top w:val="nil"/>
              <w:bottom w:val="nil"/>
            </w:tcBorders>
            <w:shd w:val="clear" w:color="auto" w:fill="auto"/>
            <w:vAlign w:val="center"/>
          </w:tcPr>
          <w:p w14:paraId="0F827BB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27/180 (14.9)</w:t>
            </w:r>
          </w:p>
        </w:tc>
        <w:tc>
          <w:tcPr>
            <w:tcW w:w="769" w:type="pct"/>
            <w:tcBorders>
              <w:top w:val="nil"/>
              <w:bottom w:val="nil"/>
            </w:tcBorders>
            <w:shd w:val="clear" w:color="auto" w:fill="auto"/>
            <w:vAlign w:val="center"/>
          </w:tcPr>
          <w:p w14:paraId="1BD0BC8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16/182 (8.8)</w:t>
            </w:r>
          </w:p>
        </w:tc>
        <w:tc>
          <w:tcPr>
            <w:tcW w:w="695" w:type="pct"/>
            <w:tcBorders>
              <w:top w:val="nil"/>
              <w:bottom w:val="nil"/>
            </w:tcBorders>
            <w:shd w:val="clear" w:color="auto" w:fill="auto"/>
            <w:vAlign w:val="center"/>
          </w:tcPr>
          <w:p w14:paraId="31DD3E7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6.1 (-1.2, 13.4)</w:t>
            </w:r>
          </w:p>
        </w:tc>
        <w:tc>
          <w:tcPr>
            <w:tcW w:w="767" w:type="pct"/>
            <w:tcBorders>
              <w:top w:val="nil"/>
              <w:bottom w:val="nil"/>
            </w:tcBorders>
            <w:vAlign w:val="center"/>
          </w:tcPr>
          <w:p w14:paraId="0FB32B2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72055D5A" w14:textId="77777777" w:rsidTr="00F25AA9">
        <w:tc>
          <w:tcPr>
            <w:tcW w:w="1847" w:type="pct"/>
            <w:tcBorders>
              <w:top w:val="nil"/>
              <w:bottom w:val="nil"/>
            </w:tcBorders>
            <w:shd w:val="clear" w:color="auto" w:fill="auto"/>
          </w:tcPr>
          <w:p w14:paraId="4BA2E2F2"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w:t>
            </w:r>
            <w:r w:rsidRPr="009941F8">
              <w:rPr>
                <w:rFonts w:ascii="Arial Narrow" w:hAnsi="Arial Narrow"/>
                <w:sz w:val="20"/>
                <w:szCs w:val="20"/>
                <w:vertAlign w:val="superscript"/>
              </w:rPr>
              <w:t>d</w:t>
            </w:r>
            <w:r w:rsidRPr="009941F8">
              <w:rPr>
                <w:rFonts w:ascii="Arial Narrow" w:hAnsi="Arial Narrow"/>
                <w:sz w:val="20"/>
                <w:szCs w:val="20"/>
              </w:rPr>
              <w:t xml:space="preserve"> at 52 wks</w:t>
            </w:r>
          </w:p>
        </w:tc>
        <w:tc>
          <w:tcPr>
            <w:tcW w:w="922" w:type="pct"/>
            <w:tcBorders>
              <w:top w:val="nil"/>
              <w:bottom w:val="nil"/>
            </w:tcBorders>
            <w:shd w:val="clear" w:color="auto" w:fill="auto"/>
            <w:vAlign w:val="center"/>
          </w:tcPr>
          <w:p w14:paraId="42E92ED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62/360 (17.2)</w:t>
            </w:r>
          </w:p>
        </w:tc>
        <w:tc>
          <w:tcPr>
            <w:tcW w:w="769" w:type="pct"/>
            <w:tcBorders>
              <w:top w:val="nil"/>
              <w:bottom w:val="nil"/>
            </w:tcBorders>
            <w:shd w:val="clear" w:color="auto" w:fill="auto"/>
            <w:vAlign w:val="center"/>
          </w:tcPr>
          <w:p w14:paraId="06B6A82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38/366 (10.4)</w:t>
            </w:r>
          </w:p>
        </w:tc>
        <w:tc>
          <w:tcPr>
            <w:tcW w:w="695" w:type="pct"/>
            <w:tcBorders>
              <w:top w:val="nil"/>
              <w:bottom w:val="nil"/>
            </w:tcBorders>
            <w:shd w:val="clear" w:color="auto" w:fill="auto"/>
            <w:vAlign w:val="center"/>
          </w:tcPr>
          <w:p w14:paraId="285E976C"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7 (2, 12)</w:t>
            </w:r>
            <w:r w:rsidRPr="009941F8">
              <w:rPr>
                <w:rFonts w:ascii="Arial Narrow" w:hAnsi="Arial Narrow"/>
                <w:b/>
                <w:sz w:val="20"/>
                <w:szCs w:val="20"/>
                <w:vertAlign w:val="superscript"/>
              </w:rPr>
              <w:t>f</w:t>
            </w:r>
          </w:p>
        </w:tc>
        <w:tc>
          <w:tcPr>
            <w:tcW w:w="767" w:type="pct"/>
            <w:tcBorders>
              <w:top w:val="nil"/>
              <w:bottom w:val="nil"/>
            </w:tcBorders>
            <w:vAlign w:val="center"/>
          </w:tcPr>
          <w:p w14:paraId="4FE3D23D"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1.7 (1.1, 2.4)</w:t>
            </w:r>
            <w:r w:rsidRPr="009941F8">
              <w:rPr>
                <w:rFonts w:ascii="Arial Narrow" w:hAnsi="Arial Narrow"/>
                <w:b/>
                <w:sz w:val="20"/>
                <w:szCs w:val="20"/>
                <w:vertAlign w:val="superscript"/>
              </w:rPr>
              <w:t>f</w:t>
            </w:r>
          </w:p>
        </w:tc>
      </w:tr>
      <w:tr w:rsidR="00214181" w:rsidRPr="009941F8" w14:paraId="0D91D3A3" w14:textId="77777777" w:rsidTr="00F25AA9">
        <w:tc>
          <w:tcPr>
            <w:tcW w:w="1847" w:type="pct"/>
            <w:tcBorders>
              <w:top w:val="nil"/>
              <w:bottom w:val="single" w:sz="4" w:space="0" w:color="auto"/>
            </w:tcBorders>
            <w:shd w:val="clear" w:color="auto" w:fill="auto"/>
          </w:tcPr>
          <w:p w14:paraId="52DB34D0" w14:textId="77777777" w:rsidR="00214181" w:rsidRPr="009941F8" w:rsidRDefault="00214181" w:rsidP="00235D09">
            <w:pPr>
              <w:keepNext/>
              <w:rPr>
                <w:rFonts w:ascii="Arial Narrow" w:hAnsi="Arial Narrow"/>
                <w:sz w:val="20"/>
                <w:szCs w:val="20"/>
              </w:rPr>
            </w:pPr>
            <w:r w:rsidRPr="009941F8">
              <w:rPr>
                <w:rFonts w:ascii="Arial Narrow" w:hAnsi="Arial Narrow"/>
                <w:sz w:val="20"/>
                <w:szCs w:val="20"/>
              </w:rPr>
              <w:t>MUSE (post hoc) at 52 wks</w:t>
            </w:r>
          </w:p>
        </w:tc>
        <w:tc>
          <w:tcPr>
            <w:tcW w:w="922" w:type="pct"/>
            <w:tcBorders>
              <w:top w:val="nil"/>
              <w:bottom w:val="single" w:sz="4" w:space="0" w:color="auto"/>
            </w:tcBorders>
            <w:shd w:val="clear" w:color="auto" w:fill="auto"/>
            <w:vAlign w:val="center"/>
          </w:tcPr>
          <w:p w14:paraId="3E85F7CA"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39/99 (39.4)</w:t>
            </w:r>
          </w:p>
        </w:tc>
        <w:tc>
          <w:tcPr>
            <w:tcW w:w="769" w:type="pct"/>
            <w:tcBorders>
              <w:top w:val="nil"/>
              <w:bottom w:val="single" w:sz="4" w:space="0" w:color="auto"/>
            </w:tcBorders>
            <w:shd w:val="clear" w:color="auto" w:fill="auto"/>
            <w:vAlign w:val="center"/>
          </w:tcPr>
          <w:p w14:paraId="347FCD4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17/102 (16.7)</w:t>
            </w:r>
          </w:p>
        </w:tc>
        <w:tc>
          <w:tcPr>
            <w:tcW w:w="695" w:type="pct"/>
            <w:tcBorders>
              <w:top w:val="nil"/>
              <w:bottom w:val="single" w:sz="4" w:space="0" w:color="auto"/>
            </w:tcBorders>
            <w:shd w:val="clear" w:color="auto" w:fill="auto"/>
            <w:vAlign w:val="center"/>
          </w:tcPr>
          <w:p w14:paraId="25F244C1"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23 (11, 35)</w:t>
            </w:r>
            <w:r w:rsidRPr="009941F8">
              <w:rPr>
                <w:rFonts w:ascii="Arial Narrow" w:hAnsi="Arial Narrow"/>
                <w:b/>
                <w:sz w:val="20"/>
                <w:szCs w:val="20"/>
                <w:vertAlign w:val="superscript"/>
              </w:rPr>
              <w:t>g</w:t>
            </w:r>
          </w:p>
        </w:tc>
        <w:tc>
          <w:tcPr>
            <w:tcW w:w="767" w:type="pct"/>
            <w:tcBorders>
              <w:top w:val="nil"/>
              <w:bottom w:val="single" w:sz="4" w:space="0" w:color="auto"/>
            </w:tcBorders>
            <w:vAlign w:val="center"/>
          </w:tcPr>
          <w:p w14:paraId="5A44698B"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3.41 (1.73, 6.76)</w:t>
            </w:r>
            <w:r w:rsidRPr="009941F8">
              <w:rPr>
                <w:rFonts w:ascii="Arial Narrow" w:hAnsi="Arial Narrow"/>
                <w:b/>
                <w:sz w:val="20"/>
                <w:szCs w:val="20"/>
                <w:vertAlign w:val="superscript"/>
              </w:rPr>
              <w:t>l</w:t>
            </w:r>
          </w:p>
        </w:tc>
      </w:tr>
      <w:tr w:rsidR="00214181" w:rsidRPr="009941F8" w14:paraId="3A9DA0F6" w14:textId="77777777" w:rsidTr="00F25AA9">
        <w:tc>
          <w:tcPr>
            <w:tcW w:w="5000" w:type="pct"/>
            <w:gridSpan w:val="5"/>
            <w:tcBorders>
              <w:top w:val="nil"/>
              <w:bottom w:val="nil"/>
            </w:tcBorders>
            <w:shd w:val="clear" w:color="auto" w:fill="auto"/>
            <w:vAlign w:val="center"/>
          </w:tcPr>
          <w:p w14:paraId="2E70DB66"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LLDAS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at Week 52/208 in TULIP-1/TULIP-2 and TULIP LTE, post hoc</w:t>
            </w:r>
          </w:p>
        </w:tc>
      </w:tr>
      <w:tr w:rsidR="00214181" w:rsidRPr="009941F8" w14:paraId="456AD4B4" w14:textId="77777777" w:rsidTr="00F25AA9">
        <w:tc>
          <w:tcPr>
            <w:tcW w:w="1847" w:type="pct"/>
            <w:tcBorders>
              <w:top w:val="nil"/>
              <w:bottom w:val="nil"/>
            </w:tcBorders>
            <w:shd w:val="clear" w:color="auto" w:fill="auto"/>
            <w:vAlign w:val="center"/>
          </w:tcPr>
          <w:p w14:paraId="4C34CD17" w14:textId="77777777" w:rsidR="00214181" w:rsidRPr="009941F8" w:rsidRDefault="00214181" w:rsidP="00235D09">
            <w:pPr>
              <w:keepNext/>
              <w:rPr>
                <w:rFonts w:ascii="Arial Narrow" w:hAnsi="Arial Narrow"/>
                <w:sz w:val="20"/>
                <w:szCs w:val="20"/>
              </w:rPr>
            </w:pPr>
            <w:r w:rsidRPr="009941F8">
              <w:rPr>
                <w:rFonts w:ascii="Arial Narrow" w:hAnsi="Arial Narrow"/>
                <w:sz w:val="20"/>
                <w:szCs w:val="20"/>
              </w:rPr>
              <w:t>TULIP-1, 52 wks</w:t>
            </w:r>
          </w:p>
        </w:tc>
        <w:tc>
          <w:tcPr>
            <w:tcW w:w="922" w:type="pct"/>
            <w:tcBorders>
              <w:top w:val="nil"/>
              <w:bottom w:val="nil"/>
            </w:tcBorders>
            <w:shd w:val="clear" w:color="auto" w:fill="auto"/>
            <w:vAlign w:val="center"/>
          </w:tcPr>
          <w:p w14:paraId="20ACCF6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58/180 (32.2)</w:t>
            </w:r>
          </w:p>
        </w:tc>
        <w:tc>
          <w:tcPr>
            <w:tcW w:w="769" w:type="pct"/>
            <w:tcBorders>
              <w:top w:val="nil"/>
              <w:bottom w:val="nil"/>
            </w:tcBorders>
            <w:shd w:val="clear" w:color="auto" w:fill="auto"/>
            <w:vAlign w:val="center"/>
          </w:tcPr>
          <w:p w14:paraId="209CCF40"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40/184 (21.7)</w:t>
            </w:r>
          </w:p>
        </w:tc>
        <w:tc>
          <w:tcPr>
            <w:tcW w:w="695" w:type="pct"/>
            <w:tcBorders>
              <w:top w:val="nil"/>
              <w:bottom w:val="nil"/>
            </w:tcBorders>
            <w:shd w:val="clear" w:color="auto" w:fill="auto"/>
            <w:vAlign w:val="center"/>
          </w:tcPr>
          <w:p w14:paraId="3AC78C43"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10 (1, 20)</w:t>
            </w:r>
          </w:p>
        </w:tc>
        <w:tc>
          <w:tcPr>
            <w:tcW w:w="767" w:type="pct"/>
            <w:tcBorders>
              <w:top w:val="nil"/>
              <w:bottom w:val="nil"/>
            </w:tcBorders>
            <w:vAlign w:val="center"/>
          </w:tcPr>
          <w:p w14:paraId="145CC128"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69A5EB2D" w14:textId="77777777" w:rsidTr="00F25AA9">
        <w:tc>
          <w:tcPr>
            <w:tcW w:w="1847" w:type="pct"/>
            <w:tcBorders>
              <w:top w:val="nil"/>
              <w:bottom w:val="nil"/>
            </w:tcBorders>
            <w:shd w:val="clear" w:color="auto" w:fill="auto"/>
            <w:vAlign w:val="center"/>
          </w:tcPr>
          <w:p w14:paraId="2E6EC792" w14:textId="77777777" w:rsidR="00214181" w:rsidRPr="009941F8" w:rsidRDefault="00214181" w:rsidP="00235D09">
            <w:pPr>
              <w:keepNext/>
              <w:rPr>
                <w:rFonts w:ascii="Arial Narrow" w:hAnsi="Arial Narrow"/>
                <w:sz w:val="20"/>
                <w:szCs w:val="20"/>
              </w:rPr>
            </w:pPr>
            <w:r w:rsidRPr="009941F8">
              <w:rPr>
                <w:rFonts w:ascii="Arial Narrow" w:hAnsi="Arial Narrow"/>
                <w:sz w:val="20"/>
                <w:szCs w:val="20"/>
              </w:rPr>
              <w:t>TULIP-2, 52 wks</w:t>
            </w:r>
          </w:p>
        </w:tc>
        <w:tc>
          <w:tcPr>
            <w:tcW w:w="922" w:type="pct"/>
            <w:tcBorders>
              <w:top w:val="nil"/>
              <w:bottom w:val="nil"/>
            </w:tcBorders>
            <w:shd w:val="clear" w:color="auto" w:fill="auto"/>
            <w:vAlign w:val="center"/>
          </w:tcPr>
          <w:p w14:paraId="6AEAFF22" w14:textId="1A3E60FB"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50/180 (27.8</w:t>
            </w:r>
            <w:r w:rsidR="00D7639D" w:rsidRPr="009941F8">
              <w:rPr>
                <w:rFonts w:ascii="Arial Narrow" w:hAnsi="Arial Narrow"/>
                <w:sz w:val="20"/>
                <w:szCs w:val="20"/>
              </w:rPr>
              <w:t>)</w:t>
            </w:r>
          </w:p>
        </w:tc>
        <w:tc>
          <w:tcPr>
            <w:tcW w:w="769" w:type="pct"/>
            <w:tcBorders>
              <w:top w:val="nil"/>
              <w:bottom w:val="nil"/>
            </w:tcBorders>
            <w:shd w:val="clear" w:color="auto" w:fill="auto"/>
            <w:vAlign w:val="center"/>
          </w:tcPr>
          <w:p w14:paraId="544AA60C"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32/182 (17.6)</w:t>
            </w:r>
          </w:p>
        </w:tc>
        <w:tc>
          <w:tcPr>
            <w:tcW w:w="695" w:type="pct"/>
            <w:tcBorders>
              <w:top w:val="nil"/>
              <w:bottom w:val="nil"/>
            </w:tcBorders>
            <w:shd w:val="clear" w:color="auto" w:fill="auto"/>
            <w:vAlign w:val="center"/>
          </w:tcPr>
          <w:p w14:paraId="4ED10D60"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10 (2, 19)</w:t>
            </w:r>
          </w:p>
        </w:tc>
        <w:tc>
          <w:tcPr>
            <w:tcW w:w="767" w:type="pct"/>
            <w:tcBorders>
              <w:top w:val="nil"/>
              <w:bottom w:val="nil"/>
            </w:tcBorders>
            <w:vAlign w:val="center"/>
          </w:tcPr>
          <w:p w14:paraId="44FAEEBF"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5A27FC91" w14:textId="77777777" w:rsidTr="00F25AA9">
        <w:tc>
          <w:tcPr>
            <w:tcW w:w="1847" w:type="pct"/>
            <w:tcBorders>
              <w:top w:val="nil"/>
              <w:bottom w:val="nil"/>
            </w:tcBorders>
            <w:shd w:val="clear" w:color="auto" w:fill="auto"/>
            <w:vAlign w:val="center"/>
          </w:tcPr>
          <w:p w14:paraId="1D3C1CBA"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w:t>
            </w:r>
            <w:r w:rsidRPr="009941F8">
              <w:rPr>
                <w:rFonts w:ascii="Arial Narrow" w:hAnsi="Arial Narrow"/>
                <w:sz w:val="20"/>
                <w:szCs w:val="20"/>
                <w:vertAlign w:val="superscript"/>
              </w:rPr>
              <w:t>d</w:t>
            </w:r>
            <w:r w:rsidRPr="009941F8">
              <w:rPr>
                <w:rFonts w:ascii="Arial Narrow" w:hAnsi="Arial Narrow"/>
                <w:sz w:val="20"/>
                <w:szCs w:val="20"/>
              </w:rPr>
              <w:t xml:space="preserve"> at 52 wks</w:t>
            </w:r>
          </w:p>
        </w:tc>
        <w:tc>
          <w:tcPr>
            <w:tcW w:w="922" w:type="pct"/>
            <w:tcBorders>
              <w:top w:val="nil"/>
              <w:bottom w:val="nil"/>
            </w:tcBorders>
            <w:shd w:val="clear" w:color="auto" w:fill="auto"/>
            <w:vAlign w:val="center"/>
          </w:tcPr>
          <w:p w14:paraId="2626DD5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108/360 (30.0)</w:t>
            </w:r>
          </w:p>
        </w:tc>
        <w:tc>
          <w:tcPr>
            <w:tcW w:w="769" w:type="pct"/>
            <w:tcBorders>
              <w:top w:val="nil"/>
              <w:bottom w:val="nil"/>
            </w:tcBorders>
            <w:shd w:val="clear" w:color="auto" w:fill="auto"/>
            <w:vAlign w:val="center"/>
          </w:tcPr>
          <w:p w14:paraId="3C054CC9"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72/366 (19.6)</w:t>
            </w:r>
          </w:p>
        </w:tc>
        <w:tc>
          <w:tcPr>
            <w:tcW w:w="695" w:type="pct"/>
            <w:tcBorders>
              <w:top w:val="nil"/>
              <w:bottom w:val="nil"/>
            </w:tcBorders>
            <w:shd w:val="clear" w:color="auto" w:fill="auto"/>
            <w:vAlign w:val="center"/>
          </w:tcPr>
          <w:p w14:paraId="325F8520"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10.3 (4.1, 16.6)</w:t>
            </w:r>
          </w:p>
        </w:tc>
        <w:tc>
          <w:tcPr>
            <w:tcW w:w="767" w:type="pct"/>
            <w:tcBorders>
              <w:top w:val="nil"/>
              <w:bottom w:val="nil"/>
            </w:tcBorders>
            <w:vAlign w:val="center"/>
          </w:tcPr>
          <w:p w14:paraId="1582E8C1"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1.8 (1.3, 2.5)</w:t>
            </w:r>
            <w:r w:rsidRPr="009941F8">
              <w:rPr>
                <w:rFonts w:ascii="Arial Narrow" w:hAnsi="Arial Narrow"/>
                <w:b/>
                <w:sz w:val="20"/>
                <w:szCs w:val="20"/>
                <w:vertAlign w:val="superscript"/>
              </w:rPr>
              <w:t>k</w:t>
            </w:r>
          </w:p>
        </w:tc>
      </w:tr>
      <w:tr w:rsidR="00214181" w:rsidRPr="009941F8" w14:paraId="2A088164" w14:textId="77777777" w:rsidTr="00F25AA9">
        <w:tc>
          <w:tcPr>
            <w:tcW w:w="1847" w:type="pct"/>
            <w:tcBorders>
              <w:top w:val="nil"/>
              <w:bottom w:val="nil"/>
            </w:tcBorders>
            <w:shd w:val="clear" w:color="auto" w:fill="auto"/>
            <w:vAlign w:val="center"/>
          </w:tcPr>
          <w:p w14:paraId="4B113951" w14:textId="77777777" w:rsidR="00214181" w:rsidRPr="009941F8" w:rsidRDefault="00214181" w:rsidP="00235D09">
            <w:pPr>
              <w:keepNext/>
              <w:rPr>
                <w:rFonts w:ascii="Arial Narrow" w:hAnsi="Arial Narrow"/>
                <w:sz w:val="20"/>
                <w:szCs w:val="20"/>
              </w:rPr>
            </w:pPr>
            <w:r w:rsidRPr="009941F8">
              <w:rPr>
                <w:rFonts w:ascii="Arial Narrow" w:hAnsi="Arial Narrow"/>
                <w:sz w:val="20"/>
                <w:szCs w:val="20"/>
              </w:rPr>
              <w:t>TULIP-1, 52 wks</w:t>
            </w:r>
          </w:p>
        </w:tc>
        <w:tc>
          <w:tcPr>
            <w:tcW w:w="922" w:type="pct"/>
            <w:tcBorders>
              <w:top w:val="nil"/>
              <w:bottom w:val="nil"/>
            </w:tcBorders>
            <w:shd w:val="clear" w:color="auto" w:fill="auto"/>
            <w:vAlign w:val="center"/>
          </w:tcPr>
          <w:p w14:paraId="6ED0AED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34/124 (27.4)</w:t>
            </w:r>
          </w:p>
        </w:tc>
        <w:tc>
          <w:tcPr>
            <w:tcW w:w="769" w:type="pct"/>
            <w:tcBorders>
              <w:top w:val="nil"/>
              <w:bottom w:val="nil"/>
            </w:tcBorders>
            <w:shd w:val="clear" w:color="auto" w:fill="auto"/>
            <w:vAlign w:val="center"/>
          </w:tcPr>
          <w:p w14:paraId="56CF725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5/61 (8.2)</w:t>
            </w:r>
          </w:p>
        </w:tc>
        <w:tc>
          <w:tcPr>
            <w:tcW w:w="695" w:type="pct"/>
            <w:tcBorders>
              <w:top w:val="nil"/>
              <w:bottom w:val="nil"/>
            </w:tcBorders>
            <w:shd w:val="clear" w:color="auto" w:fill="auto"/>
            <w:vAlign w:val="center"/>
          </w:tcPr>
          <w:p w14:paraId="6F61B14B"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19 (9, 30)</w:t>
            </w:r>
          </w:p>
        </w:tc>
        <w:tc>
          <w:tcPr>
            <w:tcW w:w="767" w:type="pct"/>
            <w:tcBorders>
              <w:top w:val="nil"/>
              <w:bottom w:val="nil"/>
            </w:tcBorders>
            <w:vAlign w:val="center"/>
          </w:tcPr>
          <w:p w14:paraId="11DB6D9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48C276C1" w14:textId="77777777" w:rsidTr="00F25AA9">
        <w:tc>
          <w:tcPr>
            <w:tcW w:w="1847" w:type="pct"/>
            <w:tcBorders>
              <w:top w:val="nil"/>
              <w:bottom w:val="nil"/>
            </w:tcBorders>
            <w:shd w:val="clear" w:color="auto" w:fill="auto"/>
            <w:vAlign w:val="center"/>
          </w:tcPr>
          <w:p w14:paraId="2358A801" w14:textId="1A4E00E1" w:rsidR="00214181" w:rsidRPr="009941F8" w:rsidRDefault="00214181" w:rsidP="00235D09">
            <w:pPr>
              <w:keepNext/>
              <w:rPr>
                <w:rFonts w:ascii="Arial Narrow" w:hAnsi="Arial Narrow"/>
                <w:sz w:val="20"/>
                <w:szCs w:val="20"/>
              </w:rPr>
            </w:pPr>
            <w:r w:rsidRPr="009941F8">
              <w:rPr>
                <w:rFonts w:ascii="Arial Narrow" w:hAnsi="Arial Narrow"/>
                <w:sz w:val="20"/>
                <w:szCs w:val="20"/>
              </w:rPr>
              <w:t xml:space="preserve">TULIP-2, </w:t>
            </w:r>
            <w:r w:rsidR="004D506A">
              <w:rPr>
                <w:rFonts w:ascii="Arial Narrow" w:hAnsi="Arial Narrow"/>
                <w:sz w:val="20"/>
                <w:szCs w:val="20"/>
              </w:rPr>
              <w:t>208</w:t>
            </w:r>
            <w:r w:rsidRPr="009941F8">
              <w:rPr>
                <w:rFonts w:ascii="Arial Narrow" w:hAnsi="Arial Narrow"/>
                <w:sz w:val="20"/>
                <w:szCs w:val="20"/>
              </w:rPr>
              <w:t xml:space="preserve"> wks</w:t>
            </w:r>
          </w:p>
        </w:tc>
        <w:tc>
          <w:tcPr>
            <w:tcW w:w="922" w:type="pct"/>
            <w:tcBorders>
              <w:top w:val="nil"/>
              <w:bottom w:val="nil"/>
            </w:tcBorders>
            <w:shd w:val="clear" w:color="auto" w:fill="auto"/>
            <w:vAlign w:val="center"/>
          </w:tcPr>
          <w:p w14:paraId="1B31FD9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33/133 (24.8)</w:t>
            </w:r>
          </w:p>
        </w:tc>
        <w:tc>
          <w:tcPr>
            <w:tcW w:w="769" w:type="pct"/>
            <w:tcBorders>
              <w:top w:val="nil"/>
              <w:bottom w:val="nil"/>
            </w:tcBorders>
            <w:shd w:val="clear" w:color="auto" w:fill="auto"/>
            <w:vAlign w:val="center"/>
          </w:tcPr>
          <w:p w14:paraId="67D956E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6/51 (11.8)</w:t>
            </w:r>
          </w:p>
        </w:tc>
        <w:tc>
          <w:tcPr>
            <w:tcW w:w="695" w:type="pct"/>
            <w:tcBorders>
              <w:top w:val="nil"/>
              <w:bottom w:val="nil"/>
            </w:tcBorders>
            <w:shd w:val="clear" w:color="auto" w:fill="auto"/>
            <w:vAlign w:val="center"/>
          </w:tcPr>
          <w:p w14:paraId="17E8A53B"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13 (2, 25)</w:t>
            </w:r>
          </w:p>
        </w:tc>
        <w:tc>
          <w:tcPr>
            <w:tcW w:w="767" w:type="pct"/>
            <w:tcBorders>
              <w:top w:val="nil"/>
              <w:bottom w:val="nil"/>
            </w:tcBorders>
            <w:vAlign w:val="center"/>
          </w:tcPr>
          <w:p w14:paraId="531787D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4E56A54B" w14:textId="77777777" w:rsidTr="00F25AA9">
        <w:tc>
          <w:tcPr>
            <w:tcW w:w="1847" w:type="pct"/>
            <w:tcBorders>
              <w:top w:val="nil"/>
              <w:bottom w:val="nil"/>
            </w:tcBorders>
            <w:shd w:val="clear" w:color="auto" w:fill="auto"/>
          </w:tcPr>
          <w:p w14:paraId="6752A06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 at 208 wks</w:t>
            </w:r>
          </w:p>
        </w:tc>
        <w:tc>
          <w:tcPr>
            <w:tcW w:w="922" w:type="pct"/>
            <w:tcBorders>
              <w:top w:val="nil"/>
              <w:bottom w:val="nil"/>
            </w:tcBorders>
            <w:shd w:val="clear" w:color="auto" w:fill="auto"/>
            <w:vAlign w:val="center"/>
          </w:tcPr>
          <w:p w14:paraId="67E17F6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67/257 (26.7)</w:t>
            </w:r>
          </w:p>
        </w:tc>
        <w:tc>
          <w:tcPr>
            <w:tcW w:w="769" w:type="pct"/>
            <w:tcBorders>
              <w:top w:val="nil"/>
              <w:bottom w:val="nil"/>
            </w:tcBorders>
            <w:shd w:val="clear" w:color="auto" w:fill="auto"/>
            <w:vAlign w:val="center"/>
          </w:tcPr>
          <w:p w14:paraId="50E0FA9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11/112 (9.9)</w:t>
            </w:r>
          </w:p>
        </w:tc>
        <w:tc>
          <w:tcPr>
            <w:tcW w:w="695" w:type="pct"/>
            <w:tcBorders>
              <w:top w:val="nil"/>
              <w:bottom w:val="nil"/>
            </w:tcBorders>
            <w:shd w:val="clear" w:color="auto" w:fill="auto"/>
            <w:vAlign w:val="center"/>
          </w:tcPr>
          <w:p w14:paraId="61FA55D6"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16.3 (8.6, 23.9)</w:t>
            </w:r>
          </w:p>
        </w:tc>
        <w:tc>
          <w:tcPr>
            <w:tcW w:w="767" w:type="pct"/>
            <w:tcBorders>
              <w:top w:val="nil"/>
              <w:bottom w:val="nil"/>
            </w:tcBorders>
            <w:vAlign w:val="center"/>
          </w:tcPr>
          <w:p w14:paraId="5BBBCA8F"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3.2 (1.6, 6.4)</w:t>
            </w:r>
            <w:r w:rsidRPr="009941F8">
              <w:rPr>
                <w:rFonts w:ascii="Arial Narrow" w:hAnsi="Arial Narrow"/>
                <w:b/>
                <w:sz w:val="20"/>
                <w:szCs w:val="20"/>
                <w:vertAlign w:val="superscript"/>
              </w:rPr>
              <w:t>k</w:t>
            </w:r>
          </w:p>
        </w:tc>
      </w:tr>
      <w:tr w:rsidR="00214181" w:rsidRPr="009941F8" w14:paraId="149F03FC" w14:textId="77777777" w:rsidTr="00F25AA9">
        <w:tc>
          <w:tcPr>
            <w:tcW w:w="1847" w:type="pct"/>
            <w:tcBorders>
              <w:top w:val="nil"/>
              <w:bottom w:val="single" w:sz="4" w:space="0" w:color="auto"/>
            </w:tcBorders>
            <w:shd w:val="clear" w:color="auto" w:fill="auto"/>
            <w:vAlign w:val="center"/>
          </w:tcPr>
          <w:p w14:paraId="6D1003D0"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(unadjusted</w:t>
            </w:r>
            <w:r w:rsidRPr="009941F8">
              <w:rPr>
                <w:rFonts w:ascii="Arial Narrow" w:hAnsi="Arial Narrow"/>
                <w:sz w:val="20"/>
                <w:szCs w:val="20"/>
                <w:vertAlign w:val="superscript"/>
              </w:rPr>
              <w:t>n</w:t>
            </w:r>
            <w:r w:rsidRPr="009941F8">
              <w:rPr>
                <w:rFonts w:ascii="Arial Narrow" w:hAnsi="Arial Narrow"/>
                <w:sz w:val="20"/>
                <w:szCs w:val="20"/>
              </w:rPr>
              <w:t>)</w:t>
            </w:r>
            <w:r w:rsidRPr="009941F8">
              <w:rPr>
                <w:rFonts w:ascii="Arial Narrow" w:hAnsi="Arial Narrow"/>
                <w:sz w:val="20"/>
                <w:szCs w:val="20"/>
                <w:vertAlign w:val="superscript"/>
              </w:rPr>
              <w:t xml:space="preserve"> </w:t>
            </w:r>
            <w:r w:rsidRPr="009941F8">
              <w:rPr>
                <w:rFonts w:ascii="Arial Narrow" w:hAnsi="Arial Narrow"/>
                <w:sz w:val="20"/>
                <w:szCs w:val="20"/>
              </w:rPr>
              <w:t>at 208 wks</w:t>
            </w:r>
          </w:p>
        </w:tc>
        <w:tc>
          <w:tcPr>
            <w:tcW w:w="922" w:type="pct"/>
            <w:tcBorders>
              <w:top w:val="nil"/>
              <w:bottom w:val="single" w:sz="4" w:space="0" w:color="auto"/>
            </w:tcBorders>
            <w:shd w:val="clear" w:color="auto" w:fill="auto"/>
            <w:vAlign w:val="center"/>
          </w:tcPr>
          <w:p w14:paraId="1A6F2D0A"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55/257 (21.3)</w:t>
            </w:r>
          </w:p>
        </w:tc>
        <w:tc>
          <w:tcPr>
            <w:tcW w:w="769" w:type="pct"/>
            <w:tcBorders>
              <w:top w:val="nil"/>
              <w:bottom w:val="single" w:sz="4" w:space="0" w:color="auto"/>
            </w:tcBorders>
            <w:shd w:val="clear" w:color="auto" w:fill="auto"/>
            <w:vAlign w:val="center"/>
          </w:tcPr>
          <w:p w14:paraId="361F907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10/112 (9.1)</w:t>
            </w:r>
          </w:p>
        </w:tc>
        <w:tc>
          <w:tcPr>
            <w:tcW w:w="695" w:type="pct"/>
            <w:tcBorders>
              <w:top w:val="nil"/>
              <w:bottom w:val="single" w:sz="4" w:space="0" w:color="auto"/>
            </w:tcBorders>
            <w:shd w:val="clear" w:color="auto" w:fill="auto"/>
            <w:vAlign w:val="center"/>
          </w:tcPr>
          <w:p w14:paraId="73F59857"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12 (5, 20)</w:t>
            </w:r>
          </w:p>
        </w:tc>
        <w:tc>
          <w:tcPr>
            <w:tcW w:w="767" w:type="pct"/>
            <w:tcBorders>
              <w:top w:val="nil"/>
              <w:bottom w:val="single" w:sz="4" w:space="0" w:color="auto"/>
            </w:tcBorders>
            <w:vAlign w:val="center"/>
          </w:tcPr>
          <w:p w14:paraId="2FE23885"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2.7 (1.3, 5.6)</w:t>
            </w:r>
            <w:r w:rsidRPr="009941F8">
              <w:rPr>
                <w:rFonts w:ascii="Arial Narrow" w:hAnsi="Arial Narrow"/>
                <w:b/>
                <w:sz w:val="20"/>
                <w:szCs w:val="20"/>
                <w:vertAlign w:val="superscript"/>
              </w:rPr>
              <w:t>m</w:t>
            </w:r>
          </w:p>
        </w:tc>
      </w:tr>
      <w:tr w:rsidR="00214181" w:rsidRPr="009941F8" w14:paraId="4FEECD64" w14:textId="77777777" w:rsidTr="00F25AA9">
        <w:tc>
          <w:tcPr>
            <w:tcW w:w="5000" w:type="pct"/>
            <w:gridSpan w:val="5"/>
            <w:tcBorders>
              <w:top w:val="nil"/>
              <w:bottom w:val="nil"/>
            </w:tcBorders>
            <w:shd w:val="clear" w:color="auto" w:fill="auto"/>
            <w:vAlign w:val="center"/>
          </w:tcPr>
          <w:p w14:paraId="3368A0D5"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%Cumulative time in LLDAS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and LLDAS (by Franklyn 2016) in MUSE, post hoc</w:t>
            </w:r>
          </w:p>
        </w:tc>
      </w:tr>
      <w:tr w:rsidR="00214181" w:rsidRPr="009941F8" w14:paraId="66B91977" w14:textId="77777777" w:rsidTr="00F25AA9">
        <w:tc>
          <w:tcPr>
            <w:tcW w:w="1847" w:type="pct"/>
            <w:tcBorders>
              <w:top w:val="nil"/>
              <w:bottom w:val="nil"/>
            </w:tcBorders>
            <w:shd w:val="clear" w:color="auto" w:fill="auto"/>
          </w:tcPr>
          <w:p w14:paraId="174A5025"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w:t>
            </w:r>
            <w:r w:rsidRPr="009941F8">
              <w:rPr>
                <w:rFonts w:ascii="Arial Narrow" w:hAnsi="Arial Narrow"/>
                <w:sz w:val="20"/>
                <w:szCs w:val="20"/>
                <w:vertAlign w:val="superscript"/>
              </w:rPr>
              <w:t xml:space="preserve"> </w:t>
            </w:r>
            <w:r w:rsidRPr="009941F8">
              <w:rPr>
                <w:rFonts w:ascii="Arial Narrow" w:hAnsi="Arial Narrow"/>
                <w:sz w:val="20"/>
                <w:szCs w:val="20"/>
              </w:rPr>
              <w:t>0-52 wks</w:t>
            </w:r>
          </w:p>
        </w:tc>
        <w:tc>
          <w:tcPr>
            <w:tcW w:w="922" w:type="pct"/>
            <w:tcBorders>
              <w:top w:val="nil"/>
              <w:bottom w:val="nil"/>
            </w:tcBorders>
            <w:shd w:val="clear" w:color="auto" w:fill="auto"/>
            <w:vAlign w:val="center"/>
          </w:tcPr>
          <w:p w14:paraId="18F1549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20.0% (SE 1.34)</w:t>
            </w:r>
          </w:p>
        </w:tc>
        <w:tc>
          <w:tcPr>
            <w:tcW w:w="769" w:type="pct"/>
            <w:tcBorders>
              <w:top w:val="nil"/>
              <w:bottom w:val="nil"/>
            </w:tcBorders>
            <w:shd w:val="clear" w:color="auto" w:fill="auto"/>
            <w:vAlign w:val="center"/>
          </w:tcPr>
          <w:p w14:paraId="7D47D53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11.9% (SE 1.33)</w:t>
            </w:r>
          </w:p>
        </w:tc>
        <w:tc>
          <w:tcPr>
            <w:tcW w:w="695" w:type="pct"/>
            <w:tcBorders>
              <w:top w:val="nil"/>
              <w:bottom w:val="nil"/>
            </w:tcBorders>
            <w:shd w:val="clear" w:color="auto" w:fill="auto"/>
            <w:vAlign w:val="center"/>
          </w:tcPr>
          <w:p w14:paraId="47CB721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7" w:type="pct"/>
            <w:tcBorders>
              <w:top w:val="nil"/>
              <w:bottom w:val="nil"/>
            </w:tcBorders>
            <w:vAlign w:val="center"/>
          </w:tcPr>
          <w:p w14:paraId="62E42DAC"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p&lt;0.0001</w:t>
            </w:r>
            <w:r w:rsidRPr="009941F8">
              <w:rPr>
                <w:rFonts w:ascii="Arial Narrow" w:hAnsi="Arial Narrow"/>
                <w:b/>
                <w:sz w:val="20"/>
                <w:szCs w:val="20"/>
                <w:vertAlign w:val="superscript"/>
              </w:rPr>
              <w:t>k</w:t>
            </w:r>
          </w:p>
        </w:tc>
      </w:tr>
      <w:tr w:rsidR="00214181" w:rsidRPr="009941F8" w14:paraId="5AA23D81" w14:textId="77777777" w:rsidTr="00F25AA9">
        <w:tc>
          <w:tcPr>
            <w:tcW w:w="1847" w:type="pct"/>
            <w:tcBorders>
              <w:top w:val="nil"/>
              <w:bottom w:val="nil"/>
            </w:tcBorders>
            <w:shd w:val="clear" w:color="auto" w:fill="auto"/>
          </w:tcPr>
          <w:p w14:paraId="6612DF57"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w:t>
            </w:r>
            <w:r w:rsidRPr="009941F8">
              <w:rPr>
                <w:rFonts w:ascii="Arial Narrow" w:hAnsi="Arial Narrow"/>
                <w:sz w:val="20"/>
                <w:szCs w:val="20"/>
                <w:vertAlign w:val="superscript"/>
              </w:rPr>
              <w:t xml:space="preserve"> </w:t>
            </w:r>
            <w:r w:rsidRPr="009941F8">
              <w:rPr>
                <w:rFonts w:ascii="Arial Narrow" w:hAnsi="Arial Narrow"/>
                <w:sz w:val="20"/>
                <w:szCs w:val="20"/>
              </w:rPr>
              <w:t>0-208 wks</w:t>
            </w:r>
          </w:p>
        </w:tc>
        <w:tc>
          <w:tcPr>
            <w:tcW w:w="922" w:type="pct"/>
            <w:tcBorders>
              <w:top w:val="nil"/>
              <w:bottom w:val="nil"/>
            </w:tcBorders>
            <w:shd w:val="clear" w:color="auto" w:fill="auto"/>
            <w:vAlign w:val="center"/>
          </w:tcPr>
          <w:p w14:paraId="7D0F092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30.7% (SE 2.11)</w:t>
            </w:r>
          </w:p>
        </w:tc>
        <w:tc>
          <w:tcPr>
            <w:tcW w:w="769" w:type="pct"/>
            <w:tcBorders>
              <w:top w:val="nil"/>
              <w:bottom w:val="nil"/>
            </w:tcBorders>
            <w:shd w:val="clear" w:color="auto" w:fill="auto"/>
            <w:vAlign w:val="center"/>
          </w:tcPr>
          <w:p w14:paraId="44DE593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20.7% (SE 2.91)</w:t>
            </w:r>
          </w:p>
        </w:tc>
        <w:tc>
          <w:tcPr>
            <w:tcW w:w="695" w:type="pct"/>
            <w:tcBorders>
              <w:top w:val="nil"/>
              <w:bottom w:val="nil"/>
            </w:tcBorders>
            <w:shd w:val="clear" w:color="auto" w:fill="auto"/>
            <w:vAlign w:val="center"/>
          </w:tcPr>
          <w:p w14:paraId="211129D6" w14:textId="77777777" w:rsidR="00214181" w:rsidRPr="009941F8" w:rsidRDefault="00214181" w:rsidP="00235D09">
            <w:pPr>
              <w:keepNext/>
              <w:jc w:val="center"/>
              <w:rPr>
                <w:rFonts w:ascii="Arial Narrow" w:hAnsi="Arial Narrow"/>
                <w:sz w:val="20"/>
                <w:szCs w:val="20"/>
              </w:rPr>
            </w:pPr>
            <w:r w:rsidRPr="009941F8">
              <w:rPr>
                <w:rFonts w:ascii="Arial Narrow" w:hAnsi="Arial Narrow"/>
                <w:b/>
                <w:sz w:val="20"/>
                <w:szCs w:val="20"/>
              </w:rPr>
              <w:t>10.0 (3.9, 16.1)</w:t>
            </w:r>
          </w:p>
        </w:tc>
        <w:tc>
          <w:tcPr>
            <w:tcW w:w="767" w:type="pct"/>
            <w:tcBorders>
              <w:top w:val="nil"/>
              <w:bottom w:val="nil"/>
            </w:tcBorders>
            <w:vAlign w:val="center"/>
          </w:tcPr>
          <w:p w14:paraId="2A7EB994"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p=0.0013</w:t>
            </w:r>
            <w:r w:rsidRPr="009941F8">
              <w:rPr>
                <w:rFonts w:ascii="Arial Narrow" w:hAnsi="Arial Narrow"/>
                <w:b/>
                <w:sz w:val="20"/>
                <w:szCs w:val="20"/>
                <w:vertAlign w:val="superscript"/>
              </w:rPr>
              <w:t>k</w:t>
            </w:r>
          </w:p>
        </w:tc>
      </w:tr>
      <w:tr w:rsidR="00214181" w:rsidRPr="009941F8" w14:paraId="1C68E53D" w14:textId="77777777" w:rsidTr="00F25AA9">
        <w:tc>
          <w:tcPr>
            <w:tcW w:w="1847" w:type="pct"/>
            <w:tcBorders>
              <w:top w:val="nil"/>
              <w:bottom w:val="single" w:sz="4" w:space="0" w:color="auto"/>
            </w:tcBorders>
            <w:shd w:val="clear" w:color="auto" w:fill="auto"/>
          </w:tcPr>
          <w:p w14:paraId="1D1E566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MUSE (post hoc) 0-52 weeks</w:t>
            </w:r>
          </w:p>
        </w:tc>
        <w:tc>
          <w:tcPr>
            <w:tcW w:w="922" w:type="pct"/>
            <w:tcBorders>
              <w:top w:val="nil"/>
              <w:bottom w:val="single" w:sz="4" w:space="0" w:color="auto"/>
            </w:tcBorders>
            <w:shd w:val="clear" w:color="auto" w:fill="auto"/>
            <w:vAlign w:val="center"/>
          </w:tcPr>
          <w:p w14:paraId="2FE6884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 xml:space="preserve">24.0% (SD 28.7) </w:t>
            </w:r>
          </w:p>
        </w:tc>
        <w:tc>
          <w:tcPr>
            <w:tcW w:w="769" w:type="pct"/>
            <w:tcBorders>
              <w:top w:val="nil"/>
              <w:bottom w:val="single" w:sz="4" w:space="0" w:color="auto"/>
            </w:tcBorders>
            <w:shd w:val="clear" w:color="auto" w:fill="auto"/>
            <w:vAlign w:val="center"/>
          </w:tcPr>
          <w:p w14:paraId="3A064510"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12.4% (SD 22.0)</w:t>
            </w:r>
          </w:p>
        </w:tc>
        <w:tc>
          <w:tcPr>
            <w:tcW w:w="695" w:type="pct"/>
            <w:tcBorders>
              <w:top w:val="nil"/>
              <w:bottom w:val="single" w:sz="4" w:space="0" w:color="auto"/>
            </w:tcBorders>
            <w:shd w:val="clear" w:color="auto" w:fill="auto"/>
            <w:vAlign w:val="center"/>
          </w:tcPr>
          <w:p w14:paraId="1D943EAC" w14:textId="77777777" w:rsidR="00214181" w:rsidRPr="009941F8" w:rsidRDefault="00214181" w:rsidP="00235D09">
            <w:pPr>
              <w:keepNext/>
              <w:jc w:val="center"/>
              <w:rPr>
                <w:rFonts w:ascii="Arial Narrow" w:hAnsi="Arial Narrow"/>
                <w:sz w:val="20"/>
                <w:szCs w:val="20"/>
              </w:rPr>
            </w:pPr>
            <w:r w:rsidRPr="009941F8">
              <w:rPr>
                <w:rFonts w:ascii="Arial Narrow" w:hAnsi="Arial Narrow"/>
                <w:b/>
                <w:sz w:val="20"/>
                <w:szCs w:val="20"/>
              </w:rPr>
              <w:t>11.6 (4.5, 18.7)</w:t>
            </w:r>
            <w:r w:rsidRPr="009941F8">
              <w:rPr>
                <w:rFonts w:ascii="Arial Narrow" w:hAnsi="Arial Narrow"/>
                <w:b/>
                <w:sz w:val="20"/>
                <w:szCs w:val="20"/>
                <w:vertAlign w:val="superscript"/>
              </w:rPr>
              <w:t>g</w:t>
            </w:r>
          </w:p>
        </w:tc>
        <w:tc>
          <w:tcPr>
            <w:tcW w:w="767" w:type="pct"/>
            <w:tcBorders>
              <w:top w:val="nil"/>
              <w:bottom w:val="single" w:sz="4" w:space="0" w:color="auto"/>
            </w:tcBorders>
            <w:vAlign w:val="center"/>
          </w:tcPr>
          <w:p w14:paraId="5B350760"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r>
      <w:tr w:rsidR="00214181" w:rsidRPr="009941F8" w14:paraId="4C736F7A" w14:textId="77777777" w:rsidTr="00F25AA9">
        <w:tc>
          <w:tcPr>
            <w:tcW w:w="5000" w:type="pct"/>
            <w:gridSpan w:val="5"/>
            <w:tcBorders>
              <w:top w:val="nil"/>
              <w:bottom w:val="nil"/>
            </w:tcBorders>
            <w:shd w:val="clear" w:color="auto" w:fill="auto"/>
            <w:vAlign w:val="center"/>
          </w:tcPr>
          <w:p w14:paraId="7F2F1632"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LLDAS-20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and LLDAS-20 (Franklyn 2016) in MUSE, post hoc</w:t>
            </w:r>
          </w:p>
        </w:tc>
      </w:tr>
      <w:tr w:rsidR="00214181" w:rsidRPr="009941F8" w14:paraId="1371B5C5" w14:textId="77777777" w:rsidTr="00F25AA9">
        <w:tc>
          <w:tcPr>
            <w:tcW w:w="1847" w:type="pct"/>
            <w:tcBorders>
              <w:top w:val="nil"/>
              <w:bottom w:val="nil"/>
            </w:tcBorders>
            <w:shd w:val="clear" w:color="auto" w:fill="auto"/>
          </w:tcPr>
          <w:p w14:paraId="03888A25"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nil"/>
            </w:tcBorders>
            <w:shd w:val="clear" w:color="auto" w:fill="auto"/>
            <w:vAlign w:val="center"/>
          </w:tcPr>
          <w:p w14:paraId="2828535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2E12A07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vAlign w:val="center"/>
          </w:tcPr>
          <w:p w14:paraId="1BA2462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3B6B037D"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2.1 (1.5, 2.9)</w:t>
            </w:r>
            <w:r w:rsidRPr="009941F8">
              <w:rPr>
                <w:rFonts w:ascii="Arial Narrow" w:hAnsi="Arial Narrow"/>
                <w:b/>
                <w:sz w:val="20"/>
                <w:szCs w:val="20"/>
                <w:vertAlign w:val="superscript"/>
              </w:rPr>
              <w:t>k</w:t>
            </w:r>
          </w:p>
        </w:tc>
      </w:tr>
      <w:tr w:rsidR="00214181" w:rsidRPr="009941F8" w14:paraId="68B29800" w14:textId="77777777" w:rsidTr="00F25AA9">
        <w:tc>
          <w:tcPr>
            <w:tcW w:w="1847" w:type="pct"/>
            <w:tcBorders>
              <w:top w:val="nil"/>
              <w:bottom w:val="nil"/>
            </w:tcBorders>
            <w:shd w:val="clear" w:color="auto" w:fill="auto"/>
          </w:tcPr>
          <w:p w14:paraId="0C56F480"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7EEE933C"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136/257 (54.0)</w:t>
            </w:r>
          </w:p>
        </w:tc>
        <w:tc>
          <w:tcPr>
            <w:tcW w:w="769" w:type="pct"/>
            <w:tcBorders>
              <w:top w:val="nil"/>
              <w:bottom w:val="nil"/>
            </w:tcBorders>
            <w:shd w:val="clear" w:color="auto" w:fill="auto"/>
            <w:vAlign w:val="center"/>
          </w:tcPr>
          <w:p w14:paraId="2193629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39/112 (34.8)</w:t>
            </w:r>
          </w:p>
        </w:tc>
        <w:tc>
          <w:tcPr>
            <w:tcW w:w="695" w:type="pct"/>
            <w:tcBorders>
              <w:top w:val="nil"/>
              <w:bottom w:val="nil"/>
            </w:tcBorders>
            <w:shd w:val="clear" w:color="auto" w:fill="auto"/>
            <w:vAlign w:val="center"/>
          </w:tcPr>
          <w:p w14:paraId="2E3A86E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16557D3F"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2.1 (1.3, 3.4)</w:t>
            </w:r>
            <w:r w:rsidRPr="009941F8">
              <w:rPr>
                <w:rFonts w:ascii="Arial Narrow" w:hAnsi="Arial Narrow"/>
                <w:b/>
                <w:sz w:val="20"/>
                <w:szCs w:val="20"/>
                <w:vertAlign w:val="superscript"/>
              </w:rPr>
              <w:t>k</w:t>
            </w:r>
          </w:p>
        </w:tc>
      </w:tr>
      <w:tr w:rsidR="00214181" w:rsidRPr="009941F8" w14:paraId="4AF1FC43" w14:textId="77777777" w:rsidTr="00F25AA9">
        <w:tc>
          <w:tcPr>
            <w:tcW w:w="1847" w:type="pct"/>
            <w:tcBorders>
              <w:top w:val="nil"/>
              <w:bottom w:val="nil"/>
            </w:tcBorders>
            <w:shd w:val="clear" w:color="auto" w:fill="auto"/>
          </w:tcPr>
          <w:p w14:paraId="267E2818"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(unadjusted</w:t>
            </w:r>
            <w:r w:rsidRPr="009941F8">
              <w:rPr>
                <w:rFonts w:ascii="Arial Narrow" w:hAnsi="Arial Narrow"/>
                <w:sz w:val="20"/>
                <w:szCs w:val="20"/>
                <w:vertAlign w:val="superscript"/>
              </w:rPr>
              <w:t>n</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50D4F05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1416233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vAlign w:val="center"/>
          </w:tcPr>
          <w:p w14:paraId="3051990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45683CD1"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2.2 (1.4, 3.5)</w:t>
            </w:r>
            <w:r w:rsidRPr="009941F8">
              <w:rPr>
                <w:rFonts w:ascii="Arial Narrow" w:hAnsi="Arial Narrow"/>
                <w:b/>
                <w:sz w:val="20"/>
                <w:szCs w:val="20"/>
                <w:vertAlign w:val="superscript"/>
              </w:rPr>
              <w:t>m</w:t>
            </w:r>
          </w:p>
        </w:tc>
      </w:tr>
      <w:tr w:rsidR="00214181" w:rsidRPr="009941F8" w14:paraId="58749ABB" w14:textId="77777777" w:rsidTr="00F25AA9">
        <w:tc>
          <w:tcPr>
            <w:tcW w:w="1847" w:type="pct"/>
            <w:tcBorders>
              <w:top w:val="nil"/>
              <w:bottom w:val="single" w:sz="4" w:space="0" w:color="auto"/>
            </w:tcBorders>
            <w:shd w:val="clear" w:color="auto" w:fill="auto"/>
          </w:tcPr>
          <w:p w14:paraId="4067641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MUSE (post hoc) 0-52 wks</w:t>
            </w:r>
          </w:p>
        </w:tc>
        <w:tc>
          <w:tcPr>
            <w:tcW w:w="922" w:type="pct"/>
            <w:tcBorders>
              <w:top w:val="nil"/>
              <w:bottom w:val="single" w:sz="4" w:space="0" w:color="auto"/>
            </w:tcBorders>
            <w:shd w:val="clear" w:color="auto" w:fill="auto"/>
            <w:vAlign w:val="center"/>
          </w:tcPr>
          <w:p w14:paraId="59789B3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44/99 (44.4)</w:t>
            </w:r>
          </w:p>
        </w:tc>
        <w:tc>
          <w:tcPr>
            <w:tcW w:w="769" w:type="pct"/>
            <w:tcBorders>
              <w:top w:val="nil"/>
              <w:bottom w:val="single" w:sz="4" w:space="0" w:color="auto"/>
            </w:tcBorders>
            <w:shd w:val="clear" w:color="auto" w:fill="auto"/>
            <w:vAlign w:val="center"/>
          </w:tcPr>
          <w:p w14:paraId="02E6FE99"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23/102 (22.5)</w:t>
            </w:r>
          </w:p>
        </w:tc>
        <w:tc>
          <w:tcPr>
            <w:tcW w:w="695" w:type="pct"/>
            <w:tcBorders>
              <w:top w:val="nil"/>
              <w:bottom w:val="single" w:sz="4" w:space="0" w:color="auto"/>
            </w:tcBorders>
            <w:shd w:val="clear" w:color="auto" w:fill="auto"/>
            <w:vAlign w:val="center"/>
          </w:tcPr>
          <w:p w14:paraId="72C1EBDA"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1481F3D9"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2.9 (1.5, 5.6)</w:t>
            </w:r>
            <w:r w:rsidRPr="009941F8">
              <w:rPr>
                <w:rFonts w:ascii="Arial Narrow" w:hAnsi="Arial Narrow"/>
                <w:b/>
                <w:sz w:val="20"/>
                <w:szCs w:val="20"/>
                <w:vertAlign w:val="superscript"/>
              </w:rPr>
              <w:t>l</w:t>
            </w:r>
          </w:p>
        </w:tc>
      </w:tr>
      <w:tr w:rsidR="00214181" w:rsidRPr="009941F8" w14:paraId="7AE638E1" w14:textId="77777777" w:rsidTr="00F25AA9">
        <w:tc>
          <w:tcPr>
            <w:tcW w:w="5000" w:type="pct"/>
            <w:gridSpan w:val="5"/>
            <w:tcBorders>
              <w:top w:val="nil"/>
              <w:bottom w:val="nil"/>
            </w:tcBorders>
            <w:shd w:val="clear" w:color="auto" w:fill="auto"/>
            <w:vAlign w:val="center"/>
          </w:tcPr>
          <w:p w14:paraId="0C60DC0B"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LLDSA-50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and LLDAS-20 (Franklyn 2016) in MUSE, post hoc</w:t>
            </w:r>
          </w:p>
        </w:tc>
      </w:tr>
      <w:tr w:rsidR="00214181" w:rsidRPr="009941F8" w14:paraId="138F060F" w14:textId="77777777" w:rsidTr="00F25AA9">
        <w:tc>
          <w:tcPr>
            <w:tcW w:w="1847" w:type="pct"/>
            <w:tcBorders>
              <w:top w:val="nil"/>
              <w:bottom w:val="nil"/>
            </w:tcBorders>
            <w:shd w:val="clear" w:color="auto" w:fill="auto"/>
          </w:tcPr>
          <w:p w14:paraId="6D211A5A"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nil"/>
            </w:tcBorders>
            <w:shd w:val="clear" w:color="auto" w:fill="auto"/>
            <w:vAlign w:val="center"/>
          </w:tcPr>
          <w:p w14:paraId="29FCF06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679F3CB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tcPr>
          <w:p w14:paraId="62E9132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2290440A"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2.6 (1.6, 4.3)</w:t>
            </w:r>
            <w:r w:rsidRPr="009941F8">
              <w:rPr>
                <w:rFonts w:ascii="Arial Narrow" w:hAnsi="Arial Narrow"/>
                <w:b/>
                <w:sz w:val="20"/>
                <w:szCs w:val="20"/>
                <w:vertAlign w:val="superscript"/>
              </w:rPr>
              <w:t>k</w:t>
            </w:r>
          </w:p>
        </w:tc>
      </w:tr>
      <w:tr w:rsidR="00214181" w:rsidRPr="009941F8" w14:paraId="2932B9EB" w14:textId="77777777" w:rsidTr="00F25AA9">
        <w:tc>
          <w:tcPr>
            <w:tcW w:w="1847" w:type="pct"/>
            <w:tcBorders>
              <w:top w:val="nil"/>
              <w:bottom w:val="nil"/>
            </w:tcBorders>
            <w:shd w:val="clear" w:color="auto" w:fill="auto"/>
          </w:tcPr>
          <w:p w14:paraId="70E8196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132482B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68/257 (27.7)</w:t>
            </w:r>
          </w:p>
        </w:tc>
        <w:tc>
          <w:tcPr>
            <w:tcW w:w="769" w:type="pct"/>
            <w:tcBorders>
              <w:top w:val="nil"/>
              <w:bottom w:val="nil"/>
            </w:tcBorders>
            <w:shd w:val="clear" w:color="auto" w:fill="auto"/>
            <w:vAlign w:val="center"/>
          </w:tcPr>
          <w:p w14:paraId="7AB70309"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22/112 (19.1)</w:t>
            </w:r>
          </w:p>
        </w:tc>
        <w:tc>
          <w:tcPr>
            <w:tcW w:w="695" w:type="pct"/>
            <w:tcBorders>
              <w:top w:val="nil"/>
              <w:bottom w:val="nil"/>
            </w:tcBorders>
            <w:shd w:val="clear" w:color="auto" w:fill="auto"/>
          </w:tcPr>
          <w:p w14:paraId="59FC73B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44EF3E38"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1.5 (0.9, 2.7)</w:t>
            </w:r>
            <w:r w:rsidRPr="009941F8">
              <w:rPr>
                <w:rFonts w:ascii="Arial Narrow" w:hAnsi="Arial Narrow"/>
                <w:sz w:val="20"/>
                <w:szCs w:val="20"/>
                <w:vertAlign w:val="superscript"/>
              </w:rPr>
              <w:t>k</w:t>
            </w:r>
          </w:p>
        </w:tc>
      </w:tr>
      <w:tr w:rsidR="00214181" w:rsidRPr="009941F8" w14:paraId="61C7D56F" w14:textId="77777777" w:rsidTr="00F25AA9">
        <w:tc>
          <w:tcPr>
            <w:tcW w:w="1847" w:type="pct"/>
            <w:tcBorders>
              <w:top w:val="nil"/>
              <w:bottom w:val="nil"/>
            </w:tcBorders>
            <w:shd w:val="clear" w:color="auto" w:fill="auto"/>
          </w:tcPr>
          <w:p w14:paraId="1A134277"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(unadjusted</w:t>
            </w:r>
            <w:r w:rsidRPr="009941F8">
              <w:rPr>
                <w:rFonts w:ascii="Arial Narrow" w:hAnsi="Arial Narrow"/>
                <w:sz w:val="20"/>
                <w:szCs w:val="20"/>
                <w:vertAlign w:val="superscript"/>
              </w:rPr>
              <w:t>n</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6FE99DC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7055DCB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tcPr>
          <w:p w14:paraId="29022098"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51A92A4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1.4 (0.8, 2.4)</w:t>
            </w:r>
            <w:r w:rsidRPr="009941F8">
              <w:rPr>
                <w:rFonts w:ascii="Arial Narrow" w:hAnsi="Arial Narrow"/>
                <w:sz w:val="20"/>
                <w:szCs w:val="20"/>
                <w:vertAlign w:val="superscript"/>
              </w:rPr>
              <w:t>m</w:t>
            </w:r>
          </w:p>
        </w:tc>
      </w:tr>
      <w:tr w:rsidR="00214181" w:rsidRPr="009941F8" w14:paraId="13C8CC04" w14:textId="77777777" w:rsidTr="00F25AA9">
        <w:tc>
          <w:tcPr>
            <w:tcW w:w="1847" w:type="pct"/>
            <w:tcBorders>
              <w:top w:val="nil"/>
              <w:bottom w:val="single" w:sz="4" w:space="0" w:color="auto"/>
            </w:tcBorders>
            <w:shd w:val="clear" w:color="auto" w:fill="auto"/>
          </w:tcPr>
          <w:p w14:paraId="4A53F5E4"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MUSE (post hoc) 0-52 wks</w:t>
            </w:r>
          </w:p>
        </w:tc>
        <w:tc>
          <w:tcPr>
            <w:tcW w:w="922" w:type="pct"/>
            <w:tcBorders>
              <w:top w:val="nil"/>
              <w:bottom w:val="single" w:sz="4" w:space="0" w:color="auto"/>
            </w:tcBorders>
            <w:shd w:val="clear" w:color="auto" w:fill="auto"/>
            <w:vAlign w:val="center"/>
          </w:tcPr>
          <w:p w14:paraId="120CFB4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24/99 (24.2)</w:t>
            </w:r>
          </w:p>
        </w:tc>
        <w:tc>
          <w:tcPr>
            <w:tcW w:w="769" w:type="pct"/>
            <w:tcBorders>
              <w:top w:val="nil"/>
              <w:bottom w:val="single" w:sz="4" w:space="0" w:color="auto"/>
            </w:tcBorders>
            <w:shd w:val="clear" w:color="auto" w:fill="auto"/>
            <w:vAlign w:val="center"/>
          </w:tcPr>
          <w:p w14:paraId="170FB4C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10/102 (9.8)</w:t>
            </w:r>
          </w:p>
        </w:tc>
        <w:tc>
          <w:tcPr>
            <w:tcW w:w="695" w:type="pct"/>
            <w:tcBorders>
              <w:top w:val="nil"/>
              <w:bottom w:val="single" w:sz="4" w:space="0" w:color="auto"/>
            </w:tcBorders>
            <w:shd w:val="clear" w:color="auto" w:fill="auto"/>
          </w:tcPr>
          <w:p w14:paraId="5096C05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425D63C1"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3.0 (1.3, 6.9)</w:t>
            </w:r>
            <w:r w:rsidRPr="009941F8">
              <w:rPr>
                <w:rFonts w:ascii="Arial Narrow" w:hAnsi="Arial Narrow"/>
                <w:b/>
                <w:sz w:val="20"/>
                <w:szCs w:val="20"/>
                <w:vertAlign w:val="superscript"/>
              </w:rPr>
              <w:t>l</w:t>
            </w:r>
          </w:p>
        </w:tc>
      </w:tr>
      <w:tr w:rsidR="00214181" w:rsidRPr="009941F8" w14:paraId="65463079" w14:textId="77777777" w:rsidTr="00F25AA9">
        <w:tc>
          <w:tcPr>
            <w:tcW w:w="5000" w:type="pct"/>
            <w:gridSpan w:val="5"/>
            <w:tcBorders>
              <w:top w:val="nil"/>
              <w:bottom w:val="nil"/>
            </w:tcBorders>
            <w:shd w:val="clear" w:color="auto" w:fill="auto"/>
            <w:vAlign w:val="center"/>
          </w:tcPr>
          <w:p w14:paraId="19477452"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LLDAS-70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and LLDAS-20 (Franklyn 2016) in MUSE, post hoc</w:t>
            </w:r>
          </w:p>
        </w:tc>
      </w:tr>
      <w:tr w:rsidR="00214181" w:rsidRPr="009941F8" w14:paraId="1C7BE752" w14:textId="77777777" w:rsidTr="00F25AA9">
        <w:tc>
          <w:tcPr>
            <w:tcW w:w="1847" w:type="pct"/>
            <w:tcBorders>
              <w:top w:val="nil"/>
              <w:bottom w:val="nil"/>
            </w:tcBorders>
            <w:shd w:val="clear" w:color="auto" w:fill="auto"/>
          </w:tcPr>
          <w:p w14:paraId="50BE851F"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nil"/>
            </w:tcBorders>
            <w:shd w:val="clear" w:color="auto" w:fill="auto"/>
            <w:vAlign w:val="center"/>
          </w:tcPr>
          <w:p w14:paraId="3805D71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53189B1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tcPr>
          <w:p w14:paraId="72029B1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6905BEF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3.0 (0.9, 9.7)</w:t>
            </w:r>
            <w:r w:rsidRPr="009941F8">
              <w:rPr>
                <w:rFonts w:ascii="Arial Narrow" w:hAnsi="Arial Narrow"/>
                <w:sz w:val="20"/>
                <w:szCs w:val="20"/>
                <w:vertAlign w:val="superscript"/>
              </w:rPr>
              <w:t>k</w:t>
            </w:r>
          </w:p>
        </w:tc>
      </w:tr>
      <w:tr w:rsidR="00214181" w:rsidRPr="009941F8" w14:paraId="39BA693A" w14:textId="77777777" w:rsidTr="00F25AA9">
        <w:tc>
          <w:tcPr>
            <w:tcW w:w="1847" w:type="pct"/>
            <w:tcBorders>
              <w:top w:val="nil"/>
              <w:bottom w:val="nil"/>
            </w:tcBorders>
            <w:shd w:val="clear" w:color="auto" w:fill="auto"/>
          </w:tcPr>
          <w:p w14:paraId="5865E33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57CBB30A"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25/257 (10.9)</w:t>
            </w:r>
          </w:p>
        </w:tc>
        <w:tc>
          <w:tcPr>
            <w:tcW w:w="769" w:type="pct"/>
            <w:tcBorders>
              <w:top w:val="nil"/>
              <w:bottom w:val="nil"/>
            </w:tcBorders>
            <w:shd w:val="clear" w:color="auto" w:fill="auto"/>
            <w:vAlign w:val="center"/>
          </w:tcPr>
          <w:p w14:paraId="3CA0679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8/112 (7.5)</w:t>
            </w:r>
          </w:p>
        </w:tc>
        <w:tc>
          <w:tcPr>
            <w:tcW w:w="695" w:type="pct"/>
            <w:tcBorders>
              <w:top w:val="nil"/>
              <w:bottom w:val="nil"/>
            </w:tcBorders>
            <w:shd w:val="clear" w:color="auto" w:fill="auto"/>
          </w:tcPr>
          <w:p w14:paraId="70B2E75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1A61EC7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1.4 (0.6, 3.3)</w:t>
            </w:r>
            <w:r w:rsidRPr="009941F8">
              <w:rPr>
                <w:rFonts w:ascii="Arial Narrow" w:hAnsi="Arial Narrow"/>
                <w:sz w:val="20"/>
                <w:szCs w:val="20"/>
                <w:vertAlign w:val="superscript"/>
              </w:rPr>
              <w:t>k</w:t>
            </w:r>
          </w:p>
        </w:tc>
      </w:tr>
      <w:tr w:rsidR="00214181" w:rsidRPr="009941F8" w14:paraId="413928EC" w14:textId="77777777" w:rsidTr="00F25AA9">
        <w:tc>
          <w:tcPr>
            <w:tcW w:w="1847" w:type="pct"/>
            <w:tcBorders>
              <w:top w:val="nil"/>
              <w:bottom w:val="single" w:sz="4" w:space="0" w:color="auto"/>
            </w:tcBorders>
            <w:shd w:val="clear" w:color="auto" w:fill="auto"/>
          </w:tcPr>
          <w:p w14:paraId="3F63AC8A"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MUSE (post hoc) 0-52 wks</w:t>
            </w:r>
          </w:p>
        </w:tc>
        <w:tc>
          <w:tcPr>
            <w:tcW w:w="922" w:type="pct"/>
            <w:tcBorders>
              <w:top w:val="nil"/>
              <w:bottom w:val="single" w:sz="4" w:space="0" w:color="auto"/>
            </w:tcBorders>
            <w:shd w:val="clear" w:color="auto" w:fill="auto"/>
            <w:vAlign w:val="center"/>
          </w:tcPr>
          <w:p w14:paraId="6DDEF52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10/99 (10.1)</w:t>
            </w:r>
          </w:p>
        </w:tc>
        <w:tc>
          <w:tcPr>
            <w:tcW w:w="769" w:type="pct"/>
            <w:tcBorders>
              <w:top w:val="nil"/>
              <w:bottom w:val="single" w:sz="4" w:space="0" w:color="auto"/>
            </w:tcBorders>
            <w:shd w:val="clear" w:color="auto" w:fill="auto"/>
            <w:vAlign w:val="center"/>
          </w:tcPr>
          <w:p w14:paraId="1D6F12B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4/102 (3.9)</w:t>
            </w:r>
          </w:p>
        </w:tc>
        <w:tc>
          <w:tcPr>
            <w:tcW w:w="695" w:type="pct"/>
            <w:tcBorders>
              <w:top w:val="nil"/>
              <w:bottom w:val="single" w:sz="4" w:space="0" w:color="auto"/>
            </w:tcBorders>
            <w:shd w:val="clear" w:color="auto" w:fill="auto"/>
          </w:tcPr>
          <w:p w14:paraId="492E9A0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1BD7CF5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2.8 (0.8, 9.6)</w:t>
            </w:r>
            <w:r w:rsidRPr="009941F8">
              <w:rPr>
                <w:rFonts w:ascii="Arial Narrow" w:hAnsi="Arial Narrow"/>
                <w:sz w:val="20"/>
                <w:szCs w:val="20"/>
                <w:vertAlign w:val="superscript"/>
              </w:rPr>
              <w:t>l</w:t>
            </w:r>
          </w:p>
        </w:tc>
      </w:tr>
      <w:tr w:rsidR="00214181" w:rsidRPr="009941F8" w14:paraId="64251CFA" w14:textId="77777777" w:rsidTr="00F25AA9">
        <w:tc>
          <w:tcPr>
            <w:tcW w:w="5000" w:type="pct"/>
            <w:gridSpan w:val="5"/>
            <w:tcBorders>
              <w:top w:val="nil"/>
              <w:bottom w:val="nil"/>
            </w:tcBorders>
            <w:shd w:val="clear" w:color="auto" w:fill="auto"/>
            <w:vAlign w:val="center"/>
          </w:tcPr>
          <w:p w14:paraId="48E3BF0C"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≥3 consecutive visits in LLDAS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post hoc</w:t>
            </w:r>
          </w:p>
        </w:tc>
      </w:tr>
      <w:tr w:rsidR="00214181" w:rsidRPr="009941F8" w14:paraId="671BD734" w14:textId="77777777" w:rsidTr="00F25AA9">
        <w:tc>
          <w:tcPr>
            <w:tcW w:w="1847" w:type="pct"/>
            <w:tcBorders>
              <w:top w:val="nil"/>
              <w:bottom w:val="nil"/>
            </w:tcBorders>
            <w:shd w:val="clear" w:color="auto" w:fill="auto"/>
          </w:tcPr>
          <w:p w14:paraId="7ED5990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nil"/>
            </w:tcBorders>
            <w:shd w:val="clear" w:color="auto" w:fill="auto"/>
            <w:vAlign w:val="center"/>
          </w:tcPr>
          <w:p w14:paraId="635DA00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19D1F73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tcPr>
          <w:p w14:paraId="27054F9F"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11CC566A"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2.0 (1.4, 2.8)</w:t>
            </w:r>
            <w:r w:rsidRPr="009941F8">
              <w:rPr>
                <w:rFonts w:ascii="Arial Narrow" w:hAnsi="Arial Narrow"/>
                <w:b/>
                <w:sz w:val="20"/>
                <w:szCs w:val="20"/>
                <w:vertAlign w:val="superscript"/>
              </w:rPr>
              <w:t>k</w:t>
            </w:r>
          </w:p>
        </w:tc>
      </w:tr>
      <w:tr w:rsidR="00214181" w:rsidRPr="009941F8" w14:paraId="66762C63" w14:textId="77777777" w:rsidTr="00F25AA9">
        <w:tc>
          <w:tcPr>
            <w:tcW w:w="1847" w:type="pct"/>
            <w:tcBorders>
              <w:top w:val="nil"/>
              <w:bottom w:val="nil"/>
            </w:tcBorders>
            <w:shd w:val="clear" w:color="auto" w:fill="auto"/>
          </w:tcPr>
          <w:p w14:paraId="321BD6A9"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7106D30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128/257 (50.9)</w:t>
            </w:r>
          </w:p>
        </w:tc>
        <w:tc>
          <w:tcPr>
            <w:tcW w:w="769" w:type="pct"/>
            <w:tcBorders>
              <w:top w:val="nil"/>
              <w:bottom w:val="nil"/>
            </w:tcBorders>
            <w:shd w:val="clear" w:color="auto" w:fill="auto"/>
            <w:vAlign w:val="center"/>
          </w:tcPr>
          <w:p w14:paraId="2DDAB83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40/112 (36.0)</w:t>
            </w:r>
          </w:p>
        </w:tc>
        <w:tc>
          <w:tcPr>
            <w:tcW w:w="695" w:type="pct"/>
            <w:tcBorders>
              <w:top w:val="nil"/>
              <w:bottom w:val="nil"/>
            </w:tcBorders>
            <w:shd w:val="clear" w:color="auto" w:fill="auto"/>
          </w:tcPr>
          <w:p w14:paraId="3ADAF060"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7C446225"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1.8 (1.1, 2.9)</w:t>
            </w:r>
            <w:r w:rsidRPr="009941F8">
              <w:rPr>
                <w:rFonts w:ascii="Arial Narrow" w:hAnsi="Arial Narrow"/>
                <w:b/>
                <w:sz w:val="20"/>
                <w:szCs w:val="20"/>
                <w:vertAlign w:val="superscript"/>
              </w:rPr>
              <w:t>k</w:t>
            </w:r>
          </w:p>
        </w:tc>
      </w:tr>
      <w:tr w:rsidR="00214181" w:rsidRPr="009941F8" w14:paraId="446355E8" w14:textId="77777777" w:rsidTr="00F25AA9">
        <w:tc>
          <w:tcPr>
            <w:tcW w:w="1847" w:type="pct"/>
            <w:tcBorders>
              <w:top w:val="nil"/>
              <w:bottom w:val="single" w:sz="4" w:space="0" w:color="auto"/>
            </w:tcBorders>
            <w:shd w:val="clear" w:color="auto" w:fill="auto"/>
          </w:tcPr>
          <w:p w14:paraId="5E91B10C"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(unadjusted</w:t>
            </w:r>
            <w:r w:rsidRPr="009941F8">
              <w:rPr>
                <w:rFonts w:ascii="Arial Narrow" w:hAnsi="Arial Narrow"/>
                <w:sz w:val="20"/>
                <w:szCs w:val="20"/>
                <w:vertAlign w:val="superscript"/>
              </w:rPr>
              <w:t>n</w:t>
            </w:r>
            <w:r w:rsidRPr="009941F8">
              <w:rPr>
                <w:rFonts w:ascii="Arial Narrow" w:hAnsi="Arial Narrow"/>
                <w:sz w:val="20"/>
                <w:szCs w:val="20"/>
              </w:rPr>
              <w:t>) 0-208 wks</w:t>
            </w:r>
          </w:p>
        </w:tc>
        <w:tc>
          <w:tcPr>
            <w:tcW w:w="922" w:type="pct"/>
            <w:tcBorders>
              <w:top w:val="nil"/>
              <w:bottom w:val="single" w:sz="4" w:space="0" w:color="auto"/>
            </w:tcBorders>
            <w:shd w:val="clear" w:color="auto" w:fill="auto"/>
            <w:vAlign w:val="center"/>
          </w:tcPr>
          <w:p w14:paraId="1642067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 (49.4)</w:t>
            </w:r>
          </w:p>
        </w:tc>
        <w:tc>
          <w:tcPr>
            <w:tcW w:w="769" w:type="pct"/>
            <w:tcBorders>
              <w:top w:val="nil"/>
              <w:bottom w:val="single" w:sz="4" w:space="0" w:color="auto"/>
            </w:tcBorders>
            <w:shd w:val="clear" w:color="auto" w:fill="auto"/>
            <w:vAlign w:val="center"/>
          </w:tcPr>
          <w:p w14:paraId="7DFE7BF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 (35.1)</w:t>
            </w:r>
          </w:p>
        </w:tc>
        <w:tc>
          <w:tcPr>
            <w:tcW w:w="695" w:type="pct"/>
            <w:tcBorders>
              <w:top w:val="nil"/>
              <w:bottom w:val="single" w:sz="4" w:space="0" w:color="auto"/>
            </w:tcBorders>
            <w:shd w:val="clear" w:color="auto" w:fill="auto"/>
          </w:tcPr>
          <w:p w14:paraId="26E674D2"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721C57DB"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1.8 (1.1, 2.8)</w:t>
            </w:r>
            <w:r w:rsidRPr="009941F8">
              <w:rPr>
                <w:rFonts w:ascii="Arial Narrow" w:hAnsi="Arial Narrow"/>
                <w:b/>
                <w:sz w:val="20"/>
                <w:szCs w:val="20"/>
                <w:vertAlign w:val="superscript"/>
              </w:rPr>
              <w:t>m</w:t>
            </w:r>
          </w:p>
        </w:tc>
      </w:tr>
      <w:tr w:rsidR="00214181" w:rsidRPr="009941F8" w14:paraId="01CF8013" w14:textId="77777777" w:rsidTr="00F25AA9">
        <w:tc>
          <w:tcPr>
            <w:tcW w:w="5000" w:type="pct"/>
            <w:gridSpan w:val="5"/>
            <w:tcBorders>
              <w:top w:val="nil"/>
              <w:bottom w:val="nil"/>
            </w:tcBorders>
            <w:shd w:val="clear" w:color="auto" w:fill="auto"/>
            <w:vAlign w:val="center"/>
          </w:tcPr>
          <w:p w14:paraId="31E38E1B"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≥5 consecutive visits in LLDAS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and LLDAS (Franklyn 2016) in MUSE, post hoc</w:t>
            </w:r>
          </w:p>
        </w:tc>
      </w:tr>
      <w:tr w:rsidR="00214181" w:rsidRPr="009941F8" w14:paraId="451A52C4" w14:textId="77777777" w:rsidTr="00F25AA9">
        <w:tc>
          <w:tcPr>
            <w:tcW w:w="1847" w:type="pct"/>
            <w:tcBorders>
              <w:top w:val="nil"/>
              <w:bottom w:val="nil"/>
            </w:tcBorders>
            <w:shd w:val="clear" w:color="auto" w:fill="auto"/>
          </w:tcPr>
          <w:p w14:paraId="1070F959"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nil"/>
            </w:tcBorders>
            <w:shd w:val="clear" w:color="auto" w:fill="auto"/>
            <w:vAlign w:val="center"/>
          </w:tcPr>
          <w:p w14:paraId="591A97C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6C3CE8C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tcPr>
          <w:p w14:paraId="77BC2649"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0815BDAD"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2.1 (1.4, 3.3)</w:t>
            </w:r>
            <w:r w:rsidRPr="009941F8">
              <w:rPr>
                <w:rFonts w:ascii="Arial Narrow" w:hAnsi="Arial Narrow"/>
                <w:b/>
                <w:sz w:val="20"/>
                <w:szCs w:val="20"/>
                <w:vertAlign w:val="superscript"/>
              </w:rPr>
              <w:t>k</w:t>
            </w:r>
          </w:p>
        </w:tc>
      </w:tr>
      <w:tr w:rsidR="00214181" w:rsidRPr="009941F8" w14:paraId="174D34D1" w14:textId="77777777" w:rsidTr="00F25AA9">
        <w:tc>
          <w:tcPr>
            <w:tcW w:w="1847" w:type="pct"/>
            <w:tcBorders>
              <w:top w:val="nil"/>
              <w:bottom w:val="single" w:sz="4" w:space="0" w:color="auto"/>
            </w:tcBorders>
            <w:shd w:val="clear" w:color="auto" w:fill="auto"/>
          </w:tcPr>
          <w:p w14:paraId="1DE5F688"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w:t>
            </w:r>
            <w:r w:rsidRPr="009941F8">
              <w:rPr>
                <w:rFonts w:ascii="Arial Narrow" w:hAnsi="Arial Narrow"/>
                <w:sz w:val="20"/>
                <w:szCs w:val="20"/>
                <w:vertAlign w:val="superscript"/>
              </w:rPr>
              <w:t>d</w:t>
            </w:r>
            <w:r w:rsidRPr="009941F8">
              <w:rPr>
                <w:rFonts w:ascii="Arial Narrow" w:hAnsi="Arial Narrow"/>
                <w:sz w:val="20"/>
                <w:szCs w:val="20"/>
              </w:rPr>
              <w:t xml:space="preserve"> 0-208 wks</w:t>
            </w:r>
          </w:p>
        </w:tc>
        <w:tc>
          <w:tcPr>
            <w:tcW w:w="922" w:type="pct"/>
            <w:tcBorders>
              <w:top w:val="nil"/>
              <w:bottom w:val="single" w:sz="4" w:space="0" w:color="auto"/>
            </w:tcBorders>
            <w:shd w:val="clear" w:color="auto" w:fill="auto"/>
            <w:vAlign w:val="center"/>
          </w:tcPr>
          <w:p w14:paraId="1A2F844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80/257 (32.9)</w:t>
            </w:r>
          </w:p>
        </w:tc>
        <w:tc>
          <w:tcPr>
            <w:tcW w:w="769" w:type="pct"/>
            <w:tcBorders>
              <w:top w:val="nil"/>
              <w:bottom w:val="single" w:sz="4" w:space="0" w:color="auto"/>
            </w:tcBorders>
            <w:shd w:val="clear" w:color="auto" w:fill="auto"/>
            <w:vAlign w:val="center"/>
          </w:tcPr>
          <w:p w14:paraId="2BF1FBC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24/112 (21.1)</w:t>
            </w:r>
          </w:p>
        </w:tc>
        <w:tc>
          <w:tcPr>
            <w:tcW w:w="695" w:type="pct"/>
            <w:tcBorders>
              <w:top w:val="nil"/>
              <w:bottom w:val="single" w:sz="4" w:space="0" w:color="auto"/>
            </w:tcBorders>
            <w:shd w:val="clear" w:color="auto" w:fill="auto"/>
          </w:tcPr>
          <w:p w14:paraId="7D5490F3"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3049B90F"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1.7 (1.0, 2.9)</w:t>
            </w:r>
            <w:r w:rsidRPr="009941F8">
              <w:rPr>
                <w:rFonts w:ascii="Arial Narrow" w:hAnsi="Arial Narrow"/>
                <w:b/>
                <w:sz w:val="20"/>
                <w:szCs w:val="20"/>
                <w:vertAlign w:val="superscript"/>
              </w:rPr>
              <w:t>k</w:t>
            </w:r>
          </w:p>
        </w:tc>
      </w:tr>
      <w:tr w:rsidR="00214181" w:rsidRPr="009941F8" w14:paraId="6EDE98F4" w14:textId="77777777" w:rsidTr="00F25AA9">
        <w:tc>
          <w:tcPr>
            <w:tcW w:w="1847" w:type="pct"/>
            <w:tcBorders>
              <w:top w:val="nil"/>
              <w:bottom w:val="nil"/>
            </w:tcBorders>
            <w:shd w:val="clear" w:color="auto" w:fill="auto"/>
          </w:tcPr>
          <w:p w14:paraId="07EFEA87"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(unadjusted</w:t>
            </w:r>
            <w:r w:rsidRPr="009941F8">
              <w:rPr>
                <w:rFonts w:ascii="Arial Narrow" w:hAnsi="Arial Narrow"/>
                <w:sz w:val="20"/>
                <w:szCs w:val="20"/>
                <w:vertAlign w:val="superscript"/>
              </w:rPr>
              <w:t>n</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1A05042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(32.6)</w:t>
            </w:r>
          </w:p>
        </w:tc>
        <w:tc>
          <w:tcPr>
            <w:tcW w:w="769" w:type="pct"/>
            <w:tcBorders>
              <w:top w:val="nil"/>
              <w:bottom w:val="nil"/>
            </w:tcBorders>
            <w:shd w:val="clear" w:color="auto" w:fill="auto"/>
            <w:vAlign w:val="center"/>
          </w:tcPr>
          <w:p w14:paraId="4D7D0E1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(20.1)</w:t>
            </w:r>
          </w:p>
        </w:tc>
        <w:tc>
          <w:tcPr>
            <w:tcW w:w="695" w:type="pct"/>
            <w:tcBorders>
              <w:top w:val="nil"/>
              <w:bottom w:val="nil"/>
            </w:tcBorders>
            <w:shd w:val="clear" w:color="auto" w:fill="auto"/>
          </w:tcPr>
          <w:p w14:paraId="5192F5A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0DE6EB53"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1.8 (1.0, 3.1)</w:t>
            </w:r>
            <w:r w:rsidRPr="009941F8">
              <w:rPr>
                <w:rFonts w:ascii="Arial Narrow" w:hAnsi="Arial Narrow"/>
                <w:b/>
                <w:sz w:val="20"/>
                <w:szCs w:val="20"/>
                <w:vertAlign w:val="superscript"/>
              </w:rPr>
              <w:t>m</w:t>
            </w:r>
          </w:p>
        </w:tc>
      </w:tr>
      <w:tr w:rsidR="00214181" w:rsidRPr="009941F8" w14:paraId="3CC99833" w14:textId="77777777" w:rsidTr="00F25AA9">
        <w:tc>
          <w:tcPr>
            <w:tcW w:w="1847" w:type="pct"/>
            <w:tcBorders>
              <w:top w:val="nil"/>
              <w:bottom w:val="single" w:sz="4" w:space="0" w:color="auto"/>
            </w:tcBorders>
            <w:shd w:val="clear" w:color="auto" w:fill="auto"/>
          </w:tcPr>
          <w:p w14:paraId="6C9EC59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MUSE (post hoc) 0-52 wks</w:t>
            </w:r>
          </w:p>
        </w:tc>
        <w:tc>
          <w:tcPr>
            <w:tcW w:w="922" w:type="pct"/>
            <w:tcBorders>
              <w:top w:val="nil"/>
              <w:bottom w:val="single" w:sz="4" w:space="0" w:color="auto"/>
            </w:tcBorders>
            <w:shd w:val="clear" w:color="auto" w:fill="auto"/>
            <w:vAlign w:val="center"/>
          </w:tcPr>
          <w:p w14:paraId="22103DB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22/99 (22.2)</w:t>
            </w:r>
          </w:p>
        </w:tc>
        <w:tc>
          <w:tcPr>
            <w:tcW w:w="769" w:type="pct"/>
            <w:tcBorders>
              <w:top w:val="nil"/>
              <w:bottom w:val="single" w:sz="4" w:space="0" w:color="auto"/>
            </w:tcBorders>
            <w:shd w:val="clear" w:color="auto" w:fill="auto"/>
            <w:vAlign w:val="center"/>
          </w:tcPr>
          <w:p w14:paraId="641BED3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12/102 (11.8)</w:t>
            </w:r>
          </w:p>
        </w:tc>
        <w:tc>
          <w:tcPr>
            <w:tcW w:w="695" w:type="pct"/>
            <w:tcBorders>
              <w:top w:val="nil"/>
              <w:bottom w:val="single" w:sz="4" w:space="0" w:color="auto"/>
            </w:tcBorders>
            <w:shd w:val="clear" w:color="auto" w:fill="auto"/>
          </w:tcPr>
          <w:p w14:paraId="1E694EF9"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49076C11"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2.3 (1.0, 4.9)</w:t>
            </w:r>
            <w:r w:rsidRPr="009941F8">
              <w:rPr>
                <w:rFonts w:ascii="Arial Narrow" w:hAnsi="Arial Narrow"/>
                <w:b/>
                <w:sz w:val="20"/>
                <w:szCs w:val="20"/>
                <w:vertAlign w:val="superscript"/>
              </w:rPr>
              <w:t>l</w:t>
            </w:r>
          </w:p>
        </w:tc>
      </w:tr>
      <w:tr w:rsidR="00214181" w:rsidRPr="009941F8" w14:paraId="73B58656" w14:textId="77777777" w:rsidTr="00F25AA9">
        <w:tc>
          <w:tcPr>
            <w:tcW w:w="5000" w:type="pct"/>
            <w:gridSpan w:val="5"/>
            <w:tcBorders>
              <w:top w:val="nil"/>
              <w:bottom w:val="nil"/>
            </w:tcBorders>
            <w:shd w:val="clear" w:color="auto" w:fill="auto"/>
            <w:vAlign w:val="center"/>
          </w:tcPr>
          <w:p w14:paraId="1CE0B612"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≥7 consecutive visits in LLDAS (Golder 2019)</w:t>
            </w:r>
            <w:r w:rsidRPr="009941F8">
              <w:rPr>
                <w:rFonts w:ascii="Arial Narrow" w:hAnsi="Arial Narrow"/>
                <w:b/>
                <w:sz w:val="20"/>
                <w:szCs w:val="20"/>
                <w:vertAlign w:val="superscript"/>
              </w:rPr>
              <w:t>h</w:t>
            </w:r>
            <w:r w:rsidRPr="009941F8">
              <w:rPr>
                <w:rFonts w:ascii="Arial Narrow" w:hAnsi="Arial Narrow"/>
                <w:b/>
                <w:sz w:val="20"/>
                <w:szCs w:val="20"/>
              </w:rPr>
              <w:t xml:space="preserve"> in TULIP trials and LLDAS (Franklyn 2016) in MUSE, post hoc</w:t>
            </w:r>
          </w:p>
        </w:tc>
      </w:tr>
      <w:tr w:rsidR="00214181" w:rsidRPr="009941F8" w14:paraId="280848CC" w14:textId="77777777" w:rsidTr="00F25AA9">
        <w:tc>
          <w:tcPr>
            <w:tcW w:w="1847" w:type="pct"/>
            <w:tcBorders>
              <w:top w:val="nil"/>
              <w:bottom w:val="nil"/>
            </w:tcBorders>
            <w:shd w:val="clear" w:color="auto" w:fill="auto"/>
          </w:tcPr>
          <w:p w14:paraId="15EF7B1E"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nil"/>
            </w:tcBorders>
            <w:shd w:val="clear" w:color="auto" w:fill="auto"/>
            <w:vAlign w:val="center"/>
          </w:tcPr>
          <w:p w14:paraId="1F52FAB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769" w:type="pct"/>
            <w:tcBorders>
              <w:top w:val="nil"/>
              <w:bottom w:val="nil"/>
            </w:tcBorders>
            <w:shd w:val="clear" w:color="auto" w:fill="auto"/>
            <w:vAlign w:val="center"/>
          </w:tcPr>
          <w:p w14:paraId="4D6885D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NR</w:t>
            </w:r>
          </w:p>
        </w:tc>
        <w:tc>
          <w:tcPr>
            <w:tcW w:w="695" w:type="pct"/>
            <w:tcBorders>
              <w:top w:val="nil"/>
              <w:bottom w:val="nil"/>
            </w:tcBorders>
            <w:shd w:val="clear" w:color="auto" w:fill="auto"/>
          </w:tcPr>
          <w:p w14:paraId="3DE3304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4FC08702"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2.8 (1.6, 4.9)</w:t>
            </w:r>
            <w:r w:rsidRPr="009941F8">
              <w:rPr>
                <w:rFonts w:ascii="Arial Narrow" w:hAnsi="Arial Narrow"/>
                <w:b/>
                <w:sz w:val="20"/>
                <w:szCs w:val="20"/>
                <w:vertAlign w:val="superscript"/>
              </w:rPr>
              <w:t>k</w:t>
            </w:r>
          </w:p>
        </w:tc>
      </w:tr>
      <w:tr w:rsidR="00214181" w:rsidRPr="009941F8" w14:paraId="145B5F4A" w14:textId="77777777" w:rsidTr="00F25AA9">
        <w:tc>
          <w:tcPr>
            <w:tcW w:w="1847" w:type="pct"/>
            <w:tcBorders>
              <w:top w:val="nil"/>
              <w:bottom w:val="nil"/>
            </w:tcBorders>
            <w:shd w:val="clear" w:color="auto" w:fill="auto"/>
          </w:tcPr>
          <w:p w14:paraId="60DD7141"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(adjusted</w:t>
            </w:r>
            <w:r w:rsidRPr="009941F8">
              <w:rPr>
                <w:rFonts w:ascii="Arial Narrow" w:hAnsi="Arial Narrow"/>
                <w:sz w:val="20"/>
                <w:szCs w:val="20"/>
                <w:vertAlign w:val="superscript"/>
              </w:rPr>
              <w:t>j</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2A4EBED4"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55/257 (22.9)</w:t>
            </w:r>
          </w:p>
        </w:tc>
        <w:tc>
          <w:tcPr>
            <w:tcW w:w="769" w:type="pct"/>
            <w:tcBorders>
              <w:top w:val="nil"/>
              <w:bottom w:val="nil"/>
            </w:tcBorders>
            <w:shd w:val="clear" w:color="auto" w:fill="auto"/>
            <w:vAlign w:val="center"/>
          </w:tcPr>
          <w:p w14:paraId="29FB9A4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14/112 (12.6)</w:t>
            </w:r>
          </w:p>
        </w:tc>
        <w:tc>
          <w:tcPr>
            <w:tcW w:w="695" w:type="pct"/>
            <w:tcBorders>
              <w:top w:val="nil"/>
              <w:bottom w:val="nil"/>
            </w:tcBorders>
            <w:shd w:val="clear" w:color="auto" w:fill="auto"/>
          </w:tcPr>
          <w:p w14:paraId="345AE97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1EBB593E"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2.0 (1.0, 3.8)</w:t>
            </w:r>
            <w:r w:rsidRPr="009941F8">
              <w:rPr>
                <w:rFonts w:ascii="Arial Narrow" w:hAnsi="Arial Narrow"/>
                <w:b/>
                <w:sz w:val="20"/>
                <w:szCs w:val="20"/>
                <w:vertAlign w:val="superscript"/>
              </w:rPr>
              <w:t>k</w:t>
            </w:r>
          </w:p>
        </w:tc>
      </w:tr>
      <w:tr w:rsidR="00214181" w:rsidRPr="009941F8" w14:paraId="54793C93" w14:textId="77777777" w:rsidTr="00F25AA9">
        <w:tc>
          <w:tcPr>
            <w:tcW w:w="1847" w:type="pct"/>
            <w:tcBorders>
              <w:top w:val="nil"/>
              <w:bottom w:val="nil"/>
            </w:tcBorders>
            <w:shd w:val="clear" w:color="auto" w:fill="auto"/>
          </w:tcPr>
          <w:p w14:paraId="10636377"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LTE (unadjusted</w:t>
            </w:r>
            <w:r w:rsidRPr="009941F8">
              <w:rPr>
                <w:rFonts w:ascii="Arial Narrow" w:hAnsi="Arial Narrow"/>
                <w:sz w:val="20"/>
                <w:szCs w:val="20"/>
                <w:vertAlign w:val="superscript"/>
              </w:rPr>
              <w:t>n</w:t>
            </w:r>
            <w:r w:rsidRPr="009941F8">
              <w:rPr>
                <w:rFonts w:ascii="Arial Narrow" w:hAnsi="Arial Narrow"/>
                <w:sz w:val="20"/>
                <w:szCs w:val="20"/>
              </w:rPr>
              <w:t>) 0-208 wks</w:t>
            </w:r>
          </w:p>
        </w:tc>
        <w:tc>
          <w:tcPr>
            <w:tcW w:w="922" w:type="pct"/>
            <w:tcBorders>
              <w:top w:val="nil"/>
              <w:bottom w:val="nil"/>
            </w:tcBorders>
            <w:shd w:val="clear" w:color="auto" w:fill="auto"/>
            <w:vAlign w:val="center"/>
          </w:tcPr>
          <w:p w14:paraId="4FEB8DF1"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(22.2)</w:t>
            </w:r>
          </w:p>
        </w:tc>
        <w:tc>
          <w:tcPr>
            <w:tcW w:w="769" w:type="pct"/>
            <w:tcBorders>
              <w:top w:val="nil"/>
              <w:bottom w:val="nil"/>
            </w:tcBorders>
            <w:shd w:val="clear" w:color="auto" w:fill="auto"/>
            <w:vAlign w:val="center"/>
          </w:tcPr>
          <w:p w14:paraId="1AB13BDB"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(11.6)</w:t>
            </w:r>
          </w:p>
        </w:tc>
        <w:tc>
          <w:tcPr>
            <w:tcW w:w="695" w:type="pct"/>
            <w:tcBorders>
              <w:top w:val="nil"/>
              <w:bottom w:val="nil"/>
            </w:tcBorders>
            <w:shd w:val="clear" w:color="auto" w:fill="auto"/>
          </w:tcPr>
          <w:p w14:paraId="1C520A37"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125EA8AA"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2.1 (1.1, 4.1)</w:t>
            </w:r>
            <w:r w:rsidRPr="009941F8">
              <w:rPr>
                <w:rFonts w:ascii="Arial Narrow" w:hAnsi="Arial Narrow"/>
                <w:b/>
                <w:sz w:val="20"/>
                <w:szCs w:val="20"/>
                <w:vertAlign w:val="superscript"/>
              </w:rPr>
              <w:t>m</w:t>
            </w:r>
          </w:p>
        </w:tc>
      </w:tr>
      <w:tr w:rsidR="00214181" w:rsidRPr="009941F8" w14:paraId="7D078A3D" w14:textId="77777777" w:rsidTr="00F25AA9">
        <w:tc>
          <w:tcPr>
            <w:tcW w:w="1847" w:type="pct"/>
            <w:tcBorders>
              <w:top w:val="nil"/>
              <w:bottom w:val="single" w:sz="4" w:space="0" w:color="auto"/>
            </w:tcBorders>
            <w:shd w:val="clear" w:color="auto" w:fill="auto"/>
          </w:tcPr>
          <w:p w14:paraId="4A15C3CB"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MUSE (post hoc) 0-52 wks</w:t>
            </w:r>
          </w:p>
        </w:tc>
        <w:tc>
          <w:tcPr>
            <w:tcW w:w="922" w:type="pct"/>
            <w:tcBorders>
              <w:top w:val="nil"/>
              <w:bottom w:val="single" w:sz="4" w:space="0" w:color="auto"/>
            </w:tcBorders>
            <w:shd w:val="clear" w:color="auto" w:fill="auto"/>
            <w:vAlign w:val="center"/>
          </w:tcPr>
          <w:p w14:paraId="40052E4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13/99 (13.1)</w:t>
            </w:r>
          </w:p>
        </w:tc>
        <w:tc>
          <w:tcPr>
            <w:tcW w:w="769" w:type="pct"/>
            <w:tcBorders>
              <w:top w:val="nil"/>
              <w:bottom w:val="single" w:sz="4" w:space="0" w:color="auto"/>
            </w:tcBorders>
            <w:shd w:val="clear" w:color="auto" w:fill="auto"/>
            <w:vAlign w:val="center"/>
          </w:tcPr>
          <w:p w14:paraId="21CCD9A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3/102 (2.9)</w:t>
            </w:r>
          </w:p>
        </w:tc>
        <w:tc>
          <w:tcPr>
            <w:tcW w:w="695" w:type="pct"/>
            <w:tcBorders>
              <w:top w:val="nil"/>
              <w:bottom w:val="single" w:sz="4" w:space="0" w:color="auto"/>
            </w:tcBorders>
            <w:shd w:val="clear" w:color="auto" w:fill="auto"/>
          </w:tcPr>
          <w:p w14:paraId="4AC65AD8"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3697EA62"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5.5 (1.5, 20.5)</w:t>
            </w:r>
            <w:r w:rsidRPr="009941F8">
              <w:rPr>
                <w:rFonts w:ascii="Arial Narrow" w:hAnsi="Arial Narrow"/>
                <w:b/>
                <w:sz w:val="20"/>
                <w:szCs w:val="20"/>
                <w:vertAlign w:val="superscript"/>
              </w:rPr>
              <w:t>l</w:t>
            </w:r>
          </w:p>
        </w:tc>
      </w:tr>
      <w:tr w:rsidR="00214181" w:rsidRPr="009941F8" w14:paraId="6C9BD77E" w14:textId="77777777" w:rsidTr="00F25AA9">
        <w:tc>
          <w:tcPr>
            <w:tcW w:w="5000" w:type="pct"/>
            <w:gridSpan w:val="5"/>
            <w:tcBorders>
              <w:top w:val="nil"/>
              <w:bottom w:val="single" w:sz="4" w:space="0" w:color="auto"/>
            </w:tcBorders>
            <w:shd w:val="clear" w:color="auto" w:fill="auto"/>
            <w:vAlign w:val="center"/>
          </w:tcPr>
          <w:p w14:paraId="254F41CB"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LLDAS-BICLA response at Week 52, post hoc</w:t>
            </w:r>
          </w:p>
        </w:tc>
      </w:tr>
      <w:tr w:rsidR="00214181" w:rsidRPr="009941F8" w14:paraId="70E3748D" w14:textId="77777777" w:rsidTr="00F25AA9">
        <w:tc>
          <w:tcPr>
            <w:tcW w:w="1847" w:type="pct"/>
            <w:tcBorders>
              <w:top w:val="nil"/>
              <w:bottom w:val="single" w:sz="4" w:space="0" w:color="auto"/>
            </w:tcBorders>
            <w:shd w:val="clear" w:color="auto" w:fill="auto"/>
          </w:tcPr>
          <w:p w14:paraId="31A6F94E" w14:textId="77777777" w:rsidR="00214181" w:rsidRPr="009941F8" w:rsidRDefault="00214181" w:rsidP="00235D09">
            <w:pPr>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single" w:sz="4" w:space="0" w:color="auto"/>
            </w:tcBorders>
            <w:shd w:val="clear" w:color="auto" w:fill="auto"/>
            <w:vAlign w:val="center"/>
          </w:tcPr>
          <w:p w14:paraId="6DB6FAFA" w14:textId="77777777" w:rsidR="00214181" w:rsidRPr="009941F8" w:rsidRDefault="00214181" w:rsidP="00235D09">
            <w:pPr>
              <w:jc w:val="center"/>
              <w:rPr>
                <w:rFonts w:ascii="Arial Narrow" w:hAnsi="Arial Narrow"/>
                <w:sz w:val="20"/>
                <w:szCs w:val="20"/>
              </w:rPr>
            </w:pPr>
            <w:r w:rsidRPr="009941F8">
              <w:rPr>
                <w:rFonts w:ascii="Arial Narrow" w:hAnsi="Arial Narrow"/>
                <w:sz w:val="20"/>
                <w:szCs w:val="20"/>
              </w:rPr>
              <w:t>100/360 (27.8)</w:t>
            </w:r>
          </w:p>
        </w:tc>
        <w:tc>
          <w:tcPr>
            <w:tcW w:w="769" w:type="pct"/>
            <w:tcBorders>
              <w:top w:val="nil"/>
              <w:bottom w:val="single" w:sz="4" w:space="0" w:color="auto"/>
            </w:tcBorders>
            <w:shd w:val="clear" w:color="auto" w:fill="auto"/>
            <w:vAlign w:val="center"/>
          </w:tcPr>
          <w:p w14:paraId="1FC73A44" w14:textId="77777777" w:rsidR="00214181" w:rsidRPr="009941F8" w:rsidRDefault="00214181" w:rsidP="00235D09">
            <w:pPr>
              <w:jc w:val="center"/>
              <w:rPr>
                <w:rFonts w:ascii="Arial Narrow" w:hAnsi="Arial Narrow"/>
                <w:sz w:val="20"/>
                <w:szCs w:val="20"/>
              </w:rPr>
            </w:pPr>
            <w:r w:rsidRPr="009941F8">
              <w:rPr>
                <w:rFonts w:ascii="Arial Narrow" w:hAnsi="Arial Narrow"/>
                <w:sz w:val="20"/>
                <w:szCs w:val="20"/>
              </w:rPr>
              <w:t>61/366 (16.7)</w:t>
            </w:r>
          </w:p>
        </w:tc>
        <w:tc>
          <w:tcPr>
            <w:tcW w:w="695" w:type="pct"/>
            <w:tcBorders>
              <w:top w:val="nil"/>
              <w:bottom w:val="single" w:sz="4" w:space="0" w:color="auto"/>
            </w:tcBorders>
            <w:shd w:val="clear" w:color="auto" w:fill="auto"/>
            <w:vAlign w:val="center"/>
          </w:tcPr>
          <w:p w14:paraId="3912F67B" w14:textId="77777777" w:rsidR="00214181" w:rsidRPr="009941F8" w:rsidRDefault="00214181" w:rsidP="00235D09">
            <w:pPr>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278693DE" w14:textId="77777777" w:rsidR="00214181" w:rsidRPr="009941F8" w:rsidRDefault="00214181" w:rsidP="00235D09">
            <w:pPr>
              <w:jc w:val="center"/>
              <w:rPr>
                <w:rFonts w:ascii="Arial Narrow" w:hAnsi="Arial Narrow"/>
                <w:b/>
                <w:sz w:val="20"/>
                <w:szCs w:val="20"/>
              </w:rPr>
            </w:pPr>
            <w:r w:rsidRPr="009941F8">
              <w:rPr>
                <w:rFonts w:ascii="Arial Narrow" w:hAnsi="Arial Narrow"/>
                <w:b/>
                <w:sz w:val="20"/>
                <w:szCs w:val="20"/>
              </w:rPr>
              <w:t>2.0 (1.4, 2.8)</w:t>
            </w:r>
            <w:r w:rsidRPr="009941F8">
              <w:rPr>
                <w:rFonts w:ascii="Arial Narrow" w:hAnsi="Arial Narrow"/>
                <w:b/>
                <w:sz w:val="20"/>
                <w:szCs w:val="20"/>
                <w:vertAlign w:val="superscript"/>
              </w:rPr>
              <w:t>k</w:t>
            </w:r>
          </w:p>
        </w:tc>
      </w:tr>
      <w:tr w:rsidR="00214181" w:rsidRPr="009941F8" w14:paraId="211F29BB" w14:textId="77777777" w:rsidTr="00F25AA9">
        <w:tc>
          <w:tcPr>
            <w:tcW w:w="5000" w:type="pct"/>
            <w:gridSpan w:val="5"/>
            <w:tcBorders>
              <w:top w:val="nil"/>
              <w:bottom w:val="single" w:sz="4" w:space="0" w:color="auto"/>
            </w:tcBorders>
            <w:shd w:val="clear" w:color="auto" w:fill="auto"/>
            <w:vAlign w:val="center"/>
          </w:tcPr>
          <w:p w14:paraId="60FB3B4F" w14:textId="77777777" w:rsidR="00214181" w:rsidRPr="009941F8" w:rsidRDefault="00214181" w:rsidP="00235D09">
            <w:pPr>
              <w:keepNext/>
              <w:jc w:val="left"/>
              <w:rPr>
                <w:rFonts w:ascii="Arial Narrow" w:hAnsi="Arial Narrow"/>
                <w:b/>
                <w:sz w:val="20"/>
                <w:szCs w:val="20"/>
              </w:rPr>
            </w:pPr>
            <w:r w:rsidRPr="009941F8">
              <w:rPr>
                <w:rFonts w:ascii="Arial Narrow" w:hAnsi="Arial Narrow"/>
                <w:b/>
                <w:sz w:val="20"/>
                <w:szCs w:val="20"/>
              </w:rPr>
              <w:t>LLDAS-SRI(4) response at Week 52, post hoc</w:t>
            </w:r>
          </w:p>
        </w:tc>
      </w:tr>
      <w:tr w:rsidR="00214181" w:rsidRPr="009941F8" w14:paraId="6F3551BA" w14:textId="77777777" w:rsidTr="00F25AA9">
        <w:tc>
          <w:tcPr>
            <w:tcW w:w="1847" w:type="pct"/>
            <w:tcBorders>
              <w:top w:val="nil"/>
              <w:bottom w:val="single" w:sz="4" w:space="0" w:color="auto"/>
            </w:tcBorders>
            <w:shd w:val="clear" w:color="auto" w:fill="auto"/>
          </w:tcPr>
          <w:p w14:paraId="4390B137" w14:textId="77777777" w:rsidR="00214181" w:rsidRPr="009941F8" w:rsidRDefault="00214181" w:rsidP="00235D09">
            <w:pPr>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 0-52 wks</w:t>
            </w:r>
          </w:p>
        </w:tc>
        <w:tc>
          <w:tcPr>
            <w:tcW w:w="922" w:type="pct"/>
            <w:tcBorders>
              <w:top w:val="nil"/>
              <w:bottom w:val="single" w:sz="4" w:space="0" w:color="auto"/>
            </w:tcBorders>
            <w:shd w:val="clear" w:color="auto" w:fill="auto"/>
            <w:vAlign w:val="center"/>
          </w:tcPr>
          <w:p w14:paraId="20EB735C" w14:textId="77777777" w:rsidR="00214181" w:rsidRPr="009941F8" w:rsidRDefault="00214181" w:rsidP="00235D09">
            <w:pPr>
              <w:jc w:val="center"/>
              <w:rPr>
                <w:rFonts w:ascii="Arial Narrow" w:hAnsi="Arial Narrow"/>
                <w:sz w:val="20"/>
                <w:szCs w:val="20"/>
              </w:rPr>
            </w:pPr>
            <w:r w:rsidRPr="009941F8">
              <w:rPr>
                <w:rFonts w:ascii="Arial Narrow" w:hAnsi="Arial Narrow"/>
                <w:sz w:val="20"/>
                <w:szCs w:val="20"/>
              </w:rPr>
              <w:t>108/360 (30.0)</w:t>
            </w:r>
          </w:p>
        </w:tc>
        <w:tc>
          <w:tcPr>
            <w:tcW w:w="769" w:type="pct"/>
            <w:tcBorders>
              <w:top w:val="nil"/>
              <w:bottom w:val="single" w:sz="4" w:space="0" w:color="auto"/>
            </w:tcBorders>
            <w:shd w:val="clear" w:color="auto" w:fill="auto"/>
            <w:vAlign w:val="center"/>
          </w:tcPr>
          <w:p w14:paraId="03B544E0" w14:textId="77777777" w:rsidR="00214181" w:rsidRPr="009941F8" w:rsidRDefault="00214181" w:rsidP="00235D09">
            <w:pPr>
              <w:jc w:val="center"/>
              <w:rPr>
                <w:rFonts w:ascii="Arial Narrow" w:hAnsi="Arial Narrow"/>
                <w:sz w:val="20"/>
                <w:szCs w:val="20"/>
              </w:rPr>
            </w:pPr>
            <w:r w:rsidRPr="009941F8">
              <w:rPr>
                <w:rFonts w:ascii="Arial Narrow" w:hAnsi="Arial Narrow"/>
                <w:sz w:val="20"/>
                <w:szCs w:val="20"/>
              </w:rPr>
              <w:t>70/366 (19.1)</w:t>
            </w:r>
          </w:p>
        </w:tc>
        <w:tc>
          <w:tcPr>
            <w:tcW w:w="695" w:type="pct"/>
            <w:tcBorders>
              <w:top w:val="nil"/>
              <w:bottom w:val="single" w:sz="4" w:space="0" w:color="auto"/>
            </w:tcBorders>
            <w:shd w:val="clear" w:color="auto" w:fill="auto"/>
            <w:vAlign w:val="center"/>
          </w:tcPr>
          <w:p w14:paraId="5C1FFE8B" w14:textId="77777777" w:rsidR="00214181" w:rsidRPr="009941F8" w:rsidRDefault="00214181" w:rsidP="00235D09">
            <w:pPr>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52750B0A" w14:textId="77777777" w:rsidR="00214181" w:rsidRPr="009941F8" w:rsidRDefault="00214181" w:rsidP="00235D09">
            <w:pPr>
              <w:jc w:val="center"/>
              <w:rPr>
                <w:rFonts w:ascii="Arial Narrow" w:hAnsi="Arial Narrow"/>
                <w:b/>
                <w:sz w:val="20"/>
                <w:szCs w:val="20"/>
              </w:rPr>
            </w:pPr>
            <w:r w:rsidRPr="009941F8">
              <w:rPr>
                <w:rFonts w:ascii="Arial Narrow" w:hAnsi="Arial Narrow"/>
                <w:b/>
                <w:sz w:val="20"/>
                <w:szCs w:val="20"/>
              </w:rPr>
              <w:t>1.8 (1.3, 2.6)</w:t>
            </w:r>
            <w:r w:rsidRPr="009941F8">
              <w:rPr>
                <w:rFonts w:ascii="Arial Narrow" w:hAnsi="Arial Narrow"/>
                <w:b/>
                <w:sz w:val="20"/>
                <w:szCs w:val="20"/>
                <w:vertAlign w:val="superscript"/>
              </w:rPr>
              <w:t>k</w:t>
            </w:r>
          </w:p>
        </w:tc>
      </w:tr>
      <w:tr w:rsidR="00214181" w:rsidRPr="009941F8" w14:paraId="238E1EB8" w14:textId="77777777" w:rsidTr="00F25AA9">
        <w:tc>
          <w:tcPr>
            <w:tcW w:w="5000" w:type="pct"/>
            <w:gridSpan w:val="5"/>
            <w:tcBorders>
              <w:top w:val="single" w:sz="4" w:space="0" w:color="auto"/>
              <w:bottom w:val="nil"/>
            </w:tcBorders>
            <w:shd w:val="clear" w:color="auto" w:fill="auto"/>
            <w:vAlign w:val="center"/>
          </w:tcPr>
          <w:p w14:paraId="6B8D3744" w14:textId="625921BD" w:rsidR="00214181" w:rsidRPr="00831A70" w:rsidRDefault="00214181" w:rsidP="00235D09">
            <w:pPr>
              <w:keepNext/>
              <w:jc w:val="left"/>
              <w:rPr>
                <w:rFonts w:ascii="Arial Narrow" w:hAnsi="Arial Narrow"/>
                <w:b/>
                <w:sz w:val="20"/>
                <w:szCs w:val="20"/>
                <w:vertAlign w:val="superscript"/>
              </w:rPr>
            </w:pPr>
            <w:r w:rsidRPr="009941F8">
              <w:rPr>
                <w:rFonts w:ascii="Arial Narrow" w:hAnsi="Arial Narrow"/>
                <w:b/>
                <w:sz w:val="20"/>
                <w:szCs w:val="20"/>
              </w:rPr>
              <w:lastRenderedPageBreak/>
              <w:t>DORIS remission at Week 52, post hoc</w:t>
            </w:r>
            <w:r w:rsidR="00831A70">
              <w:rPr>
                <w:rFonts w:ascii="Arial Narrow" w:hAnsi="Arial Narrow"/>
                <w:b/>
                <w:sz w:val="20"/>
                <w:szCs w:val="20"/>
                <w:vertAlign w:val="superscript"/>
              </w:rPr>
              <w:t>q</w:t>
            </w:r>
          </w:p>
        </w:tc>
      </w:tr>
      <w:tr w:rsidR="00214181" w:rsidRPr="009941F8" w14:paraId="020BF9A1" w14:textId="77777777" w:rsidTr="00F25AA9">
        <w:tc>
          <w:tcPr>
            <w:tcW w:w="1847" w:type="pct"/>
            <w:tcBorders>
              <w:top w:val="nil"/>
              <w:bottom w:val="nil"/>
            </w:tcBorders>
            <w:shd w:val="clear" w:color="auto" w:fill="auto"/>
          </w:tcPr>
          <w:p w14:paraId="1E3D4BCB"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(adjusted</w:t>
            </w:r>
            <w:r w:rsidRPr="009941F8">
              <w:rPr>
                <w:rFonts w:ascii="Arial Narrow" w:hAnsi="Arial Narrow"/>
                <w:sz w:val="20"/>
                <w:szCs w:val="20"/>
                <w:vertAlign w:val="superscript"/>
              </w:rPr>
              <w:t>j</w:t>
            </w:r>
            <w:r w:rsidRPr="009941F8">
              <w:rPr>
                <w:rFonts w:ascii="Arial Narrow" w:hAnsi="Arial Narrow"/>
                <w:sz w:val="20"/>
                <w:szCs w:val="20"/>
              </w:rPr>
              <w:t>)</w:t>
            </w:r>
            <w:r w:rsidRPr="009941F8">
              <w:rPr>
                <w:rFonts w:ascii="Arial Narrow" w:hAnsi="Arial Narrow"/>
                <w:sz w:val="20"/>
                <w:szCs w:val="20"/>
                <w:vertAlign w:val="superscript"/>
              </w:rPr>
              <w:t>d</w:t>
            </w:r>
            <w:r w:rsidRPr="009941F8">
              <w:rPr>
                <w:rFonts w:ascii="Arial Narrow" w:hAnsi="Arial Narrow"/>
                <w:sz w:val="20"/>
                <w:szCs w:val="20"/>
              </w:rPr>
              <w:t xml:space="preserve"> 0-52 wks</w:t>
            </w:r>
          </w:p>
        </w:tc>
        <w:tc>
          <w:tcPr>
            <w:tcW w:w="922" w:type="pct"/>
            <w:tcBorders>
              <w:top w:val="nil"/>
              <w:bottom w:val="nil"/>
            </w:tcBorders>
            <w:shd w:val="clear" w:color="auto" w:fill="auto"/>
            <w:vAlign w:val="center"/>
          </w:tcPr>
          <w:p w14:paraId="30916125"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55/360 (15.3)</w:t>
            </w:r>
          </w:p>
        </w:tc>
        <w:tc>
          <w:tcPr>
            <w:tcW w:w="769" w:type="pct"/>
            <w:tcBorders>
              <w:top w:val="nil"/>
              <w:bottom w:val="nil"/>
            </w:tcBorders>
            <w:shd w:val="clear" w:color="auto" w:fill="auto"/>
            <w:vAlign w:val="center"/>
          </w:tcPr>
          <w:p w14:paraId="54489D56"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28/366 (7.6)</w:t>
            </w:r>
          </w:p>
        </w:tc>
        <w:tc>
          <w:tcPr>
            <w:tcW w:w="695" w:type="pct"/>
            <w:tcBorders>
              <w:top w:val="nil"/>
              <w:bottom w:val="nil"/>
            </w:tcBorders>
            <w:shd w:val="clear" w:color="auto" w:fill="auto"/>
          </w:tcPr>
          <w:p w14:paraId="00C8BE5E"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nil"/>
            </w:tcBorders>
            <w:vAlign w:val="center"/>
          </w:tcPr>
          <w:p w14:paraId="303BD29F"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2.2 (1.4, 3.6)</w:t>
            </w:r>
            <w:r w:rsidRPr="009941F8">
              <w:rPr>
                <w:rFonts w:ascii="Arial Narrow" w:hAnsi="Arial Narrow"/>
                <w:b/>
                <w:sz w:val="20"/>
                <w:szCs w:val="20"/>
                <w:vertAlign w:val="superscript"/>
              </w:rPr>
              <w:t>k</w:t>
            </w:r>
          </w:p>
        </w:tc>
      </w:tr>
      <w:tr w:rsidR="00214181" w:rsidRPr="009941F8" w14:paraId="4C3736A6" w14:textId="77777777" w:rsidTr="00F25AA9">
        <w:tc>
          <w:tcPr>
            <w:tcW w:w="1847" w:type="pct"/>
            <w:tcBorders>
              <w:top w:val="nil"/>
              <w:bottom w:val="single" w:sz="4" w:space="0" w:color="auto"/>
            </w:tcBorders>
            <w:shd w:val="clear" w:color="auto" w:fill="auto"/>
          </w:tcPr>
          <w:p w14:paraId="207448A1" w14:textId="77777777" w:rsidR="00214181" w:rsidRPr="009941F8" w:rsidRDefault="00214181" w:rsidP="00235D09">
            <w:pPr>
              <w:keepNext/>
              <w:jc w:val="right"/>
              <w:rPr>
                <w:rFonts w:ascii="Arial Narrow" w:hAnsi="Arial Narrow"/>
                <w:sz w:val="20"/>
                <w:szCs w:val="20"/>
              </w:rPr>
            </w:pPr>
            <w:r w:rsidRPr="009941F8">
              <w:rPr>
                <w:rFonts w:ascii="Arial Narrow" w:hAnsi="Arial Narrow"/>
                <w:sz w:val="20"/>
                <w:szCs w:val="20"/>
              </w:rPr>
              <w:t>TULIP 1 &amp; 2 pooled (unadjusted</w:t>
            </w:r>
            <w:r w:rsidRPr="009941F8">
              <w:rPr>
                <w:rFonts w:ascii="Arial Narrow" w:hAnsi="Arial Narrow"/>
                <w:sz w:val="20"/>
                <w:szCs w:val="20"/>
                <w:vertAlign w:val="superscript"/>
              </w:rPr>
              <w:t>n</w:t>
            </w:r>
            <w:r w:rsidRPr="009941F8">
              <w:rPr>
                <w:rFonts w:ascii="Arial Narrow" w:hAnsi="Arial Narrow"/>
                <w:sz w:val="20"/>
                <w:szCs w:val="20"/>
              </w:rPr>
              <w:t>)</w:t>
            </w:r>
            <w:r w:rsidRPr="009941F8">
              <w:rPr>
                <w:rFonts w:ascii="Arial Narrow" w:hAnsi="Arial Narrow"/>
                <w:sz w:val="20"/>
                <w:szCs w:val="20"/>
                <w:vertAlign w:val="superscript"/>
              </w:rPr>
              <w:t>d</w:t>
            </w:r>
            <w:r w:rsidRPr="009941F8">
              <w:rPr>
                <w:rFonts w:ascii="Arial Narrow" w:hAnsi="Arial Narrow"/>
                <w:sz w:val="20"/>
                <w:szCs w:val="20"/>
              </w:rPr>
              <w:t xml:space="preserve"> 0-52 wks</w:t>
            </w:r>
          </w:p>
        </w:tc>
        <w:tc>
          <w:tcPr>
            <w:tcW w:w="922" w:type="pct"/>
            <w:tcBorders>
              <w:top w:val="nil"/>
              <w:bottom w:val="single" w:sz="4" w:space="0" w:color="auto"/>
            </w:tcBorders>
            <w:shd w:val="clear" w:color="auto" w:fill="auto"/>
            <w:vAlign w:val="center"/>
          </w:tcPr>
          <w:p w14:paraId="28130DF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35/360 (9.8)</w:t>
            </w:r>
            <w:r w:rsidRPr="009941F8">
              <w:rPr>
                <w:rFonts w:ascii="Arial Narrow" w:hAnsi="Arial Narrow"/>
                <w:sz w:val="20"/>
                <w:szCs w:val="20"/>
                <w:vertAlign w:val="superscript"/>
              </w:rPr>
              <w:t>r</w:t>
            </w:r>
          </w:p>
        </w:tc>
        <w:tc>
          <w:tcPr>
            <w:tcW w:w="769" w:type="pct"/>
            <w:tcBorders>
              <w:top w:val="nil"/>
              <w:bottom w:val="single" w:sz="4" w:space="0" w:color="auto"/>
            </w:tcBorders>
            <w:shd w:val="clear" w:color="auto" w:fill="auto"/>
            <w:vAlign w:val="center"/>
          </w:tcPr>
          <w:p w14:paraId="7E0C6C4D"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16/366 (4.3)</w:t>
            </w:r>
            <w:r w:rsidRPr="009941F8">
              <w:rPr>
                <w:rFonts w:ascii="Arial Narrow" w:hAnsi="Arial Narrow"/>
                <w:sz w:val="20"/>
                <w:szCs w:val="20"/>
                <w:vertAlign w:val="superscript"/>
              </w:rPr>
              <w:t>r</w:t>
            </w:r>
          </w:p>
        </w:tc>
        <w:tc>
          <w:tcPr>
            <w:tcW w:w="695" w:type="pct"/>
            <w:tcBorders>
              <w:top w:val="nil"/>
              <w:bottom w:val="single" w:sz="4" w:space="0" w:color="auto"/>
            </w:tcBorders>
            <w:shd w:val="clear" w:color="auto" w:fill="auto"/>
          </w:tcPr>
          <w:p w14:paraId="3DA3AFCF" w14:textId="77777777" w:rsidR="00214181" w:rsidRPr="009941F8" w:rsidRDefault="00214181" w:rsidP="00235D09">
            <w:pPr>
              <w:keepNext/>
              <w:jc w:val="center"/>
              <w:rPr>
                <w:rFonts w:ascii="Arial Narrow" w:hAnsi="Arial Narrow"/>
                <w:sz w:val="20"/>
                <w:szCs w:val="20"/>
              </w:rPr>
            </w:pPr>
            <w:r w:rsidRPr="009941F8">
              <w:rPr>
                <w:rFonts w:ascii="Arial Narrow" w:hAnsi="Arial Narrow"/>
                <w:sz w:val="20"/>
                <w:szCs w:val="20"/>
              </w:rPr>
              <w:t>-</w:t>
            </w:r>
          </w:p>
        </w:tc>
        <w:tc>
          <w:tcPr>
            <w:tcW w:w="767" w:type="pct"/>
            <w:tcBorders>
              <w:top w:val="nil"/>
              <w:bottom w:val="single" w:sz="4" w:space="0" w:color="auto"/>
            </w:tcBorders>
            <w:vAlign w:val="center"/>
          </w:tcPr>
          <w:p w14:paraId="4B9C74BC" w14:textId="77777777" w:rsidR="00214181" w:rsidRPr="009941F8" w:rsidRDefault="00214181" w:rsidP="00235D09">
            <w:pPr>
              <w:keepNext/>
              <w:jc w:val="center"/>
              <w:rPr>
                <w:rFonts w:ascii="Arial Narrow" w:hAnsi="Arial Narrow"/>
                <w:b/>
                <w:sz w:val="20"/>
                <w:szCs w:val="20"/>
              </w:rPr>
            </w:pPr>
            <w:r w:rsidRPr="009941F8">
              <w:rPr>
                <w:rFonts w:ascii="Arial Narrow" w:hAnsi="Arial Narrow"/>
                <w:b/>
                <w:sz w:val="20"/>
                <w:szCs w:val="20"/>
              </w:rPr>
              <w:t>2.4 (1.3, 4.3)</w:t>
            </w:r>
            <w:r w:rsidRPr="009941F8">
              <w:rPr>
                <w:rFonts w:ascii="Arial Narrow" w:hAnsi="Arial Narrow"/>
                <w:b/>
                <w:sz w:val="20"/>
                <w:szCs w:val="20"/>
                <w:vertAlign w:val="superscript"/>
              </w:rPr>
              <w:t>p</w:t>
            </w:r>
          </w:p>
        </w:tc>
      </w:tr>
    </w:tbl>
    <w:p w14:paraId="7D385CC9" w14:textId="5468EE9F" w:rsidR="00214181" w:rsidRPr="009941F8" w:rsidRDefault="00214181" w:rsidP="00235D09">
      <w:pPr>
        <w:keepNext/>
        <w:contextualSpacing/>
        <w:rPr>
          <w:rFonts w:ascii="Arial Narrow" w:eastAsia="SimSun" w:hAnsi="Arial Narrow"/>
          <w:snapToGrid w:val="0"/>
          <w:sz w:val="18"/>
          <w:szCs w:val="22"/>
        </w:rPr>
      </w:pPr>
      <w:r w:rsidRPr="009941F8">
        <w:rPr>
          <w:rFonts w:ascii="Arial Narrow" w:eastAsia="SimSun" w:hAnsi="Arial Narrow"/>
          <w:snapToGrid w:val="0"/>
          <w:sz w:val="18"/>
          <w:szCs w:val="22"/>
        </w:rPr>
        <w:t>D</w:t>
      </w:r>
      <w:r w:rsidRPr="009941F8">
        <w:rPr>
          <w:rFonts w:ascii="Arial Narrow" w:eastAsia="SimSun" w:hAnsi="Arial Narrow"/>
          <w:snapToGrid w:val="0"/>
          <w:sz w:val="18"/>
          <w:szCs w:val="18"/>
        </w:rPr>
        <w:t xml:space="preserve">ifference in response rate was calculated using Review Manager (version 5.4.1). </w:t>
      </w:r>
      <w:r w:rsidRPr="009941F8">
        <w:rPr>
          <w:rFonts w:ascii="Arial Narrow" w:eastAsia="SimSun" w:hAnsi="Arial Narrow"/>
          <w:b/>
          <w:bCs/>
          <w:snapToGrid w:val="0"/>
          <w:sz w:val="18"/>
          <w:szCs w:val="22"/>
        </w:rPr>
        <w:t>Bold</w:t>
      </w:r>
      <w:r w:rsidRPr="009941F8">
        <w:rPr>
          <w:rFonts w:ascii="Arial Narrow" w:eastAsia="SimSun" w:hAnsi="Arial Narrow"/>
          <w:snapToGrid w:val="0"/>
          <w:sz w:val="18"/>
          <w:szCs w:val="22"/>
        </w:rPr>
        <w:t xml:space="preserve"> text designates statistical significance.</w:t>
      </w:r>
    </w:p>
    <w:p w14:paraId="764C8D18" w14:textId="65D56E44" w:rsidR="00214181" w:rsidRPr="009941F8" w:rsidRDefault="00214181" w:rsidP="00235D09">
      <w:pPr>
        <w:keepNext/>
        <w:rPr>
          <w:rFonts w:ascii="Arial Narrow" w:eastAsia="SimSun" w:hAnsi="Arial Narrow"/>
          <w:sz w:val="18"/>
          <w:szCs w:val="18"/>
        </w:rPr>
      </w:pPr>
      <w:r w:rsidRPr="009941F8">
        <w:rPr>
          <w:rFonts w:ascii="Arial Narrow" w:eastAsia="SimSun" w:hAnsi="Arial Narrow"/>
          <w:sz w:val="18"/>
          <w:szCs w:val="18"/>
        </w:rPr>
        <w:t>Source: Table 2-19,</w:t>
      </w:r>
      <w:r w:rsidR="00BB5777" w:rsidRPr="009941F8">
        <w:rPr>
          <w:rFonts w:ascii="Arial Narrow" w:eastAsia="SimSun" w:hAnsi="Arial Narrow"/>
          <w:sz w:val="18"/>
          <w:szCs w:val="18"/>
        </w:rPr>
        <w:t xml:space="preserve"> </w:t>
      </w:r>
      <w:r w:rsidRPr="009941F8">
        <w:rPr>
          <w:rFonts w:ascii="Arial Narrow" w:eastAsia="SimSun" w:hAnsi="Arial Narrow"/>
          <w:sz w:val="18"/>
          <w:szCs w:val="18"/>
        </w:rPr>
        <w:t xml:space="preserve">pp133-134, Table 2-20, p1384, Tables 2-23 and 2-24, pp144-145 of the resubmission, Attachment 2.12 subgroup analysis LLDAS_Anifrolumab modelling Tables 20230907.xlsx, </w:t>
      </w:r>
    </w:p>
    <w:p w14:paraId="71CDB825" w14:textId="63213141" w:rsidR="00214181" w:rsidRPr="009941F8" w:rsidRDefault="00214181" w:rsidP="00235D09">
      <w:pPr>
        <w:keepNext/>
        <w:rPr>
          <w:rFonts w:ascii="Arial Narrow" w:eastAsia="SimSun" w:hAnsi="Arial Narrow"/>
          <w:sz w:val="18"/>
          <w:szCs w:val="18"/>
        </w:rPr>
      </w:pPr>
      <w:r w:rsidRPr="009941F8">
        <w:rPr>
          <w:rFonts w:ascii="Arial Narrow" w:eastAsia="SimSun" w:hAnsi="Arial Narrow"/>
          <w:sz w:val="18"/>
          <w:szCs w:val="18"/>
        </w:rPr>
        <w:t>CI=confidence interval; CMH=Cochran-Mantel-Haenszel; DORIS=Definition of Remission In SLE; LLDAS=low lupus disease activity state; LLDAS-x=attaining LLDAS for at least x (</w:t>
      </w:r>
      <w:r w:rsidR="00E530B7" w:rsidRPr="009941F8">
        <w:rPr>
          <w:rFonts w:ascii="Arial Narrow" w:eastAsia="SimSun" w:hAnsi="Arial Narrow"/>
          <w:sz w:val="18"/>
          <w:szCs w:val="18"/>
        </w:rPr>
        <w:t>=</w:t>
      </w:r>
      <w:r w:rsidRPr="009941F8">
        <w:rPr>
          <w:rFonts w:ascii="Arial Narrow" w:eastAsia="SimSun" w:hAnsi="Arial Narrow"/>
          <w:sz w:val="18"/>
          <w:szCs w:val="18"/>
        </w:rPr>
        <w:t>20%, 50% and 70%) of the observed period; LOCF=last observation carried forward; NR=not reported; OCS=oral corticosteroids; OR=odds ratio; PGA=physician’s global assessment; RD=risk difference; SLE=Systemic Lupus Erythematosus; SLEDAI-2K=SLE Disease Activity Index 2000; SOC=standard of care.</w:t>
      </w:r>
    </w:p>
    <w:p w14:paraId="7C1E48F7"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w:t>
      </w:r>
      <w:r w:rsidRPr="009941F8">
        <w:rPr>
          <w:rFonts w:ascii="Arial Narrow" w:eastAsia="SimSun" w:hAnsi="Arial Narrow"/>
          <w:sz w:val="18"/>
          <w:szCs w:val="18"/>
        </w:rPr>
        <w:tab/>
        <w:t>The responder/non-responder rates (percentages), the difference in estimates and associated 95% CI are weighted and calculated using a stratified CMH approach, with stratification factors (SLEDAI-2K score at screening [&lt;10 vs ≥10 points], Week 0 OCS dose [&lt;10 vs ≥10 mg/day prednisone or equivalent] and type I IFN gene signature test result at screening [high vs low]).</w:t>
      </w:r>
    </w:p>
    <w:p w14:paraId="30E230BB" w14:textId="37EBA3D0"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a</w:t>
      </w:r>
      <w:r w:rsidRPr="009941F8">
        <w:rPr>
          <w:rFonts w:ascii="Arial Narrow" w:eastAsia="SimSun" w:hAnsi="Arial Narrow"/>
          <w:sz w:val="18"/>
          <w:szCs w:val="18"/>
        </w:rPr>
        <w:tab/>
        <w:t>LLDAS based on Franklyn 2016 definition was a pre</w:t>
      </w:r>
      <w:r w:rsidR="007C2DCA" w:rsidRPr="009941F8">
        <w:rPr>
          <w:rFonts w:ascii="Arial Narrow" w:eastAsia="SimSun" w:hAnsi="Arial Narrow"/>
          <w:sz w:val="18"/>
          <w:szCs w:val="18"/>
        </w:rPr>
        <w:t>-</w:t>
      </w:r>
      <w:r w:rsidRPr="009941F8">
        <w:rPr>
          <w:rFonts w:ascii="Arial Narrow" w:eastAsia="SimSun" w:hAnsi="Arial Narrow"/>
          <w:sz w:val="18"/>
          <w:szCs w:val="18"/>
        </w:rPr>
        <w:t>specified exploratory outcome in TULIP-1/TULIP-2 but a post hoc analysis in MUSE.</w:t>
      </w:r>
    </w:p>
    <w:p w14:paraId="7074394B" w14:textId="77777777" w:rsidR="00214181" w:rsidRPr="009941F8" w:rsidRDefault="00214181" w:rsidP="00235D09">
      <w:pPr>
        <w:keepNext/>
        <w:rPr>
          <w:rFonts w:ascii="Arial Narrow" w:eastAsia="SimSun" w:hAnsi="Arial Narrow"/>
          <w:sz w:val="18"/>
          <w:szCs w:val="18"/>
        </w:rPr>
      </w:pPr>
      <w:r w:rsidRPr="009941F8">
        <w:rPr>
          <w:rFonts w:ascii="Arial Narrow" w:eastAsia="SimSun" w:hAnsi="Arial Narrow"/>
          <w:sz w:val="18"/>
          <w:szCs w:val="18"/>
        </w:rPr>
        <w:t>b</w:t>
      </w:r>
      <w:r w:rsidRPr="009941F8">
        <w:rPr>
          <w:rFonts w:ascii="Arial Narrow" w:eastAsia="SimSun" w:hAnsi="Arial Narrow"/>
          <w:sz w:val="18"/>
          <w:szCs w:val="18"/>
        </w:rPr>
        <w:tab/>
        <w:t>Original pre-specified restricted medication rules.</w:t>
      </w:r>
    </w:p>
    <w:p w14:paraId="35C6D766" w14:textId="77777777" w:rsidR="00214181" w:rsidRPr="009941F8" w:rsidRDefault="00214181" w:rsidP="00235D09">
      <w:pPr>
        <w:keepNext/>
        <w:rPr>
          <w:rFonts w:ascii="Arial Narrow" w:eastAsia="SimSun" w:hAnsi="Arial Narrow"/>
          <w:sz w:val="18"/>
          <w:szCs w:val="18"/>
        </w:rPr>
      </w:pPr>
      <w:r w:rsidRPr="009941F8">
        <w:rPr>
          <w:rFonts w:ascii="Arial Narrow" w:eastAsia="SimSun" w:hAnsi="Arial Narrow"/>
          <w:sz w:val="18"/>
          <w:szCs w:val="18"/>
        </w:rPr>
        <w:t>c</w:t>
      </w:r>
      <w:r w:rsidRPr="009941F8">
        <w:rPr>
          <w:rFonts w:ascii="Arial Narrow" w:eastAsia="SimSun" w:hAnsi="Arial Narrow"/>
          <w:sz w:val="18"/>
          <w:szCs w:val="18"/>
        </w:rPr>
        <w:tab/>
        <w:t>Post hoc revised restricted medication rules.</w:t>
      </w:r>
    </w:p>
    <w:p w14:paraId="2842464A" w14:textId="77777777" w:rsidR="00214181" w:rsidRPr="009941F8" w:rsidRDefault="00214181" w:rsidP="00235D09">
      <w:pPr>
        <w:keepNext/>
        <w:rPr>
          <w:rFonts w:ascii="Arial Narrow" w:eastAsia="SimSun" w:hAnsi="Arial Narrow"/>
          <w:sz w:val="18"/>
          <w:szCs w:val="18"/>
        </w:rPr>
      </w:pPr>
      <w:r w:rsidRPr="009941F8">
        <w:rPr>
          <w:rFonts w:ascii="Arial Narrow" w:eastAsia="SimSun" w:hAnsi="Arial Narrow"/>
          <w:sz w:val="18"/>
          <w:szCs w:val="18"/>
        </w:rPr>
        <w:t>d</w:t>
      </w:r>
      <w:r w:rsidRPr="009941F8">
        <w:rPr>
          <w:rFonts w:ascii="Arial Narrow" w:eastAsia="SimSun" w:hAnsi="Arial Narrow"/>
          <w:sz w:val="18"/>
          <w:szCs w:val="18"/>
        </w:rPr>
        <w:tab/>
        <w:t>Pooled analysis excluded the 150 mg group from TULIP-1. Results are based on the revised restricted medication rules.</w:t>
      </w:r>
    </w:p>
    <w:p w14:paraId="118F3D62"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f</w:t>
      </w:r>
      <w:r w:rsidRPr="009941F8">
        <w:rPr>
          <w:rFonts w:ascii="Arial Narrow" w:eastAsia="SimSun" w:hAnsi="Arial Narrow"/>
          <w:sz w:val="18"/>
          <w:szCs w:val="18"/>
        </w:rPr>
        <w:tab/>
        <w:t>Analysis conducted during the evaluation using LLDAS response from TULIP-1/TULIP-2 with revised medication rules. The resubmission reported TULIP-1/TULIP-2 pooled results (difference: 5.4 (6.7, 10.2)) based on LLDAS with the original pre-specified restricted medication rules in TULIP-1.</w:t>
      </w:r>
    </w:p>
    <w:p w14:paraId="3F328A6E"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g</w:t>
      </w:r>
      <w:r w:rsidRPr="009941F8">
        <w:rPr>
          <w:rFonts w:ascii="Arial Narrow" w:eastAsia="SimSun" w:hAnsi="Arial Narrow"/>
          <w:sz w:val="18"/>
          <w:szCs w:val="18"/>
        </w:rPr>
        <w:tab/>
        <w:t>Analysis conducted during the evaluation from proportion in LLDAS reported in MUSE (post hoc, Morand 2018).</w:t>
      </w:r>
    </w:p>
    <w:p w14:paraId="10F56FC9"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h</w:t>
      </w:r>
      <w:r w:rsidRPr="009941F8">
        <w:rPr>
          <w:rFonts w:ascii="Arial Narrow" w:eastAsia="SimSun" w:hAnsi="Arial Narrow"/>
          <w:sz w:val="18"/>
          <w:szCs w:val="18"/>
        </w:rPr>
        <w:tab/>
        <w:t>Post hoc LLDAS outcome based on Golder 2019 definition, which was simplified from Franklyn 2016 to remove the requirement for assessment of haematological or gastrointestinal activity (criterion 1), and SLEDAI-2K is specified for new activity (criterion 2).</w:t>
      </w:r>
    </w:p>
    <w:p w14:paraId="32CE32FC" w14:textId="0E687249"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j</w:t>
      </w:r>
      <w:r w:rsidRPr="009941F8">
        <w:rPr>
          <w:rFonts w:ascii="Arial Narrow" w:eastAsia="SimSun" w:hAnsi="Arial Narrow"/>
          <w:sz w:val="18"/>
          <w:szCs w:val="18"/>
        </w:rPr>
        <w:tab/>
        <w:t>Post hoc statistical analysis adjusted for response due to discontinuation or non-standard dose of immunosuppressant. The pre-specified exploratory analysis of LLDAS included: i) additional criterion for “discontinuation of immunosuppressants” resulted in LLDAS non</w:t>
      </w:r>
      <w:r w:rsidR="000A7A89" w:rsidRPr="009941F8">
        <w:rPr>
          <w:rFonts w:ascii="Arial Narrow" w:eastAsia="SimSun" w:hAnsi="Arial Narrow"/>
          <w:sz w:val="18"/>
          <w:szCs w:val="18"/>
        </w:rPr>
        <w:t>-</w:t>
      </w:r>
      <w:r w:rsidRPr="009941F8">
        <w:rPr>
          <w:rFonts w:ascii="Arial Narrow" w:eastAsia="SimSun" w:hAnsi="Arial Narrow"/>
          <w:sz w:val="18"/>
          <w:szCs w:val="18"/>
        </w:rPr>
        <w:t>response, and ii) violations of “standard dose of immunosuppressants” resulted in LLDAS non</w:t>
      </w:r>
      <w:r w:rsidR="000A7A89" w:rsidRPr="009941F8">
        <w:rPr>
          <w:rFonts w:ascii="Arial Narrow" w:eastAsia="SimSun" w:hAnsi="Arial Narrow"/>
          <w:sz w:val="18"/>
          <w:szCs w:val="18"/>
        </w:rPr>
        <w:t>-</w:t>
      </w:r>
      <w:r w:rsidRPr="009941F8">
        <w:rPr>
          <w:rFonts w:ascii="Arial Narrow" w:eastAsia="SimSun" w:hAnsi="Arial Narrow"/>
          <w:sz w:val="18"/>
          <w:szCs w:val="18"/>
        </w:rPr>
        <w:t>response for all subsequent visits.</w:t>
      </w:r>
    </w:p>
    <w:p w14:paraId="2B86B388"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k</w:t>
      </w:r>
      <w:r w:rsidRPr="009941F8">
        <w:rPr>
          <w:rFonts w:ascii="Arial Narrow" w:eastAsia="SimSun" w:hAnsi="Arial Narrow"/>
          <w:sz w:val="18"/>
          <w:szCs w:val="18"/>
        </w:rPr>
        <w:tab/>
        <w:t xml:space="preserve">Percentages were calculated using stratified CMH approach with stratification factors; OR, 95% CIs, and nominal P-values were calculated using logistic regression with the same factors as for the CMH approach. </w:t>
      </w:r>
    </w:p>
    <w:p w14:paraId="69A234E8"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l</w:t>
      </w:r>
      <w:r w:rsidRPr="009941F8">
        <w:rPr>
          <w:rFonts w:ascii="Arial Narrow" w:eastAsia="SimSun" w:hAnsi="Arial Narrow"/>
          <w:sz w:val="18"/>
          <w:szCs w:val="18"/>
        </w:rPr>
        <w:tab/>
        <w:t xml:space="preserve"> A logistic regression model was used to adjust for randomisation stratification factors to compare the percentages of LLDAS attainment over time and evaluate the ability of LLDAS to discriminate between treatments.</w:t>
      </w:r>
    </w:p>
    <w:p w14:paraId="0ED49395" w14:textId="77777777"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m</w:t>
      </w:r>
      <w:r w:rsidRPr="009941F8">
        <w:rPr>
          <w:rFonts w:ascii="Arial Narrow" w:eastAsia="SimSun" w:hAnsi="Arial Narrow"/>
          <w:sz w:val="18"/>
          <w:szCs w:val="18"/>
        </w:rPr>
        <w:tab/>
        <w:t>Post hoc (unadjusted) analysis of LLDAS responders derived from Morand 2023 (abstract DOI: 10.1136/annrheumdis-2023-eular.1568); responder required to have no use of restricted medications (considered only during pooled TULIP-1/TULIP-2 but not during TULIP LTE) and no discontinuation of study drug. Percentages and cumulative time in LLDAS compared using CMH approach, and response rates compared using logistic regression. LOCF used to impute missing data for TULIP-1/TULIP-2, but not for LTE. All p-values are nominal.</w:t>
      </w:r>
    </w:p>
    <w:p w14:paraId="0C2E72CE" w14:textId="73739145" w:rsidR="00214181" w:rsidRPr="009941F8"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n</w:t>
      </w:r>
      <w:r w:rsidRPr="009941F8">
        <w:rPr>
          <w:rFonts w:ascii="Arial Narrow" w:eastAsia="SimSun" w:hAnsi="Arial Narrow"/>
          <w:sz w:val="18"/>
          <w:szCs w:val="18"/>
        </w:rPr>
        <w:tab/>
        <w:t>Unadjusted analysis included additional criterion for “discontinuation of immunosuppressants” resulting in LLDAS non</w:t>
      </w:r>
      <w:r w:rsidR="000A7A89" w:rsidRPr="009941F8">
        <w:rPr>
          <w:rFonts w:ascii="Arial Narrow" w:eastAsia="SimSun" w:hAnsi="Arial Narrow"/>
          <w:sz w:val="18"/>
          <w:szCs w:val="18"/>
        </w:rPr>
        <w:t>-</w:t>
      </w:r>
      <w:r w:rsidRPr="009941F8">
        <w:rPr>
          <w:rFonts w:ascii="Arial Narrow" w:eastAsia="SimSun" w:hAnsi="Arial Narrow"/>
          <w:sz w:val="18"/>
          <w:szCs w:val="18"/>
        </w:rPr>
        <w:t>response, and violations of “standard dose of immunosuppressants” resulting in LLDAS non</w:t>
      </w:r>
      <w:r w:rsidR="000A7A89" w:rsidRPr="009941F8">
        <w:rPr>
          <w:rFonts w:ascii="Arial Narrow" w:eastAsia="SimSun" w:hAnsi="Arial Narrow"/>
          <w:sz w:val="18"/>
          <w:szCs w:val="18"/>
        </w:rPr>
        <w:t>-</w:t>
      </w:r>
      <w:r w:rsidRPr="009941F8">
        <w:rPr>
          <w:rFonts w:ascii="Arial Narrow" w:eastAsia="SimSun" w:hAnsi="Arial Narrow"/>
          <w:sz w:val="18"/>
          <w:szCs w:val="18"/>
        </w:rPr>
        <w:t>response for all subsequent visits.</w:t>
      </w:r>
    </w:p>
    <w:p w14:paraId="6CF6FABC" w14:textId="4C06606B" w:rsidR="00214181" w:rsidRDefault="00214181" w:rsidP="00235D09">
      <w:pPr>
        <w:keepNext/>
        <w:ind w:left="170" w:hanging="170"/>
        <w:rPr>
          <w:rFonts w:ascii="Arial Narrow" w:eastAsia="SimSun" w:hAnsi="Arial Narrow"/>
          <w:sz w:val="18"/>
          <w:szCs w:val="18"/>
        </w:rPr>
      </w:pPr>
      <w:r w:rsidRPr="009941F8">
        <w:rPr>
          <w:rFonts w:ascii="Arial Narrow" w:eastAsia="SimSun" w:hAnsi="Arial Narrow"/>
          <w:sz w:val="18"/>
          <w:szCs w:val="18"/>
        </w:rPr>
        <w:t>p</w:t>
      </w:r>
      <w:r w:rsidRPr="009941F8">
        <w:rPr>
          <w:rFonts w:ascii="Arial Narrow" w:eastAsia="SimSun" w:hAnsi="Arial Narrow"/>
          <w:sz w:val="18"/>
          <w:szCs w:val="18"/>
        </w:rPr>
        <w:tab/>
        <w:t>Remission rates (unadjusted) derived from Figure in Morand 2022 (abstract Arthritis Rheumatol. 74 (suppl 9)).</w:t>
      </w:r>
    </w:p>
    <w:p w14:paraId="2BADD54B" w14:textId="45C3182D" w:rsidR="004913A7" w:rsidRPr="00F54881" w:rsidRDefault="00831A70" w:rsidP="00F54881">
      <w:pPr>
        <w:spacing w:after="120"/>
        <w:ind w:left="170" w:hanging="170"/>
        <w:rPr>
          <w:rFonts w:ascii="Arial Narrow" w:eastAsia="SimSun" w:hAnsi="Arial Narrow"/>
          <w:sz w:val="18"/>
          <w:szCs w:val="18"/>
        </w:rPr>
      </w:pPr>
      <w:r>
        <w:rPr>
          <w:rFonts w:ascii="Arial Narrow" w:eastAsia="SimSun" w:hAnsi="Arial Narrow"/>
          <w:sz w:val="18"/>
          <w:szCs w:val="18"/>
        </w:rPr>
        <w:t xml:space="preserve">q  </w:t>
      </w:r>
      <w:r w:rsidRPr="00831A70">
        <w:rPr>
          <w:rStyle w:val="cf01"/>
          <w:rFonts w:ascii="Arial Narrow" w:hAnsi="Arial Narrow"/>
        </w:rPr>
        <w:t xml:space="preserve">Corrections to the DORIS remission data included in the anifrolumab PBAC application from Morand EF, Abreu G, Furie RA, </w:t>
      </w:r>
      <w:r w:rsidRPr="00831A70">
        <w:rPr>
          <w:rStyle w:val="cf11"/>
          <w:rFonts w:ascii="Arial Narrow" w:hAnsi="Arial Narrow"/>
        </w:rPr>
        <w:t>et al</w:t>
      </w:r>
      <w:r w:rsidRPr="00831A70">
        <w:rPr>
          <w:rStyle w:val="cf01"/>
          <w:rFonts w:ascii="Arial Narrow" w:hAnsi="Arial Narrow"/>
        </w:rPr>
        <w:t xml:space="preserve">. Lupus low disease activity state attainment in the phase 3 TULIP trials of anifrolumab in active systemic lupus erythematosus. </w:t>
      </w:r>
      <w:r w:rsidRPr="00831A70">
        <w:rPr>
          <w:rStyle w:val="cf11"/>
          <w:rFonts w:ascii="Arial Narrow" w:hAnsi="Arial Narrow"/>
        </w:rPr>
        <w:t xml:space="preserve">Annals of the Rheumatic Diseases </w:t>
      </w:r>
      <w:r w:rsidRPr="00831A70">
        <w:rPr>
          <w:rStyle w:val="cf01"/>
          <w:rFonts w:ascii="Arial Narrow" w:hAnsi="Arial Narrow"/>
        </w:rPr>
        <w:t>2023;82:639-645 have been superseded as noted in an erratum published in 2024</w:t>
      </w:r>
    </w:p>
    <w:p w14:paraId="43A7CDEE" w14:textId="709641A9" w:rsidR="004913A7" w:rsidRPr="00831A70" w:rsidRDefault="004913A7" w:rsidP="00F25AA9">
      <w:pPr>
        <w:keepNext/>
        <w:keepLines/>
        <w:rPr>
          <w:rFonts w:ascii="Arial Narrow" w:hAnsi="Arial Narrow"/>
          <w:b/>
          <w:sz w:val="20"/>
          <w:szCs w:val="20"/>
          <w:vertAlign w:val="superscript"/>
        </w:rPr>
      </w:pPr>
      <w:bookmarkStart w:id="41" w:name="_Ref153965101"/>
      <w:r w:rsidRPr="009941F8">
        <w:rPr>
          <w:rFonts w:ascii="Arial Narrow" w:hAnsi="Arial Narrow"/>
          <w:b/>
          <w:sz w:val="20"/>
          <w:szCs w:val="20"/>
        </w:rPr>
        <w:lastRenderedPageBreak/>
        <w:t xml:space="preserve">Figure </w:t>
      </w:r>
      <w:r w:rsidRPr="009941F8">
        <w:rPr>
          <w:rFonts w:ascii="Arial Narrow" w:hAnsi="Arial Narrow"/>
          <w:b/>
          <w:sz w:val="20"/>
          <w:szCs w:val="20"/>
        </w:rPr>
        <w:fldChar w:fldCharType="begin" w:fldLock="1"/>
      </w:r>
      <w:r w:rsidRPr="009941F8">
        <w:rPr>
          <w:rFonts w:ascii="Arial Narrow" w:hAnsi="Arial Narrow"/>
          <w:b/>
          <w:sz w:val="20"/>
          <w:szCs w:val="20"/>
        </w:rPr>
        <w:instrText xml:space="preserve"> SEQ Figure \* ARABIC </w:instrText>
      </w:r>
      <w:r w:rsidRPr="009941F8">
        <w:rPr>
          <w:rFonts w:ascii="Arial Narrow" w:hAnsi="Arial Narrow"/>
          <w:b/>
          <w:sz w:val="20"/>
          <w:szCs w:val="20"/>
        </w:rPr>
        <w:fldChar w:fldCharType="separate"/>
      </w:r>
      <w:r w:rsidR="00F07501">
        <w:rPr>
          <w:rFonts w:ascii="Arial Narrow" w:hAnsi="Arial Narrow"/>
          <w:b/>
          <w:noProof/>
          <w:sz w:val="20"/>
          <w:szCs w:val="20"/>
        </w:rPr>
        <w:t>1</w:t>
      </w:r>
      <w:r w:rsidRPr="009941F8">
        <w:rPr>
          <w:rFonts w:ascii="Arial Narrow" w:hAnsi="Arial Narrow"/>
          <w:b/>
          <w:sz w:val="20"/>
          <w:szCs w:val="20"/>
        </w:rPr>
        <w:fldChar w:fldCharType="end"/>
      </w:r>
      <w:bookmarkEnd w:id="41"/>
      <w:r w:rsidRPr="009941F8">
        <w:rPr>
          <w:rFonts w:ascii="Arial Narrow" w:hAnsi="Arial Narrow"/>
          <w:b/>
          <w:sz w:val="20"/>
          <w:szCs w:val="20"/>
        </w:rPr>
        <w:t>: post hoc analysis of attainment of LLDAS</w:t>
      </w:r>
      <w:r w:rsidRPr="009941F8">
        <w:rPr>
          <w:rFonts w:ascii="Arial Narrow" w:hAnsi="Arial Narrow"/>
          <w:b/>
          <w:sz w:val="20"/>
          <w:szCs w:val="20"/>
          <w:vertAlign w:val="superscript"/>
        </w:rPr>
        <w:t>#</w:t>
      </w:r>
      <w:r w:rsidRPr="009941F8">
        <w:rPr>
          <w:rFonts w:ascii="Arial Narrow" w:hAnsi="Arial Narrow"/>
          <w:b/>
          <w:sz w:val="20"/>
          <w:szCs w:val="20"/>
        </w:rPr>
        <w:t xml:space="preserve"> and DORIS remission over 52 weeks of treatment across TULIP-1 and TULIP-2 and LLDAS over 208 weeks in TULIP LTE (adjusted and unadjusted analysis)</w:t>
      </w:r>
      <w:r w:rsidR="008D742D" w:rsidRPr="009941F8">
        <w:rPr>
          <w:rFonts w:ascii="Arial Narrow" w:hAnsi="Arial Narrow"/>
          <w:b/>
          <w:sz w:val="20"/>
          <w:szCs w:val="20"/>
        </w:rPr>
        <w:t xml:space="preserve"> (ITT population)</w:t>
      </w:r>
      <w:r w:rsidR="00831A70">
        <w:rPr>
          <w:rFonts w:ascii="Arial Narrow" w:hAnsi="Arial Narrow"/>
          <w:b/>
          <w:sz w:val="20"/>
          <w:szCs w:val="20"/>
          <w:vertAlign w:val="superscript"/>
        </w:rPr>
        <w:t>a</w:t>
      </w:r>
    </w:p>
    <w:tbl>
      <w:tblPr>
        <w:tblStyle w:val="TableGrid"/>
        <w:tblW w:w="0" w:type="auto"/>
        <w:tblCellMar>
          <w:left w:w="28" w:type="dxa"/>
          <w:right w:w="28" w:type="dxa"/>
        </w:tblCellMar>
        <w:tblLook w:val="04A0" w:firstRow="1" w:lastRow="0" w:firstColumn="1" w:lastColumn="0" w:noHBand="0" w:noVBand="1"/>
      </w:tblPr>
      <w:tblGrid>
        <w:gridCol w:w="4496"/>
        <w:gridCol w:w="4521"/>
      </w:tblGrid>
      <w:tr w:rsidR="004913A7" w:rsidRPr="009941F8" w14:paraId="20742EE9" w14:textId="77777777" w:rsidTr="00223FD3">
        <w:tc>
          <w:tcPr>
            <w:tcW w:w="4390" w:type="dxa"/>
          </w:tcPr>
          <w:p w14:paraId="1793F97B" w14:textId="77777777" w:rsidR="004913A7" w:rsidRPr="009941F8" w:rsidRDefault="004913A7" w:rsidP="00F25AA9">
            <w:pPr>
              <w:keepNext/>
              <w:keepLines/>
              <w:rPr>
                <w:rFonts w:ascii="Arial Narrow" w:hAnsi="Arial Narrow"/>
                <w:sz w:val="20"/>
                <w:szCs w:val="20"/>
              </w:rPr>
            </w:pPr>
            <w:r w:rsidRPr="009941F8">
              <w:rPr>
                <w:rFonts w:ascii="Arial Narrow" w:hAnsi="Arial Narrow"/>
                <w:b/>
                <w:sz w:val="20"/>
                <w:szCs w:val="20"/>
              </w:rPr>
              <w:t>A. LLDAS attainment to Wk 52 of TULIP-1/TULIP-2 pooled (adjusted analysis)</w:t>
            </w:r>
          </w:p>
        </w:tc>
        <w:tc>
          <w:tcPr>
            <w:tcW w:w="4627" w:type="dxa"/>
          </w:tcPr>
          <w:p w14:paraId="22D6AB3E" w14:textId="77777777" w:rsidR="004913A7" w:rsidRPr="009941F8" w:rsidRDefault="004913A7" w:rsidP="00F25AA9">
            <w:pPr>
              <w:keepNext/>
              <w:keepLines/>
              <w:rPr>
                <w:rFonts w:ascii="Arial Narrow" w:hAnsi="Arial Narrow"/>
                <w:sz w:val="20"/>
                <w:szCs w:val="20"/>
              </w:rPr>
            </w:pPr>
            <w:r w:rsidRPr="009941F8">
              <w:rPr>
                <w:rFonts w:ascii="Arial Narrow" w:hAnsi="Arial Narrow"/>
                <w:b/>
                <w:sz w:val="20"/>
                <w:szCs w:val="20"/>
              </w:rPr>
              <w:t>B. DORIS remission attainment to Wk 52 of TULIP-1/TULIP-2 pooled (adjusted analysis)</w:t>
            </w:r>
          </w:p>
        </w:tc>
      </w:tr>
      <w:tr w:rsidR="004913A7" w:rsidRPr="009941F8" w14:paraId="2A58AD10" w14:textId="77777777" w:rsidTr="00223FD3">
        <w:tc>
          <w:tcPr>
            <w:tcW w:w="4390" w:type="dxa"/>
            <w:vAlign w:val="center"/>
          </w:tcPr>
          <w:p w14:paraId="24385BC4" w14:textId="77777777" w:rsidR="004913A7" w:rsidRPr="009941F8" w:rsidRDefault="004913A7" w:rsidP="00F25AA9">
            <w:pPr>
              <w:keepNext/>
              <w:keepLines/>
              <w:jc w:val="center"/>
              <w:rPr>
                <w:rFonts w:ascii="Arial Narrow" w:hAnsi="Arial Narrow"/>
                <w:sz w:val="20"/>
                <w:szCs w:val="20"/>
              </w:rPr>
            </w:pPr>
            <w:r w:rsidRPr="009941F8">
              <w:rPr>
                <w:rFonts w:ascii="Arial Narrow" w:hAnsi="Arial Narrow"/>
                <w:noProof/>
                <w:sz w:val="20"/>
                <w:szCs w:val="20"/>
              </w:rPr>
              <w:drawing>
                <wp:inline distT="0" distB="0" distL="0" distR="0" wp14:anchorId="4960A219" wp14:editId="387281B4">
                  <wp:extent cx="2817753" cy="1518699"/>
                  <wp:effectExtent l="0" t="0" r="1905" b="5715"/>
                  <wp:docPr id="1" name="Picture 1" descr="Figure 1: post hoc analysis of attainment of LLDAS# and DORIS remission over 52 weeks of treatment across TULIP-1 and TULIP-2 and LLDAS over 208 weeks in TULIP LTE (adjusted and unadjusted analysis) (ITT population) a A. LLDAS attainment to Wk 52 of TULIP-1/TULIP-2 pooled (adjuste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post hoc analysis of attainment of LLDAS# and DORIS remission over 52 weeks of treatment across TULIP-1 and TULIP-2 and LLDAS over 208 weeks in TULIP LTE (adjusted and unadjusted analysis) (ITT population) a A. LLDAS attainment to Wk 52 of TULIP-1/TULIP-2 pooled (adjusted analys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8321" cy="1572903"/>
                          </a:xfrm>
                          <a:prstGeom prst="rect">
                            <a:avLst/>
                          </a:prstGeom>
                          <a:noFill/>
                        </pic:spPr>
                      </pic:pic>
                    </a:graphicData>
                  </a:graphic>
                </wp:inline>
              </w:drawing>
            </w:r>
          </w:p>
        </w:tc>
        <w:tc>
          <w:tcPr>
            <w:tcW w:w="4627" w:type="dxa"/>
            <w:vAlign w:val="center"/>
          </w:tcPr>
          <w:p w14:paraId="21252DBF" w14:textId="77777777" w:rsidR="004913A7" w:rsidRPr="009941F8" w:rsidRDefault="004913A7" w:rsidP="00F25AA9">
            <w:pPr>
              <w:keepNext/>
              <w:keepLines/>
              <w:jc w:val="center"/>
              <w:rPr>
                <w:rFonts w:ascii="Arial Narrow" w:hAnsi="Arial Narrow"/>
                <w:sz w:val="20"/>
                <w:szCs w:val="20"/>
              </w:rPr>
            </w:pPr>
            <w:r w:rsidRPr="009941F8">
              <w:rPr>
                <w:rFonts w:ascii="Arial Narrow" w:hAnsi="Arial Narrow"/>
                <w:noProof/>
                <w:sz w:val="20"/>
                <w:szCs w:val="20"/>
              </w:rPr>
              <w:drawing>
                <wp:inline distT="0" distB="0" distL="0" distR="0" wp14:anchorId="3AB368B9" wp14:editId="21B795AE">
                  <wp:extent cx="2822575" cy="1526540"/>
                  <wp:effectExtent l="0" t="0" r="0" b="0"/>
                  <wp:docPr id="2" name="Picture 2" descr="Figure 1: post hoc analysis of attainment of LLDAS# and DORIS remission over 52 weeks of treatment across TULIP-1 and TULIP-2 and LLDAS over 208 weeks in TULIP LTE (adjusted and unadjusted analysis) (ITT population) a B. DORIS remission attainment to Wk 52 of TULIP-1/TULIP-2 pooled (adjuste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post hoc analysis of attainment of LLDAS# and DORIS remission over 52 weeks of treatment across TULIP-1 and TULIP-2 and LLDAS over 208 weeks in TULIP LTE (adjusted and unadjusted analysis) (ITT population) a B. DORIS remission attainment to Wk 52 of TULIP-1/TULIP-2 pooled (adjusted analys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2575" cy="1526540"/>
                          </a:xfrm>
                          <a:prstGeom prst="rect">
                            <a:avLst/>
                          </a:prstGeom>
                          <a:noFill/>
                        </pic:spPr>
                      </pic:pic>
                    </a:graphicData>
                  </a:graphic>
                </wp:inline>
              </w:drawing>
            </w:r>
          </w:p>
        </w:tc>
      </w:tr>
      <w:tr w:rsidR="004913A7" w:rsidRPr="009941F8" w14:paraId="7B9F44A4" w14:textId="77777777" w:rsidTr="00223FD3">
        <w:tc>
          <w:tcPr>
            <w:tcW w:w="9017" w:type="dxa"/>
            <w:gridSpan w:val="2"/>
          </w:tcPr>
          <w:p w14:paraId="26F40CE4" w14:textId="77777777" w:rsidR="004913A7" w:rsidRPr="009941F8" w:rsidRDefault="004913A7" w:rsidP="00F25AA9">
            <w:pPr>
              <w:keepNext/>
              <w:keepLines/>
              <w:rPr>
                <w:rFonts w:ascii="Arial Narrow" w:hAnsi="Arial Narrow"/>
                <w:sz w:val="20"/>
                <w:szCs w:val="20"/>
              </w:rPr>
            </w:pPr>
            <w:r w:rsidRPr="009941F8">
              <w:rPr>
                <w:rFonts w:ascii="Arial Narrow" w:hAnsi="Arial Narrow"/>
                <w:b/>
                <w:sz w:val="20"/>
                <w:szCs w:val="20"/>
              </w:rPr>
              <w:t>C. LLDAS attainment to Wk 208 (unadjusted vs adjusted analysis)^ of TULIP-1/TULIP-2 pooled and TULIP LTE</w:t>
            </w:r>
          </w:p>
        </w:tc>
      </w:tr>
      <w:tr w:rsidR="004913A7" w:rsidRPr="009941F8" w14:paraId="6C0BFF06" w14:textId="77777777" w:rsidTr="00223FD3">
        <w:tc>
          <w:tcPr>
            <w:tcW w:w="9017" w:type="dxa"/>
            <w:gridSpan w:val="2"/>
          </w:tcPr>
          <w:p w14:paraId="2819422A" w14:textId="77777777" w:rsidR="004913A7" w:rsidRPr="009941F8" w:rsidRDefault="004913A7" w:rsidP="00F25AA9">
            <w:pPr>
              <w:keepNext/>
              <w:keepLines/>
              <w:rPr>
                <w:rFonts w:ascii="Arial Narrow" w:hAnsi="Arial Narrow"/>
                <w:sz w:val="20"/>
                <w:szCs w:val="20"/>
              </w:rPr>
            </w:pPr>
            <w:r w:rsidRPr="009941F8">
              <w:rPr>
                <w:rFonts w:ascii="Arial Narrow" w:hAnsi="Arial Narrow"/>
                <w:noProof/>
                <w:sz w:val="20"/>
                <w:szCs w:val="20"/>
              </w:rPr>
              <w:drawing>
                <wp:inline distT="0" distB="0" distL="0" distR="0" wp14:anchorId="2203445E" wp14:editId="450A9F30">
                  <wp:extent cx="5685183" cy="1788160"/>
                  <wp:effectExtent l="0" t="0" r="0" b="2540"/>
                  <wp:docPr id="31" name="Picture 31" descr="Figure 1: post hoc analysis of attainment of LLDAS# and DORIS remission over 52 weeks of treatment across TULIP-1 and TULIP-2 and LLDAS over 208 weeks in TULIP LTE C. LLDAS attainment to Wk 208 (unadjusted vs adjusted analysis)^ of TULIP-1/TULIP-2 pooled and TULIP LTE(adjusted and unadjusted analysis) (ITT population) 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1: post hoc analysis of attainment of LLDAS# and DORIS remission over 52 weeks of treatment across TULIP-1 and TULIP-2 and LLDAS over 208 weeks in TULIP LTE C. LLDAS attainment to Wk 208 (unadjusted vs adjusted analysis)^ of TULIP-1/TULIP-2 pooled and TULIP LTE(adjusted and unadjusted analysis) (ITT population) a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9514" cy="1836702"/>
                          </a:xfrm>
                          <a:prstGeom prst="rect">
                            <a:avLst/>
                          </a:prstGeom>
                          <a:noFill/>
                        </pic:spPr>
                      </pic:pic>
                    </a:graphicData>
                  </a:graphic>
                </wp:inline>
              </w:drawing>
            </w:r>
          </w:p>
        </w:tc>
      </w:tr>
    </w:tbl>
    <w:p w14:paraId="23438B1C" w14:textId="77777777" w:rsidR="004913A7" w:rsidRPr="009941F8" w:rsidRDefault="004913A7" w:rsidP="00F25AA9">
      <w:pPr>
        <w:keepNext/>
        <w:keepLines/>
        <w:rPr>
          <w:rFonts w:ascii="Arial Narrow" w:hAnsi="Arial Narrow"/>
          <w:sz w:val="18"/>
          <w:szCs w:val="18"/>
        </w:rPr>
      </w:pPr>
      <w:r w:rsidRPr="009941F8">
        <w:rPr>
          <w:rFonts w:ascii="Arial Narrow" w:hAnsi="Arial Narrow"/>
          <w:sz w:val="18"/>
          <w:szCs w:val="18"/>
        </w:rPr>
        <w:t>Source: Figure 2-16, p145, Figure 2-21, p150 and Figure 2-22, p152 of the resubmission.</w:t>
      </w:r>
    </w:p>
    <w:p w14:paraId="713C6372" w14:textId="77777777" w:rsidR="004913A7" w:rsidRPr="009941F8" w:rsidRDefault="004913A7" w:rsidP="00F25AA9">
      <w:pPr>
        <w:keepNext/>
        <w:keepLines/>
        <w:rPr>
          <w:rFonts w:ascii="Arial Narrow" w:eastAsia="SimSun" w:hAnsi="Arial Narrow"/>
          <w:sz w:val="18"/>
          <w:szCs w:val="18"/>
        </w:rPr>
      </w:pPr>
      <w:r w:rsidRPr="009941F8">
        <w:rPr>
          <w:rFonts w:ascii="Arial Narrow" w:eastAsia="SimSun" w:hAnsi="Arial Narrow"/>
          <w:sz w:val="18"/>
          <w:szCs w:val="18"/>
        </w:rPr>
        <w:t>DORIS=Definition of Remission In SLE; LLDAS=low lupus disease activity state; SE=standard error; SLEDAI-2K=Systemic Lupus Erythematosus Disease Activity Index 2000; SOC=standard of care; SOC=standard of care;</w:t>
      </w:r>
    </w:p>
    <w:p w14:paraId="34C0080C" w14:textId="77777777" w:rsidR="004913A7" w:rsidRPr="009941F8" w:rsidRDefault="004913A7" w:rsidP="00F25AA9">
      <w:pPr>
        <w:keepNext/>
        <w:keepLines/>
        <w:rPr>
          <w:rFonts w:ascii="Arial Narrow" w:hAnsi="Arial Narrow"/>
          <w:sz w:val="18"/>
          <w:szCs w:val="18"/>
        </w:rPr>
      </w:pPr>
      <w:r w:rsidRPr="009941F8">
        <w:rPr>
          <w:rFonts w:ascii="Arial Narrow" w:hAnsi="Arial Narrow"/>
          <w:sz w:val="18"/>
          <w:szCs w:val="18"/>
        </w:rPr>
        <w:t>Responder rates (percentages) were weighted and calculated using a stratified Cochran-Mantel- Haenszel approach, with stratification factors SLEDAI-2K score at screening, day 1 glucocorticoid dose, type I IFN gene signature test result at screening and study. Nominal p values calculated using logistic regression with the same stratification factors. **p&lt;0.01; ***p&lt;0.001.</w:t>
      </w:r>
    </w:p>
    <w:p w14:paraId="4601831C" w14:textId="77777777" w:rsidR="004913A7" w:rsidRPr="009941F8" w:rsidRDefault="004913A7" w:rsidP="00F25AA9">
      <w:pPr>
        <w:keepNext/>
        <w:keepLines/>
        <w:ind w:left="165" w:hanging="165"/>
        <w:rPr>
          <w:rFonts w:ascii="Arial Narrow" w:hAnsi="Arial Narrow"/>
          <w:sz w:val="18"/>
          <w:szCs w:val="18"/>
        </w:rPr>
      </w:pPr>
      <w:r w:rsidRPr="009941F8">
        <w:rPr>
          <w:rFonts w:ascii="Arial Narrow" w:hAnsi="Arial Narrow"/>
          <w:sz w:val="18"/>
          <w:szCs w:val="18"/>
        </w:rPr>
        <w:t>#</w:t>
      </w:r>
      <w:r w:rsidRPr="009941F8">
        <w:rPr>
          <w:rFonts w:ascii="Arial Narrow" w:hAnsi="Arial Narrow"/>
          <w:sz w:val="18"/>
          <w:szCs w:val="18"/>
        </w:rPr>
        <w:tab/>
        <w:t>Post hoc LLDAS outcome based on Golder 2019 definition, which was simplified to remove the requirement for assessment of ‘no gastrointestinal and haematological activity’ (in criterion 1).</w:t>
      </w:r>
    </w:p>
    <w:p w14:paraId="430F9F57" w14:textId="77777777" w:rsidR="004913A7" w:rsidRDefault="004913A7" w:rsidP="00F25AA9">
      <w:pPr>
        <w:keepNext/>
        <w:keepLines/>
        <w:ind w:left="165" w:hanging="165"/>
        <w:rPr>
          <w:rFonts w:ascii="Arial Narrow" w:hAnsi="Arial Narrow"/>
          <w:sz w:val="18"/>
          <w:szCs w:val="18"/>
        </w:rPr>
      </w:pPr>
      <w:r w:rsidRPr="009941F8">
        <w:rPr>
          <w:rFonts w:ascii="Arial Narrow" w:hAnsi="Arial Narrow"/>
          <w:sz w:val="18"/>
          <w:szCs w:val="18"/>
        </w:rPr>
        <w:t>^</w:t>
      </w:r>
      <w:r w:rsidRPr="009941F8">
        <w:rPr>
          <w:rFonts w:ascii="Arial Narrow" w:hAnsi="Arial Narrow"/>
          <w:sz w:val="18"/>
          <w:szCs w:val="18"/>
        </w:rPr>
        <w:tab/>
        <w:t>The solid lines represent unadjusted analysis in which patients were classified as LLDAS non-response if they meet additional criterion for “discontinuation of immunosuppressants” or breach the permitted “standard dose of immunosuppressants” criteria resulting in LLDAS non-response for all subsequent visits. The dashed lines represent the analysis adjusted for these criteria, which resulted in more patients classified as responders.</w:t>
      </w:r>
    </w:p>
    <w:p w14:paraId="49FE8118" w14:textId="68C472C9" w:rsidR="00831A70" w:rsidRPr="00831A70" w:rsidRDefault="00831A70" w:rsidP="00233562">
      <w:pPr>
        <w:keepLines/>
        <w:spacing w:after="120"/>
        <w:ind w:left="164" w:hanging="164"/>
        <w:rPr>
          <w:rFonts w:ascii="Arial Narrow" w:hAnsi="Arial Narrow"/>
          <w:sz w:val="18"/>
          <w:szCs w:val="18"/>
          <w:vertAlign w:val="superscript"/>
        </w:rPr>
      </w:pPr>
      <w:r>
        <w:rPr>
          <w:rFonts w:ascii="Arial Narrow" w:hAnsi="Arial Narrow"/>
          <w:sz w:val="18"/>
          <w:szCs w:val="18"/>
          <w:vertAlign w:val="superscript"/>
        </w:rPr>
        <w:t xml:space="preserve">a   </w:t>
      </w:r>
      <w:r w:rsidRPr="00831A70">
        <w:rPr>
          <w:rStyle w:val="cf01"/>
          <w:rFonts w:ascii="Arial Narrow" w:hAnsi="Arial Narrow"/>
        </w:rPr>
        <w:t xml:space="preserve">Corrections to the DORIS remission data included in the anifrolumab PBAC application from Morand EF, Abreu G, Furie RA, </w:t>
      </w:r>
      <w:r w:rsidRPr="00831A70">
        <w:rPr>
          <w:rStyle w:val="cf11"/>
          <w:rFonts w:ascii="Arial Narrow" w:hAnsi="Arial Narrow"/>
        </w:rPr>
        <w:t>et al</w:t>
      </w:r>
      <w:r w:rsidRPr="00831A70">
        <w:rPr>
          <w:rStyle w:val="cf01"/>
          <w:rFonts w:ascii="Arial Narrow" w:hAnsi="Arial Narrow"/>
        </w:rPr>
        <w:t xml:space="preserve">. Lupus low disease activity state attainment in the phase 3 TULIP trials of anifrolumab in active systemic lupus erythematosus. </w:t>
      </w:r>
      <w:r w:rsidRPr="00831A70">
        <w:rPr>
          <w:rStyle w:val="cf11"/>
          <w:rFonts w:ascii="Arial Narrow" w:hAnsi="Arial Narrow"/>
        </w:rPr>
        <w:t xml:space="preserve">Annals of the Rheumatic Diseases </w:t>
      </w:r>
      <w:r w:rsidRPr="00831A70">
        <w:rPr>
          <w:rStyle w:val="cf01"/>
          <w:rFonts w:ascii="Arial Narrow" w:hAnsi="Arial Narrow"/>
        </w:rPr>
        <w:t>2023;82:639-645 have been superseded as noted in an erratum published in 2024</w:t>
      </w:r>
    </w:p>
    <w:p w14:paraId="00A659B2" w14:textId="089D2B29" w:rsidR="00214181" w:rsidRPr="009941F8" w:rsidRDefault="00CC6111" w:rsidP="00A244E2">
      <w:pPr>
        <w:pStyle w:val="3-BodyText"/>
      </w:pPr>
      <w:r w:rsidRPr="009941F8">
        <w:t>The PBAC previously considered that anifrolumab likely conferred a small reduction in disease activity in terms of SRI(4), noting the large placebo response compared to anifrolumab arm. However, the PBAC also considered the magnitude of benefit was uncertain (paragraph 7.5, anifrolumab</w:t>
      </w:r>
      <w:r w:rsidR="00C44237" w:rsidRPr="009941F8">
        <w:t>,</w:t>
      </w:r>
      <w:r w:rsidRPr="009941F8">
        <w:t xml:space="preserve"> PSD July 2022 and paragraph 6.15, anifrolumab PSD</w:t>
      </w:r>
      <w:r w:rsidR="00C44237" w:rsidRPr="009941F8">
        <w:t>,</w:t>
      </w:r>
      <w:r w:rsidRPr="009941F8">
        <w:t xml:space="preserve"> March 2023).</w:t>
      </w:r>
    </w:p>
    <w:p w14:paraId="08980746" w14:textId="2F6F0431" w:rsidR="00214181" w:rsidRPr="009941F8" w:rsidRDefault="00CC6111" w:rsidP="00A244E2">
      <w:pPr>
        <w:pStyle w:val="3-BodyText"/>
      </w:pPr>
      <w:r w:rsidRPr="009941F8">
        <w:t>The prespecified exploratory analysis of LLDAS showed that based on LLDAS defined by</w:t>
      </w:r>
      <w:r w:rsidRPr="009941F8">
        <w:rPr>
          <w:b/>
          <w:bCs/>
        </w:rPr>
        <w:t xml:space="preserve"> </w:t>
      </w:r>
      <w:r w:rsidRPr="00590ABF">
        <w:t>Franklyn et al 2016,</w:t>
      </w:r>
      <w:r w:rsidRPr="009941F8">
        <w:rPr>
          <w:b/>
          <w:bCs/>
        </w:rPr>
        <w:t xml:space="preserve"> </w:t>
      </w:r>
      <w:r w:rsidRPr="009941F8">
        <w:t>there was significantly higher LLDAS attainment at Week 52 in the anifrolumab 300 mg group compared to placebo in the pooled TULIP-1/TULIP-2 data (17.2% vs 10.4%, p&lt;0.05) and MUSE (39.4% vs 16.7%, OR = 3.41, 95%</w:t>
      </w:r>
      <w:r w:rsidR="00393221" w:rsidRPr="009941F8">
        <w:t xml:space="preserve"> </w:t>
      </w:r>
      <w:r w:rsidRPr="009941F8">
        <w:t xml:space="preserve">CI: 1.73, 6.76, p&lt;0.001). However, separately in TULIP-1 and TULIP-2, the pre-specified </w:t>
      </w:r>
      <w:r w:rsidRPr="009941F8">
        <w:lastRenderedPageBreak/>
        <w:t>exploratory analysis showed no significant differences between anifrolumab and placebo treated patients for LLDAS attainment at Week 52.</w:t>
      </w:r>
    </w:p>
    <w:p w14:paraId="27F41EF6" w14:textId="1979FB48" w:rsidR="00CE0B67" w:rsidRPr="009941F8" w:rsidRDefault="00CC6111" w:rsidP="00460084">
      <w:pPr>
        <w:pStyle w:val="3-BodyText"/>
      </w:pPr>
      <w:r w:rsidRPr="009941F8">
        <w:t xml:space="preserve">Based on LLDAS defined by </w:t>
      </w:r>
      <w:r w:rsidRPr="00590ABF">
        <w:t>Golder et al 201</w:t>
      </w:r>
      <w:r w:rsidR="00590ABF">
        <w:t xml:space="preserve">9 </w:t>
      </w:r>
      <w:r w:rsidRPr="009941F8">
        <w:t>and amending the response rule so those who discontinued immunosuppressant(s) or taking non-standard doses of immunosuppressants can also be classified as an LLDAS responder, found overall higher LLDAS attainment in the anifrolumab 300 mg group compared to placebo, this was nominally significant in the pooled TULIP-1/TULIP-2 analyses at Week 52 (30.0% vs 19.6%, OR = 1.8, 95%</w:t>
      </w:r>
      <w:r w:rsidR="00393221" w:rsidRPr="009941F8">
        <w:t xml:space="preserve"> </w:t>
      </w:r>
      <w:r w:rsidRPr="009941F8">
        <w:t>CI: 1.3, 2.5, p=0.0011) and Week 208 (26.7% vs 9.9%, OR = 3.2, 95%</w:t>
      </w:r>
      <w:r w:rsidR="00393221" w:rsidRPr="009941F8">
        <w:t xml:space="preserve"> </w:t>
      </w:r>
      <w:r w:rsidRPr="009941F8">
        <w:t>CI: 1.6, 6.4, p=0.0004)</w:t>
      </w:r>
      <w:r w:rsidR="005D15E6" w:rsidRPr="009941F8">
        <w:t>.</w:t>
      </w:r>
      <w:r w:rsidR="00D66127" w:rsidRPr="009941F8">
        <w:t xml:space="preserve"> Th</w:t>
      </w:r>
      <w:r w:rsidR="00CE0B67" w:rsidRPr="009941F8">
        <w:t>e commentary considered th</w:t>
      </w:r>
      <w:r w:rsidR="00D66127" w:rsidRPr="009941F8">
        <w:t xml:space="preserve">is adjustment </w:t>
      </w:r>
      <w:r w:rsidR="00C75112" w:rsidRPr="009941F8">
        <w:t xml:space="preserve">did </w:t>
      </w:r>
      <w:r w:rsidR="00D66127" w:rsidRPr="009941F8">
        <w:t xml:space="preserve">not </w:t>
      </w:r>
      <w:r w:rsidR="00C75112" w:rsidRPr="009941F8">
        <w:t xml:space="preserve">appear to </w:t>
      </w:r>
      <w:r w:rsidR="00D66127" w:rsidRPr="009941F8">
        <w:t>be reasonable as it potentially included patients who increased their dosage of concomitant drugs including immunosuppressants due to lack of response</w:t>
      </w:r>
      <w:r w:rsidR="009941F8">
        <w:t xml:space="preserve">. </w:t>
      </w:r>
    </w:p>
    <w:p w14:paraId="582DA50D" w14:textId="493CBD53" w:rsidR="001728F0" w:rsidRPr="009941F8" w:rsidRDefault="001728F0" w:rsidP="00A244E2">
      <w:pPr>
        <w:pStyle w:val="3-BodyText"/>
      </w:pPr>
      <w:bookmarkStart w:id="42" w:name="_Ref162252351"/>
      <w:r w:rsidRPr="009941F8">
        <w:t xml:space="preserve">The PSCR stated that LLDAS was attained more frequently in the anifrolumab group compared with placebo, irrespective of the LLDAS definition and the adjustment for response in the statistical analysis. The PSCR noted that pooling of exploratory data from the individual TULIP trials demonstrated a significantly greater proportion of patients with LLDAS (mean difference (MD) = 5.4; 95% CI: 6.7, 10.2; p &lt; 0.05). </w:t>
      </w:r>
      <w:r w:rsidR="00A77921" w:rsidRPr="009941F8">
        <w:t>The PSCR stated that the adjusted LLDAS definition used in the post-hoc analysis reflected new research findings (Golder et al. 2019 Validation study), however t</w:t>
      </w:r>
      <w:r w:rsidRPr="009941F8">
        <w:t>he ESC noted that this analysis was based on LLDAS with inconsistent restricted medication rules between TULIP-1 (original pre-specified restricted medication rules) and TULIP-2 (post hoc revised restricted medication rules).</w:t>
      </w:r>
      <w:bookmarkEnd w:id="42"/>
    </w:p>
    <w:p w14:paraId="7B308FF1" w14:textId="1EA092F7" w:rsidR="00CC6111" w:rsidRPr="009941F8" w:rsidRDefault="00CC6111" w:rsidP="00A244E2">
      <w:pPr>
        <w:pStyle w:val="3-BodyText"/>
      </w:pPr>
      <w:r w:rsidRPr="009941F8">
        <w:t xml:space="preserve">LLDAS was </w:t>
      </w:r>
      <w:r w:rsidRPr="009941F8">
        <w:rPr>
          <w:rFonts w:eastAsia="SimSun"/>
        </w:rPr>
        <w:t xml:space="preserve">achieved earlier for patients treated with anifrolumab compared to placebo (median </w:t>
      </w:r>
      <w:r w:rsidR="00393221" w:rsidRPr="009941F8">
        <w:rPr>
          <w:rFonts w:eastAsia="SimSun"/>
        </w:rPr>
        <w:t xml:space="preserve">months </w:t>
      </w:r>
      <w:r w:rsidRPr="009941F8">
        <w:rPr>
          <w:rFonts w:eastAsia="SimSun"/>
        </w:rPr>
        <w:t>(range): 5.7 (1.8-12.2) vs 6.46 (1.0-12.2), HR = 1.76, 95%</w:t>
      </w:r>
      <w:r w:rsidR="00393221" w:rsidRPr="009941F8">
        <w:rPr>
          <w:rFonts w:eastAsia="SimSun"/>
        </w:rPr>
        <w:t xml:space="preserve"> </w:t>
      </w:r>
      <w:r w:rsidRPr="009941F8">
        <w:rPr>
          <w:rFonts w:eastAsia="SimSun"/>
        </w:rPr>
        <w:t xml:space="preserve">CI: 1.35, 2.30, p&lt;0.0001). </w:t>
      </w:r>
      <w:r w:rsidRPr="009941F8">
        <w:t>Anifrolumab treated patients also had significantly more cumulative time (p&lt;0.001), percentage of time (p&lt;0.001) and sustained or consecutive visits (p&lt;0.001) spent in LLDAS compared to placebo to Week 52 and Week 208. Significantly more patients treated with anifrolumab compared to placebo had cumulative t</w:t>
      </w:r>
      <w:r w:rsidRPr="009941F8">
        <w:rPr>
          <w:rFonts w:eastAsia="SimSun"/>
        </w:rPr>
        <w:t xml:space="preserve">ime spent in LLDAS at thresholds of </w:t>
      </w:r>
      <w:r w:rsidRPr="009941F8">
        <w:rPr>
          <w:rFonts w:eastAsia="SimSun" w:cs="Calibri"/>
        </w:rPr>
        <w:t>≥20</w:t>
      </w:r>
      <w:r w:rsidRPr="009941F8">
        <w:rPr>
          <w:rFonts w:eastAsia="SimSun"/>
        </w:rPr>
        <w:t xml:space="preserve">% (LLDAS-20) over 52 weeks and 208 weeks. While significantly more anifrolumab treated patients also attained LLDAS-50 </w:t>
      </w:r>
      <w:r w:rsidR="00E530B7" w:rsidRPr="009941F8">
        <w:rPr>
          <w:rFonts w:eastAsia="SimSun"/>
        </w:rPr>
        <w:t xml:space="preserve">(i.e. LLDAS for 50% of cumulative time) </w:t>
      </w:r>
      <w:r w:rsidRPr="009941F8">
        <w:rPr>
          <w:rFonts w:eastAsia="SimSun"/>
        </w:rPr>
        <w:t xml:space="preserve">over 52 weeks, this trend was not significant to 208 weeks, and there </w:t>
      </w:r>
      <w:r w:rsidR="00393221" w:rsidRPr="009941F8">
        <w:rPr>
          <w:rFonts w:eastAsia="SimSun"/>
        </w:rPr>
        <w:t xml:space="preserve">were </w:t>
      </w:r>
      <w:r w:rsidRPr="009941F8">
        <w:rPr>
          <w:rFonts w:eastAsia="SimSun"/>
        </w:rPr>
        <w:t>no difference</w:t>
      </w:r>
      <w:r w:rsidR="005D15E6" w:rsidRPr="009941F8">
        <w:rPr>
          <w:rFonts w:eastAsia="SimSun"/>
        </w:rPr>
        <w:t>s</w:t>
      </w:r>
      <w:r w:rsidRPr="009941F8">
        <w:rPr>
          <w:rFonts w:eastAsia="SimSun"/>
        </w:rPr>
        <w:t xml:space="preserve"> between groups for LLDAS-70 </w:t>
      </w:r>
      <w:r w:rsidR="00E530B7" w:rsidRPr="009941F8">
        <w:rPr>
          <w:rFonts w:eastAsia="SimSun"/>
        </w:rPr>
        <w:t xml:space="preserve">(i.e. LLDAS for </w:t>
      </w:r>
      <w:r w:rsidR="00D66127" w:rsidRPr="009941F8">
        <w:rPr>
          <w:rFonts w:eastAsia="SimSun"/>
        </w:rPr>
        <w:t>7</w:t>
      </w:r>
      <w:r w:rsidR="00E530B7" w:rsidRPr="009941F8">
        <w:rPr>
          <w:rFonts w:eastAsia="SimSun"/>
        </w:rPr>
        <w:t xml:space="preserve">0% of cumulative time) </w:t>
      </w:r>
      <w:r w:rsidRPr="009941F8">
        <w:rPr>
          <w:rFonts w:eastAsia="SimSun"/>
        </w:rPr>
        <w:t xml:space="preserve">over at 52 or 208 weeks. </w:t>
      </w:r>
      <w:r w:rsidRPr="009941F8">
        <w:t>LLDAS attainment was maintained for up to 3 years (up to Week 156) and decreased in Year 4, likely due to the proportion of patients who discontinued study drugs over time (69.3% vs 48.2% of patients from the anifrolumab and placebo arms had completed the TULIP LTE study).</w:t>
      </w:r>
    </w:p>
    <w:p w14:paraId="30E1C47F" w14:textId="41968339" w:rsidR="00CC6111" w:rsidRPr="009941F8" w:rsidRDefault="00CC6111" w:rsidP="00A244E2">
      <w:pPr>
        <w:pStyle w:val="3-BodyText"/>
      </w:pPr>
      <w:r w:rsidRPr="009941F8">
        <w:t xml:space="preserve">Agnostic to treatment, a high proportion of patients who attained LLDAS at Week 52 were also BICLA and SRI(4) responders in TULIP-1/TULIP-2 and MUSE. In TULIP-1/TULIP-2, there was </w:t>
      </w:r>
      <w:r w:rsidR="00CF0DB4" w:rsidRPr="009941F8">
        <w:t xml:space="preserve">a </w:t>
      </w:r>
      <w:r w:rsidRPr="009941F8">
        <w:t>significantly higher proportion of patients treated with anifrolumab compared to placebo who had dual LLDAS-BICLA response and LLDAS-SRI(4) response at Week 52. However, the total number of BICLA and SRI(4) responders included patients treated with anifrolumab 150 mg in TULIP-1.</w:t>
      </w:r>
    </w:p>
    <w:p w14:paraId="7BD36D1C" w14:textId="5B1CED1F" w:rsidR="00CC6111" w:rsidRPr="009941F8" w:rsidRDefault="00CC6111" w:rsidP="00A244E2">
      <w:pPr>
        <w:pStyle w:val="3-BodyText"/>
      </w:pPr>
      <w:r w:rsidRPr="009941F8">
        <w:lastRenderedPageBreak/>
        <w:t>DORIS remission generally increased over time, with a significant difference in the proportion of patients in remission at Week 52 between anifrolumab and placebo (15.3% vs 7.6%, OR = 2.2, 95%CI: 1.4, 3.6, p=0.0013).</w:t>
      </w:r>
    </w:p>
    <w:p w14:paraId="7FC1B252" w14:textId="30F27878" w:rsidR="002C02F6" w:rsidRPr="009941F8" w:rsidRDefault="002C02F6" w:rsidP="00A244E2">
      <w:pPr>
        <w:pStyle w:val="3-BodyText"/>
      </w:pPr>
      <w:r w:rsidRPr="009941F8">
        <w:t>The resubmission presented post hoc analysis of sustained glucocorticoid taper response in the subgroup of patients with OCS ≥ 10 mg/day at baseline of TULIP-1/TULIP-2 (Bruce et al 2023</w:t>
      </w:r>
      <w:r w:rsidRPr="009941F8">
        <w:rPr>
          <w:rStyle w:val="FootnoteReference"/>
        </w:rPr>
        <w:footnoteReference w:id="7"/>
      </w:r>
      <w:r w:rsidRPr="009941F8">
        <w:t xml:space="preserve">). The results showed that significantly more patients treated with anifrolumab (50.5%) achieved glucocorticoid taper (defined as OCS dose reduction to ≤7.5 mg/day by Week 40, which was sustained to Week 52) compared to the placebo </w:t>
      </w:r>
      <w:r w:rsidRPr="00156F0B">
        <w:t>group (31.9%). Anifrolumab treated patients also had numerically (8%) lower cumulative dose of glucocorticoids use during the 52 weeks of treatment compared to placebo.</w:t>
      </w:r>
    </w:p>
    <w:p w14:paraId="61044FAF" w14:textId="5598238E" w:rsidR="002C02F6" w:rsidRPr="009941F8" w:rsidRDefault="002C02F6" w:rsidP="00A244E2">
      <w:pPr>
        <w:pStyle w:val="3-BodyText"/>
      </w:pPr>
      <w:r w:rsidRPr="009941F8">
        <w:t xml:space="preserve">In the TULIP LTE subgroup with SDI global score ≥1, anifrolumab treated patients had a longer mean (SD) time to first SDI worsening compared with the combined placebo (925.0 </w:t>
      </w:r>
      <w:r w:rsidR="00393221" w:rsidRPr="009941F8">
        <w:t xml:space="preserve">days </w:t>
      </w:r>
      <w:r w:rsidRPr="009941F8">
        <w:t xml:space="preserve">(553.0) vs 754.2 </w:t>
      </w:r>
      <w:r w:rsidR="00393221" w:rsidRPr="009941F8">
        <w:t xml:space="preserve">days </w:t>
      </w:r>
      <w:r w:rsidRPr="009941F8">
        <w:t>(523.3)). The mean SDI global scores at the TULIP baseline for the combined anifrolumab 300 mg group and combined placebo group were 1.6 and 1.4, respectively. At Week 52 (start of the extension study), mean SDI scores were 1.8 and 1.5, respectively. There was no difference between groups in the mean change from baseline in SDI global score in the subgroup of patients with SDI global score ≥1 at Week 52 to Week 208.</w:t>
      </w:r>
    </w:p>
    <w:p w14:paraId="73DFEB1D" w14:textId="41FB3698" w:rsidR="00A11665" w:rsidRPr="009941F8" w:rsidRDefault="00A11665" w:rsidP="00A244E2">
      <w:pPr>
        <w:pStyle w:val="3-BodyText"/>
      </w:pPr>
      <w:r w:rsidRPr="009941F8">
        <w:t>In TULIP LTE extension study, mean change from the baseline of TULIP trials to Week 208 for EQ-5D-5L score was 0.088 (from baseline of 0.615) in the combined anifrolumab group vs 0.017 (from baseline of 0.614) in the combined placebo group. There were no significant differences between the anifrolumab group and placebo in terms of improvement in quality of life (EQ-5D-5L) at Week 208. Additional post hoc analysis in MUSE and TULIP-1/TULIP-2, showed that patients who attained LLDAS also showed improvement in patient reported disease specific health related quality of life outcome seen on Lupus</w:t>
      </w:r>
      <w:r w:rsidR="00235D09">
        <w:t xml:space="preserve"> </w:t>
      </w:r>
      <w:r w:rsidRPr="009941F8">
        <w:t>QoL domains (including physical health and fatigue) compared to patients who did not attain LLDAS.</w:t>
      </w:r>
    </w:p>
    <w:p w14:paraId="213A33E2" w14:textId="47E93FA3" w:rsidR="00CC6111" w:rsidRPr="009941F8" w:rsidRDefault="0058598B" w:rsidP="00A244E2">
      <w:pPr>
        <w:pStyle w:val="3-BodyText"/>
      </w:pPr>
      <w:r w:rsidRPr="009941F8">
        <w:fldChar w:fldCharType="begin" w:fldLock="1"/>
      </w:r>
      <w:r w:rsidRPr="009941F8">
        <w:instrText xml:space="preserve"> REF _Ref156637978 \h  \* MERGEFORMAT </w:instrText>
      </w:r>
      <w:r w:rsidRPr="009941F8">
        <w:fldChar w:fldCharType="separate"/>
      </w:r>
      <w:r w:rsidR="00F07501" w:rsidRPr="009941F8">
        <w:t xml:space="preserve">Table </w:t>
      </w:r>
      <w:r w:rsidR="00F07501">
        <w:t>6</w:t>
      </w:r>
      <w:r w:rsidRPr="009941F8">
        <w:fldChar w:fldCharType="end"/>
      </w:r>
      <w:r w:rsidRPr="009941F8">
        <w:t xml:space="preserve"> presents the attainment of LLDAS by the subgroup with SLEDAI-2K ≥10 in the post hoc analyses of TULIP-1/TULIP-2 and TULIP LTE.</w:t>
      </w:r>
    </w:p>
    <w:p w14:paraId="6744B3E3" w14:textId="6605AF56" w:rsidR="0058598B" w:rsidRPr="009941F8" w:rsidRDefault="0058598B" w:rsidP="00110CF9">
      <w:pPr>
        <w:pStyle w:val="Caption"/>
        <w:rPr>
          <w:szCs w:val="20"/>
        </w:rPr>
      </w:pPr>
      <w:bookmarkStart w:id="43" w:name="_Ref156637978"/>
      <w:r w:rsidRPr="009941F8">
        <w:lastRenderedPageBreak/>
        <w:t xml:space="preserve">Table </w:t>
      </w:r>
      <w:r w:rsidR="00CE7EC7">
        <w:fldChar w:fldCharType="begin" w:fldLock="1"/>
      </w:r>
      <w:r w:rsidR="00CE7EC7">
        <w:instrText xml:space="preserve"> SEQ Table \* ARABIC </w:instrText>
      </w:r>
      <w:r w:rsidR="00CE7EC7">
        <w:fldChar w:fldCharType="separate"/>
      </w:r>
      <w:r w:rsidR="00F07501">
        <w:rPr>
          <w:noProof/>
        </w:rPr>
        <w:t>6</w:t>
      </w:r>
      <w:r w:rsidR="00CE7EC7">
        <w:rPr>
          <w:noProof/>
        </w:rPr>
        <w:fldChar w:fldCharType="end"/>
      </w:r>
      <w:bookmarkEnd w:id="43"/>
      <w:r w:rsidRPr="009941F8">
        <w:rPr>
          <w:szCs w:val="20"/>
        </w:rPr>
        <w:t>: LLDAS by the ITT and subgroup with SLEDAI-2K ≥10</w:t>
      </w:r>
      <w:r w:rsidRPr="009941F8">
        <w:rPr>
          <w:szCs w:val="20"/>
          <w:vertAlign w:val="superscript"/>
        </w:rPr>
        <w:t>#</w:t>
      </w:r>
      <w:r w:rsidRPr="009941F8">
        <w:rPr>
          <w:szCs w:val="20"/>
        </w:rPr>
        <w:t xml:space="preserve"> in TULIP-1/TULIP-2 and TULIP LTE (post-hoc)</w:t>
      </w:r>
    </w:p>
    <w:tbl>
      <w:tblPr>
        <w:tblStyle w:val="TableGrid"/>
        <w:tblW w:w="5000" w:type="pct"/>
        <w:tblCellMar>
          <w:left w:w="28" w:type="dxa"/>
          <w:right w:w="28" w:type="dxa"/>
        </w:tblCellMar>
        <w:tblLook w:val="04A0" w:firstRow="1" w:lastRow="0" w:firstColumn="1" w:lastColumn="0" w:noHBand="0" w:noVBand="1"/>
        <w:tblCaption w:val="Table 6: LLDAS by the ITT and subgroup with SLEDAI-2K ≥10# in TULIP-1/TULIP-2 and TULIP LTE (post-hoc)"/>
      </w:tblPr>
      <w:tblGrid>
        <w:gridCol w:w="3400"/>
        <w:gridCol w:w="1420"/>
        <w:gridCol w:w="1417"/>
        <w:gridCol w:w="1417"/>
        <w:gridCol w:w="1363"/>
      </w:tblGrid>
      <w:tr w:rsidR="0058598B" w:rsidRPr="009941F8" w14:paraId="09FFA150" w14:textId="77777777" w:rsidTr="00DB34AB">
        <w:tc>
          <w:tcPr>
            <w:tcW w:w="1885" w:type="pct"/>
            <w:shd w:val="clear" w:color="auto" w:fill="auto"/>
            <w:vAlign w:val="center"/>
          </w:tcPr>
          <w:p w14:paraId="51B5E6A7" w14:textId="77777777" w:rsidR="0058598B" w:rsidRPr="009941F8" w:rsidRDefault="0058598B" w:rsidP="00110CF9">
            <w:pPr>
              <w:keepNext/>
              <w:jc w:val="left"/>
              <w:rPr>
                <w:rFonts w:ascii="Arial Narrow" w:hAnsi="Arial Narrow"/>
                <w:b/>
                <w:sz w:val="20"/>
                <w:szCs w:val="20"/>
              </w:rPr>
            </w:pPr>
          </w:p>
        </w:tc>
        <w:tc>
          <w:tcPr>
            <w:tcW w:w="787" w:type="pct"/>
            <w:shd w:val="clear" w:color="auto" w:fill="auto"/>
            <w:vAlign w:val="center"/>
          </w:tcPr>
          <w:p w14:paraId="4A5E70AE"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Anifrolumab 300 mg</w:t>
            </w:r>
          </w:p>
          <w:p w14:paraId="24159F26"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n/N (%)</w:t>
            </w:r>
          </w:p>
        </w:tc>
        <w:tc>
          <w:tcPr>
            <w:tcW w:w="786" w:type="pct"/>
            <w:shd w:val="clear" w:color="auto" w:fill="auto"/>
            <w:vAlign w:val="center"/>
          </w:tcPr>
          <w:p w14:paraId="6C8749C5"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Placebo (SOC)</w:t>
            </w:r>
          </w:p>
          <w:p w14:paraId="1D260A06"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n/N (%)</w:t>
            </w:r>
          </w:p>
        </w:tc>
        <w:tc>
          <w:tcPr>
            <w:tcW w:w="786" w:type="pct"/>
            <w:shd w:val="clear" w:color="auto" w:fill="auto"/>
            <w:vAlign w:val="center"/>
          </w:tcPr>
          <w:p w14:paraId="575B3A9B"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RD (95%CI)</w:t>
            </w:r>
          </w:p>
        </w:tc>
        <w:tc>
          <w:tcPr>
            <w:tcW w:w="756" w:type="pct"/>
            <w:shd w:val="clear" w:color="auto" w:fill="auto"/>
            <w:vAlign w:val="center"/>
          </w:tcPr>
          <w:p w14:paraId="61E42F83"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OR (95%CI)</w:t>
            </w:r>
          </w:p>
        </w:tc>
      </w:tr>
      <w:tr w:rsidR="0058598B" w:rsidRPr="009941F8" w14:paraId="5304D3B0" w14:textId="77777777" w:rsidTr="00DB34AB">
        <w:tc>
          <w:tcPr>
            <w:tcW w:w="5000" w:type="pct"/>
            <w:gridSpan w:val="5"/>
            <w:shd w:val="clear" w:color="auto" w:fill="D9D9D9" w:themeFill="background1" w:themeFillShade="D9"/>
            <w:vAlign w:val="center"/>
          </w:tcPr>
          <w:p w14:paraId="2EDC430B" w14:textId="77777777" w:rsidR="0058598B" w:rsidRPr="009941F8" w:rsidRDefault="0058598B" w:rsidP="00110CF9">
            <w:pPr>
              <w:keepNext/>
              <w:jc w:val="left"/>
              <w:rPr>
                <w:rFonts w:ascii="Arial Narrow" w:hAnsi="Arial Narrow"/>
                <w:b/>
                <w:sz w:val="20"/>
                <w:szCs w:val="20"/>
              </w:rPr>
            </w:pPr>
            <w:r w:rsidRPr="009941F8">
              <w:rPr>
                <w:rFonts w:ascii="Arial Narrow" w:hAnsi="Arial Narrow"/>
                <w:b/>
                <w:sz w:val="20"/>
                <w:szCs w:val="20"/>
              </w:rPr>
              <w:t>LLDAS (Golder 2019)</w:t>
            </w:r>
            <w:r w:rsidRPr="009941F8">
              <w:rPr>
                <w:rFonts w:ascii="Arial Narrow" w:hAnsi="Arial Narrow"/>
                <w:b/>
                <w:sz w:val="20"/>
                <w:szCs w:val="20"/>
                <w:vertAlign w:val="superscript"/>
              </w:rPr>
              <w:t>a b</w:t>
            </w:r>
            <w:r w:rsidRPr="009941F8">
              <w:rPr>
                <w:rFonts w:ascii="Arial Narrow" w:hAnsi="Arial Narrow"/>
                <w:b/>
                <w:sz w:val="20"/>
                <w:szCs w:val="20"/>
              </w:rPr>
              <w:t xml:space="preserve"> at Week 52</w:t>
            </w:r>
          </w:p>
        </w:tc>
      </w:tr>
      <w:tr w:rsidR="0058598B" w:rsidRPr="009941F8" w14:paraId="7759D97D" w14:textId="77777777" w:rsidTr="00DB34AB">
        <w:tc>
          <w:tcPr>
            <w:tcW w:w="5000" w:type="pct"/>
            <w:gridSpan w:val="5"/>
            <w:vAlign w:val="center"/>
          </w:tcPr>
          <w:p w14:paraId="7B39E6D8" w14:textId="77777777" w:rsidR="0058598B" w:rsidRPr="009941F8" w:rsidRDefault="0058598B" w:rsidP="00110CF9">
            <w:pPr>
              <w:keepNext/>
              <w:jc w:val="left"/>
              <w:rPr>
                <w:rFonts w:ascii="Arial Narrow" w:hAnsi="Arial Narrow"/>
                <w:b/>
                <w:sz w:val="20"/>
                <w:szCs w:val="20"/>
              </w:rPr>
            </w:pPr>
            <w:r w:rsidRPr="009941F8">
              <w:rPr>
                <w:rFonts w:ascii="Arial Narrow" w:hAnsi="Arial Narrow"/>
                <w:b/>
                <w:sz w:val="20"/>
                <w:szCs w:val="20"/>
              </w:rPr>
              <w:t>Whole trial population (SLEDAI-2K ≥6)</w:t>
            </w:r>
          </w:p>
        </w:tc>
      </w:tr>
      <w:tr w:rsidR="0058598B" w:rsidRPr="009941F8" w14:paraId="2389D7C7" w14:textId="77777777" w:rsidTr="00DB34AB">
        <w:tc>
          <w:tcPr>
            <w:tcW w:w="1885" w:type="pct"/>
          </w:tcPr>
          <w:p w14:paraId="4CF97557"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TULIP-1</w:t>
            </w:r>
          </w:p>
        </w:tc>
        <w:tc>
          <w:tcPr>
            <w:tcW w:w="787" w:type="pct"/>
            <w:vAlign w:val="center"/>
          </w:tcPr>
          <w:p w14:paraId="191757DC"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58/180 (32.2)</w:t>
            </w:r>
          </w:p>
        </w:tc>
        <w:tc>
          <w:tcPr>
            <w:tcW w:w="786" w:type="pct"/>
            <w:vAlign w:val="center"/>
          </w:tcPr>
          <w:p w14:paraId="2F9250D0"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40/184 (21.7)</w:t>
            </w:r>
          </w:p>
        </w:tc>
        <w:tc>
          <w:tcPr>
            <w:tcW w:w="786" w:type="pct"/>
            <w:vAlign w:val="center"/>
          </w:tcPr>
          <w:p w14:paraId="1B3316C1"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10 (1, 20)</w:t>
            </w:r>
          </w:p>
        </w:tc>
        <w:tc>
          <w:tcPr>
            <w:tcW w:w="756" w:type="pct"/>
            <w:vAlign w:val="center"/>
          </w:tcPr>
          <w:p w14:paraId="11FC9FC4"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46DD9AC4" w14:textId="77777777" w:rsidTr="00DB34AB">
        <w:tc>
          <w:tcPr>
            <w:tcW w:w="1885" w:type="pct"/>
          </w:tcPr>
          <w:p w14:paraId="7A27C242"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TULIP-2</w:t>
            </w:r>
          </w:p>
        </w:tc>
        <w:tc>
          <w:tcPr>
            <w:tcW w:w="787" w:type="pct"/>
            <w:vAlign w:val="center"/>
          </w:tcPr>
          <w:p w14:paraId="62545D6E" w14:textId="3D8671C0"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50/180 (27.8</w:t>
            </w:r>
            <w:r w:rsidR="00D7639D" w:rsidRPr="009941F8">
              <w:rPr>
                <w:rFonts w:ascii="Arial Narrow" w:hAnsi="Arial Narrow"/>
                <w:sz w:val="20"/>
                <w:szCs w:val="20"/>
              </w:rPr>
              <w:t>)</w:t>
            </w:r>
          </w:p>
        </w:tc>
        <w:tc>
          <w:tcPr>
            <w:tcW w:w="786" w:type="pct"/>
            <w:vAlign w:val="center"/>
          </w:tcPr>
          <w:p w14:paraId="59911DC0"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32/182 (17.6)</w:t>
            </w:r>
          </w:p>
        </w:tc>
        <w:tc>
          <w:tcPr>
            <w:tcW w:w="786" w:type="pct"/>
            <w:vAlign w:val="center"/>
          </w:tcPr>
          <w:p w14:paraId="2F2F31F5"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10 (2, 19)</w:t>
            </w:r>
          </w:p>
        </w:tc>
        <w:tc>
          <w:tcPr>
            <w:tcW w:w="756" w:type="pct"/>
            <w:vAlign w:val="center"/>
          </w:tcPr>
          <w:p w14:paraId="409C4A5D"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2FD3A7DC" w14:textId="77777777" w:rsidTr="00DB34AB">
        <w:tc>
          <w:tcPr>
            <w:tcW w:w="1885" w:type="pct"/>
            <w:vAlign w:val="center"/>
          </w:tcPr>
          <w:p w14:paraId="3E8727E5" w14:textId="77777777" w:rsidR="0058598B" w:rsidRPr="009941F8" w:rsidRDefault="0058598B" w:rsidP="00110CF9">
            <w:pPr>
              <w:keepNext/>
              <w:jc w:val="right"/>
              <w:rPr>
                <w:rFonts w:ascii="Arial Narrow" w:hAnsi="Arial Narrow"/>
                <w:sz w:val="20"/>
                <w:szCs w:val="20"/>
              </w:rPr>
            </w:pPr>
            <w:r w:rsidRPr="009941F8">
              <w:rPr>
                <w:rFonts w:ascii="Arial Narrow" w:hAnsi="Arial Narrow"/>
                <w:sz w:val="20"/>
                <w:szCs w:val="20"/>
              </w:rPr>
              <w:t>TULIP-1 &amp; 2 pooled</w:t>
            </w:r>
            <w:r w:rsidRPr="009941F8">
              <w:rPr>
                <w:rFonts w:ascii="Arial Narrow" w:hAnsi="Arial Narrow"/>
                <w:sz w:val="20"/>
                <w:szCs w:val="20"/>
                <w:vertAlign w:val="superscript"/>
              </w:rPr>
              <w:t>c</w:t>
            </w:r>
          </w:p>
        </w:tc>
        <w:tc>
          <w:tcPr>
            <w:tcW w:w="787" w:type="pct"/>
            <w:vAlign w:val="center"/>
          </w:tcPr>
          <w:p w14:paraId="62125C19"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108/360 (30.0)</w:t>
            </w:r>
          </w:p>
        </w:tc>
        <w:tc>
          <w:tcPr>
            <w:tcW w:w="786" w:type="pct"/>
            <w:vAlign w:val="center"/>
          </w:tcPr>
          <w:p w14:paraId="7564181A"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72/366 (19.6)</w:t>
            </w:r>
          </w:p>
        </w:tc>
        <w:tc>
          <w:tcPr>
            <w:tcW w:w="786" w:type="pct"/>
            <w:vAlign w:val="center"/>
          </w:tcPr>
          <w:p w14:paraId="1BFD824D"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10.3 (4.1, 16.6)</w:t>
            </w:r>
          </w:p>
        </w:tc>
        <w:tc>
          <w:tcPr>
            <w:tcW w:w="756" w:type="pct"/>
            <w:vAlign w:val="center"/>
          </w:tcPr>
          <w:p w14:paraId="677C8A54"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1.8 (1.3, 2.5)</w:t>
            </w:r>
          </w:p>
        </w:tc>
      </w:tr>
      <w:tr w:rsidR="0058598B" w:rsidRPr="009941F8" w14:paraId="2FD55BF2" w14:textId="77777777" w:rsidTr="00DB34AB">
        <w:tc>
          <w:tcPr>
            <w:tcW w:w="5000" w:type="pct"/>
            <w:gridSpan w:val="5"/>
            <w:vAlign w:val="center"/>
          </w:tcPr>
          <w:p w14:paraId="65DB799D" w14:textId="77777777" w:rsidR="0058598B" w:rsidRPr="009941F8" w:rsidRDefault="0058598B" w:rsidP="00110CF9">
            <w:pPr>
              <w:keepNext/>
              <w:jc w:val="left"/>
              <w:rPr>
                <w:rFonts w:ascii="Arial Narrow" w:hAnsi="Arial Narrow"/>
                <w:b/>
                <w:sz w:val="20"/>
                <w:szCs w:val="20"/>
              </w:rPr>
            </w:pPr>
            <w:r w:rsidRPr="009941F8">
              <w:rPr>
                <w:rFonts w:ascii="Arial Narrow" w:hAnsi="Arial Narrow"/>
                <w:b/>
                <w:sz w:val="20"/>
                <w:szCs w:val="20"/>
              </w:rPr>
              <w:t>SLEDAI-2K ≥10</w:t>
            </w:r>
          </w:p>
        </w:tc>
      </w:tr>
      <w:tr w:rsidR="0058598B" w:rsidRPr="009941F8" w14:paraId="3C5F37A2" w14:textId="77777777" w:rsidTr="00DB34AB">
        <w:tc>
          <w:tcPr>
            <w:tcW w:w="1885" w:type="pct"/>
          </w:tcPr>
          <w:p w14:paraId="27351993"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TULIP-1</w:t>
            </w:r>
            <w:r w:rsidRPr="009941F8">
              <w:rPr>
                <w:rFonts w:ascii="Arial Narrow" w:hAnsi="Arial Narrow"/>
                <w:sz w:val="20"/>
                <w:szCs w:val="20"/>
                <w:vertAlign w:val="superscript"/>
              </w:rPr>
              <w:t>#</w:t>
            </w:r>
          </w:p>
        </w:tc>
        <w:tc>
          <w:tcPr>
            <w:tcW w:w="787" w:type="pct"/>
          </w:tcPr>
          <w:p w14:paraId="3B22DAE5"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34/129 (26.4)</w:t>
            </w:r>
          </w:p>
        </w:tc>
        <w:tc>
          <w:tcPr>
            <w:tcW w:w="786" w:type="pct"/>
          </w:tcPr>
          <w:p w14:paraId="43344966"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25/135 (18.5)</w:t>
            </w:r>
          </w:p>
        </w:tc>
        <w:tc>
          <w:tcPr>
            <w:tcW w:w="786" w:type="pct"/>
            <w:vAlign w:val="center"/>
          </w:tcPr>
          <w:p w14:paraId="47F0AF76"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8 (-2, 18)</w:t>
            </w:r>
          </w:p>
        </w:tc>
        <w:tc>
          <w:tcPr>
            <w:tcW w:w="756" w:type="pct"/>
            <w:vAlign w:val="center"/>
          </w:tcPr>
          <w:p w14:paraId="778820CC"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011DC2D7" w14:textId="77777777" w:rsidTr="00DB34AB">
        <w:tc>
          <w:tcPr>
            <w:tcW w:w="1885" w:type="pct"/>
          </w:tcPr>
          <w:p w14:paraId="2BE60FB4"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TULIP-2</w:t>
            </w:r>
          </w:p>
        </w:tc>
        <w:tc>
          <w:tcPr>
            <w:tcW w:w="787" w:type="pct"/>
          </w:tcPr>
          <w:p w14:paraId="33F53BAA"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34/129 (26.4)</w:t>
            </w:r>
          </w:p>
        </w:tc>
        <w:tc>
          <w:tcPr>
            <w:tcW w:w="786" w:type="pct"/>
          </w:tcPr>
          <w:p w14:paraId="61FEC957"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18/131 (13.7)</w:t>
            </w:r>
          </w:p>
        </w:tc>
        <w:tc>
          <w:tcPr>
            <w:tcW w:w="786" w:type="pct"/>
            <w:vAlign w:val="center"/>
          </w:tcPr>
          <w:p w14:paraId="067EED9E"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13 (3, 22)</w:t>
            </w:r>
          </w:p>
        </w:tc>
        <w:tc>
          <w:tcPr>
            <w:tcW w:w="756" w:type="pct"/>
            <w:vAlign w:val="center"/>
          </w:tcPr>
          <w:p w14:paraId="4E6E8629"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428F5365" w14:textId="77777777" w:rsidTr="00DB34AB">
        <w:tc>
          <w:tcPr>
            <w:tcW w:w="1885" w:type="pct"/>
          </w:tcPr>
          <w:p w14:paraId="6DC873D1" w14:textId="77777777" w:rsidR="0058598B" w:rsidRPr="009941F8" w:rsidRDefault="0058598B" w:rsidP="00110CF9">
            <w:pPr>
              <w:keepNext/>
              <w:jc w:val="right"/>
              <w:rPr>
                <w:rFonts w:ascii="Arial Narrow" w:hAnsi="Arial Narrow"/>
                <w:sz w:val="20"/>
                <w:szCs w:val="20"/>
              </w:rPr>
            </w:pPr>
            <w:r w:rsidRPr="009941F8">
              <w:rPr>
                <w:rFonts w:ascii="Arial Narrow" w:hAnsi="Arial Narrow"/>
                <w:sz w:val="20"/>
                <w:szCs w:val="20"/>
              </w:rPr>
              <w:t>TULIP-1 &amp; 2 pooled</w:t>
            </w:r>
            <w:r w:rsidRPr="009941F8">
              <w:rPr>
                <w:rFonts w:ascii="Arial Narrow" w:hAnsi="Arial Narrow"/>
                <w:sz w:val="20"/>
                <w:szCs w:val="20"/>
                <w:vertAlign w:val="superscript"/>
              </w:rPr>
              <w:t>c</w:t>
            </w:r>
          </w:p>
        </w:tc>
        <w:tc>
          <w:tcPr>
            <w:tcW w:w="787" w:type="pct"/>
          </w:tcPr>
          <w:p w14:paraId="3E0FFE3B"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68/258 (26.4)</w:t>
            </w:r>
          </w:p>
        </w:tc>
        <w:tc>
          <w:tcPr>
            <w:tcW w:w="786" w:type="pct"/>
          </w:tcPr>
          <w:p w14:paraId="0698F2A2"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43/266 (16.2)</w:t>
            </w:r>
          </w:p>
        </w:tc>
        <w:tc>
          <w:tcPr>
            <w:tcW w:w="786" w:type="pct"/>
            <w:vAlign w:val="center"/>
          </w:tcPr>
          <w:p w14:paraId="34A0D21F"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10.2 (3.2, 17.2)</w:t>
            </w:r>
          </w:p>
        </w:tc>
        <w:tc>
          <w:tcPr>
            <w:tcW w:w="756" w:type="pct"/>
            <w:vAlign w:val="center"/>
          </w:tcPr>
          <w:p w14:paraId="18A9BB9E"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1.9 (1.2, 2.9)</w:t>
            </w:r>
            <w:r w:rsidRPr="009941F8">
              <w:rPr>
                <w:rFonts w:ascii="Arial Narrow" w:hAnsi="Arial Narrow"/>
                <w:b/>
                <w:sz w:val="20"/>
                <w:szCs w:val="20"/>
                <w:vertAlign w:val="superscript"/>
              </w:rPr>
              <w:t>d</w:t>
            </w:r>
          </w:p>
        </w:tc>
      </w:tr>
      <w:tr w:rsidR="0058598B" w:rsidRPr="009941F8" w14:paraId="1D60149D" w14:textId="77777777" w:rsidTr="00DB34AB">
        <w:tc>
          <w:tcPr>
            <w:tcW w:w="5000" w:type="pct"/>
            <w:gridSpan w:val="5"/>
            <w:shd w:val="clear" w:color="auto" w:fill="D9D9D9" w:themeFill="background1" w:themeFillShade="D9"/>
            <w:vAlign w:val="center"/>
          </w:tcPr>
          <w:p w14:paraId="0F7F2FF9" w14:textId="77777777" w:rsidR="0058598B" w:rsidRPr="009941F8" w:rsidRDefault="0058598B" w:rsidP="00110CF9">
            <w:pPr>
              <w:keepNext/>
              <w:jc w:val="left"/>
              <w:rPr>
                <w:rFonts w:ascii="Arial Narrow" w:hAnsi="Arial Narrow"/>
                <w:b/>
                <w:sz w:val="20"/>
                <w:szCs w:val="20"/>
              </w:rPr>
            </w:pPr>
            <w:r w:rsidRPr="009941F8">
              <w:rPr>
                <w:rFonts w:ascii="Arial Narrow" w:hAnsi="Arial Narrow"/>
                <w:b/>
                <w:sz w:val="20"/>
                <w:szCs w:val="20"/>
              </w:rPr>
              <w:t>LLDAS (Golder 2019)</w:t>
            </w:r>
            <w:r w:rsidRPr="009941F8">
              <w:rPr>
                <w:rFonts w:ascii="Arial Narrow" w:hAnsi="Arial Narrow"/>
                <w:b/>
                <w:sz w:val="20"/>
                <w:szCs w:val="20"/>
                <w:vertAlign w:val="superscript"/>
              </w:rPr>
              <w:t>a b</w:t>
            </w:r>
            <w:r w:rsidRPr="009941F8">
              <w:rPr>
                <w:rFonts w:ascii="Arial Narrow" w:hAnsi="Arial Narrow"/>
                <w:b/>
                <w:sz w:val="20"/>
                <w:szCs w:val="20"/>
              </w:rPr>
              <w:t xml:space="preserve"> at Week 208</w:t>
            </w:r>
          </w:p>
        </w:tc>
      </w:tr>
      <w:tr w:rsidR="0058598B" w:rsidRPr="009941F8" w14:paraId="43FF2EEA" w14:textId="77777777" w:rsidTr="00DB34AB">
        <w:tc>
          <w:tcPr>
            <w:tcW w:w="5000" w:type="pct"/>
            <w:gridSpan w:val="5"/>
            <w:vAlign w:val="center"/>
          </w:tcPr>
          <w:p w14:paraId="0A038482" w14:textId="77777777" w:rsidR="0058598B" w:rsidRPr="009941F8" w:rsidRDefault="0058598B" w:rsidP="00110CF9">
            <w:pPr>
              <w:keepNext/>
              <w:jc w:val="left"/>
              <w:rPr>
                <w:rFonts w:ascii="Arial Narrow" w:hAnsi="Arial Narrow"/>
                <w:b/>
                <w:sz w:val="20"/>
                <w:szCs w:val="20"/>
              </w:rPr>
            </w:pPr>
            <w:r w:rsidRPr="009941F8">
              <w:rPr>
                <w:rFonts w:ascii="Arial Narrow" w:hAnsi="Arial Narrow"/>
                <w:b/>
                <w:sz w:val="20"/>
                <w:szCs w:val="20"/>
              </w:rPr>
              <w:t>Whole trial population (SLEDAI-2K ≥6)</w:t>
            </w:r>
          </w:p>
        </w:tc>
      </w:tr>
      <w:tr w:rsidR="0058598B" w:rsidRPr="009941F8" w14:paraId="71AA04FF" w14:textId="77777777" w:rsidTr="00DB34AB">
        <w:tc>
          <w:tcPr>
            <w:tcW w:w="1885" w:type="pct"/>
          </w:tcPr>
          <w:p w14:paraId="2FB7AFFC"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TULIP-1 LTE</w:t>
            </w:r>
          </w:p>
        </w:tc>
        <w:tc>
          <w:tcPr>
            <w:tcW w:w="787" w:type="pct"/>
            <w:vAlign w:val="center"/>
          </w:tcPr>
          <w:p w14:paraId="34E71C62"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34/124 (27.4)</w:t>
            </w:r>
          </w:p>
        </w:tc>
        <w:tc>
          <w:tcPr>
            <w:tcW w:w="786" w:type="pct"/>
            <w:vAlign w:val="center"/>
          </w:tcPr>
          <w:p w14:paraId="21389A2B"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5/61 (8.2)</w:t>
            </w:r>
          </w:p>
        </w:tc>
        <w:tc>
          <w:tcPr>
            <w:tcW w:w="786" w:type="pct"/>
            <w:vAlign w:val="center"/>
          </w:tcPr>
          <w:p w14:paraId="137F30CD"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19 (9, 30)</w:t>
            </w:r>
          </w:p>
        </w:tc>
        <w:tc>
          <w:tcPr>
            <w:tcW w:w="756" w:type="pct"/>
            <w:vAlign w:val="center"/>
          </w:tcPr>
          <w:p w14:paraId="117FDF66"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263F1F2C" w14:textId="77777777" w:rsidTr="00DB34AB">
        <w:tc>
          <w:tcPr>
            <w:tcW w:w="1885" w:type="pct"/>
          </w:tcPr>
          <w:p w14:paraId="228EACA4"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TULIP-2 LTE</w:t>
            </w:r>
          </w:p>
        </w:tc>
        <w:tc>
          <w:tcPr>
            <w:tcW w:w="787" w:type="pct"/>
            <w:vAlign w:val="center"/>
          </w:tcPr>
          <w:p w14:paraId="5681C8BF"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33/133 (24.8)</w:t>
            </w:r>
          </w:p>
        </w:tc>
        <w:tc>
          <w:tcPr>
            <w:tcW w:w="786" w:type="pct"/>
            <w:vAlign w:val="center"/>
          </w:tcPr>
          <w:p w14:paraId="4BFF37EE"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6/51 (11.8)</w:t>
            </w:r>
          </w:p>
        </w:tc>
        <w:tc>
          <w:tcPr>
            <w:tcW w:w="786" w:type="pct"/>
            <w:vAlign w:val="center"/>
          </w:tcPr>
          <w:p w14:paraId="1911788F"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13 (2, 25)</w:t>
            </w:r>
          </w:p>
        </w:tc>
        <w:tc>
          <w:tcPr>
            <w:tcW w:w="756" w:type="pct"/>
            <w:vAlign w:val="center"/>
          </w:tcPr>
          <w:p w14:paraId="4E4ACA49"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7991020B" w14:textId="77777777" w:rsidTr="00DB34AB">
        <w:tc>
          <w:tcPr>
            <w:tcW w:w="1885" w:type="pct"/>
          </w:tcPr>
          <w:p w14:paraId="5E9BADDB" w14:textId="77777777" w:rsidR="0058598B" w:rsidRPr="009941F8" w:rsidRDefault="0058598B" w:rsidP="00110CF9">
            <w:pPr>
              <w:keepNext/>
              <w:jc w:val="right"/>
              <w:rPr>
                <w:rFonts w:ascii="Arial Narrow" w:hAnsi="Arial Narrow"/>
                <w:sz w:val="20"/>
                <w:szCs w:val="20"/>
              </w:rPr>
            </w:pPr>
            <w:r w:rsidRPr="009941F8">
              <w:rPr>
                <w:rFonts w:ascii="Arial Narrow" w:hAnsi="Arial Narrow"/>
                <w:sz w:val="20"/>
                <w:szCs w:val="20"/>
              </w:rPr>
              <w:t>TULIP-1 &amp; 2 LTE pooled</w:t>
            </w:r>
            <w:r w:rsidRPr="009941F8">
              <w:rPr>
                <w:rFonts w:ascii="Arial Narrow" w:hAnsi="Arial Narrow"/>
                <w:sz w:val="20"/>
                <w:szCs w:val="20"/>
                <w:vertAlign w:val="superscript"/>
              </w:rPr>
              <w:t>c</w:t>
            </w:r>
          </w:p>
        </w:tc>
        <w:tc>
          <w:tcPr>
            <w:tcW w:w="787" w:type="pct"/>
            <w:vAlign w:val="center"/>
          </w:tcPr>
          <w:p w14:paraId="1569805B"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67/257 (26.7)</w:t>
            </w:r>
          </w:p>
        </w:tc>
        <w:tc>
          <w:tcPr>
            <w:tcW w:w="786" w:type="pct"/>
            <w:vAlign w:val="center"/>
          </w:tcPr>
          <w:p w14:paraId="0B6DD5B7"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11/112 (9.9)</w:t>
            </w:r>
          </w:p>
        </w:tc>
        <w:tc>
          <w:tcPr>
            <w:tcW w:w="786" w:type="pct"/>
            <w:vAlign w:val="center"/>
          </w:tcPr>
          <w:p w14:paraId="0FAC78DE"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16.3 (8.6, 23.9)</w:t>
            </w:r>
          </w:p>
        </w:tc>
        <w:tc>
          <w:tcPr>
            <w:tcW w:w="756" w:type="pct"/>
            <w:vAlign w:val="center"/>
          </w:tcPr>
          <w:p w14:paraId="66A596A4"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3.2 (1.6, 6.4)</w:t>
            </w:r>
          </w:p>
        </w:tc>
      </w:tr>
      <w:tr w:rsidR="0058598B" w:rsidRPr="009941F8" w14:paraId="19514DDE" w14:textId="77777777" w:rsidTr="00DB34AB">
        <w:tc>
          <w:tcPr>
            <w:tcW w:w="5000" w:type="pct"/>
            <w:gridSpan w:val="5"/>
            <w:vAlign w:val="center"/>
          </w:tcPr>
          <w:p w14:paraId="4B08527C" w14:textId="77777777" w:rsidR="0058598B" w:rsidRPr="009941F8" w:rsidRDefault="0058598B" w:rsidP="00110CF9">
            <w:pPr>
              <w:keepNext/>
              <w:jc w:val="left"/>
              <w:rPr>
                <w:rFonts w:ascii="Arial Narrow" w:hAnsi="Arial Narrow"/>
                <w:b/>
                <w:sz w:val="20"/>
                <w:szCs w:val="20"/>
              </w:rPr>
            </w:pPr>
            <w:r w:rsidRPr="009941F8">
              <w:rPr>
                <w:rFonts w:ascii="Arial Narrow" w:hAnsi="Arial Narrow"/>
                <w:b/>
                <w:sz w:val="20"/>
                <w:szCs w:val="20"/>
              </w:rPr>
              <w:t>SLEDAI-2K ≥10</w:t>
            </w:r>
          </w:p>
        </w:tc>
      </w:tr>
      <w:tr w:rsidR="0058598B" w:rsidRPr="009941F8" w14:paraId="339E1189" w14:textId="77777777" w:rsidTr="00DB34AB">
        <w:tc>
          <w:tcPr>
            <w:tcW w:w="1885" w:type="pct"/>
          </w:tcPr>
          <w:p w14:paraId="5F2509ED"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TULIP-1 LTE</w:t>
            </w:r>
          </w:p>
        </w:tc>
        <w:tc>
          <w:tcPr>
            <w:tcW w:w="787" w:type="pct"/>
          </w:tcPr>
          <w:p w14:paraId="2AFA9F7E"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19/90 (21.1)</w:t>
            </w:r>
          </w:p>
        </w:tc>
        <w:tc>
          <w:tcPr>
            <w:tcW w:w="786" w:type="pct"/>
          </w:tcPr>
          <w:p w14:paraId="6BC568CE"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1/41 (2.4)</w:t>
            </w:r>
          </w:p>
        </w:tc>
        <w:tc>
          <w:tcPr>
            <w:tcW w:w="786" w:type="pct"/>
            <w:vAlign w:val="center"/>
          </w:tcPr>
          <w:p w14:paraId="0F52A458"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19 (9, 28)</w:t>
            </w:r>
          </w:p>
        </w:tc>
        <w:tc>
          <w:tcPr>
            <w:tcW w:w="756" w:type="pct"/>
            <w:vAlign w:val="center"/>
          </w:tcPr>
          <w:p w14:paraId="70778108"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053C23BB" w14:textId="77777777" w:rsidTr="00DB34AB">
        <w:tc>
          <w:tcPr>
            <w:tcW w:w="1885" w:type="pct"/>
          </w:tcPr>
          <w:p w14:paraId="52137189" w14:textId="77777777" w:rsidR="0058598B" w:rsidRPr="009941F8" w:rsidRDefault="0058598B" w:rsidP="00110CF9">
            <w:pPr>
              <w:keepNext/>
              <w:rPr>
                <w:rFonts w:ascii="Arial Narrow" w:hAnsi="Arial Narrow"/>
                <w:sz w:val="20"/>
                <w:szCs w:val="20"/>
              </w:rPr>
            </w:pPr>
            <w:r w:rsidRPr="009941F8">
              <w:rPr>
                <w:rFonts w:ascii="Arial Narrow" w:hAnsi="Arial Narrow"/>
                <w:sz w:val="20"/>
                <w:szCs w:val="20"/>
              </w:rPr>
              <w:t>TULIP-2 LTE</w:t>
            </w:r>
          </w:p>
        </w:tc>
        <w:tc>
          <w:tcPr>
            <w:tcW w:w="787" w:type="pct"/>
          </w:tcPr>
          <w:p w14:paraId="4EF77A86"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25/94 (26.6)</w:t>
            </w:r>
          </w:p>
        </w:tc>
        <w:tc>
          <w:tcPr>
            <w:tcW w:w="786" w:type="pct"/>
          </w:tcPr>
          <w:p w14:paraId="072433C9"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4/39 (10.3)</w:t>
            </w:r>
          </w:p>
        </w:tc>
        <w:tc>
          <w:tcPr>
            <w:tcW w:w="786" w:type="pct"/>
            <w:vAlign w:val="center"/>
          </w:tcPr>
          <w:p w14:paraId="12E355FA"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16 (3, 29)</w:t>
            </w:r>
          </w:p>
        </w:tc>
        <w:tc>
          <w:tcPr>
            <w:tcW w:w="756" w:type="pct"/>
            <w:vAlign w:val="center"/>
          </w:tcPr>
          <w:p w14:paraId="366614E3"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w:t>
            </w:r>
          </w:p>
        </w:tc>
      </w:tr>
      <w:tr w:rsidR="0058598B" w:rsidRPr="009941F8" w14:paraId="27A204CD" w14:textId="77777777" w:rsidTr="00DB34AB">
        <w:tc>
          <w:tcPr>
            <w:tcW w:w="1885" w:type="pct"/>
          </w:tcPr>
          <w:p w14:paraId="6F33798C" w14:textId="77777777" w:rsidR="0058598B" w:rsidRPr="009941F8" w:rsidRDefault="0058598B" w:rsidP="00110CF9">
            <w:pPr>
              <w:keepNext/>
              <w:jc w:val="right"/>
              <w:rPr>
                <w:rFonts w:ascii="Arial Narrow" w:hAnsi="Arial Narrow"/>
                <w:sz w:val="20"/>
                <w:szCs w:val="20"/>
              </w:rPr>
            </w:pPr>
            <w:r w:rsidRPr="009941F8">
              <w:rPr>
                <w:rFonts w:ascii="Arial Narrow" w:hAnsi="Arial Narrow"/>
                <w:sz w:val="20"/>
                <w:szCs w:val="20"/>
              </w:rPr>
              <w:t>TULIP-1 &amp; 2 LTE pooled</w:t>
            </w:r>
            <w:r w:rsidRPr="009941F8">
              <w:rPr>
                <w:rFonts w:ascii="Arial Narrow" w:hAnsi="Arial Narrow"/>
                <w:sz w:val="20"/>
                <w:szCs w:val="20"/>
                <w:vertAlign w:val="superscript"/>
              </w:rPr>
              <w:t>c</w:t>
            </w:r>
          </w:p>
        </w:tc>
        <w:tc>
          <w:tcPr>
            <w:tcW w:w="787" w:type="pct"/>
          </w:tcPr>
          <w:p w14:paraId="24CAEE0A"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44/184 (23.9)</w:t>
            </w:r>
          </w:p>
        </w:tc>
        <w:tc>
          <w:tcPr>
            <w:tcW w:w="786" w:type="pct"/>
          </w:tcPr>
          <w:p w14:paraId="181ACAFB" w14:textId="77777777" w:rsidR="0058598B" w:rsidRPr="009941F8" w:rsidRDefault="0058598B" w:rsidP="00110CF9">
            <w:pPr>
              <w:keepNext/>
              <w:jc w:val="center"/>
              <w:rPr>
                <w:rFonts w:ascii="Arial Narrow" w:hAnsi="Arial Narrow"/>
                <w:sz w:val="20"/>
                <w:szCs w:val="20"/>
              </w:rPr>
            </w:pPr>
            <w:r w:rsidRPr="009941F8">
              <w:rPr>
                <w:rFonts w:ascii="Arial Narrow" w:hAnsi="Arial Narrow"/>
                <w:sz w:val="20"/>
                <w:szCs w:val="20"/>
              </w:rPr>
              <w:t>5/80 (6.3)</w:t>
            </w:r>
          </w:p>
        </w:tc>
        <w:tc>
          <w:tcPr>
            <w:tcW w:w="786" w:type="pct"/>
            <w:vAlign w:val="center"/>
          </w:tcPr>
          <w:p w14:paraId="56E9AE63"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17.7 (9.5, 25.8)</w:t>
            </w:r>
          </w:p>
        </w:tc>
        <w:tc>
          <w:tcPr>
            <w:tcW w:w="756" w:type="pct"/>
            <w:vAlign w:val="center"/>
          </w:tcPr>
          <w:p w14:paraId="5DD3F670" w14:textId="77777777" w:rsidR="0058598B" w:rsidRPr="009941F8" w:rsidRDefault="0058598B" w:rsidP="00110CF9">
            <w:pPr>
              <w:keepNext/>
              <w:jc w:val="center"/>
              <w:rPr>
                <w:rFonts w:ascii="Arial Narrow" w:hAnsi="Arial Narrow"/>
                <w:b/>
                <w:sz w:val="20"/>
                <w:szCs w:val="20"/>
              </w:rPr>
            </w:pPr>
            <w:r w:rsidRPr="009941F8">
              <w:rPr>
                <w:rFonts w:ascii="Arial Narrow" w:hAnsi="Arial Narrow"/>
                <w:b/>
                <w:sz w:val="20"/>
                <w:szCs w:val="20"/>
              </w:rPr>
              <w:t>4.7 (1.8, 12.5)</w:t>
            </w:r>
            <w:r w:rsidRPr="009941F8">
              <w:rPr>
                <w:rFonts w:ascii="Arial Narrow" w:hAnsi="Arial Narrow"/>
                <w:b/>
                <w:sz w:val="20"/>
                <w:szCs w:val="20"/>
                <w:vertAlign w:val="superscript"/>
              </w:rPr>
              <w:t>d</w:t>
            </w:r>
          </w:p>
        </w:tc>
      </w:tr>
    </w:tbl>
    <w:p w14:paraId="0D9EE559" w14:textId="77777777" w:rsidR="0058598B" w:rsidRPr="009941F8" w:rsidRDefault="0058598B" w:rsidP="00110CF9">
      <w:pPr>
        <w:keepNext/>
        <w:rPr>
          <w:rFonts w:ascii="Arial Narrow" w:hAnsi="Arial Narrow"/>
          <w:sz w:val="18"/>
          <w:szCs w:val="20"/>
        </w:rPr>
      </w:pPr>
      <w:r w:rsidRPr="009941F8">
        <w:rPr>
          <w:rFonts w:ascii="Arial Narrow" w:hAnsi="Arial Narrow"/>
          <w:b/>
          <w:bCs/>
          <w:sz w:val="18"/>
          <w:szCs w:val="20"/>
        </w:rPr>
        <w:t>Bold</w:t>
      </w:r>
      <w:r w:rsidRPr="009941F8">
        <w:rPr>
          <w:rFonts w:ascii="Arial Narrow" w:hAnsi="Arial Narrow"/>
          <w:sz w:val="18"/>
          <w:szCs w:val="20"/>
        </w:rPr>
        <w:t xml:space="preserve"> text designates statistical significance.</w:t>
      </w:r>
    </w:p>
    <w:p w14:paraId="23D135A4" w14:textId="77777777" w:rsidR="0058598B" w:rsidRPr="009941F8" w:rsidRDefault="0058598B" w:rsidP="00110CF9">
      <w:pPr>
        <w:keepNext/>
        <w:rPr>
          <w:rFonts w:ascii="Arial Narrow" w:hAnsi="Arial Narrow"/>
          <w:sz w:val="18"/>
          <w:szCs w:val="20"/>
        </w:rPr>
      </w:pPr>
      <w:r w:rsidRPr="009941F8">
        <w:rPr>
          <w:rFonts w:ascii="Arial Narrow" w:hAnsi="Arial Narrow"/>
          <w:sz w:val="18"/>
          <w:szCs w:val="20"/>
        </w:rPr>
        <w:t>Source: Tables 2-49 and 2-50, p186 of the resubmission, Anifrolumab versus Placebo for SLE.rm5 (Attachment 2.5), and Attachment 2.12 subgroup analysis LLDAS_Anifrolumab modelling Tables 20230907.xlsx.</w:t>
      </w:r>
    </w:p>
    <w:p w14:paraId="2C0391CC" w14:textId="77777777" w:rsidR="0058598B" w:rsidRPr="009941F8" w:rsidRDefault="0058598B" w:rsidP="00110CF9">
      <w:pPr>
        <w:keepNext/>
        <w:rPr>
          <w:rFonts w:ascii="Arial Narrow" w:hAnsi="Arial Narrow"/>
          <w:sz w:val="18"/>
          <w:szCs w:val="20"/>
        </w:rPr>
      </w:pPr>
      <w:r w:rsidRPr="009941F8">
        <w:rPr>
          <w:rFonts w:ascii="Arial Narrow" w:hAnsi="Arial Narrow"/>
          <w:sz w:val="18"/>
          <w:szCs w:val="20"/>
        </w:rPr>
        <w:t>CI=confidence interval; RD=risk difference; CMH=Cochran-Mantel-Haenszel; LLDAS=low lupus disease activity state; OR=odds ratio; SLE=Systemic Lupus Erythematosus; SLEDIA-2K=SLE Disease Activity Index 2000; SOC=standard of care.</w:t>
      </w:r>
    </w:p>
    <w:p w14:paraId="1FFD01F3" w14:textId="77777777" w:rsidR="0058598B" w:rsidRPr="009941F8" w:rsidRDefault="0058598B" w:rsidP="00110CF9">
      <w:pPr>
        <w:keepNext/>
        <w:rPr>
          <w:rFonts w:ascii="Arial Narrow" w:hAnsi="Arial Narrow"/>
          <w:sz w:val="18"/>
          <w:szCs w:val="20"/>
        </w:rPr>
      </w:pPr>
      <w:r w:rsidRPr="009941F8">
        <w:rPr>
          <w:rFonts w:ascii="Arial Narrow" w:hAnsi="Arial Narrow"/>
          <w:sz w:val="18"/>
          <w:szCs w:val="20"/>
        </w:rPr>
        <w:t xml:space="preserve">Analysis was on the TULIP-1/TULIP-2 revised restricted medications rules. </w:t>
      </w:r>
    </w:p>
    <w:p w14:paraId="48407BA7" w14:textId="77777777" w:rsidR="0058598B" w:rsidRPr="009941F8" w:rsidRDefault="0058598B" w:rsidP="00110CF9">
      <w:pPr>
        <w:keepNext/>
        <w:ind w:left="165" w:hanging="165"/>
        <w:rPr>
          <w:rFonts w:ascii="Arial Narrow" w:hAnsi="Arial Narrow"/>
          <w:sz w:val="18"/>
          <w:szCs w:val="18"/>
        </w:rPr>
      </w:pPr>
      <w:r w:rsidRPr="009941F8">
        <w:rPr>
          <w:rFonts w:ascii="Arial Narrow" w:hAnsi="Arial Narrow"/>
          <w:sz w:val="18"/>
          <w:szCs w:val="18"/>
        </w:rPr>
        <w:t>#</w:t>
      </w:r>
      <w:r w:rsidRPr="009941F8">
        <w:rPr>
          <w:rFonts w:ascii="Arial Narrow" w:hAnsi="Arial Narrow"/>
          <w:sz w:val="18"/>
          <w:szCs w:val="18"/>
        </w:rPr>
        <w:tab/>
        <w:t>The resubmission reported that in TULIP-1, patients with SLEDAI-2K ≥10 at baseline and screening was n=125 (see Furie 2019 (TULIP-1)), however the subgroup analysis was based on n=129, which could not be verified. Analysis conducted during the evaluation showed that this difference had minor impact on the treatment effect (response difference 11 (4, 18) and OR 1.9 (1.2, 2.9)).</w:t>
      </w:r>
    </w:p>
    <w:p w14:paraId="6CD48E3B" w14:textId="77777777" w:rsidR="0058598B" w:rsidRPr="009941F8" w:rsidRDefault="0058598B" w:rsidP="00110CF9">
      <w:pPr>
        <w:keepNext/>
        <w:ind w:left="170" w:hanging="170"/>
        <w:rPr>
          <w:rFonts w:ascii="Arial Narrow" w:eastAsia="SimSun" w:hAnsi="Arial Narrow"/>
          <w:sz w:val="18"/>
          <w:szCs w:val="18"/>
        </w:rPr>
      </w:pPr>
      <w:r w:rsidRPr="009941F8">
        <w:rPr>
          <w:rFonts w:ascii="Arial Narrow" w:eastAsia="SimSun" w:hAnsi="Arial Narrow"/>
          <w:sz w:val="18"/>
          <w:szCs w:val="18"/>
        </w:rPr>
        <w:t>a</w:t>
      </w:r>
      <w:r w:rsidRPr="009941F8">
        <w:rPr>
          <w:rFonts w:ascii="Arial Narrow" w:eastAsia="SimSun" w:hAnsi="Arial Narrow"/>
          <w:sz w:val="18"/>
          <w:szCs w:val="18"/>
        </w:rPr>
        <w:tab/>
        <w:t>Post hoc LLDAS outcome based on Golder 2019 definition, which was simplified from Franklyn 2016 to remove the requirement for assessment of haematological or gastrointestinal activity (criterion 1), and SLEDAI-2K is specified for new activity (criterion 2).</w:t>
      </w:r>
    </w:p>
    <w:p w14:paraId="31616219" w14:textId="77777777" w:rsidR="0058598B" w:rsidRPr="009941F8" w:rsidRDefault="0058598B" w:rsidP="00110CF9">
      <w:pPr>
        <w:keepNext/>
        <w:ind w:left="170" w:hanging="170"/>
        <w:rPr>
          <w:rFonts w:ascii="Arial Narrow" w:eastAsia="SimSun" w:hAnsi="Arial Narrow"/>
          <w:sz w:val="18"/>
          <w:szCs w:val="18"/>
        </w:rPr>
      </w:pPr>
      <w:r w:rsidRPr="009941F8">
        <w:rPr>
          <w:rFonts w:ascii="Arial Narrow" w:eastAsia="SimSun" w:hAnsi="Arial Narrow"/>
          <w:sz w:val="18"/>
          <w:szCs w:val="18"/>
        </w:rPr>
        <w:t>b</w:t>
      </w:r>
      <w:r w:rsidRPr="009941F8">
        <w:rPr>
          <w:rFonts w:ascii="Arial Narrow" w:eastAsia="SimSun" w:hAnsi="Arial Narrow"/>
          <w:sz w:val="18"/>
          <w:szCs w:val="18"/>
        </w:rPr>
        <w:tab/>
        <w:t>Post hoc statistical analysis adjusted for response due to discontinuation or non-standard dose of immunosuppressant. The pre-specified exploratory analysis of LLDAS included: i) additional criterion for “discontinuation of immunosuppressants” resulted in LLDAS non-response, and ii) violations of “standard dose of immunosuppressants” resulted in LLDAS non-response for all subsequent visits.</w:t>
      </w:r>
    </w:p>
    <w:p w14:paraId="7FFD2BE0" w14:textId="77777777" w:rsidR="0058598B" w:rsidRPr="009941F8" w:rsidRDefault="0058598B" w:rsidP="00110CF9">
      <w:pPr>
        <w:keepNext/>
        <w:ind w:left="165" w:hanging="165"/>
        <w:rPr>
          <w:rFonts w:ascii="Arial Narrow" w:hAnsi="Arial Narrow"/>
          <w:sz w:val="18"/>
          <w:szCs w:val="18"/>
        </w:rPr>
      </w:pPr>
      <w:r w:rsidRPr="009941F8">
        <w:rPr>
          <w:rFonts w:ascii="Arial Narrow" w:hAnsi="Arial Narrow"/>
          <w:sz w:val="18"/>
          <w:szCs w:val="18"/>
        </w:rPr>
        <w:t>c</w:t>
      </w:r>
      <w:r w:rsidRPr="009941F8">
        <w:rPr>
          <w:rFonts w:ascii="Arial Narrow" w:hAnsi="Arial Narrow"/>
          <w:sz w:val="18"/>
          <w:szCs w:val="18"/>
        </w:rPr>
        <w:tab/>
        <w:t>Pooled analysis excluded the 150 mg group from TULIP-1. Results are based on the revised restricted medication rules.</w:t>
      </w:r>
    </w:p>
    <w:p w14:paraId="2E892590" w14:textId="77777777" w:rsidR="0058598B" w:rsidRPr="009941F8" w:rsidRDefault="0058598B" w:rsidP="00235D09">
      <w:pPr>
        <w:spacing w:after="120"/>
        <w:ind w:left="164" w:hanging="164"/>
        <w:rPr>
          <w:rFonts w:ascii="Arial Narrow" w:hAnsi="Arial Narrow"/>
          <w:sz w:val="18"/>
          <w:szCs w:val="18"/>
        </w:rPr>
      </w:pPr>
      <w:r w:rsidRPr="009941F8">
        <w:rPr>
          <w:rFonts w:ascii="Arial Narrow" w:hAnsi="Arial Narrow"/>
          <w:sz w:val="18"/>
          <w:szCs w:val="18"/>
        </w:rPr>
        <w:t>d</w:t>
      </w:r>
      <w:r w:rsidRPr="009941F8">
        <w:rPr>
          <w:rFonts w:ascii="Arial Narrow" w:hAnsi="Arial Narrow"/>
          <w:sz w:val="18"/>
          <w:szCs w:val="18"/>
        </w:rPr>
        <w:tab/>
        <w:t>Post hoc analysis by the resubmission using Chi Square analysis.</w:t>
      </w:r>
    </w:p>
    <w:p w14:paraId="1FBE6657" w14:textId="6668DA5D" w:rsidR="0058598B" w:rsidRPr="009941F8" w:rsidRDefault="0058598B" w:rsidP="00A244E2">
      <w:pPr>
        <w:pStyle w:val="3-BodyText"/>
        <w:rPr>
          <w:iCs/>
        </w:rPr>
      </w:pPr>
      <w:r w:rsidRPr="009941F8">
        <w:rPr>
          <w:iCs/>
        </w:rPr>
        <w:t xml:space="preserve">The results of the subgroup analyses from TULIP-1 and TULIP-2 showed LLDAS attainment in patients with severe disease activity (SLEDAI-2K </w:t>
      </w:r>
      <w:r w:rsidRPr="009941F8">
        <w:rPr>
          <w:rFonts w:cs="Calibri"/>
          <w:iCs/>
        </w:rPr>
        <w:t>≥</w:t>
      </w:r>
      <w:r w:rsidRPr="009941F8">
        <w:rPr>
          <w:iCs/>
        </w:rPr>
        <w:t xml:space="preserve">10 at baseline) was similar to the whole trial population (SLEDAI-2K </w:t>
      </w:r>
      <w:r w:rsidRPr="009941F8">
        <w:rPr>
          <w:rFonts w:cs="Calibri"/>
          <w:iCs/>
        </w:rPr>
        <w:t>≥</w:t>
      </w:r>
      <w:r w:rsidRPr="009941F8">
        <w:rPr>
          <w:iCs/>
        </w:rPr>
        <w:t>6 at baseline). LLDAS attainment increased over the 52 weeks treatment period, which was generally maintained in TULIP LTE to Week 156 and decreased thereafter to Week 208. There were significantly higher proportions of patients in the anifrolumab group who attained LLDAS compared to placebo at Week 52 and Week 208.</w:t>
      </w:r>
    </w:p>
    <w:p w14:paraId="1452C351" w14:textId="0D19F1B0" w:rsidR="00B60939" w:rsidRPr="009941F8" w:rsidRDefault="00B60939" w:rsidP="00A244E2">
      <w:pPr>
        <w:pStyle w:val="4-SubsectionHeading"/>
      </w:pPr>
      <w:bookmarkStart w:id="44" w:name="_Toc22897642"/>
      <w:bookmarkStart w:id="45" w:name="_Toc156918346"/>
      <w:r w:rsidRPr="009941F8">
        <w:t>Comparative harms</w:t>
      </w:r>
      <w:bookmarkEnd w:id="44"/>
      <w:bookmarkEnd w:id="45"/>
    </w:p>
    <w:p w14:paraId="18C846F1" w14:textId="279789E1" w:rsidR="00A11665" w:rsidRPr="009941F8" w:rsidRDefault="00A11665" w:rsidP="00A244E2">
      <w:pPr>
        <w:pStyle w:val="3-BodyText"/>
      </w:pPr>
      <w:r w:rsidRPr="009941F8">
        <w:rPr>
          <w:iCs/>
        </w:rPr>
        <w:t>No new comparative safety data were presented in th</w:t>
      </w:r>
      <w:r w:rsidR="006965D9" w:rsidRPr="009941F8">
        <w:rPr>
          <w:iCs/>
        </w:rPr>
        <w:t>is</w:t>
      </w:r>
      <w:r w:rsidRPr="009941F8">
        <w:rPr>
          <w:iCs/>
        </w:rPr>
        <w:t xml:space="preserve"> resubmission</w:t>
      </w:r>
      <w:r w:rsidRPr="009941F8">
        <w:rPr>
          <w:i/>
          <w:iCs/>
        </w:rPr>
        <w:t>.</w:t>
      </w:r>
      <w:r w:rsidRPr="009941F8">
        <w:t xml:space="preserve"> </w:t>
      </w:r>
      <w:r w:rsidR="001F01CC" w:rsidRPr="009941F8">
        <w:fldChar w:fldCharType="begin" w:fldLock="1"/>
      </w:r>
      <w:r w:rsidR="001F01CC" w:rsidRPr="009941F8">
        <w:instrText xml:space="preserve"> REF _Ref153930013 \h </w:instrText>
      </w:r>
      <w:r w:rsidR="00A244E2" w:rsidRPr="009941F8">
        <w:instrText xml:space="preserve"> \* MERGEFORMAT </w:instrText>
      </w:r>
      <w:r w:rsidR="001F01CC" w:rsidRPr="009941F8">
        <w:fldChar w:fldCharType="separate"/>
      </w:r>
      <w:r w:rsidR="00F07501" w:rsidRPr="009941F8">
        <w:t xml:space="preserve">Table </w:t>
      </w:r>
      <w:r w:rsidR="00F07501">
        <w:t>7</w:t>
      </w:r>
      <w:r w:rsidR="001F01CC" w:rsidRPr="009941F8">
        <w:fldChar w:fldCharType="end"/>
      </w:r>
      <w:r w:rsidR="001F01CC" w:rsidRPr="009941F8">
        <w:t xml:space="preserve"> </w:t>
      </w:r>
      <w:r w:rsidRPr="009941F8">
        <w:t>summarises the key AEs across the included trials.</w:t>
      </w:r>
    </w:p>
    <w:p w14:paraId="2339B088" w14:textId="756A59E0" w:rsidR="00A11665" w:rsidRPr="009941F8" w:rsidRDefault="001F01CC" w:rsidP="00A244E2">
      <w:pPr>
        <w:pStyle w:val="Caption"/>
        <w:rPr>
          <w:b w:val="0"/>
          <w:szCs w:val="20"/>
        </w:rPr>
      </w:pPr>
      <w:bookmarkStart w:id="46" w:name="_Ref153930013"/>
      <w:r w:rsidRPr="009941F8">
        <w:lastRenderedPageBreak/>
        <w:t xml:space="preserve">Table </w:t>
      </w:r>
      <w:r w:rsidR="00CE7EC7">
        <w:fldChar w:fldCharType="begin" w:fldLock="1"/>
      </w:r>
      <w:r w:rsidR="00CE7EC7">
        <w:instrText xml:space="preserve"> SEQ Table \* ARABIC </w:instrText>
      </w:r>
      <w:r w:rsidR="00CE7EC7">
        <w:fldChar w:fldCharType="separate"/>
      </w:r>
      <w:r w:rsidR="00F07501">
        <w:rPr>
          <w:noProof/>
        </w:rPr>
        <w:t>7</w:t>
      </w:r>
      <w:r w:rsidR="00CE7EC7">
        <w:rPr>
          <w:noProof/>
        </w:rPr>
        <w:fldChar w:fldCharType="end"/>
      </w:r>
      <w:bookmarkEnd w:id="46"/>
      <w:r w:rsidR="00A11665" w:rsidRPr="009941F8">
        <w:rPr>
          <w:szCs w:val="20"/>
        </w:rPr>
        <w:t>: Summary of key adverse events (AEs) across the included trials</w:t>
      </w:r>
      <w:r w:rsidR="00AB2AC6" w:rsidRPr="009941F8">
        <w:rPr>
          <w:szCs w:val="20"/>
        </w:rPr>
        <w:t xml:space="preserve"> (ITT population)</w:t>
      </w:r>
      <w:r w:rsidR="00A11665" w:rsidRPr="009941F8">
        <w:rPr>
          <w:szCs w:val="20"/>
        </w:rPr>
        <w:t>.</w:t>
      </w:r>
    </w:p>
    <w:tbl>
      <w:tblPr>
        <w:tblStyle w:val="TableGrid"/>
        <w:tblW w:w="5000" w:type="pct"/>
        <w:tblCellMar>
          <w:left w:w="28" w:type="dxa"/>
          <w:right w:w="28" w:type="dxa"/>
        </w:tblCellMar>
        <w:tblLook w:val="04A0" w:firstRow="1" w:lastRow="0" w:firstColumn="1" w:lastColumn="0" w:noHBand="0" w:noVBand="1"/>
        <w:tblCaption w:val="Table 7: Summary of key adverse events (AEs) across the included trials (ITT population)."/>
      </w:tblPr>
      <w:tblGrid>
        <w:gridCol w:w="3062"/>
        <w:gridCol w:w="1672"/>
        <w:gridCol w:w="1255"/>
        <w:gridCol w:w="1533"/>
        <w:gridCol w:w="1495"/>
      </w:tblGrid>
      <w:tr w:rsidR="00A11665" w:rsidRPr="009941F8" w14:paraId="69434CAA" w14:textId="77777777" w:rsidTr="00A244E2">
        <w:trPr>
          <w:tblHeader/>
        </w:trPr>
        <w:tc>
          <w:tcPr>
            <w:tcW w:w="1698" w:type="pct"/>
            <w:shd w:val="clear" w:color="auto" w:fill="auto"/>
            <w:vAlign w:val="center"/>
          </w:tcPr>
          <w:p w14:paraId="77360747" w14:textId="77777777" w:rsidR="00A11665" w:rsidRPr="009941F8" w:rsidRDefault="00A11665" w:rsidP="00A244E2">
            <w:pPr>
              <w:keepNext/>
              <w:jc w:val="left"/>
              <w:rPr>
                <w:rFonts w:ascii="Arial Narrow" w:hAnsi="Arial Narrow"/>
                <w:sz w:val="20"/>
                <w:szCs w:val="20"/>
              </w:rPr>
            </w:pPr>
          </w:p>
        </w:tc>
        <w:tc>
          <w:tcPr>
            <w:tcW w:w="927" w:type="pct"/>
            <w:shd w:val="clear" w:color="auto" w:fill="auto"/>
            <w:vAlign w:val="center"/>
          </w:tcPr>
          <w:p w14:paraId="6EC21FA2"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Anifrolumab 300 mg</w:t>
            </w:r>
          </w:p>
          <w:p w14:paraId="284478F9"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n/N (%)</w:t>
            </w:r>
          </w:p>
        </w:tc>
        <w:tc>
          <w:tcPr>
            <w:tcW w:w="696" w:type="pct"/>
            <w:shd w:val="clear" w:color="auto" w:fill="auto"/>
          </w:tcPr>
          <w:p w14:paraId="65E1AA51"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Placebo</w:t>
            </w:r>
          </w:p>
          <w:p w14:paraId="1D4FD8AB"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n/N (%)</w:t>
            </w:r>
          </w:p>
        </w:tc>
        <w:tc>
          <w:tcPr>
            <w:tcW w:w="850" w:type="pct"/>
            <w:shd w:val="clear" w:color="auto" w:fill="auto"/>
            <w:vAlign w:val="center"/>
          </w:tcPr>
          <w:p w14:paraId="1B37D989"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RR (95%CI)</w:t>
            </w:r>
          </w:p>
        </w:tc>
        <w:tc>
          <w:tcPr>
            <w:tcW w:w="829" w:type="pct"/>
            <w:shd w:val="clear" w:color="auto" w:fill="auto"/>
            <w:vAlign w:val="center"/>
          </w:tcPr>
          <w:p w14:paraId="48A12633"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RD (95%CI)</w:t>
            </w:r>
          </w:p>
        </w:tc>
      </w:tr>
      <w:tr w:rsidR="00A11665" w:rsidRPr="009941F8" w14:paraId="3448903E" w14:textId="77777777" w:rsidTr="00A244E2">
        <w:tc>
          <w:tcPr>
            <w:tcW w:w="5000" w:type="pct"/>
            <w:gridSpan w:val="5"/>
            <w:shd w:val="clear" w:color="auto" w:fill="auto"/>
            <w:vAlign w:val="center"/>
          </w:tcPr>
          <w:p w14:paraId="55E1034D" w14:textId="77777777" w:rsidR="00A11665" w:rsidRPr="009941F8" w:rsidRDefault="00A11665" w:rsidP="00A244E2">
            <w:pPr>
              <w:keepNext/>
              <w:jc w:val="left"/>
              <w:rPr>
                <w:rFonts w:ascii="Arial Narrow" w:hAnsi="Arial Narrow"/>
                <w:b/>
                <w:sz w:val="20"/>
                <w:szCs w:val="20"/>
              </w:rPr>
            </w:pPr>
            <w:r w:rsidRPr="009941F8">
              <w:rPr>
                <w:rFonts w:ascii="Arial Narrow" w:hAnsi="Arial Narrow"/>
                <w:b/>
                <w:sz w:val="20"/>
                <w:szCs w:val="20"/>
              </w:rPr>
              <w:t>TULIP-1</w:t>
            </w:r>
          </w:p>
        </w:tc>
      </w:tr>
      <w:tr w:rsidR="00A11665" w:rsidRPr="009941F8" w14:paraId="39EEB2BC" w14:textId="77777777" w:rsidTr="00A244E2">
        <w:tc>
          <w:tcPr>
            <w:tcW w:w="1698" w:type="pct"/>
            <w:shd w:val="clear" w:color="auto" w:fill="auto"/>
            <w:vAlign w:val="center"/>
          </w:tcPr>
          <w:p w14:paraId="5ED26A3F"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Any AEs</w:t>
            </w:r>
          </w:p>
        </w:tc>
        <w:tc>
          <w:tcPr>
            <w:tcW w:w="927" w:type="pct"/>
            <w:shd w:val="clear" w:color="auto" w:fill="auto"/>
            <w:vAlign w:val="center"/>
          </w:tcPr>
          <w:p w14:paraId="4942D6EA"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161/180 (89.4)</w:t>
            </w:r>
          </w:p>
        </w:tc>
        <w:tc>
          <w:tcPr>
            <w:tcW w:w="696" w:type="pct"/>
            <w:shd w:val="clear" w:color="auto" w:fill="auto"/>
            <w:vAlign w:val="center"/>
          </w:tcPr>
          <w:p w14:paraId="243BBBA8"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144/184 (78.3)</w:t>
            </w:r>
          </w:p>
        </w:tc>
        <w:tc>
          <w:tcPr>
            <w:tcW w:w="850" w:type="pct"/>
            <w:shd w:val="clear" w:color="auto" w:fill="auto"/>
            <w:vAlign w:val="center"/>
          </w:tcPr>
          <w:p w14:paraId="229ADE0C"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1.14 (1.04, 1.25)</w:t>
            </w:r>
          </w:p>
        </w:tc>
        <w:tc>
          <w:tcPr>
            <w:tcW w:w="829" w:type="pct"/>
            <w:shd w:val="clear" w:color="auto" w:fill="auto"/>
            <w:vAlign w:val="center"/>
          </w:tcPr>
          <w:p w14:paraId="2A4526D0"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0.11 (0.04, 0.19)</w:t>
            </w:r>
          </w:p>
        </w:tc>
      </w:tr>
      <w:tr w:rsidR="00A11665" w:rsidRPr="009941F8" w14:paraId="29152576" w14:textId="77777777" w:rsidTr="00A244E2">
        <w:tc>
          <w:tcPr>
            <w:tcW w:w="1698" w:type="pct"/>
            <w:shd w:val="clear" w:color="auto" w:fill="auto"/>
            <w:vAlign w:val="center"/>
          </w:tcPr>
          <w:p w14:paraId="154BA07B"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SAE</w:t>
            </w:r>
          </w:p>
        </w:tc>
        <w:tc>
          <w:tcPr>
            <w:tcW w:w="927" w:type="pct"/>
            <w:shd w:val="clear" w:color="auto" w:fill="auto"/>
            <w:vAlign w:val="center"/>
          </w:tcPr>
          <w:p w14:paraId="11583B6B"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25/180 (13.9)</w:t>
            </w:r>
          </w:p>
        </w:tc>
        <w:tc>
          <w:tcPr>
            <w:tcW w:w="696" w:type="pct"/>
            <w:shd w:val="clear" w:color="auto" w:fill="auto"/>
            <w:vAlign w:val="center"/>
          </w:tcPr>
          <w:p w14:paraId="00EC3C36"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30/184 (16.3)</w:t>
            </w:r>
          </w:p>
        </w:tc>
        <w:tc>
          <w:tcPr>
            <w:tcW w:w="850" w:type="pct"/>
            <w:shd w:val="clear" w:color="auto" w:fill="auto"/>
            <w:vAlign w:val="center"/>
          </w:tcPr>
          <w:p w14:paraId="01CE89E9"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0.85 (0.52, 1.39)</w:t>
            </w:r>
          </w:p>
        </w:tc>
        <w:tc>
          <w:tcPr>
            <w:tcW w:w="829" w:type="pct"/>
            <w:shd w:val="clear" w:color="auto" w:fill="auto"/>
            <w:vAlign w:val="center"/>
          </w:tcPr>
          <w:p w14:paraId="6B8D5C27"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-0.02 (-0.10, 0.05)</w:t>
            </w:r>
          </w:p>
        </w:tc>
      </w:tr>
      <w:tr w:rsidR="00A11665" w:rsidRPr="009941F8" w14:paraId="1CB974D3" w14:textId="77777777" w:rsidTr="00A244E2">
        <w:tc>
          <w:tcPr>
            <w:tcW w:w="1698" w:type="pct"/>
            <w:shd w:val="clear" w:color="auto" w:fill="auto"/>
            <w:vAlign w:val="center"/>
          </w:tcPr>
          <w:p w14:paraId="2B4AF091"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Death due to AEs</w:t>
            </w:r>
          </w:p>
        </w:tc>
        <w:tc>
          <w:tcPr>
            <w:tcW w:w="927" w:type="pct"/>
            <w:shd w:val="clear" w:color="auto" w:fill="auto"/>
            <w:vAlign w:val="center"/>
          </w:tcPr>
          <w:p w14:paraId="74FBB633"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1/180 (0.6)</w:t>
            </w:r>
            <w:r w:rsidRPr="009941F8">
              <w:rPr>
                <w:rFonts w:ascii="Arial Narrow" w:hAnsi="Arial Narrow"/>
                <w:sz w:val="20"/>
                <w:szCs w:val="20"/>
                <w:vertAlign w:val="superscript"/>
              </w:rPr>
              <w:t>a</w:t>
            </w:r>
          </w:p>
        </w:tc>
        <w:tc>
          <w:tcPr>
            <w:tcW w:w="696" w:type="pct"/>
            <w:shd w:val="clear" w:color="auto" w:fill="auto"/>
            <w:vAlign w:val="center"/>
          </w:tcPr>
          <w:p w14:paraId="7789C653"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w:t>
            </w:r>
          </w:p>
        </w:tc>
        <w:tc>
          <w:tcPr>
            <w:tcW w:w="850" w:type="pct"/>
            <w:shd w:val="clear" w:color="auto" w:fill="auto"/>
            <w:vAlign w:val="center"/>
          </w:tcPr>
          <w:p w14:paraId="7B8A4B78"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3.07 (0.13, 74.78)</w:t>
            </w:r>
          </w:p>
        </w:tc>
        <w:tc>
          <w:tcPr>
            <w:tcW w:w="829" w:type="pct"/>
            <w:shd w:val="clear" w:color="auto" w:fill="auto"/>
            <w:vAlign w:val="center"/>
          </w:tcPr>
          <w:p w14:paraId="037E3B66"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0.01 (-0.01, 0.02)</w:t>
            </w:r>
          </w:p>
        </w:tc>
      </w:tr>
      <w:tr w:rsidR="00A11665" w:rsidRPr="009941F8" w14:paraId="7D021BAD" w14:textId="77777777" w:rsidTr="00A244E2">
        <w:tc>
          <w:tcPr>
            <w:tcW w:w="1698" w:type="pct"/>
            <w:shd w:val="clear" w:color="auto" w:fill="auto"/>
            <w:vAlign w:val="center"/>
          </w:tcPr>
          <w:p w14:paraId="11C3820B"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Discontinuation of study drugs due to AEs</w:t>
            </w:r>
          </w:p>
        </w:tc>
        <w:tc>
          <w:tcPr>
            <w:tcW w:w="927" w:type="pct"/>
            <w:shd w:val="clear" w:color="auto" w:fill="auto"/>
            <w:vAlign w:val="center"/>
          </w:tcPr>
          <w:p w14:paraId="1460AD1A"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11/180 (6.1)</w:t>
            </w:r>
          </w:p>
        </w:tc>
        <w:tc>
          <w:tcPr>
            <w:tcW w:w="696" w:type="pct"/>
            <w:shd w:val="clear" w:color="auto" w:fill="auto"/>
            <w:vAlign w:val="center"/>
          </w:tcPr>
          <w:p w14:paraId="5BDD6E66"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5/184 (2.7)</w:t>
            </w:r>
          </w:p>
        </w:tc>
        <w:tc>
          <w:tcPr>
            <w:tcW w:w="850" w:type="pct"/>
            <w:shd w:val="clear" w:color="auto" w:fill="auto"/>
            <w:vAlign w:val="center"/>
          </w:tcPr>
          <w:p w14:paraId="58E1227C"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2.25 (0.80, 6.34)</w:t>
            </w:r>
          </w:p>
        </w:tc>
        <w:tc>
          <w:tcPr>
            <w:tcW w:w="829" w:type="pct"/>
            <w:shd w:val="clear" w:color="auto" w:fill="auto"/>
            <w:vAlign w:val="center"/>
          </w:tcPr>
          <w:p w14:paraId="4FF4CA4F"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0.03 (-0.01, 0.08)</w:t>
            </w:r>
          </w:p>
        </w:tc>
      </w:tr>
      <w:tr w:rsidR="00A11665" w:rsidRPr="009941F8" w14:paraId="51AC8A91" w14:textId="77777777" w:rsidTr="00A244E2">
        <w:tc>
          <w:tcPr>
            <w:tcW w:w="1698" w:type="pct"/>
            <w:shd w:val="clear" w:color="auto" w:fill="auto"/>
            <w:vAlign w:val="center"/>
          </w:tcPr>
          <w:p w14:paraId="54ECBA07"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AEs of interest</w:t>
            </w:r>
          </w:p>
        </w:tc>
        <w:tc>
          <w:tcPr>
            <w:tcW w:w="927" w:type="pct"/>
            <w:shd w:val="clear" w:color="auto" w:fill="auto"/>
            <w:vAlign w:val="center"/>
          </w:tcPr>
          <w:p w14:paraId="18A973E4"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22/180 (12.2)</w:t>
            </w:r>
          </w:p>
        </w:tc>
        <w:tc>
          <w:tcPr>
            <w:tcW w:w="696" w:type="pct"/>
            <w:shd w:val="clear" w:color="auto" w:fill="auto"/>
            <w:vAlign w:val="center"/>
          </w:tcPr>
          <w:p w14:paraId="37CFA109"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15/184 (8.2)</w:t>
            </w:r>
          </w:p>
        </w:tc>
        <w:tc>
          <w:tcPr>
            <w:tcW w:w="850" w:type="pct"/>
            <w:shd w:val="clear" w:color="auto" w:fill="auto"/>
            <w:vAlign w:val="center"/>
          </w:tcPr>
          <w:p w14:paraId="33619A61"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1.50 (0.80, 2.80)</w:t>
            </w:r>
          </w:p>
        </w:tc>
        <w:tc>
          <w:tcPr>
            <w:tcW w:w="829" w:type="pct"/>
            <w:shd w:val="clear" w:color="auto" w:fill="auto"/>
            <w:vAlign w:val="center"/>
          </w:tcPr>
          <w:p w14:paraId="426C5959"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0.04 (-0.02, 0.10)</w:t>
            </w:r>
          </w:p>
        </w:tc>
      </w:tr>
      <w:tr w:rsidR="00A11665" w:rsidRPr="009941F8" w14:paraId="2F94B49C" w14:textId="77777777" w:rsidTr="00A244E2">
        <w:tc>
          <w:tcPr>
            <w:tcW w:w="1698" w:type="pct"/>
            <w:shd w:val="clear" w:color="auto" w:fill="auto"/>
            <w:vAlign w:val="center"/>
          </w:tcPr>
          <w:p w14:paraId="634CB158" w14:textId="77777777" w:rsidR="00A11665" w:rsidRPr="009941F8" w:rsidRDefault="00A11665" w:rsidP="00A244E2">
            <w:pPr>
              <w:keepNext/>
              <w:ind w:left="106"/>
              <w:jc w:val="left"/>
              <w:rPr>
                <w:rFonts w:ascii="Arial Narrow" w:hAnsi="Arial Narrow"/>
                <w:sz w:val="20"/>
                <w:szCs w:val="20"/>
              </w:rPr>
            </w:pPr>
            <w:r w:rsidRPr="009941F8">
              <w:rPr>
                <w:rFonts w:ascii="Arial Narrow" w:hAnsi="Arial Narrow"/>
                <w:sz w:val="20"/>
                <w:szCs w:val="20"/>
              </w:rPr>
              <w:t>Non-opportunistic serious infections</w:t>
            </w:r>
          </w:p>
        </w:tc>
        <w:tc>
          <w:tcPr>
            <w:tcW w:w="927" w:type="pct"/>
            <w:shd w:val="clear" w:color="auto" w:fill="auto"/>
            <w:vAlign w:val="center"/>
          </w:tcPr>
          <w:p w14:paraId="103C608D"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9/180 (5.0)</w:t>
            </w:r>
          </w:p>
        </w:tc>
        <w:tc>
          <w:tcPr>
            <w:tcW w:w="696" w:type="pct"/>
            <w:shd w:val="clear" w:color="auto" w:fill="auto"/>
            <w:vAlign w:val="center"/>
          </w:tcPr>
          <w:p w14:paraId="7750C40E"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8/184 (4.3)</w:t>
            </w:r>
          </w:p>
        </w:tc>
        <w:tc>
          <w:tcPr>
            <w:tcW w:w="850" w:type="pct"/>
            <w:shd w:val="clear" w:color="auto" w:fill="auto"/>
            <w:vAlign w:val="center"/>
          </w:tcPr>
          <w:p w14:paraId="707E4E2F"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1.15 (0.45, 2.91)</w:t>
            </w:r>
          </w:p>
        </w:tc>
        <w:tc>
          <w:tcPr>
            <w:tcW w:w="829" w:type="pct"/>
            <w:shd w:val="clear" w:color="auto" w:fill="auto"/>
            <w:vAlign w:val="center"/>
          </w:tcPr>
          <w:p w14:paraId="388A6014"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0.01 (-0.04, 0.05)</w:t>
            </w:r>
          </w:p>
        </w:tc>
      </w:tr>
      <w:tr w:rsidR="00A11665" w:rsidRPr="009941F8" w14:paraId="013552E6" w14:textId="77777777" w:rsidTr="00A244E2">
        <w:tc>
          <w:tcPr>
            <w:tcW w:w="1698" w:type="pct"/>
            <w:shd w:val="clear" w:color="auto" w:fill="auto"/>
            <w:vAlign w:val="center"/>
          </w:tcPr>
          <w:p w14:paraId="76E19A3D" w14:textId="77777777" w:rsidR="00A11665" w:rsidRPr="009941F8" w:rsidRDefault="00A11665" w:rsidP="00A244E2">
            <w:pPr>
              <w:keepNext/>
              <w:ind w:left="106"/>
              <w:jc w:val="left"/>
              <w:rPr>
                <w:rFonts w:ascii="Arial Narrow" w:hAnsi="Arial Narrow"/>
                <w:sz w:val="20"/>
                <w:szCs w:val="20"/>
              </w:rPr>
            </w:pPr>
            <w:r w:rsidRPr="009941F8">
              <w:rPr>
                <w:rFonts w:ascii="Arial Narrow" w:hAnsi="Arial Narrow"/>
                <w:sz w:val="20"/>
                <w:szCs w:val="20"/>
              </w:rPr>
              <w:t>Herpes Zoster</w:t>
            </w:r>
          </w:p>
        </w:tc>
        <w:tc>
          <w:tcPr>
            <w:tcW w:w="927" w:type="pct"/>
            <w:shd w:val="clear" w:color="auto" w:fill="auto"/>
            <w:vAlign w:val="center"/>
          </w:tcPr>
          <w:p w14:paraId="47E700A2"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10/180 (5.6)</w:t>
            </w:r>
          </w:p>
        </w:tc>
        <w:tc>
          <w:tcPr>
            <w:tcW w:w="696" w:type="pct"/>
            <w:shd w:val="clear" w:color="auto" w:fill="auto"/>
            <w:vAlign w:val="center"/>
          </w:tcPr>
          <w:p w14:paraId="0410250A"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3/184 (1.6)</w:t>
            </w:r>
          </w:p>
        </w:tc>
        <w:tc>
          <w:tcPr>
            <w:tcW w:w="850" w:type="pct"/>
            <w:shd w:val="clear" w:color="auto" w:fill="auto"/>
            <w:vAlign w:val="center"/>
          </w:tcPr>
          <w:p w14:paraId="7A69B078"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3.41 (0.95, 12.18)</w:t>
            </w:r>
          </w:p>
        </w:tc>
        <w:tc>
          <w:tcPr>
            <w:tcW w:w="829" w:type="pct"/>
            <w:shd w:val="clear" w:color="auto" w:fill="auto"/>
            <w:vAlign w:val="center"/>
          </w:tcPr>
          <w:p w14:paraId="43A3E281" w14:textId="77777777" w:rsidR="00A11665" w:rsidRPr="009941F8" w:rsidRDefault="00A11665" w:rsidP="00A244E2">
            <w:pPr>
              <w:keepNext/>
              <w:jc w:val="center"/>
              <w:rPr>
                <w:rFonts w:ascii="Arial Narrow" w:hAnsi="Arial Narrow"/>
                <w:b/>
                <w:sz w:val="20"/>
                <w:szCs w:val="20"/>
              </w:rPr>
            </w:pPr>
            <w:r w:rsidRPr="009941F8">
              <w:rPr>
                <w:rFonts w:ascii="Arial Narrow" w:hAnsi="Arial Narrow"/>
                <w:b/>
                <w:sz w:val="20"/>
                <w:szCs w:val="20"/>
              </w:rPr>
              <w:t>0.04 (0.00, 0.08)</w:t>
            </w:r>
          </w:p>
        </w:tc>
      </w:tr>
      <w:tr w:rsidR="00A11665" w:rsidRPr="009941F8" w14:paraId="1B1E7027" w14:textId="77777777" w:rsidTr="00A244E2">
        <w:tc>
          <w:tcPr>
            <w:tcW w:w="1698" w:type="pct"/>
            <w:shd w:val="clear" w:color="auto" w:fill="auto"/>
            <w:vAlign w:val="center"/>
          </w:tcPr>
          <w:p w14:paraId="75B9E179"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Infusion-related reaction</w:t>
            </w:r>
          </w:p>
        </w:tc>
        <w:tc>
          <w:tcPr>
            <w:tcW w:w="927" w:type="pct"/>
            <w:shd w:val="clear" w:color="auto" w:fill="auto"/>
            <w:vAlign w:val="center"/>
          </w:tcPr>
          <w:p w14:paraId="770BC755"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16/180 (8.9)</w:t>
            </w:r>
          </w:p>
        </w:tc>
        <w:tc>
          <w:tcPr>
            <w:tcW w:w="696" w:type="pct"/>
            <w:shd w:val="clear" w:color="auto" w:fill="auto"/>
            <w:vAlign w:val="center"/>
          </w:tcPr>
          <w:p w14:paraId="19EAEE4F"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13/184 (7.1)</w:t>
            </w:r>
          </w:p>
        </w:tc>
        <w:tc>
          <w:tcPr>
            <w:tcW w:w="850" w:type="pct"/>
            <w:shd w:val="clear" w:color="auto" w:fill="auto"/>
            <w:vAlign w:val="center"/>
          </w:tcPr>
          <w:p w14:paraId="64C50BDD"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1.26 (0.62, 2.54)</w:t>
            </w:r>
          </w:p>
        </w:tc>
        <w:tc>
          <w:tcPr>
            <w:tcW w:w="829" w:type="pct"/>
            <w:shd w:val="clear" w:color="auto" w:fill="auto"/>
            <w:vAlign w:val="center"/>
          </w:tcPr>
          <w:p w14:paraId="7664FBD7"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0.02 (-0.04, 0.07)</w:t>
            </w:r>
          </w:p>
        </w:tc>
      </w:tr>
      <w:tr w:rsidR="00A11665" w:rsidRPr="009941F8" w14:paraId="0661ABE0" w14:textId="77777777" w:rsidTr="00A244E2">
        <w:tc>
          <w:tcPr>
            <w:tcW w:w="5000" w:type="pct"/>
            <w:gridSpan w:val="5"/>
            <w:shd w:val="clear" w:color="auto" w:fill="auto"/>
            <w:vAlign w:val="center"/>
          </w:tcPr>
          <w:p w14:paraId="79C1442F" w14:textId="77777777" w:rsidR="00A11665" w:rsidRPr="009941F8" w:rsidRDefault="00A11665" w:rsidP="00A244E2">
            <w:pPr>
              <w:keepNext/>
              <w:jc w:val="left"/>
              <w:rPr>
                <w:rFonts w:ascii="Arial Narrow" w:hAnsi="Arial Narrow"/>
                <w:b/>
                <w:sz w:val="20"/>
                <w:szCs w:val="20"/>
              </w:rPr>
            </w:pPr>
            <w:r w:rsidRPr="009941F8">
              <w:rPr>
                <w:rFonts w:ascii="Arial Narrow" w:hAnsi="Arial Narrow"/>
                <w:b/>
                <w:sz w:val="20"/>
                <w:szCs w:val="20"/>
              </w:rPr>
              <w:t>TULIP-2</w:t>
            </w:r>
          </w:p>
        </w:tc>
      </w:tr>
      <w:tr w:rsidR="00A11665" w:rsidRPr="009941F8" w14:paraId="2B4B5E53" w14:textId="77777777" w:rsidTr="00A244E2">
        <w:tc>
          <w:tcPr>
            <w:tcW w:w="1698" w:type="pct"/>
            <w:shd w:val="clear" w:color="auto" w:fill="auto"/>
            <w:vAlign w:val="center"/>
          </w:tcPr>
          <w:p w14:paraId="6C0B59F5" w14:textId="77777777" w:rsidR="00A11665" w:rsidRPr="009941F8" w:rsidRDefault="00A11665" w:rsidP="00A244E2">
            <w:pPr>
              <w:keepNext/>
              <w:jc w:val="left"/>
              <w:rPr>
                <w:rFonts w:ascii="Arial Narrow" w:hAnsi="Arial Narrow"/>
                <w:sz w:val="20"/>
                <w:szCs w:val="20"/>
              </w:rPr>
            </w:pPr>
            <w:r w:rsidRPr="009941F8">
              <w:rPr>
                <w:rFonts w:ascii="Arial Narrow" w:hAnsi="Arial Narrow"/>
                <w:sz w:val="20"/>
                <w:szCs w:val="20"/>
              </w:rPr>
              <w:t>Any AEs</w:t>
            </w:r>
          </w:p>
        </w:tc>
        <w:tc>
          <w:tcPr>
            <w:tcW w:w="927" w:type="pct"/>
            <w:shd w:val="clear" w:color="auto" w:fill="auto"/>
            <w:vAlign w:val="center"/>
          </w:tcPr>
          <w:p w14:paraId="0A8704F1"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159/180 (88.3)</w:t>
            </w:r>
          </w:p>
        </w:tc>
        <w:tc>
          <w:tcPr>
            <w:tcW w:w="696" w:type="pct"/>
            <w:shd w:val="clear" w:color="auto" w:fill="auto"/>
            <w:vAlign w:val="center"/>
          </w:tcPr>
          <w:p w14:paraId="78D54B9E"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153/182 (84.1)</w:t>
            </w:r>
          </w:p>
        </w:tc>
        <w:tc>
          <w:tcPr>
            <w:tcW w:w="850" w:type="pct"/>
            <w:shd w:val="clear" w:color="auto" w:fill="auto"/>
            <w:vAlign w:val="center"/>
          </w:tcPr>
          <w:p w14:paraId="29C2E3D6"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1.06 (0.98, 1.16)</w:t>
            </w:r>
          </w:p>
        </w:tc>
        <w:tc>
          <w:tcPr>
            <w:tcW w:w="829" w:type="pct"/>
            <w:shd w:val="clear" w:color="auto" w:fill="auto"/>
            <w:vAlign w:val="center"/>
          </w:tcPr>
          <w:p w14:paraId="34AB50E6" w14:textId="77777777" w:rsidR="00A11665" w:rsidRPr="009941F8" w:rsidRDefault="00A11665" w:rsidP="00A244E2">
            <w:pPr>
              <w:keepNext/>
              <w:jc w:val="center"/>
              <w:rPr>
                <w:rFonts w:ascii="Arial Narrow" w:hAnsi="Arial Narrow"/>
                <w:sz w:val="20"/>
                <w:szCs w:val="20"/>
              </w:rPr>
            </w:pPr>
            <w:r w:rsidRPr="009941F8">
              <w:rPr>
                <w:rFonts w:ascii="Arial Narrow" w:hAnsi="Arial Narrow"/>
                <w:sz w:val="20"/>
                <w:szCs w:val="20"/>
              </w:rPr>
              <w:t>0.05 (-0.02, 0.12)</w:t>
            </w:r>
          </w:p>
        </w:tc>
      </w:tr>
      <w:tr w:rsidR="00A11665" w:rsidRPr="009941F8" w14:paraId="72BE3EAA" w14:textId="77777777" w:rsidTr="00A244E2">
        <w:tc>
          <w:tcPr>
            <w:tcW w:w="1698" w:type="pct"/>
            <w:shd w:val="clear" w:color="auto" w:fill="auto"/>
            <w:vAlign w:val="center"/>
          </w:tcPr>
          <w:p w14:paraId="056E56AB"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SAE</w:t>
            </w:r>
          </w:p>
        </w:tc>
        <w:tc>
          <w:tcPr>
            <w:tcW w:w="927" w:type="pct"/>
            <w:shd w:val="clear" w:color="auto" w:fill="auto"/>
            <w:vAlign w:val="center"/>
          </w:tcPr>
          <w:p w14:paraId="74FFA0A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15/180 (8.3)</w:t>
            </w:r>
          </w:p>
        </w:tc>
        <w:tc>
          <w:tcPr>
            <w:tcW w:w="696" w:type="pct"/>
            <w:shd w:val="clear" w:color="auto" w:fill="auto"/>
            <w:vAlign w:val="center"/>
          </w:tcPr>
          <w:p w14:paraId="0DC3324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31/182 (17.0)</w:t>
            </w:r>
          </w:p>
        </w:tc>
        <w:tc>
          <w:tcPr>
            <w:tcW w:w="850" w:type="pct"/>
            <w:shd w:val="clear" w:color="auto" w:fill="auto"/>
            <w:vAlign w:val="center"/>
          </w:tcPr>
          <w:p w14:paraId="146BF71B" w14:textId="77777777" w:rsidR="00A11665" w:rsidRPr="009941F8" w:rsidRDefault="00A11665" w:rsidP="00A244E2">
            <w:pPr>
              <w:jc w:val="center"/>
              <w:rPr>
                <w:rFonts w:ascii="Arial Narrow" w:hAnsi="Arial Narrow"/>
                <w:b/>
                <w:sz w:val="20"/>
                <w:szCs w:val="20"/>
              </w:rPr>
            </w:pPr>
            <w:r w:rsidRPr="009941F8">
              <w:rPr>
                <w:rFonts w:ascii="Arial Narrow" w:hAnsi="Arial Narrow"/>
                <w:b/>
                <w:sz w:val="20"/>
                <w:szCs w:val="20"/>
              </w:rPr>
              <w:t>0.49 (0.28, 0.88)</w:t>
            </w:r>
          </w:p>
        </w:tc>
        <w:tc>
          <w:tcPr>
            <w:tcW w:w="829" w:type="pct"/>
            <w:shd w:val="clear" w:color="auto" w:fill="auto"/>
            <w:vAlign w:val="center"/>
          </w:tcPr>
          <w:p w14:paraId="0CF37438" w14:textId="77777777" w:rsidR="00A11665" w:rsidRPr="009941F8" w:rsidRDefault="00A11665" w:rsidP="00A244E2">
            <w:pPr>
              <w:jc w:val="center"/>
              <w:rPr>
                <w:rFonts w:ascii="Arial Narrow" w:hAnsi="Arial Narrow"/>
                <w:b/>
                <w:sz w:val="20"/>
                <w:szCs w:val="20"/>
              </w:rPr>
            </w:pPr>
            <w:r w:rsidRPr="009941F8">
              <w:rPr>
                <w:rFonts w:ascii="Arial Narrow" w:hAnsi="Arial Narrow"/>
                <w:b/>
                <w:sz w:val="20"/>
                <w:szCs w:val="20"/>
              </w:rPr>
              <w:t>-0.09 (-0.15, -0.02)</w:t>
            </w:r>
          </w:p>
        </w:tc>
      </w:tr>
      <w:tr w:rsidR="00A11665" w:rsidRPr="009941F8" w14:paraId="7EBCD967" w14:textId="77777777" w:rsidTr="00A244E2">
        <w:tc>
          <w:tcPr>
            <w:tcW w:w="1698" w:type="pct"/>
            <w:shd w:val="clear" w:color="auto" w:fill="auto"/>
            <w:vAlign w:val="center"/>
          </w:tcPr>
          <w:p w14:paraId="0776F40D"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Death due to AEs</w:t>
            </w:r>
          </w:p>
        </w:tc>
        <w:tc>
          <w:tcPr>
            <w:tcW w:w="927" w:type="pct"/>
            <w:shd w:val="clear" w:color="auto" w:fill="auto"/>
            <w:vAlign w:val="center"/>
          </w:tcPr>
          <w:p w14:paraId="797D4699"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1/180 (0.6)</w:t>
            </w:r>
            <w:r w:rsidRPr="009941F8">
              <w:rPr>
                <w:rFonts w:ascii="Arial Narrow" w:hAnsi="Arial Narrow"/>
                <w:sz w:val="20"/>
                <w:szCs w:val="20"/>
                <w:vertAlign w:val="superscript"/>
              </w:rPr>
              <w:t>b</w:t>
            </w:r>
          </w:p>
        </w:tc>
        <w:tc>
          <w:tcPr>
            <w:tcW w:w="696" w:type="pct"/>
            <w:shd w:val="clear" w:color="auto" w:fill="auto"/>
            <w:vAlign w:val="center"/>
          </w:tcPr>
          <w:p w14:paraId="560A5E6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w:t>
            </w:r>
          </w:p>
        </w:tc>
        <w:tc>
          <w:tcPr>
            <w:tcW w:w="850" w:type="pct"/>
            <w:shd w:val="clear" w:color="auto" w:fill="auto"/>
            <w:vAlign w:val="center"/>
          </w:tcPr>
          <w:p w14:paraId="66D49B5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3.07 (0.13, 74.78)</w:t>
            </w:r>
          </w:p>
        </w:tc>
        <w:tc>
          <w:tcPr>
            <w:tcW w:w="829" w:type="pct"/>
            <w:shd w:val="clear" w:color="auto" w:fill="auto"/>
            <w:vAlign w:val="center"/>
          </w:tcPr>
          <w:p w14:paraId="05573C9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0.01 (-0.01, 0.02)</w:t>
            </w:r>
          </w:p>
        </w:tc>
      </w:tr>
      <w:tr w:rsidR="00A11665" w:rsidRPr="009941F8" w14:paraId="556311D6" w14:textId="77777777" w:rsidTr="00A244E2">
        <w:tc>
          <w:tcPr>
            <w:tcW w:w="1698" w:type="pct"/>
            <w:shd w:val="clear" w:color="auto" w:fill="auto"/>
            <w:vAlign w:val="center"/>
          </w:tcPr>
          <w:p w14:paraId="2DED2F1E"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Discontinuation of study drugs due to AEs</w:t>
            </w:r>
          </w:p>
        </w:tc>
        <w:tc>
          <w:tcPr>
            <w:tcW w:w="927" w:type="pct"/>
            <w:shd w:val="clear" w:color="auto" w:fill="auto"/>
            <w:vAlign w:val="center"/>
          </w:tcPr>
          <w:p w14:paraId="7F355E8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5/180 (2.8)</w:t>
            </w:r>
          </w:p>
        </w:tc>
        <w:tc>
          <w:tcPr>
            <w:tcW w:w="696" w:type="pct"/>
            <w:shd w:val="clear" w:color="auto" w:fill="auto"/>
            <w:vAlign w:val="center"/>
          </w:tcPr>
          <w:p w14:paraId="3D791A1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13/182 (7.1)</w:t>
            </w:r>
          </w:p>
        </w:tc>
        <w:tc>
          <w:tcPr>
            <w:tcW w:w="850" w:type="pct"/>
            <w:shd w:val="clear" w:color="auto" w:fill="auto"/>
            <w:vAlign w:val="center"/>
          </w:tcPr>
          <w:p w14:paraId="69EAE0A9"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0.39 (0.14, 1.08)</w:t>
            </w:r>
          </w:p>
        </w:tc>
        <w:tc>
          <w:tcPr>
            <w:tcW w:w="829" w:type="pct"/>
            <w:shd w:val="clear" w:color="auto" w:fill="auto"/>
            <w:vAlign w:val="center"/>
          </w:tcPr>
          <w:p w14:paraId="72B99A5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-0.04 (-0.09, 0.00)</w:t>
            </w:r>
          </w:p>
        </w:tc>
      </w:tr>
      <w:tr w:rsidR="00A11665" w:rsidRPr="009941F8" w14:paraId="57DBBFC7" w14:textId="77777777" w:rsidTr="00A244E2">
        <w:tc>
          <w:tcPr>
            <w:tcW w:w="1698" w:type="pct"/>
            <w:shd w:val="clear" w:color="auto" w:fill="auto"/>
            <w:vAlign w:val="center"/>
          </w:tcPr>
          <w:p w14:paraId="54B01FEC"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AEs of interest</w:t>
            </w:r>
          </w:p>
        </w:tc>
        <w:tc>
          <w:tcPr>
            <w:tcW w:w="927" w:type="pct"/>
            <w:shd w:val="clear" w:color="auto" w:fill="auto"/>
            <w:vAlign w:val="center"/>
          </w:tcPr>
          <w:p w14:paraId="03C59121"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25/180 (13.9)</w:t>
            </w:r>
          </w:p>
        </w:tc>
        <w:tc>
          <w:tcPr>
            <w:tcW w:w="696" w:type="pct"/>
            <w:shd w:val="clear" w:color="auto" w:fill="auto"/>
            <w:vAlign w:val="center"/>
          </w:tcPr>
          <w:p w14:paraId="4D5D6426"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18/182 (9.9)</w:t>
            </w:r>
          </w:p>
        </w:tc>
        <w:tc>
          <w:tcPr>
            <w:tcW w:w="850" w:type="pct"/>
            <w:shd w:val="clear" w:color="auto" w:fill="auto"/>
            <w:vAlign w:val="center"/>
          </w:tcPr>
          <w:p w14:paraId="12D7D26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1.42 (0.80, 2.51)</w:t>
            </w:r>
          </w:p>
        </w:tc>
        <w:tc>
          <w:tcPr>
            <w:tcW w:w="829" w:type="pct"/>
            <w:shd w:val="clear" w:color="auto" w:fill="auto"/>
            <w:vAlign w:val="center"/>
          </w:tcPr>
          <w:p w14:paraId="7CAEC58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0.04 (-0.03, 0.11)</w:t>
            </w:r>
          </w:p>
        </w:tc>
      </w:tr>
      <w:tr w:rsidR="00A11665" w:rsidRPr="009941F8" w14:paraId="4FA3C10D" w14:textId="77777777" w:rsidTr="00A244E2">
        <w:tc>
          <w:tcPr>
            <w:tcW w:w="1698" w:type="pct"/>
            <w:shd w:val="clear" w:color="auto" w:fill="auto"/>
            <w:vAlign w:val="center"/>
          </w:tcPr>
          <w:p w14:paraId="24590DEF"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Non-opportunistic infections</w:t>
            </w:r>
          </w:p>
        </w:tc>
        <w:tc>
          <w:tcPr>
            <w:tcW w:w="927" w:type="pct"/>
            <w:shd w:val="clear" w:color="auto" w:fill="auto"/>
            <w:vAlign w:val="center"/>
          </w:tcPr>
          <w:p w14:paraId="07785F19"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5/180 (2.8)</w:t>
            </w:r>
          </w:p>
        </w:tc>
        <w:tc>
          <w:tcPr>
            <w:tcW w:w="696" w:type="pct"/>
            <w:shd w:val="clear" w:color="auto" w:fill="auto"/>
            <w:vAlign w:val="center"/>
          </w:tcPr>
          <w:p w14:paraId="2FE4EA5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10/182 (5.5)</w:t>
            </w:r>
          </w:p>
        </w:tc>
        <w:tc>
          <w:tcPr>
            <w:tcW w:w="850" w:type="pct"/>
            <w:shd w:val="clear" w:color="auto" w:fill="auto"/>
            <w:vAlign w:val="center"/>
          </w:tcPr>
          <w:p w14:paraId="7BFE140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0.51 (0.18, 1.47)</w:t>
            </w:r>
          </w:p>
        </w:tc>
        <w:tc>
          <w:tcPr>
            <w:tcW w:w="829" w:type="pct"/>
            <w:shd w:val="clear" w:color="auto" w:fill="auto"/>
            <w:vAlign w:val="center"/>
          </w:tcPr>
          <w:p w14:paraId="5D52E18D"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-0.03 (-0.07, 0.0)]</w:t>
            </w:r>
          </w:p>
        </w:tc>
      </w:tr>
      <w:tr w:rsidR="00A11665" w:rsidRPr="009941F8" w14:paraId="0A671459" w14:textId="77777777" w:rsidTr="00A244E2">
        <w:tc>
          <w:tcPr>
            <w:tcW w:w="1698" w:type="pct"/>
            <w:shd w:val="clear" w:color="auto" w:fill="auto"/>
            <w:vAlign w:val="center"/>
          </w:tcPr>
          <w:p w14:paraId="5831FFF7"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Herpes Zoster</w:t>
            </w:r>
          </w:p>
        </w:tc>
        <w:tc>
          <w:tcPr>
            <w:tcW w:w="927" w:type="pct"/>
            <w:shd w:val="clear" w:color="auto" w:fill="auto"/>
            <w:vAlign w:val="center"/>
          </w:tcPr>
          <w:p w14:paraId="1135845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13/180 (7.2)</w:t>
            </w:r>
          </w:p>
        </w:tc>
        <w:tc>
          <w:tcPr>
            <w:tcW w:w="696" w:type="pct"/>
            <w:shd w:val="clear" w:color="auto" w:fill="auto"/>
            <w:vAlign w:val="center"/>
          </w:tcPr>
          <w:p w14:paraId="4D21EC3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2/182 (1.1)</w:t>
            </w:r>
          </w:p>
        </w:tc>
        <w:tc>
          <w:tcPr>
            <w:tcW w:w="850" w:type="pct"/>
            <w:shd w:val="clear" w:color="auto" w:fill="auto"/>
            <w:vAlign w:val="center"/>
          </w:tcPr>
          <w:p w14:paraId="2970F80B" w14:textId="77777777" w:rsidR="00A11665" w:rsidRPr="009941F8" w:rsidRDefault="00A11665" w:rsidP="00A244E2">
            <w:pPr>
              <w:jc w:val="center"/>
              <w:rPr>
                <w:rFonts w:ascii="Arial Narrow" w:hAnsi="Arial Narrow"/>
                <w:b/>
                <w:sz w:val="20"/>
                <w:szCs w:val="20"/>
              </w:rPr>
            </w:pPr>
            <w:r w:rsidRPr="009941F8">
              <w:rPr>
                <w:rFonts w:ascii="Arial Narrow" w:hAnsi="Arial Narrow"/>
                <w:b/>
                <w:sz w:val="20"/>
                <w:szCs w:val="20"/>
              </w:rPr>
              <w:t>6.64 (1.52, 29.03)</w:t>
            </w:r>
          </w:p>
        </w:tc>
        <w:tc>
          <w:tcPr>
            <w:tcW w:w="829" w:type="pct"/>
            <w:shd w:val="clear" w:color="auto" w:fill="auto"/>
            <w:vAlign w:val="center"/>
          </w:tcPr>
          <w:p w14:paraId="6DE87896" w14:textId="77777777" w:rsidR="00A11665" w:rsidRPr="009941F8" w:rsidRDefault="00A11665" w:rsidP="00A244E2">
            <w:pPr>
              <w:jc w:val="center"/>
              <w:rPr>
                <w:rFonts w:ascii="Arial Narrow" w:hAnsi="Arial Narrow"/>
                <w:b/>
                <w:sz w:val="20"/>
                <w:szCs w:val="20"/>
              </w:rPr>
            </w:pPr>
            <w:r w:rsidRPr="009941F8">
              <w:rPr>
                <w:rFonts w:ascii="Arial Narrow" w:hAnsi="Arial Narrow"/>
                <w:b/>
                <w:sz w:val="20"/>
                <w:szCs w:val="20"/>
              </w:rPr>
              <w:t>0.06 (0.02, 0.10)</w:t>
            </w:r>
          </w:p>
        </w:tc>
      </w:tr>
      <w:tr w:rsidR="00A11665" w:rsidRPr="009941F8" w14:paraId="5B767E14" w14:textId="77777777" w:rsidTr="00A244E2">
        <w:tc>
          <w:tcPr>
            <w:tcW w:w="1698" w:type="pct"/>
            <w:shd w:val="clear" w:color="auto" w:fill="auto"/>
            <w:vAlign w:val="center"/>
          </w:tcPr>
          <w:p w14:paraId="2F844591"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Infusion-related reaction</w:t>
            </w:r>
          </w:p>
        </w:tc>
        <w:tc>
          <w:tcPr>
            <w:tcW w:w="927" w:type="pct"/>
            <w:shd w:val="clear" w:color="auto" w:fill="auto"/>
            <w:vAlign w:val="center"/>
          </w:tcPr>
          <w:p w14:paraId="006D9E1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25/180 (13.9)</w:t>
            </w:r>
          </w:p>
        </w:tc>
        <w:tc>
          <w:tcPr>
            <w:tcW w:w="696" w:type="pct"/>
            <w:shd w:val="clear" w:color="auto" w:fill="auto"/>
            <w:vAlign w:val="center"/>
          </w:tcPr>
          <w:p w14:paraId="0856F76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14/182 (7.7)</w:t>
            </w:r>
          </w:p>
        </w:tc>
        <w:tc>
          <w:tcPr>
            <w:tcW w:w="850" w:type="pct"/>
            <w:shd w:val="clear" w:color="auto" w:fill="auto"/>
            <w:vAlign w:val="center"/>
          </w:tcPr>
          <w:p w14:paraId="0B5F025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1.83 (0.98, 3.40)</w:t>
            </w:r>
          </w:p>
        </w:tc>
        <w:tc>
          <w:tcPr>
            <w:tcW w:w="829" w:type="pct"/>
            <w:shd w:val="clear" w:color="auto" w:fill="auto"/>
            <w:vAlign w:val="center"/>
          </w:tcPr>
          <w:p w14:paraId="56E99E9B" w14:textId="77777777" w:rsidR="00A11665" w:rsidRPr="009941F8" w:rsidRDefault="00A11665" w:rsidP="00A244E2">
            <w:pPr>
              <w:jc w:val="center"/>
              <w:rPr>
                <w:rFonts w:ascii="Arial Narrow" w:hAnsi="Arial Narrow"/>
                <w:b/>
                <w:sz w:val="20"/>
                <w:szCs w:val="20"/>
              </w:rPr>
            </w:pPr>
            <w:r w:rsidRPr="009941F8">
              <w:rPr>
                <w:rFonts w:ascii="Arial Narrow" w:hAnsi="Arial Narrow"/>
                <w:b/>
                <w:sz w:val="20"/>
                <w:szCs w:val="20"/>
              </w:rPr>
              <w:t>0.06 (-0.00, 0.13)</w:t>
            </w:r>
          </w:p>
        </w:tc>
      </w:tr>
      <w:tr w:rsidR="00A11665" w:rsidRPr="009941F8" w14:paraId="1BD1CA09" w14:textId="77777777" w:rsidTr="00A244E2">
        <w:tc>
          <w:tcPr>
            <w:tcW w:w="5000" w:type="pct"/>
            <w:gridSpan w:val="5"/>
            <w:shd w:val="clear" w:color="auto" w:fill="auto"/>
            <w:vAlign w:val="center"/>
          </w:tcPr>
          <w:p w14:paraId="6BCFBEA6" w14:textId="77777777" w:rsidR="00A11665" w:rsidRPr="009941F8" w:rsidRDefault="00A11665" w:rsidP="00A244E2">
            <w:pPr>
              <w:jc w:val="left"/>
              <w:rPr>
                <w:rFonts w:ascii="Arial Narrow" w:hAnsi="Arial Narrow"/>
                <w:b/>
                <w:sz w:val="20"/>
                <w:szCs w:val="20"/>
              </w:rPr>
            </w:pPr>
            <w:r w:rsidRPr="009941F8">
              <w:rPr>
                <w:rFonts w:ascii="Arial Narrow" w:hAnsi="Arial Narrow"/>
                <w:b/>
                <w:sz w:val="20"/>
                <w:szCs w:val="20"/>
              </w:rPr>
              <w:t>TULIP LTE (Weeks 52-216)</w:t>
            </w:r>
          </w:p>
        </w:tc>
      </w:tr>
      <w:tr w:rsidR="00A11665" w:rsidRPr="009941F8" w14:paraId="4C087CEA" w14:textId="77777777" w:rsidTr="00A244E2">
        <w:tc>
          <w:tcPr>
            <w:tcW w:w="1698" w:type="pct"/>
            <w:shd w:val="clear" w:color="auto" w:fill="auto"/>
            <w:vAlign w:val="center"/>
          </w:tcPr>
          <w:p w14:paraId="5A408C1E"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Any AEs</w:t>
            </w:r>
          </w:p>
        </w:tc>
        <w:tc>
          <w:tcPr>
            <w:tcW w:w="927" w:type="pct"/>
            <w:shd w:val="clear" w:color="auto" w:fill="auto"/>
            <w:vAlign w:val="center"/>
          </w:tcPr>
          <w:p w14:paraId="794C345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226/257 (87.9)</w:t>
            </w:r>
          </w:p>
        </w:tc>
        <w:tc>
          <w:tcPr>
            <w:tcW w:w="696" w:type="pct"/>
            <w:shd w:val="clear" w:color="auto" w:fill="auto"/>
            <w:vAlign w:val="center"/>
          </w:tcPr>
          <w:p w14:paraId="7B81A8F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94/112 (83.9)</w:t>
            </w:r>
          </w:p>
        </w:tc>
        <w:tc>
          <w:tcPr>
            <w:tcW w:w="850" w:type="pct"/>
            <w:shd w:val="clear" w:color="auto" w:fill="auto"/>
            <w:vAlign w:val="center"/>
          </w:tcPr>
          <w:p w14:paraId="383C6CE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1.05 (0.95, 1.15)</w:t>
            </w:r>
          </w:p>
        </w:tc>
        <w:tc>
          <w:tcPr>
            <w:tcW w:w="829" w:type="pct"/>
            <w:shd w:val="clear" w:color="auto" w:fill="auto"/>
            <w:vAlign w:val="center"/>
          </w:tcPr>
          <w:p w14:paraId="012A3A3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0.04 (-0.04, 0.12)</w:t>
            </w:r>
          </w:p>
        </w:tc>
      </w:tr>
      <w:tr w:rsidR="00A11665" w:rsidRPr="009941F8" w14:paraId="770530C7" w14:textId="77777777" w:rsidTr="00A244E2">
        <w:tc>
          <w:tcPr>
            <w:tcW w:w="1698" w:type="pct"/>
            <w:shd w:val="clear" w:color="auto" w:fill="auto"/>
            <w:vAlign w:val="center"/>
          </w:tcPr>
          <w:p w14:paraId="7CACFF89"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SAE</w:t>
            </w:r>
          </w:p>
        </w:tc>
        <w:tc>
          <w:tcPr>
            <w:tcW w:w="927" w:type="pct"/>
            <w:shd w:val="clear" w:color="auto" w:fill="auto"/>
            <w:vAlign w:val="center"/>
          </w:tcPr>
          <w:p w14:paraId="13D430F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58/257 (22.6)</w:t>
            </w:r>
          </w:p>
        </w:tc>
        <w:tc>
          <w:tcPr>
            <w:tcW w:w="696" w:type="pct"/>
            <w:shd w:val="clear" w:color="auto" w:fill="auto"/>
            <w:vAlign w:val="center"/>
          </w:tcPr>
          <w:p w14:paraId="4E6759DB"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28/112 (25.0)</w:t>
            </w:r>
          </w:p>
        </w:tc>
        <w:tc>
          <w:tcPr>
            <w:tcW w:w="850" w:type="pct"/>
            <w:shd w:val="clear" w:color="auto" w:fill="auto"/>
            <w:vAlign w:val="center"/>
          </w:tcPr>
          <w:p w14:paraId="6DEF168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0.90 (0.61, 1.34)</w:t>
            </w:r>
          </w:p>
        </w:tc>
        <w:tc>
          <w:tcPr>
            <w:tcW w:w="829" w:type="pct"/>
            <w:shd w:val="clear" w:color="auto" w:fill="auto"/>
            <w:vAlign w:val="center"/>
          </w:tcPr>
          <w:p w14:paraId="083F149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-0.02 (-0.12, 0.07)</w:t>
            </w:r>
          </w:p>
        </w:tc>
      </w:tr>
      <w:tr w:rsidR="00A11665" w:rsidRPr="009941F8" w14:paraId="21D47705" w14:textId="77777777" w:rsidTr="00A244E2">
        <w:tc>
          <w:tcPr>
            <w:tcW w:w="1698" w:type="pct"/>
            <w:shd w:val="clear" w:color="auto" w:fill="auto"/>
            <w:vAlign w:val="center"/>
          </w:tcPr>
          <w:p w14:paraId="1D2D3948"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Death due to AEs</w:t>
            </w:r>
          </w:p>
        </w:tc>
        <w:tc>
          <w:tcPr>
            <w:tcW w:w="927" w:type="pct"/>
            <w:shd w:val="clear" w:color="auto" w:fill="auto"/>
            <w:vAlign w:val="center"/>
          </w:tcPr>
          <w:p w14:paraId="6AFB43B7"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3/257 (1.2)</w:t>
            </w:r>
          </w:p>
        </w:tc>
        <w:tc>
          <w:tcPr>
            <w:tcW w:w="696" w:type="pct"/>
            <w:shd w:val="clear" w:color="auto" w:fill="auto"/>
            <w:vAlign w:val="center"/>
          </w:tcPr>
          <w:p w14:paraId="4461A50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1/112 (0.9)</w:t>
            </w:r>
          </w:p>
        </w:tc>
        <w:tc>
          <w:tcPr>
            <w:tcW w:w="850" w:type="pct"/>
            <w:shd w:val="clear" w:color="auto" w:fill="auto"/>
            <w:vAlign w:val="center"/>
          </w:tcPr>
          <w:p w14:paraId="7105374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1.31 (0.14, 12.43)</w:t>
            </w:r>
          </w:p>
        </w:tc>
        <w:tc>
          <w:tcPr>
            <w:tcW w:w="829" w:type="pct"/>
            <w:shd w:val="clear" w:color="auto" w:fill="auto"/>
            <w:vAlign w:val="center"/>
          </w:tcPr>
          <w:p w14:paraId="7026F6B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0.00 (-0.02, 0.02)</w:t>
            </w:r>
          </w:p>
        </w:tc>
      </w:tr>
      <w:tr w:rsidR="00A11665" w:rsidRPr="009941F8" w14:paraId="6C8849E5" w14:textId="77777777" w:rsidTr="00A244E2">
        <w:tc>
          <w:tcPr>
            <w:tcW w:w="1698" w:type="pct"/>
            <w:shd w:val="clear" w:color="auto" w:fill="auto"/>
            <w:vAlign w:val="center"/>
          </w:tcPr>
          <w:p w14:paraId="6EE6C3DE"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Discontinuation of study drugs due to AEs</w:t>
            </w:r>
          </w:p>
        </w:tc>
        <w:tc>
          <w:tcPr>
            <w:tcW w:w="927" w:type="pct"/>
            <w:shd w:val="clear" w:color="auto" w:fill="auto"/>
            <w:vAlign w:val="center"/>
          </w:tcPr>
          <w:p w14:paraId="25F51FAD"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17/257 (6.6)</w:t>
            </w:r>
          </w:p>
        </w:tc>
        <w:tc>
          <w:tcPr>
            <w:tcW w:w="696" w:type="pct"/>
            <w:shd w:val="clear" w:color="auto" w:fill="auto"/>
            <w:vAlign w:val="center"/>
          </w:tcPr>
          <w:p w14:paraId="47CCE56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8/112 (7.1)</w:t>
            </w:r>
          </w:p>
        </w:tc>
        <w:tc>
          <w:tcPr>
            <w:tcW w:w="850" w:type="pct"/>
            <w:shd w:val="clear" w:color="auto" w:fill="auto"/>
            <w:vAlign w:val="center"/>
          </w:tcPr>
          <w:p w14:paraId="1A8A3535"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0.93 (0.41, 2.08)</w:t>
            </w:r>
          </w:p>
        </w:tc>
        <w:tc>
          <w:tcPr>
            <w:tcW w:w="829" w:type="pct"/>
            <w:shd w:val="clear" w:color="auto" w:fill="auto"/>
            <w:vAlign w:val="center"/>
          </w:tcPr>
          <w:p w14:paraId="4327E4FB"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-0.01 (-0.06, 0.05)</w:t>
            </w:r>
          </w:p>
        </w:tc>
      </w:tr>
      <w:tr w:rsidR="00A11665" w:rsidRPr="009941F8" w14:paraId="149ED0E3" w14:textId="77777777" w:rsidTr="00A244E2">
        <w:tc>
          <w:tcPr>
            <w:tcW w:w="1698" w:type="pct"/>
            <w:shd w:val="clear" w:color="auto" w:fill="auto"/>
            <w:vAlign w:val="center"/>
          </w:tcPr>
          <w:p w14:paraId="4387D8CB"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AEs of interest</w:t>
            </w:r>
          </w:p>
        </w:tc>
        <w:tc>
          <w:tcPr>
            <w:tcW w:w="927" w:type="pct"/>
            <w:shd w:val="clear" w:color="auto" w:fill="auto"/>
            <w:vAlign w:val="center"/>
          </w:tcPr>
          <w:p w14:paraId="4D94AE4D"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75/257 (29.2)</w:t>
            </w:r>
          </w:p>
        </w:tc>
        <w:tc>
          <w:tcPr>
            <w:tcW w:w="696" w:type="pct"/>
            <w:shd w:val="clear" w:color="auto" w:fill="auto"/>
            <w:vAlign w:val="center"/>
          </w:tcPr>
          <w:p w14:paraId="5BEF8F8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24/112 (21.4)</w:t>
            </w:r>
          </w:p>
        </w:tc>
        <w:tc>
          <w:tcPr>
            <w:tcW w:w="850" w:type="pct"/>
            <w:shd w:val="clear" w:color="auto" w:fill="auto"/>
            <w:vAlign w:val="center"/>
          </w:tcPr>
          <w:p w14:paraId="1062C3F5"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1.36 (0.91, 2.04)</w:t>
            </w:r>
          </w:p>
        </w:tc>
        <w:tc>
          <w:tcPr>
            <w:tcW w:w="829" w:type="pct"/>
            <w:shd w:val="clear" w:color="auto" w:fill="auto"/>
            <w:vAlign w:val="center"/>
          </w:tcPr>
          <w:p w14:paraId="3804362B"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0.08 (-0.02, 0.17)</w:t>
            </w:r>
          </w:p>
        </w:tc>
      </w:tr>
      <w:tr w:rsidR="00A11665" w:rsidRPr="009941F8" w14:paraId="6CBF821B" w14:textId="77777777" w:rsidTr="00A244E2">
        <w:tc>
          <w:tcPr>
            <w:tcW w:w="1698" w:type="pct"/>
            <w:shd w:val="clear" w:color="auto" w:fill="auto"/>
            <w:vAlign w:val="center"/>
          </w:tcPr>
          <w:p w14:paraId="2BC04FF6"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Non-opportunistic infections</w:t>
            </w:r>
          </w:p>
        </w:tc>
        <w:tc>
          <w:tcPr>
            <w:tcW w:w="927" w:type="pct"/>
            <w:shd w:val="clear" w:color="auto" w:fill="auto"/>
            <w:vAlign w:val="center"/>
          </w:tcPr>
          <w:p w14:paraId="0BC84C6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25/257 (9.7)</w:t>
            </w:r>
          </w:p>
        </w:tc>
        <w:tc>
          <w:tcPr>
            <w:tcW w:w="696" w:type="pct"/>
            <w:shd w:val="clear" w:color="auto" w:fill="auto"/>
            <w:vAlign w:val="center"/>
          </w:tcPr>
          <w:p w14:paraId="1E273866"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9/112 (8.0)</w:t>
            </w:r>
          </w:p>
        </w:tc>
        <w:tc>
          <w:tcPr>
            <w:tcW w:w="850" w:type="pct"/>
            <w:shd w:val="clear" w:color="auto" w:fill="auto"/>
            <w:vAlign w:val="center"/>
          </w:tcPr>
          <w:p w14:paraId="61AB710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1.21 (0.58, 2.51)</w:t>
            </w:r>
          </w:p>
        </w:tc>
        <w:tc>
          <w:tcPr>
            <w:tcW w:w="829" w:type="pct"/>
            <w:shd w:val="clear" w:color="auto" w:fill="auto"/>
            <w:vAlign w:val="center"/>
          </w:tcPr>
          <w:p w14:paraId="091B05F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0.02 (-0.05, 0.08)</w:t>
            </w:r>
          </w:p>
        </w:tc>
      </w:tr>
      <w:tr w:rsidR="00A11665" w:rsidRPr="009941F8" w14:paraId="6F4AC921" w14:textId="77777777" w:rsidTr="00A244E2">
        <w:tc>
          <w:tcPr>
            <w:tcW w:w="1698" w:type="pct"/>
            <w:shd w:val="clear" w:color="auto" w:fill="auto"/>
            <w:vAlign w:val="center"/>
          </w:tcPr>
          <w:p w14:paraId="09EF2F50"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Herpes Zoster</w:t>
            </w:r>
          </w:p>
        </w:tc>
        <w:tc>
          <w:tcPr>
            <w:tcW w:w="927" w:type="pct"/>
            <w:shd w:val="clear" w:color="auto" w:fill="auto"/>
            <w:vAlign w:val="center"/>
          </w:tcPr>
          <w:p w14:paraId="37F6B9F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23/257 (8.9)</w:t>
            </w:r>
          </w:p>
        </w:tc>
        <w:tc>
          <w:tcPr>
            <w:tcW w:w="696" w:type="pct"/>
            <w:shd w:val="clear" w:color="auto" w:fill="auto"/>
            <w:vAlign w:val="center"/>
          </w:tcPr>
          <w:p w14:paraId="0F48675D"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7/112 (6.3)</w:t>
            </w:r>
          </w:p>
        </w:tc>
        <w:tc>
          <w:tcPr>
            <w:tcW w:w="850" w:type="pct"/>
            <w:shd w:val="clear" w:color="auto" w:fill="auto"/>
            <w:vAlign w:val="center"/>
          </w:tcPr>
          <w:p w14:paraId="67B2043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1.43 (0.63, 3.24)</w:t>
            </w:r>
          </w:p>
        </w:tc>
        <w:tc>
          <w:tcPr>
            <w:tcW w:w="829" w:type="pct"/>
            <w:shd w:val="clear" w:color="auto" w:fill="auto"/>
            <w:vAlign w:val="center"/>
          </w:tcPr>
          <w:p w14:paraId="3358C35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0.03 (-0.03, 0.08)</w:t>
            </w:r>
          </w:p>
        </w:tc>
      </w:tr>
      <w:tr w:rsidR="00A11665" w:rsidRPr="009941F8" w14:paraId="3FFD8A43" w14:textId="77777777" w:rsidTr="00A244E2">
        <w:tc>
          <w:tcPr>
            <w:tcW w:w="1698" w:type="pct"/>
            <w:shd w:val="clear" w:color="auto" w:fill="auto"/>
            <w:vAlign w:val="center"/>
          </w:tcPr>
          <w:p w14:paraId="2312DFBD"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Major acute cardiovascular event</w:t>
            </w:r>
          </w:p>
        </w:tc>
        <w:tc>
          <w:tcPr>
            <w:tcW w:w="927" w:type="pct"/>
            <w:shd w:val="clear" w:color="auto" w:fill="auto"/>
            <w:vAlign w:val="center"/>
          </w:tcPr>
          <w:p w14:paraId="261E2D1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5/257 (1.9)</w:t>
            </w:r>
          </w:p>
        </w:tc>
        <w:tc>
          <w:tcPr>
            <w:tcW w:w="696" w:type="pct"/>
            <w:shd w:val="clear" w:color="auto" w:fill="auto"/>
            <w:vAlign w:val="center"/>
          </w:tcPr>
          <w:p w14:paraId="6EB5174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3/112 (2.7)</w:t>
            </w:r>
          </w:p>
        </w:tc>
        <w:tc>
          <w:tcPr>
            <w:tcW w:w="850" w:type="pct"/>
            <w:shd w:val="clear" w:color="auto" w:fill="auto"/>
            <w:vAlign w:val="center"/>
          </w:tcPr>
          <w:p w14:paraId="344C1BE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0.73 (0.18, 2.99)</w:t>
            </w:r>
          </w:p>
        </w:tc>
        <w:tc>
          <w:tcPr>
            <w:tcW w:w="829" w:type="pct"/>
            <w:shd w:val="clear" w:color="auto" w:fill="auto"/>
            <w:vAlign w:val="center"/>
          </w:tcPr>
          <w:p w14:paraId="66D622A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-0.01 (-0.04, 0.03)</w:t>
            </w:r>
          </w:p>
        </w:tc>
      </w:tr>
      <w:tr w:rsidR="00A11665" w:rsidRPr="009941F8" w14:paraId="45587378" w14:textId="77777777" w:rsidTr="00A244E2">
        <w:tc>
          <w:tcPr>
            <w:tcW w:w="1698" w:type="pct"/>
            <w:shd w:val="clear" w:color="auto" w:fill="auto"/>
            <w:vAlign w:val="center"/>
          </w:tcPr>
          <w:p w14:paraId="7CADFB63"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Infusion-related reaction</w:t>
            </w:r>
          </w:p>
        </w:tc>
        <w:tc>
          <w:tcPr>
            <w:tcW w:w="927" w:type="pct"/>
            <w:shd w:val="clear" w:color="auto" w:fill="auto"/>
            <w:vAlign w:val="center"/>
          </w:tcPr>
          <w:p w14:paraId="3991F70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17/257 (6.6)</w:t>
            </w:r>
          </w:p>
        </w:tc>
        <w:tc>
          <w:tcPr>
            <w:tcW w:w="696" w:type="pct"/>
            <w:shd w:val="clear" w:color="auto" w:fill="auto"/>
            <w:vAlign w:val="center"/>
          </w:tcPr>
          <w:p w14:paraId="2FBDCCE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6/112 (5.4)</w:t>
            </w:r>
          </w:p>
        </w:tc>
        <w:tc>
          <w:tcPr>
            <w:tcW w:w="850" w:type="pct"/>
            <w:shd w:val="clear" w:color="auto" w:fill="auto"/>
            <w:vAlign w:val="center"/>
          </w:tcPr>
          <w:p w14:paraId="1F69ED0B"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1.23 (0.50, 3.05)</w:t>
            </w:r>
          </w:p>
        </w:tc>
        <w:tc>
          <w:tcPr>
            <w:tcW w:w="829" w:type="pct"/>
            <w:shd w:val="clear" w:color="auto" w:fill="auto"/>
            <w:vAlign w:val="center"/>
          </w:tcPr>
          <w:p w14:paraId="3DB78AE6"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0.01 (-0.04, 0.06)</w:t>
            </w:r>
          </w:p>
        </w:tc>
      </w:tr>
      <w:tr w:rsidR="00A11665" w:rsidRPr="009941F8" w14:paraId="151A2211" w14:textId="77777777" w:rsidTr="00A244E2">
        <w:tc>
          <w:tcPr>
            <w:tcW w:w="5000" w:type="pct"/>
            <w:gridSpan w:val="5"/>
            <w:shd w:val="clear" w:color="auto" w:fill="auto"/>
            <w:vAlign w:val="center"/>
          </w:tcPr>
          <w:p w14:paraId="6D529B3B" w14:textId="77777777" w:rsidR="00A11665" w:rsidRPr="009941F8" w:rsidRDefault="00A11665" w:rsidP="00A244E2">
            <w:pPr>
              <w:jc w:val="left"/>
              <w:rPr>
                <w:rFonts w:ascii="Arial Narrow" w:hAnsi="Arial Narrow"/>
                <w:b/>
                <w:sz w:val="20"/>
                <w:szCs w:val="20"/>
              </w:rPr>
            </w:pPr>
            <w:r w:rsidRPr="009941F8">
              <w:rPr>
                <w:rFonts w:ascii="Arial Narrow" w:hAnsi="Arial Narrow"/>
                <w:b/>
                <w:sz w:val="20"/>
                <w:szCs w:val="20"/>
              </w:rPr>
              <w:t>MUSE</w:t>
            </w:r>
            <w:r w:rsidRPr="009941F8">
              <w:rPr>
                <w:rFonts w:ascii="Arial Narrow" w:hAnsi="Arial Narrow"/>
                <w:b/>
                <w:sz w:val="20"/>
                <w:szCs w:val="20"/>
                <w:vertAlign w:val="superscript"/>
              </w:rPr>
              <w:t>c</w:t>
            </w:r>
          </w:p>
        </w:tc>
      </w:tr>
      <w:tr w:rsidR="00A11665" w:rsidRPr="009941F8" w14:paraId="1C956473" w14:textId="77777777" w:rsidTr="00A244E2">
        <w:tc>
          <w:tcPr>
            <w:tcW w:w="1698" w:type="pct"/>
            <w:shd w:val="clear" w:color="auto" w:fill="auto"/>
            <w:vAlign w:val="center"/>
          </w:tcPr>
          <w:p w14:paraId="2699B4ED"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Any AEs</w:t>
            </w:r>
          </w:p>
        </w:tc>
        <w:tc>
          <w:tcPr>
            <w:tcW w:w="927" w:type="pct"/>
            <w:shd w:val="clear" w:color="auto" w:fill="auto"/>
            <w:vAlign w:val="center"/>
          </w:tcPr>
          <w:p w14:paraId="71BEBE4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84/99 (84.8)</w:t>
            </w:r>
          </w:p>
        </w:tc>
        <w:tc>
          <w:tcPr>
            <w:tcW w:w="696" w:type="pct"/>
            <w:shd w:val="clear" w:color="auto" w:fill="auto"/>
            <w:vAlign w:val="center"/>
          </w:tcPr>
          <w:p w14:paraId="3D960C3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78/101 (77.2)</w:t>
            </w:r>
          </w:p>
        </w:tc>
        <w:tc>
          <w:tcPr>
            <w:tcW w:w="850" w:type="pct"/>
            <w:shd w:val="clear" w:color="auto" w:fill="auto"/>
            <w:vAlign w:val="center"/>
          </w:tcPr>
          <w:p w14:paraId="405EBDB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1.10 (0.96, 1.26)</w:t>
            </w:r>
          </w:p>
        </w:tc>
        <w:tc>
          <w:tcPr>
            <w:tcW w:w="829" w:type="pct"/>
            <w:shd w:val="clear" w:color="auto" w:fill="auto"/>
            <w:vAlign w:val="center"/>
          </w:tcPr>
          <w:p w14:paraId="0DA20B3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0.08 (-0.03, 0.18)</w:t>
            </w:r>
          </w:p>
        </w:tc>
      </w:tr>
      <w:tr w:rsidR="00A11665" w:rsidRPr="009941F8" w14:paraId="640082C5" w14:textId="77777777" w:rsidTr="00A244E2">
        <w:tc>
          <w:tcPr>
            <w:tcW w:w="1698" w:type="pct"/>
            <w:shd w:val="clear" w:color="auto" w:fill="auto"/>
            <w:vAlign w:val="center"/>
          </w:tcPr>
          <w:p w14:paraId="2A3B41FB"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SAE</w:t>
            </w:r>
          </w:p>
        </w:tc>
        <w:tc>
          <w:tcPr>
            <w:tcW w:w="927" w:type="pct"/>
            <w:shd w:val="clear" w:color="auto" w:fill="auto"/>
            <w:vAlign w:val="center"/>
          </w:tcPr>
          <w:p w14:paraId="3E5F087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16/99 (16.2)</w:t>
            </w:r>
          </w:p>
        </w:tc>
        <w:tc>
          <w:tcPr>
            <w:tcW w:w="696" w:type="pct"/>
            <w:shd w:val="clear" w:color="auto" w:fill="auto"/>
            <w:vAlign w:val="center"/>
          </w:tcPr>
          <w:p w14:paraId="5ED54FC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19/101 (18.8)</w:t>
            </w:r>
          </w:p>
        </w:tc>
        <w:tc>
          <w:tcPr>
            <w:tcW w:w="850" w:type="pct"/>
            <w:shd w:val="clear" w:color="auto" w:fill="auto"/>
            <w:vAlign w:val="center"/>
          </w:tcPr>
          <w:p w14:paraId="3862006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0.86 (0.47, 1.57)</w:t>
            </w:r>
          </w:p>
        </w:tc>
        <w:tc>
          <w:tcPr>
            <w:tcW w:w="829" w:type="pct"/>
            <w:shd w:val="clear" w:color="auto" w:fill="auto"/>
            <w:vAlign w:val="center"/>
          </w:tcPr>
          <w:p w14:paraId="22B7107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-0.03 (-0.13, 0.08)</w:t>
            </w:r>
          </w:p>
        </w:tc>
      </w:tr>
      <w:tr w:rsidR="00A11665" w:rsidRPr="009941F8" w14:paraId="08C1A4CA" w14:textId="77777777" w:rsidTr="00A244E2">
        <w:tc>
          <w:tcPr>
            <w:tcW w:w="1698" w:type="pct"/>
            <w:shd w:val="clear" w:color="auto" w:fill="auto"/>
            <w:vAlign w:val="center"/>
          </w:tcPr>
          <w:p w14:paraId="02A5A6F9"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Death due to AEs</w:t>
            </w:r>
          </w:p>
        </w:tc>
        <w:tc>
          <w:tcPr>
            <w:tcW w:w="927" w:type="pct"/>
            <w:shd w:val="clear" w:color="auto" w:fill="auto"/>
            <w:vAlign w:val="center"/>
          </w:tcPr>
          <w:p w14:paraId="2803450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w:t>
            </w:r>
          </w:p>
        </w:tc>
        <w:tc>
          <w:tcPr>
            <w:tcW w:w="696" w:type="pct"/>
            <w:shd w:val="clear" w:color="auto" w:fill="auto"/>
            <w:vAlign w:val="center"/>
          </w:tcPr>
          <w:p w14:paraId="207CA5B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w:t>
            </w:r>
          </w:p>
        </w:tc>
        <w:tc>
          <w:tcPr>
            <w:tcW w:w="850" w:type="pct"/>
            <w:shd w:val="clear" w:color="auto" w:fill="auto"/>
            <w:vAlign w:val="center"/>
          </w:tcPr>
          <w:p w14:paraId="68EF4655"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3E6A22B1"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4C9589BE" w14:textId="77777777" w:rsidTr="00A244E2">
        <w:tc>
          <w:tcPr>
            <w:tcW w:w="1698" w:type="pct"/>
            <w:shd w:val="clear" w:color="auto" w:fill="auto"/>
            <w:vAlign w:val="center"/>
          </w:tcPr>
          <w:p w14:paraId="07DB8D9D"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Discontinuation of study drugs due to AEs</w:t>
            </w:r>
          </w:p>
        </w:tc>
        <w:tc>
          <w:tcPr>
            <w:tcW w:w="927" w:type="pct"/>
            <w:shd w:val="clear" w:color="auto" w:fill="auto"/>
            <w:vAlign w:val="center"/>
          </w:tcPr>
          <w:p w14:paraId="0CD4644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3/99 (3.0)</w:t>
            </w:r>
          </w:p>
        </w:tc>
        <w:tc>
          <w:tcPr>
            <w:tcW w:w="696" w:type="pct"/>
            <w:shd w:val="clear" w:color="auto" w:fill="auto"/>
            <w:vAlign w:val="center"/>
          </w:tcPr>
          <w:p w14:paraId="4B18B48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8/101 (7.9)</w:t>
            </w:r>
          </w:p>
        </w:tc>
        <w:tc>
          <w:tcPr>
            <w:tcW w:w="850" w:type="pct"/>
            <w:shd w:val="clear" w:color="auto" w:fill="auto"/>
            <w:vAlign w:val="center"/>
          </w:tcPr>
          <w:p w14:paraId="0DD1FDE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0.38 (0.10, 1.40)</w:t>
            </w:r>
          </w:p>
        </w:tc>
        <w:tc>
          <w:tcPr>
            <w:tcW w:w="829" w:type="pct"/>
            <w:shd w:val="clear" w:color="auto" w:fill="auto"/>
            <w:vAlign w:val="center"/>
          </w:tcPr>
          <w:p w14:paraId="4C073BF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-0.05 (-0.11, 0.01)</w:t>
            </w:r>
          </w:p>
        </w:tc>
      </w:tr>
      <w:tr w:rsidR="00A11665" w:rsidRPr="009941F8" w14:paraId="6E7C7065" w14:textId="77777777" w:rsidTr="00A244E2">
        <w:tc>
          <w:tcPr>
            <w:tcW w:w="1698" w:type="pct"/>
            <w:shd w:val="clear" w:color="auto" w:fill="auto"/>
            <w:vAlign w:val="center"/>
          </w:tcPr>
          <w:p w14:paraId="1FD20B47"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AEs of interest</w:t>
            </w:r>
          </w:p>
        </w:tc>
        <w:tc>
          <w:tcPr>
            <w:tcW w:w="927" w:type="pct"/>
            <w:shd w:val="clear" w:color="auto" w:fill="auto"/>
            <w:vAlign w:val="center"/>
          </w:tcPr>
          <w:p w14:paraId="580760A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10/99 (10.1)</w:t>
            </w:r>
          </w:p>
        </w:tc>
        <w:tc>
          <w:tcPr>
            <w:tcW w:w="696" w:type="pct"/>
            <w:shd w:val="clear" w:color="auto" w:fill="auto"/>
            <w:vAlign w:val="center"/>
          </w:tcPr>
          <w:p w14:paraId="2E14F4C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12/101 (11.9)</w:t>
            </w:r>
          </w:p>
        </w:tc>
        <w:tc>
          <w:tcPr>
            <w:tcW w:w="850" w:type="pct"/>
            <w:shd w:val="clear" w:color="auto" w:fill="auto"/>
            <w:vAlign w:val="center"/>
          </w:tcPr>
          <w:p w14:paraId="74FEB8D9"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0.85 (0.39, 1.88)</w:t>
            </w:r>
          </w:p>
        </w:tc>
        <w:tc>
          <w:tcPr>
            <w:tcW w:w="829" w:type="pct"/>
            <w:shd w:val="clear" w:color="auto" w:fill="auto"/>
            <w:vAlign w:val="center"/>
          </w:tcPr>
          <w:p w14:paraId="6B065F21"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-0.02 (-0.10, 0.07)</w:t>
            </w:r>
          </w:p>
        </w:tc>
      </w:tr>
      <w:tr w:rsidR="00A11665" w:rsidRPr="009941F8" w14:paraId="0D7E5A6D" w14:textId="77777777" w:rsidTr="00A244E2">
        <w:tc>
          <w:tcPr>
            <w:tcW w:w="1698" w:type="pct"/>
            <w:shd w:val="clear" w:color="auto" w:fill="auto"/>
            <w:vAlign w:val="center"/>
          </w:tcPr>
          <w:p w14:paraId="36F0B2D3"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Non-opportunistic infections</w:t>
            </w:r>
          </w:p>
        </w:tc>
        <w:tc>
          <w:tcPr>
            <w:tcW w:w="927" w:type="pct"/>
            <w:shd w:val="clear" w:color="auto" w:fill="auto"/>
            <w:vAlign w:val="center"/>
          </w:tcPr>
          <w:p w14:paraId="4B09244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NR</w:t>
            </w:r>
          </w:p>
        </w:tc>
        <w:tc>
          <w:tcPr>
            <w:tcW w:w="696" w:type="pct"/>
            <w:shd w:val="clear" w:color="auto" w:fill="auto"/>
            <w:vAlign w:val="center"/>
          </w:tcPr>
          <w:p w14:paraId="38C20A58"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NR</w:t>
            </w:r>
          </w:p>
        </w:tc>
        <w:tc>
          <w:tcPr>
            <w:tcW w:w="850" w:type="pct"/>
            <w:shd w:val="clear" w:color="auto" w:fill="auto"/>
            <w:vAlign w:val="center"/>
          </w:tcPr>
          <w:p w14:paraId="0713952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154EDCE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08C062AB" w14:textId="77777777" w:rsidTr="00A244E2">
        <w:tc>
          <w:tcPr>
            <w:tcW w:w="1698" w:type="pct"/>
            <w:shd w:val="clear" w:color="auto" w:fill="auto"/>
            <w:vAlign w:val="center"/>
          </w:tcPr>
          <w:p w14:paraId="435FB168"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Herpes Zoster</w:t>
            </w:r>
          </w:p>
        </w:tc>
        <w:tc>
          <w:tcPr>
            <w:tcW w:w="927" w:type="pct"/>
            <w:shd w:val="clear" w:color="auto" w:fill="auto"/>
            <w:vAlign w:val="center"/>
          </w:tcPr>
          <w:p w14:paraId="4925CA4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5/99 (5.1)</w:t>
            </w:r>
            <w:r w:rsidRPr="009941F8">
              <w:rPr>
                <w:rFonts w:ascii="Arial Narrow" w:hAnsi="Arial Narrow"/>
                <w:sz w:val="20"/>
                <w:szCs w:val="20"/>
                <w:vertAlign w:val="superscript"/>
              </w:rPr>
              <w:t>d</w:t>
            </w:r>
          </w:p>
        </w:tc>
        <w:tc>
          <w:tcPr>
            <w:tcW w:w="696" w:type="pct"/>
            <w:shd w:val="clear" w:color="auto" w:fill="auto"/>
            <w:vAlign w:val="center"/>
          </w:tcPr>
          <w:p w14:paraId="49CD19E5"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2/101 (2.0)</w:t>
            </w:r>
          </w:p>
        </w:tc>
        <w:tc>
          <w:tcPr>
            <w:tcW w:w="850" w:type="pct"/>
            <w:shd w:val="clear" w:color="auto" w:fill="auto"/>
            <w:vAlign w:val="center"/>
          </w:tcPr>
          <w:p w14:paraId="5C6750D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2.55 (0.51, 12.84)</w:t>
            </w:r>
          </w:p>
        </w:tc>
        <w:tc>
          <w:tcPr>
            <w:tcW w:w="829" w:type="pct"/>
            <w:shd w:val="clear" w:color="auto" w:fill="auto"/>
            <w:vAlign w:val="center"/>
          </w:tcPr>
          <w:p w14:paraId="0294279D"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0.03 (-0.02, 0.08)</w:t>
            </w:r>
          </w:p>
        </w:tc>
      </w:tr>
      <w:tr w:rsidR="00A11665" w:rsidRPr="009941F8" w14:paraId="55E36974" w14:textId="77777777" w:rsidTr="00A244E2">
        <w:tc>
          <w:tcPr>
            <w:tcW w:w="1698" w:type="pct"/>
            <w:shd w:val="clear" w:color="auto" w:fill="auto"/>
            <w:vAlign w:val="center"/>
          </w:tcPr>
          <w:p w14:paraId="5795E92D"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Infusion-related reaction</w:t>
            </w:r>
          </w:p>
        </w:tc>
        <w:tc>
          <w:tcPr>
            <w:tcW w:w="927" w:type="pct"/>
            <w:shd w:val="clear" w:color="auto" w:fill="auto"/>
            <w:vAlign w:val="center"/>
          </w:tcPr>
          <w:p w14:paraId="2D1F56E1"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2/99 (2.0)</w:t>
            </w:r>
          </w:p>
        </w:tc>
        <w:tc>
          <w:tcPr>
            <w:tcW w:w="696" w:type="pct"/>
            <w:shd w:val="clear" w:color="auto" w:fill="auto"/>
            <w:vAlign w:val="center"/>
          </w:tcPr>
          <w:p w14:paraId="2654C3B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6/101 (5.9)</w:t>
            </w:r>
          </w:p>
        </w:tc>
        <w:tc>
          <w:tcPr>
            <w:tcW w:w="850" w:type="pct"/>
            <w:shd w:val="clear" w:color="auto" w:fill="auto"/>
            <w:vAlign w:val="center"/>
          </w:tcPr>
          <w:p w14:paraId="1CE606E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0.34 (0.07, 1.64)</w:t>
            </w:r>
          </w:p>
        </w:tc>
        <w:tc>
          <w:tcPr>
            <w:tcW w:w="829" w:type="pct"/>
            <w:shd w:val="clear" w:color="auto" w:fill="auto"/>
            <w:vAlign w:val="center"/>
          </w:tcPr>
          <w:p w14:paraId="3FA2715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-0.04 (-0.09, 0.0)]</w:t>
            </w:r>
          </w:p>
        </w:tc>
      </w:tr>
      <w:tr w:rsidR="00A11665" w:rsidRPr="009941F8" w14:paraId="1DCB85CE" w14:textId="77777777" w:rsidTr="00A244E2">
        <w:tc>
          <w:tcPr>
            <w:tcW w:w="5000" w:type="pct"/>
            <w:gridSpan w:val="5"/>
            <w:shd w:val="clear" w:color="auto" w:fill="auto"/>
            <w:vAlign w:val="center"/>
          </w:tcPr>
          <w:p w14:paraId="1051663A" w14:textId="77777777" w:rsidR="00A11665" w:rsidRPr="009941F8" w:rsidRDefault="00A11665" w:rsidP="00A244E2">
            <w:pPr>
              <w:jc w:val="left"/>
              <w:rPr>
                <w:rFonts w:ascii="Arial Narrow" w:hAnsi="Arial Narrow"/>
                <w:b/>
                <w:sz w:val="20"/>
                <w:szCs w:val="20"/>
              </w:rPr>
            </w:pPr>
            <w:r w:rsidRPr="009941F8">
              <w:rPr>
                <w:rFonts w:ascii="Arial Narrow" w:hAnsi="Arial Narrow"/>
                <w:b/>
                <w:sz w:val="20"/>
                <w:szCs w:val="20"/>
              </w:rPr>
              <w:t>MUSE LTE</w:t>
            </w:r>
          </w:p>
        </w:tc>
      </w:tr>
      <w:tr w:rsidR="00A11665" w:rsidRPr="009941F8" w14:paraId="0453DF9E" w14:textId="77777777" w:rsidTr="00A244E2">
        <w:tc>
          <w:tcPr>
            <w:tcW w:w="1698" w:type="pct"/>
            <w:shd w:val="clear" w:color="auto" w:fill="auto"/>
            <w:vAlign w:val="center"/>
          </w:tcPr>
          <w:p w14:paraId="23D8F54C"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≥1 SAE</w:t>
            </w:r>
          </w:p>
        </w:tc>
        <w:tc>
          <w:tcPr>
            <w:tcW w:w="927" w:type="pct"/>
            <w:shd w:val="clear" w:color="auto" w:fill="auto"/>
            <w:vAlign w:val="center"/>
          </w:tcPr>
          <w:p w14:paraId="554726B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50/218 (22.9)</w:t>
            </w:r>
          </w:p>
        </w:tc>
        <w:tc>
          <w:tcPr>
            <w:tcW w:w="696" w:type="pct"/>
            <w:shd w:val="clear" w:color="auto" w:fill="auto"/>
            <w:vAlign w:val="center"/>
          </w:tcPr>
          <w:p w14:paraId="25A45C7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50" w:type="pct"/>
            <w:shd w:val="clear" w:color="auto" w:fill="auto"/>
            <w:vAlign w:val="center"/>
          </w:tcPr>
          <w:p w14:paraId="2D7B5CD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70A4FB91"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46A25FDF" w14:textId="77777777" w:rsidTr="00A244E2">
        <w:tc>
          <w:tcPr>
            <w:tcW w:w="1698" w:type="pct"/>
            <w:shd w:val="clear" w:color="auto" w:fill="auto"/>
            <w:vAlign w:val="center"/>
          </w:tcPr>
          <w:p w14:paraId="20B66048"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Death</w:t>
            </w:r>
          </w:p>
        </w:tc>
        <w:tc>
          <w:tcPr>
            <w:tcW w:w="927" w:type="pct"/>
            <w:shd w:val="clear" w:color="auto" w:fill="auto"/>
            <w:vAlign w:val="center"/>
          </w:tcPr>
          <w:p w14:paraId="0F986042"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1/218 (0.5)</w:t>
            </w:r>
          </w:p>
        </w:tc>
        <w:tc>
          <w:tcPr>
            <w:tcW w:w="696" w:type="pct"/>
            <w:shd w:val="clear" w:color="auto" w:fill="auto"/>
            <w:vAlign w:val="center"/>
          </w:tcPr>
          <w:p w14:paraId="63B17CF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50" w:type="pct"/>
            <w:shd w:val="clear" w:color="auto" w:fill="auto"/>
            <w:vAlign w:val="center"/>
          </w:tcPr>
          <w:p w14:paraId="2B15253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654296DC"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2537A380" w14:textId="77777777" w:rsidTr="00A244E2">
        <w:tc>
          <w:tcPr>
            <w:tcW w:w="1698" w:type="pct"/>
            <w:shd w:val="clear" w:color="auto" w:fill="auto"/>
            <w:vAlign w:val="center"/>
          </w:tcPr>
          <w:p w14:paraId="5E44C1B5"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Discontinuation of study drugs due to AEs</w:t>
            </w:r>
          </w:p>
        </w:tc>
        <w:tc>
          <w:tcPr>
            <w:tcW w:w="927" w:type="pct"/>
            <w:shd w:val="clear" w:color="auto" w:fill="auto"/>
            <w:vAlign w:val="center"/>
          </w:tcPr>
          <w:p w14:paraId="0EC8127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17/218 (7.8)</w:t>
            </w:r>
          </w:p>
        </w:tc>
        <w:tc>
          <w:tcPr>
            <w:tcW w:w="696" w:type="pct"/>
            <w:shd w:val="clear" w:color="auto" w:fill="auto"/>
            <w:vAlign w:val="center"/>
          </w:tcPr>
          <w:p w14:paraId="2C797E01"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50" w:type="pct"/>
            <w:shd w:val="clear" w:color="auto" w:fill="auto"/>
            <w:vAlign w:val="center"/>
          </w:tcPr>
          <w:p w14:paraId="4BE3C23B"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7B9F316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005EB7D9" w14:textId="77777777" w:rsidTr="00A244E2">
        <w:tc>
          <w:tcPr>
            <w:tcW w:w="1698" w:type="pct"/>
            <w:shd w:val="clear" w:color="auto" w:fill="auto"/>
            <w:vAlign w:val="center"/>
          </w:tcPr>
          <w:p w14:paraId="62881FDE"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AEs of interest</w:t>
            </w:r>
          </w:p>
        </w:tc>
        <w:tc>
          <w:tcPr>
            <w:tcW w:w="927" w:type="pct"/>
            <w:shd w:val="clear" w:color="auto" w:fill="auto"/>
            <w:vAlign w:val="center"/>
          </w:tcPr>
          <w:p w14:paraId="1B3B7499"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24/218 (11.0)</w:t>
            </w:r>
          </w:p>
        </w:tc>
        <w:tc>
          <w:tcPr>
            <w:tcW w:w="696" w:type="pct"/>
            <w:shd w:val="clear" w:color="auto" w:fill="auto"/>
            <w:vAlign w:val="center"/>
          </w:tcPr>
          <w:p w14:paraId="52F4C91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50" w:type="pct"/>
            <w:shd w:val="clear" w:color="auto" w:fill="auto"/>
            <w:vAlign w:val="center"/>
          </w:tcPr>
          <w:p w14:paraId="13D3DB24"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418AAEB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166B0771" w14:textId="77777777" w:rsidTr="00A244E2">
        <w:tc>
          <w:tcPr>
            <w:tcW w:w="1698" w:type="pct"/>
            <w:shd w:val="clear" w:color="auto" w:fill="auto"/>
            <w:vAlign w:val="center"/>
          </w:tcPr>
          <w:p w14:paraId="4CBFA6DF"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Non-opportunistic infections</w:t>
            </w:r>
          </w:p>
        </w:tc>
        <w:tc>
          <w:tcPr>
            <w:tcW w:w="927" w:type="pct"/>
            <w:shd w:val="clear" w:color="auto" w:fill="auto"/>
            <w:vAlign w:val="center"/>
          </w:tcPr>
          <w:p w14:paraId="6F7184D7"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NR</w:t>
            </w:r>
          </w:p>
        </w:tc>
        <w:tc>
          <w:tcPr>
            <w:tcW w:w="696" w:type="pct"/>
            <w:shd w:val="clear" w:color="auto" w:fill="auto"/>
            <w:vAlign w:val="center"/>
          </w:tcPr>
          <w:p w14:paraId="71020D6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NR</w:t>
            </w:r>
          </w:p>
        </w:tc>
        <w:tc>
          <w:tcPr>
            <w:tcW w:w="850" w:type="pct"/>
            <w:shd w:val="clear" w:color="auto" w:fill="auto"/>
            <w:vAlign w:val="center"/>
          </w:tcPr>
          <w:p w14:paraId="76CA59BA"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4BE11EE5"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08E61E43" w14:textId="77777777" w:rsidTr="00A244E2">
        <w:tc>
          <w:tcPr>
            <w:tcW w:w="1698" w:type="pct"/>
            <w:shd w:val="clear" w:color="auto" w:fill="auto"/>
            <w:vAlign w:val="center"/>
          </w:tcPr>
          <w:p w14:paraId="23094222" w14:textId="77777777" w:rsidR="00A11665" w:rsidRPr="009941F8" w:rsidRDefault="00A11665" w:rsidP="00A244E2">
            <w:pPr>
              <w:ind w:left="106"/>
              <w:jc w:val="left"/>
              <w:rPr>
                <w:rFonts w:ascii="Arial Narrow" w:hAnsi="Arial Narrow"/>
                <w:sz w:val="20"/>
                <w:szCs w:val="20"/>
              </w:rPr>
            </w:pPr>
            <w:r w:rsidRPr="009941F8">
              <w:rPr>
                <w:rFonts w:ascii="Arial Narrow" w:hAnsi="Arial Narrow"/>
                <w:sz w:val="20"/>
                <w:szCs w:val="20"/>
              </w:rPr>
              <w:t>Herpes Zoster</w:t>
            </w:r>
          </w:p>
        </w:tc>
        <w:tc>
          <w:tcPr>
            <w:tcW w:w="927" w:type="pct"/>
            <w:shd w:val="clear" w:color="auto" w:fill="auto"/>
            <w:vAlign w:val="center"/>
          </w:tcPr>
          <w:p w14:paraId="353AE227"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11/218 (5.0)</w:t>
            </w:r>
          </w:p>
        </w:tc>
        <w:tc>
          <w:tcPr>
            <w:tcW w:w="696" w:type="pct"/>
            <w:shd w:val="clear" w:color="auto" w:fill="auto"/>
            <w:vAlign w:val="center"/>
          </w:tcPr>
          <w:p w14:paraId="2F02B6CE"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50" w:type="pct"/>
            <w:shd w:val="clear" w:color="auto" w:fill="auto"/>
            <w:vAlign w:val="center"/>
          </w:tcPr>
          <w:p w14:paraId="162BBF00"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274B256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r w:rsidR="00A11665" w:rsidRPr="009941F8" w14:paraId="62846763" w14:textId="77777777" w:rsidTr="00A244E2">
        <w:tc>
          <w:tcPr>
            <w:tcW w:w="1698" w:type="pct"/>
            <w:shd w:val="clear" w:color="auto" w:fill="auto"/>
            <w:vAlign w:val="center"/>
          </w:tcPr>
          <w:p w14:paraId="7F2394E7" w14:textId="77777777" w:rsidR="00A11665" w:rsidRPr="009941F8" w:rsidRDefault="00A11665" w:rsidP="00A244E2">
            <w:pPr>
              <w:jc w:val="left"/>
              <w:rPr>
                <w:rFonts w:ascii="Arial Narrow" w:hAnsi="Arial Narrow"/>
                <w:sz w:val="20"/>
                <w:szCs w:val="20"/>
              </w:rPr>
            </w:pPr>
            <w:r w:rsidRPr="009941F8">
              <w:rPr>
                <w:rFonts w:ascii="Arial Narrow" w:hAnsi="Arial Narrow"/>
                <w:sz w:val="20"/>
                <w:szCs w:val="20"/>
              </w:rPr>
              <w:t>Infusion-related reaction</w:t>
            </w:r>
          </w:p>
        </w:tc>
        <w:tc>
          <w:tcPr>
            <w:tcW w:w="927" w:type="pct"/>
            <w:shd w:val="clear" w:color="auto" w:fill="auto"/>
            <w:vAlign w:val="center"/>
          </w:tcPr>
          <w:p w14:paraId="13145456"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4/218 (1.8)</w:t>
            </w:r>
          </w:p>
        </w:tc>
        <w:tc>
          <w:tcPr>
            <w:tcW w:w="696" w:type="pct"/>
            <w:shd w:val="clear" w:color="auto" w:fill="auto"/>
            <w:vAlign w:val="center"/>
          </w:tcPr>
          <w:p w14:paraId="0DF428CF"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50" w:type="pct"/>
            <w:shd w:val="clear" w:color="auto" w:fill="auto"/>
            <w:vAlign w:val="center"/>
          </w:tcPr>
          <w:p w14:paraId="6ACE3E33"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c>
          <w:tcPr>
            <w:tcW w:w="829" w:type="pct"/>
            <w:shd w:val="clear" w:color="auto" w:fill="auto"/>
            <w:vAlign w:val="center"/>
          </w:tcPr>
          <w:p w14:paraId="053522CB" w14:textId="77777777" w:rsidR="00A11665" w:rsidRPr="009941F8" w:rsidRDefault="00A11665" w:rsidP="00A244E2">
            <w:pPr>
              <w:jc w:val="center"/>
              <w:rPr>
                <w:rFonts w:ascii="Arial Narrow" w:hAnsi="Arial Narrow"/>
                <w:sz w:val="20"/>
                <w:szCs w:val="20"/>
              </w:rPr>
            </w:pPr>
            <w:r w:rsidRPr="009941F8">
              <w:rPr>
                <w:rFonts w:ascii="Arial Narrow" w:hAnsi="Arial Narrow"/>
                <w:sz w:val="20"/>
                <w:szCs w:val="20"/>
              </w:rPr>
              <w:t>-</w:t>
            </w:r>
          </w:p>
        </w:tc>
      </w:tr>
    </w:tbl>
    <w:p w14:paraId="06675DA7" w14:textId="7B9E9F9A" w:rsidR="00A11665" w:rsidRPr="009941F8" w:rsidRDefault="00A11665" w:rsidP="00A244E2">
      <w:pPr>
        <w:pStyle w:val="TableFigureFooter"/>
        <w:spacing w:after="0"/>
        <w:rPr>
          <w:i/>
          <w:iCs/>
        </w:rPr>
      </w:pPr>
      <w:r w:rsidRPr="009941F8">
        <w:rPr>
          <w:b/>
          <w:bCs/>
          <w:szCs w:val="18"/>
        </w:rPr>
        <w:lastRenderedPageBreak/>
        <w:t>Bold</w:t>
      </w:r>
      <w:r w:rsidRPr="009941F8">
        <w:rPr>
          <w:szCs w:val="18"/>
        </w:rPr>
        <w:t xml:space="preserve"> text designates statistical significance.</w:t>
      </w:r>
      <w:r w:rsidRPr="009941F8">
        <w:rPr>
          <w:i/>
          <w:iCs/>
        </w:rPr>
        <w:t xml:space="preserve"> </w:t>
      </w:r>
    </w:p>
    <w:p w14:paraId="46809174" w14:textId="77777777" w:rsidR="00A11665" w:rsidRPr="009941F8" w:rsidRDefault="00A11665" w:rsidP="00A244E2">
      <w:pPr>
        <w:rPr>
          <w:rFonts w:ascii="Arial Narrow" w:hAnsi="Arial Narrow"/>
          <w:sz w:val="18"/>
          <w:szCs w:val="18"/>
        </w:rPr>
      </w:pPr>
      <w:r w:rsidRPr="009941F8">
        <w:rPr>
          <w:rFonts w:ascii="Arial Narrow" w:hAnsi="Arial Narrow"/>
          <w:sz w:val="18"/>
          <w:szCs w:val="18"/>
        </w:rPr>
        <w:t>Source: Tables 2-38 to 2-43, pp170-177 of the resubmission.</w:t>
      </w:r>
    </w:p>
    <w:p w14:paraId="4D58FB69" w14:textId="77777777" w:rsidR="00A11665" w:rsidRPr="009941F8" w:rsidRDefault="00A11665" w:rsidP="00A244E2">
      <w:pPr>
        <w:rPr>
          <w:rFonts w:ascii="Arial Narrow" w:hAnsi="Arial Narrow"/>
          <w:sz w:val="18"/>
          <w:szCs w:val="18"/>
        </w:rPr>
      </w:pPr>
      <w:r w:rsidRPr="009941F8">
        <w:rPr>
          <w:rFonts w:ascii="Arial Narrow" w:hAnsi="Arial Narrow"/>
          <w:sz w:val="18"/>
          <w:szCs w:val="18"/>
        </w:rPr>
        <w:t>AE=adverse event; SAE=serious AE; RR=relative risk; RD=risk difference; NR=not reported; CI=confidence interval.</w:t>
      </w:r>
    </w:p>
    <w:p w14:paraId="69B1D70A" w14:textId="77777777" w:rsidR="00A11665" w:rsidRPr="009941F8" w:rsidRDefault="00A11665" w:rsidP="00A244E2">
      <w:pPr>
        <w:rPr>
          <w:rFonts w:ascii="Arial Narrow" w:hAnsi="Arial Narrow"/>
          <w:sz w:val="18"/>
          <w:szCs w:val="18"/>
        </w:rPr>
      </w:pPr>
      <w:r w:rsidRPr="009941F8">
        <w:rPr>
          <w:rFonts w:ascii="Arial Narrow" w:hAnsi="Arial Narrow"/>
          <w:sz w:val="18"/>
          <w:szCs w:val="18"/>
        </w:rPr>
        <w:t>a</w:t>
      </w:r>
      <w:r w:rsidRPr="009941F8">
        <w:rPr>
          <w:rFonts w:ascii="Arial Narrow" w:hAnsi="Arial Narrow"/>
          <w:sz w:val="18"/>
          <w:szCs w:val="18"/>
        </w:rPr>
        <w:tab/>
        <w:t>Death due to pneumonia; patient received two doses of anifrolumab 300 mg.</w:t>
      </w:r>
    </w:p>
    <w:p w14:paraId="66938A0D" w14:textId="77777777" w:rsidR="00A11665" w:rsidRPr="009941F8" w:rsidRDefault="00A11665" w:rsidP="00A244E2">
      <w:pPr>
        <w:rPr>
          <w:rFonts w:ascii="Arial Narrow" w:hAnsi="Arial Narrow"/>
          <w:sz w:val="18"/>
          <w:szCs w:val="18"/>
        </w:rPr>
      </w:pPr>
      <w:r w:rsidRPr="009941F8">
        <w:rPr>
          <w:rFonts w:ascii="Arial Narrow" w:hAnsi="Arial Narrow"/>
          <w:sz w:val="18"/>
          <w:szCs w:val="18"/>
        </w:rPr>
        <w:t>b</w:t>
      </w:r>
      <w:r w:rsidRPr="009941F8">
        <w:rPr>
          <w:rFonts w:ascii="Arial Narrow" w:hAnsi="Arial Narrow"/>
          <w:sz w:val="18"/>
          <w:szCs w:val="18"/>
        </w:rPr>
        <w:tab/>
        <w:t>Death due to pneumonia.</w:t>
      </w:r>
    </w:p>
    <w:p w14:paraId="4523F262" w14:textId="21BF2BEA" w:rsidR="00A11665" w:rsidRPr="009941F8" w:rsidRDefault="00A11665" w:rsidP="00A244E2">
      <w:pPr>
        <w:ind w:left="170" w:hanging="170"/>
        <w:rPr>
          <w:rFonts w:ascii="Arial Narrow" w:hAnsi="Arial Narrow"/>
          <w:sz w:val="18"/>
          <w:szCs w:val="18"/>
        </w:rPr>
      </w:pPr>
      <w:r w:rsidRPr="009941F8">
        <w:rPr>
          <w:rFonts w:ascii="Arial Narrow" w:hAnsi="Arial Narrow"/>
          <w:sz w:val="18"/>
          <w:szCs w:val="18"/>
        </w:rPr>
        <w:t>c</w:t>
      </w:r>
      <w:r w:rsidRPr="009941F8">
        <w:rPr>
          <w:rFonts w:ascii="Arial Narrow" w:hAnsi="Arial Narrow"/>
          <w:sz w:val="18"/>
          <w:szCs w:val="18"/>
        </w:rPr>
        <w:tab/>
        <w:t>The safety population consisted of patients who received at least 1 dose of study drug. One patient randomized to the placebo group mistakenly received a single dose of anifrolumab 1000 mg and was included in anifrolumab 1000 mg group for the safety analyses.</w:t>
      </w:r>
    </w:p>
    <w:p w14:paraId="0F167564" w14:textId="77777777" w:rsidR="00A11665" w:rsidRPr="009941F8" w:rsidRDefault="00A11665" w:rsidP="00235D09">
      <w:pPr>
        <w:spacing w:after="120"/>
        <w:ind w:left="170" w:hanging="170"/>
        <w:rPr>
          <w:rFonts w:ascii="Arial Narrow" w:hAnsi="Arial Narrow"/>
          <w:sz w:val="18"/>
          <w:szCs w:val="18"/>
        </w:rPr>
      </w:pPr>
      <w:r w:rsidRPr="009941F8">
        <w:rPr>
          <w:rFonts w:ascii="Arial Narrow" w:hAnsi="Arial Narrow"/>
          <w:sz w:val="18"/>
          <w:szCs w:val="18"/>
        </w:rPr>
        <w:t>d</w:t>
      </w:r>
      <w:r w:rsidRPr="009941F8">
        <w:rPr>
          <w:rFonts w:ascii="Arial Narrow" w:hAnsi="Arial Narrow"/>
          <w:sz w:val="18"/>
          <w:szCs w:val="18"/>
        </w:rPr>
        <w:tab/>
        <w:t>One patient also had transverse myelitis with a quantitatively positive test result for varicella-zoster virus in the cerebrospinal fluid.</w:t>
      </w:r>
    </w:p>
    <w:p w14:paraId="4754EEDA" w14:textId="0E2D00DA" w:rsidR="00A11665" w:rsidRPr="009941F8" w:rsidRDefault="00A11665" w:rsidP="00A244E2">
      <w:pPr>
        <w:pStyle w:val="3-BodyText"/>
      </w:pPr>
      <w:r w:rsidRPr="009941F8">
        <w:t xml:space="preserve">In all trials, the incidence of any AEs was higher in the anifrolumab group compared to placebo group during treatment to Week 52. The majority of AEs were non-serious, mild or moderate in intensity and did not lead to discontinuation of study drugs. </w:t>
      </w:r>
      <w:r w:rsidRPr="009941F8">
        <w:rPr>
          <w:rFonts w:cs="Calibri"/>
        </w:rPr>
        <w:t>The long-term safety data from TULIP LTE and MUSE LTE (from 52 weeks to approximately 4 years) was consistent with the included trials to 52 weeks, with no new safety signals.</w:t>
      </w:r>
      <w:r w:rsidRPr="009941F8">
        <w:rPr>
          <w:rFonts w:eastAsia="SimSun"/>
        </w:rPr>
        <w:t xml:space="preserve"> The PBAC had previously considered that a claim of inferior safety to SOC was reasonable (paragraph 7.5, anifrolumab PSD March 2023 and paragraph 7.7, anifrolumab PSD July 2022)</w:t>
      </w:r>
      <w:r w:rsidR="00A244E2" w:rsidRPr="009941F8">
        <w:rPr>
          <w:rFonts w:eastAsia="SimSun"/>
        </w:rPr>
        <w:t>.</w:t>
      </w:r>
    </w:p>
    <w:p w14:paraId="04908C7F" w14:textId="415B9B7D" w:rsidR="007F1017" w:rsidRPr="009941F8" w:rsidRDefault="007F1017" w:rsidP="00A244E2">
      <w:pPr>
        <w:pStyle w:val="4-SubsectionHeading"/>
      </w:pPr>
      <w:bookmarkStart w:id="47" w:name="_Toc22897643"/>
      <w:bookmarkStart w:id="48" w:name="_Toc156918347"/>
      <w:r w:rsidRPr="009941F8">
        <w:t>Benefits/harms</w:t>
      </w:r>
      <w:bookmarkEnd w:id="47"/>
      <w:bookmarkEnd w:id="48"/>
    </w:p>
    <w:p w14:paraId="455D1514" w14:textId="432A41EE" w:rsidR="00A11665" w:rsidRPr="009941F8" w:rsidRDefault="00454DE1" w:rsidP="00A244E2">
      <w:pPr>
        <w:pStyle w:val="3-BodyText"/>
      </w:pPr>
      <w:r w:rsidRPr="009941F8">
        <w:t>The comparative benefits and harms for anifrolumab versus placebo (i.e. SOC alone) in patients with SLE can be drawn from</w:t>
      </w:r>
      <w:r w:rsidRPr="009941F8">
        <w:rPr>
          <w:rFonts w:cstheme="minorHAnsi"/>
        </w:rPr>
        <w:t xml:space="preserve"> </w:t>
      </w:r>
      <w:r w:rsidR="00F77AC8" w:rsidRPr="009941F8">
        <w:rPr>
          <w:rFonts w:cstheme="minorHAnsi"/>
        </w:rPr>
        <w:fldChar w:fldCharType="begin" w:fldLock="1"/>
      </w:r>
      <w:r w:rsidR="00F77AC8" w:rsidRPr="009941F8">
        <w:rPr>
          <w:rFonts w:cstheme="minorHAnsi"/>
        </w:rPr>
        <w:instrText xml:space="preserve"> REF _Ref153929883 \h </w:instrText>
      </w:r>
      <w:r w:rsidR="00A244E2" w:rsidRPr="009941F8">
        <w:rPr>
          <w:rFonts w:cstheme="minorHAnsi"/>
        </w:rPr>
        <w:instrText xml:space="preserve"> \* MERGEFORMAT </w:instrText>
      </w:r>
      <w:r w:rsidR="00F77AC8" w:rsidRPr="009941F8">
        <w:rPr>
          <w:rFonts w:cstheme="minorHAnsi"/>
        </w:rPr>
      </w:r>
      <w:r w:rsidR="00F77AC8" w:rsidRPr="009941F8">
        <w:rPr>
          <w:rFonts w:cstheme="minorHAnsi"/>
        </w:rPr>
        <w:fldChar w:fldCharType="separate"/>
      </w:r>
      <w:r w:rsidR="00F07501" w:rsidRPr="009941F8">
        <w:t xml:space="preserve">Table </w:t>
      </w:r>
      <w:r w:rsidR="00F07501">
        <w:t>4</w:t>
      </w:r>
      <w:r w:rsidR="00F77AC8" w:rsidRPr="009941F8">
        <w:rPr>
          <w:rFonts w:cstheme="minorHAnsi"/>
        </w:rPr>
        <w:fldChar w:fldCharType="end"/>
      </w:r>
      <w:r w:rsidRPr="009941F8">
        <w:rPr>
          <w:rFonts w:cstheme="minorHAnsi"/>
        </w:rPr>
        <w:t xml:space="preserve">, </w:t>
      </w:r>
      <w:r w:rsidR="00F77AC8" w:rsidRPr="009941F8">
        <w:rPr>
          <w:rFonts w:cstheme="minorHAnsi"/>
        </w:rPr>
        <w:fldChar w:fldCharType="begin" w:fldLock="1"/>
      </w:r>
      <w:r w:rsidR="00F77AC8" w:rsidRPr="009941F8">
        <w:rPr>
          <w:rFonts w:cstheme="minorHAnsi"/>
        </w:rPr>
        <w:instrText xml:space="preserve"> REF _Ref153929929 \h </w:instrText>
      </w:r>
      <w:r w:rsidR="00A244E2" w:rsidRPr="009941F8">
        <w:rPr>
          <w:rFonts w:cstheme="minorHAnsi"/>
        </w:rPr>
        <w:instrText xml:space="preserve"> \* MERGEFORMAT </w:instrText>
      </w:r>
      <w:r w:rsidR="00F77AC8" w:rsidRPr="009941F8">
        <w:rPr>
          <w:rFonts w:cstheme="minorHAnsi"/>
        </w:rPr>
      </w:r>
      <w:r w:rsidR="00F77AC8" w:rsidRPr="009941F8">
        <w:rPr>
          <w:rFonts w:cstheme="minorHAnsi"/>
        </w:rPr>
        <w:fldChar w:fldCharType="separate"/>
      </w:r>
      <w:r w:rsidR="00F07501" w:rsidRPr="009941F8">
        <w:t xml:space="preserve">Table </w:t>
      </w:r>
      <w:r w:rsidR="00F07501">
        <w:t>5</w:t>
      </w:r>
      <w:r w:rsidR="00F77AC8" w:rsidRPr="009941F8">
        <w:rPr>
          <w:rFonts w:cstheme="minorHAnsi"/>
        </w:rPr>
        <w:fldChar w:fldCharType="end"/>
      </w:r>
      <w:r w:rsidR="00F77AC8" w:rsidRPr="009941F8">
        <w:rPr>
          <w:rFonts w:cstheme="minorHAnsi"/>
        </w:rPr>
        <w:t xml:space="preserve">, </w:t>
      </w:r>
      <w:r w:rsidRPr="009941F8">
        <w:rPr>
          <w:rFonts w:cstheme="minorHAnsi"/>
        </w:rPr>
        <w:t xml:space="preserve">and </w:t>
      </w:r>
      <w:r w:rsidR="00F77AC8" w:rsidRPr="009941F8">
        <w:rPr>
          <w:rFonts w:cstheme="minorHAnsi"/>
        </w:rPr>
        <w:fldChar w:fldCharType="begin" w:fldLock="1"/>
      </w:r>
      <w:r w:rsidR="00F77AC8" w:rsidRPr="009941F8">
        <w:rPr>
          <w:rFonts w:cstheme="minorHAnsi"/>
        </w:rPr>
        <w:instrText xml:space="preserve"> REF _Ref153930013 \h </w:instrText>
      </w:r>
      <w:r w:rsidR="00A244E2" w:rsidRPr="009941F8">
        <w:rPr>
          <w:rFonts w:cstheme="minorHAnsi"/>
        </w:rPr>
        <w:instrText xml:space="preserve"> \* MERGEFORMAT </w:instrText>
      </w:r>
      <w:r w:rsidR="00F77AC8" w:rsidRPr="009941F8">
        <w:rPr>
          <w:rFonts w:cstheme="minorHAnsi"/>
        </w:rPr>
      </w:r>
      <w:r w:rsidR="00F77AC8" w:rsidRPr="009941F8">
        <w:rPr>
          <w:rFonts w:cstheme="minorHAnsi"/>
        </w:rPr>
        <w:fldChar w:fldCharType="separate"/>
      </w:r>
      <w:r w:rsidR="00F07501" w:rsidRPr="009941F8">
        <w:t xml:space="preserve">Table </w:t>
      </w:r>
      <w:r w:rsidR="00F07501">
        <w:t>7</w:t>
      </w:r>
      <w:r w:rsidR="00F77AC8" w:rsidRPr="009941F8">
        <w:rPr>
          <w:rFonts w:cstheme="minorHAnsi"/>
        </w:rPr>
        <w:fldChar w:fldCharType="end"/>
      </w:r>
      <w:r w:rsidR="00F77AC8" w:rsidRPr="009941F8">
        <w:rPr>
          <w:rFonts w:cstheme="minorHAnsi"/>
        </w:rPr>
        <w:t xml:space="preserve"> </w:t>
      </w:r>
      <w:r w:rsidRPr="009941F8">
        <w:rPr>
          <w:rFonts w:cstheme="minorHAnsi"/>
        </w:rPr>
        <w:t>above</w:t>
      </w:r>
      <w:r w:rsidRPr="009941F8">
        <w:t>. On the basis of direct evidence presented in the submission, for every 100 patients treated with anifrolumab in comparison with placebo (SOC alone):</w:t>
      </w:r>
    </w:p>
    <w:p w14:paraId="79DA19CF" w14:textId="21BE6E16" w:rsidR="008204BE" w:rsidRPr="009941F8" w:rsidRDefault="008204BE" w:rsidP="00A244E2">
      <w:pPr>
        <w:numPr>
          <w:ilvl w:val="0"/>
          <w:numId w:val="11"/>
        </w:numPr>
        <w:spacing w:after="120"/>
        <w:rPr>
          <w:rFonts w:asciiTheme="minorHAnsi" w:eastAsia="SimSun" w:hAnsiTheme="minorHAnsi"/>
          <w:snapToGrid w:val="0"/>
        </w:rPr>
      </w:pPr>
      <w:r w:rsidRPr="009941F8">
        <w:rPr>
          <w:rFonts w:asciiTheme="minorHAnsi" w:eastAsia="SimSun" w:hAnsiTheme="minorHAnsi"/>
          <w:snapToGrid w:val="0"/>
        </w:rPr>
        <w:t xml:space="preserve">Approximately 4 fewer patients to </w:t>
      </w:r>
      <w:r w:rsidR="00227A53" w:rsidRPr="009941F8">
        <w:rPr>
          <w:rFonts w:asciiTheme="minorHAnsi" w:eastAsia="SimSun" w:hAnsiTheme="minorHAnsi"/>
          <w:snapToGrid w:val="0"/>
        </w:rPr>
        <w:t xml:space="preserve">26 </w:t>
      </w:r>
      <w:r w:rsidRPr="009941F8">
        <w:rPr>
          <w:rFonts w:asciiTheme="minorHAnsi" w:eastAsia="SimSun" w:hAnsiTheme="minorHAnsi"/>
          <w:snapToGrid w:val="0"/>
        </w:rPr>
        <w:t>additional patients will achieve SRI(4) response at Week 52 depending on the trial and analysis used.</w:t>
      </w:r>
    </w:p>
    <w:p w14:paraId="2F981E95" w14:textId="28971B57" w:rsidR="008204BE" w:rsidRPr="009941F8" w:rsidRDefault="008204BE" w:rsidP="00A244E2">
      <w:pPr>
        <w:numPr>
          <w:ilvl w:val="0"/>
          <w:numId w:val="11"/>
        </w:numPr>
        <w:spacing w:after="120"/>
        <w:rPr>
          <w:snapToGrid w:val="0"/>
        </w:rPr>
      </w:pPr>
      <w:r w:rsidRPr="009941F8">
        <w:rPr>
          <w:rFonts w:eastAsia="SimSun"/>
        </w:rPr>
        <w:t>Approximately 10 to 28 additional patients will achieve BICLA response at Week 52 depending on the trial and analysis used.</w:t>
      </w:r>
    </w:p>
    <w:p w14:paraId="18D86B93" w14:textId="77777777" w:rsidR="008204BE" w:rsidRPr="009941F8" w:rsidRDefault="008204BE" w:rsidP="00A244E2">
      <w:pPr>
        <w:numPr>
          <w:ilvl w:val="0"/>
          <w:numId w:val="11"/>
        </w:numPr>
        <w:spacing w:after="120"/>
        <w:rPr>
          <w:snapToGrid w:val="0"/>
        </w:rPr>
      </w:pPr>
      <w:r w:rsidRPr="009941F8">
        <w:rPr>
          <w:snapToGrid w:val="0"/>
        </w:rPr>
        <w:t>Approximately 4 to 23 additional patients will achieve LLDAS (based on Franklyn et al 2016) at Week 52.</w:t>
      </w:r>
    </w:p>
    <w:p w14:paraId="48009C0A" w14:textId="32893B8F" w:rsidR="008204BE" w:rsidRPr="009941F8" w:rsidRDefault="008204BE" w:rsidP="00A244E2">
      <w:pPr>
        <w:numPr>
          <w:ilvl w:val="0"/>
          <w:numId w:val="11"/>
        </w:numPr>
        <w:spacing w:after="120"/>
        <w:rPr>
          <w:snapToGrid w:val="0"/>
        </w:rPr>
      </w:pPr>
      <w:r w:rsidRPr="009941F8">
        <w:rPr>
          <w:snapToGrid w:val="0"/>
        </w:rPr>
        <w:t>Approximately 10 additional patients will achieve LLDAS (based on Golder et al 2019) at Week 52 and 12 to 19 additional patients will achieve LLDAS (</w:t>
      </w:r>
      <w:r w:rsidR="001B64B4" w:rsidRPr="009941F8">
        <w:rPr>
          <w:snapToGrid w:val="0"/>
        </w:rPr>
        <w:t xml:space="preserve">based on </w:t>
      </w:r>
      <w:r w:rsidRPr="009941F8">
        <w:rPr>
          <w:snapToGrid w:val="0"/>
        </w:rPr>
        <w:t xml:space="preserve">Golder </w:t>
      </w:r>
      <w:r w:rsidR="001B64B4" w:rsidRPr="009941F8">
        <w:rPr>
          <w:snapToGrid w:val="0"/>
        </w:rPr>
        <w:t>et al 2019) at Week 208</w:t>
      </w:r>
      <w:r w:rsidRPr="009941F8">
        <w:rPr>
          <w:snapToGrid w:val="0"/>
        </w:rPr>
        <w:t>.</w:t>
      </w:r>
    </w:p>
    <w:p w14:paraId="10B0B279" w14:textId="77777777" w:rsidR="001B64B4" w:rsidRPr="009941F8" w:rsidRDefault="001B64B4" w:rsidP="00A244E2">
      <w:pPr>
        <w:pStyle w:val="3-BodyText"/>
        <w:numPr>
          <w:ilvl w:val="0"/>
          <w:numId w:val="11"/>
        </w:numPr>
      </w:pPr>
      <w:r w:rsidRPr="009941F8">
        <w:t>Approximately 5 to 11 additional patients will experience any AEs at Week 52, and 4 additional patients will experience any AEs between Weeks 52-216.</w:t>
      </w:r>
    </w:p>
    <w:p w14:paraId="65BB7949" w14:textId="77777777" w:rsidR="001B64B4" w:rsidRPr="009941F8" w:rsidRDefault="001B64B4" w:rsidP="00A244E2">
      <w:pPr>
        <w:pStyle w:val="3-BodyText"/>
        <w:numPr>
          <w:ilvl w:val="0"/>
          <w:numId w:val="11"/>
        </w:numPr>
      </w:pPr>
      <w:r w:rsidRPr="009941F8">
        <w:t>Approximately 2 to 9 fewer patients will experience SAEs at Week 52, and 2 fewer patients will experience SAEs between Weeks 52-216.</w:t>
      </w:r>
    </w:p>
    <w:p w14:paraId="55BEB849" w14:textId="42CB06B6" w:rsidR="001B64B4" w:rsidRPr="009941F8" w:rsidRDefault="001B64B4" w:rsidP="00A244E2">
      <w:pPr>
        <w:numPr>
          <w:ilvl w:val="0"/>
          <w:numId w:val="11"/>
        </w:numPr>
        <w:spacing w:after="120"/>
        <w:rPr>
          <w:snapToGrid w:val="0"/>
        </w:rPr>
      </w:pPr>
      <w:r w:rsidRPr="009941F8">
        <w:t>Approximately 3 to 6 additional patients will experience herpes zoster at Week 52, and 3 additional patients will experience herpes zoster between Weeks 52-216.</w:t>
      </w:r>
    </w:p>
    <w:p w14:paraId="3B653B96" w14:textId="28DEE730" w:rsidR="00FC1884" w:rsidRPr="009941F8" w:rsidRDefault="001B64B4" w:rsidP="00A244E2">
      <w:pPr>
        <w:spacing w:after="120"/>
        <w:ind w:left="680"/>
        <w:rPr>
          <w:snapToGrid w:val="0"/>
        </w:rPr>
      </w:pPr>
      <w:r w:rsidRPr="009941F8">
        <w:t xml:space="preserve">The above statements are based on the total trial populations, whereas the resubmission has targeted a patient </w:t>
      </w:r>
      <w:r w:rsidR="00227A53" w:rsidRPr="009941F8">
        <w:t>sub</w:t>
      </w:r>
      <w:r w:rsidRPr="009941F8">
        <w:t>group</w:t>
      </w:r>
      <w:r w:rsidR="00227A53" w:rsidRPr="009941F8">
        <w:t xml:space="preserve"> (SLEDAI-2K </w:t>
      </w:r>
      <w:r w:rsidR="00227A53" w:rsidRPr="009941F8">
        <w:rPr>
          <w:rFonts w:cs="Calibri"/>
        </w:rPr>
        <w:t>≥</w:t>
      </w:r>
      <w:r w:rsidR="00227A53" w:rsidRPr="009941F8">
        <w:t>10</w:t>
      </w:r>
      <w:r w:rsidR="00470164" w:rsidRPr="009941F8">
        <w:t xml:space="preserve"> and receiving triple therapy, consisting of HCQ, an immunosuppressant and OCS ≥7.5 mg/day</w:t>
      </w:r>
      <w:r w:rsidR="00227A53" w:rsidRPr="009941F8">
        <w:t>)</w:t>
      </w:r>
      <w:r w:rsidRPr="009941F8">
        <w:t xml:space="preserve"> that the PBAC previously considered to have the greatest clinical need </w:t>
      </w:r>
      <w:r w:rsidR="00227A53" w:rsidRPr="009941F8">
        <w:t xml:space="preserve">(paragraph 7.4, belimumab PSD November 2019 and paragraph 3.4, anifrolumab </w:t>
      </w:r>
      <w:r w:rsidR="00470164" w:rsidRPr="009941F8">
        <w:t>PSD July 2022)</w:t>
      </w:r>
      <w:r w:rsidRPr="009941F8">
        <w:rPr>
          <w:snapToGrid w:val="0"/>
        </w:rPr>
        <w:t>.</w:t>
      </w:r>
    </w:p>
    <w:p w14:paraId="7A1772B6" w14:textId="23BB3145" w:rsidR="00B60939" w:rsidRPr="009941F8" w:rsidRDefault="00B60939" w:rsidP="00A244E2">
      <w:pPr>
        <w:pStyle w:val="4-SubsectionHeading"/>
      </w:pPr>
      <w:bookmarkStart w:id="49" w:name="_Toc22897644"/>
      <w:bookmarkStart w:id="50" w:name="_Toc156918348"/>
      <w:r w:rsidRPr="009941F8">
        <w:lastRenderedPageBreak/>
        <w:t>Clinical claim</w:t>
      </w:r>
      <w:bookmarkEnd w:id="49"/>
      <w:bookmarkEnd w:id="50"/>
    </w:p>
    <w:p w14:paraId="41142769" w14:textId="7AD185ED" w:rsidR="001B64B4" w:rsidRPr="009941F8" w:rsidRDefault="00BD2A09" w:rsidP="00A244E2">
      <w:pPr>
        <w:pStyle w:val="3-BodyText"/>
      </w:pPr>
      <w:r w:rsidRPr="009941F8">
        <w:t>T</w:t>
      </w:r>
      <w:r w:rsidR="001B64B4" w:rsidRPr="009941F8">
        <w:t>he resubmission described anifrolumab added to SOC as superior in terms of effectiveness and inferior</w:t>
      </w:r>
      <w:r w:rsidR="00393221" w:rsidRPr="009941F8">
        <w:t>,</w:t>
      </w:r>
      <w:r w:rsidR="001B64B4" w:rsidRPr="009941F8">
        <w:t xml:space="preserve"> but </w:t>
      </w:r>
      <w:r w:rsidR="00393221" w:rsidRPr="009941F8">
        <w:t xml:space="preserve">with </w:t>
      </w:r>
      <w:r w:rsidR="001B64B4" w:rsidRPr="009941F8">
        <w:t>manageable safety</w:t>
      </w:r>
      <w:r w:rsidR="00393221" w:rsidRPr="009941F8">
        <w:t>,</w:t>
      </w:r>
      <w:r w:rsidR="001B64B4" w:rsidRPr="009941F8">
        <w:t xml:space="preserve"> compared to SOC alone.</w:t>
      </w:r>
      <w:r w:rsidRPr="009941F8">
        <w:t xml:space="preserve"> </w:t>
      </w:r>
      <w:bookmarkStart w:id="51" w:name="_Hlk156638568"/>
      <w:r w:rsidRPr="009941F8">
        <w:t xml:space="preserve">This claim was based on results of both the ITT as well as the post hoc subgroup of patients with SLEDAI </w:t>
      </w:r>
      <w:r w:rsidRPr="009941F8">
        <w:rPr>
          <w:rFonts w:cstheme="minorHAnsi"/>
        </w:rPr>
        <w:t>≥10 in the included</w:t>
      </w:r>
      <w:r w:rsidRPr="009941F8">
        <w:t xml:space="preserve"> trials, the latter was used as a proxy for the requested PBS population (</w:t>
      </w:r>
      <w:r w:rsidR="009941F8" w:rsidRPr="009941F8">
        <w:t>SLEDAI</w:t>
      </w:r>
      <w:r w:rsidR="009941F8">
        <w:t>-</w:t>
      </w:r>
      <w:r w:rsidRPr="009941F8">
        <w:t xml:space="preserve">2K </w:t>
      </w:r>
      <w:r w:rsidRPr="009941F8">
        <w:rPr>
          <w:rFonts w:cstheme="minorHAnsi"/>
        </w:rPr>
        <w:t>≥10 and on SOC triple therapy).</w:t>
      </w:r>
      <w:bookmarkEnd w:id="51"/>
    </w:p>
    <w:p w14:paraId="474A3E75" w14:textId="67B71531" w:rsidR="001B64B4" w:rsidRPr="009941F8" w:rsidRDefault="001B64B4" w:rsidP="00A244E2">
      <w:pPr>
        <w:pStyle w:val="3-BodyText"/>
      </w:pPr>
      <w:bookmarkStart w:id="52" w:name="_Hlk159408092"/>
      <w:r w:rsidRPr="009941F8">
        <w:t>In March 2023, consistent with the July 2022 consideration, the PBAC had considered the claim of superiority to SOC alone in terms of effectiveness was supported based on improvement in disease activity for some patients; however, the magnitude of benefit was modest and uncertain. The PBAC considered the claim of inferior safety to SOC alone was reasonable (paragraph 7.5, anifrolumab PSD March 2023)</w:t>
      </w:r>
      <w:r w:rsidR="009941F8">
        <w:t xml:space="preserve">. </w:t>
      </w:r>
      <w:r w:rsidR="00BC6384" w:rsidRPr="009941F8">
        <w:t>The ESC considered that a claim of inferior</w:t>
      </w:r>
      <w:r w:rsidR="001728F0" w:rsidRPr="009941F8">
        <w:t>,</w:t>
      </w:r>
      <w:r w:rsidR="00BC6384" w:rsidRPr="009941F8">
        <w:t xml:space="preserve"> but manageable</w:t>
      </w:r>
      <w:r w:rsidR="001728F0" w:rsidRPr="009941F8">
        <w:t>,</w:t>
      </w:r>
      <w:r w:rsidR="00BC6384" w:rsidRPr="009941F8">
        <w:t xml:space="preserve"> safety was reasonable compared to SOC alone.</w:t>
      </w:r>
    </w:p>
    <w:p w14:paraId="03390437" w14:textId="5803E9E5" w:rsidR="001B64B4" w:rsidRPr="009941F8" w:rsidRDefault="001B64B4" w:rsidP="00A244E2">
      <w:pPr>
        <w:pStyle w:val="3-BodyText"/>
      </w:pPr>
      <w:bookmarkStart w:id="53" w:name="_Ref159439333"/>
      <w:bookmarkEnd w:id="52"/>
      <w:r w:rsidRPr="009941F8">
        <w:t>The basis of the clinical claim of superior effectiveness in this resubmission also included the post hoc analyses on LLDAS and remission, given the clinical guideline (EULAR 2023) recommend</w:t>
      </w:r>
      <w:r w:rsidR="00F715F0" w:rsidRPr="009941F8">
        <w:t>ation to</w:t>
      </w:r>
      <w:r w:rsidRPr="009941F8">
        <w:t xml:space="preserve"> treat to target with a goal of remission or low disease activity. </w:t>
      </w:r>
      <w:r w:rsidR="001728F0" w:rsidRPr="009941F8">
        <w:t>However</w:t>
      </w:r>
      <w:r w:rsidRPr="009941F8">
        <w:t>, the following issues were noted:</w:t>
      </w:r>
      <w:bookmarkEnd w:id="53"/>
    </w:p>
    <w:p w14:paraId="367F5361" w14:textId="228CAC61" w:rsidR="001B64B4" w:rsidRPr="009941F8" w:rsidRDefault="001B64B4" w:rsidP="00A244E2">
      <w:pPr>
        <w:pStyle w:val="ListBullet"/>
        <w:numPr>
          <w:ilvl w:val="0"/>
          <w:numId w:val="10"/>
        </w:numPr>
      </w:pPr>
      <w:r w:rsidRPr="009941F8">
        <w:t>Differences in LLDAS definition: The resubmission’s post hoc analysis of LLDAS used the Golder et al 2019 definition, whereas the pre-specified exploratory analysis of the TULIP trials and the post hoc analysis of MUSE was based on the Franklyn et al 2016 definition. While the pooled TULIP-1/TULIP-2 results for the two definitions of LLDAS had favoured anifrolumab, separately, the individual trial results had showed no difference for LLDAS based on the Franklyn et al 2016 definition.</w:t>
      </w:r>
      <w:r w:rsidR="001728F0" w:rsidRPr="009941F8">
        <w:t xml:space="preserve"> The PSCR stated that LLDAS was attained more frequently in the anifrolumab group compared with placebo, irrespective of the LLDAS definition and the adjustment for response in the statistical analysis.</w:t>
      </w:r>
    </w:p>
    <w:p w14:paraId="3FBEB701" w14:textId="6165B4B3" w:rsidR="007C6551" w:rsidRPr="009941F8" w:rsidRDefault="001B64B4" w:rsidP="00F25AA9">
      <w:pPr>
        <w:pStyle w:val="3-BodyText"/>
        <w:spacing w:before="120"/>
      </w:pPr>
      <w:r w:rsidRPr="009941F8">
        <w:t>Adjustment for response: The resubmission’s post hoc analysis of LLDAS used an amended response rule so patients who discontinued or were taking non-standard dose</w:t>
      </w:r>
      <w:r w:rsidR="00266F42" w:rsidRPr="009941F8">
        <w:t>s</w:t>
      </w:r>
      <w:r w:rsidRPr="009941F8">
        <w:t xml:space="preserve"> of immunosuppressive drugs </w:t>
      </w:r>
      <w:r w:rsidR="00F715F0" w:rsidRPr="009941F8">
        <w:t xml:space="preserve">could </w:t>
      </w:r>
      <w:r w:rsidRPr="009941F8">
        <w:t>be classified as LLDAS responders</w:t>
      </w:r>
      <w:r w:rsidR="00AB3ADE" w:rsidRPr="009941F8">
        <w:t>,</w:t>
      </w:r>
      <w:r w:rsidRPr="009941F8">
        <w:t xml:space="preserve"> resulting in more patients being classified as LLDAS responders, favouring anifrolumab. </w:t>
      </w:r>
      <w:r w:rsidR="00772A3A" w:rsidRPr="009941F8">
        <w:t xml:space="preserve">This would not be reasonable for example if patients had increased their dosage of concomitant drugs. </w:t>
      </w:r>
      <w:r w:rsidRPr="009941F8">
        <w:t>Based on Franklyn et al 2016 and Golder et al 2019</w:t>
      </w:r>
      <w:r w:rsidR="00AB3ADE" w:rsidRPr="009941F8">
        <w:t>,</w:t>
      </w:r>
      <w:r w:rsidRPr="009941F8">
        <w:t xml:space="preserve"> patients must be taking standard ‘maintenance doses’ of immunosuppressive drugs (criteria 5) if they are to be classified as LLDAS responder</w:t>
      </w:r>
      <w:r w:rsidR="009941F8">
        <w:t xml:space="preserve">. </w:t>
      </w:r>
      <w:r w:rsidR="006B47A0" w:rsidRPr="009941F8">
        <w:t xml:space="preserve">The </w:t>
      </w:r>
      <w:r w:rsidR="001728F0" w:rsidRPr="009941F8">
        <w:t xml:space="preserve">ESC noted that the </w:t>
      </w:r>
      <w:r w:rsidR="006B47A0" w:rsidRPr="009941F8">
        <w:t>submission’s adjustment for response was not consistent with the intended usage of anifrolumab in the PBS population</w:t>
      </w:r>
      <w:r w:rsidR="00E574B2" w:rsidRPr="009941F8">
        <w:t xml:space="preserve"> because</w:t>
      </w:r>
      <w:r w:rsidR="001728F0" w:rsidRPr="009941F8">
        <w:t>,</w:t>
      </w:r>
      <w:r w:rsidR="00E574B2" w:rsidRPr="009941F8">
        <w:t xml:space="preserve"> a</w:t>
      </w:r>
      <w:r w:rsidR="006B47A0" w:rsidRPr="009941F8">
        <w:t>ccording to the PBS restriction (and published LLDAS criteria), patients taking increased doses of concomitant drugs (above standard ‘maintenance doses’) would not be classified as LLDAS responders</w:t>
      </w:r>
      <w:r w:rsidR="00E574B2" w:rsidRPr="009941F8">
        <w:t>, but they were classified as such by the submission</w:t>
      </w:r>
      <w:r w:rsidR="009941F8">
        <w:t xml:space="preserve">. </w:t>
      </w:r>
      <w:r w:rsidR="000C1C98" w:rsidRPr="009941F8">
        <w:t>The PSCR stated that the “LLDAS definition from the clinical evidence is included in the economic model and is reflected in the PBS restriction thus maintaining internal consistency”</w:t>
      </w:r>
      <w:r w:rsidR="001728F0" w:rsidRPr="009941F8">
        <w:t>;</w:t>
      </w:r>
      <w:r w:rsidR="000C1C98" w:rsidRPr="009941F8">
        <w:t xml:space="preserve"> however</w:t>
      </w:r>
      <w:r w:rsidR="001728F0" w:rsidRPr="009941F8">
        <w:t>,</w:t>
      </w:r>
      <w:r w:rsidR="000C1C98" w:rsidRPr="009941F8">
        <w:t xml:space="preserve"> this is not correct as </w:t>
      </w:r>
      <w:r w:rsidR="000C1C98" w:rsidRPr="009941F8">
        <w:lastRenderedPageBreak/>
        <w:t>described above</w:t>
      </w:r>
      <w:r w:rsidR="009941F8">
        <w:t xml:space="preserve">. </w:t>
      </w:r>
      <w:r w:rsidR="00EE23CE" w:rsidRPr="009941F8">
        <w:t>The PSCR maintained that the adjustment was appropriate, but did not address the specific concern raised in the commentary about patients treated with increased doses of immunosuppressive drugs being inappropriately counted as responders</w:t>
      </w:r>
      <w:r w:rsidR="009941F8">
        <w:t xml:space="preserve">. </w:t>
      </w:r>
      <w:r w:rsidR="00647A43" w:rsidRPr="009941F8">
        <w:t>The Pre-PBAC response indicated there were no patients in this category classed as responders in the post hoc analysis of the TULIP trials.</w:t>
      </w:r>
      <w:r w:rsidR="008036EB" w:rsidRPr="009941F8">
        <w:t xml:space="preserve"> </w:t>
      </w:r>
      <w:r w:rsidR="007C6551" w:rsidRPr="009941F8">
        <w:t>The ESC considered that the clinical interpretation remained unchanged from the March 2023 PBAC consideration, in that the claim that anifrolumab was superior to SOC alone in terms of effectiveness was supported based on improvement in disease activity for some patients; however</w:t>
      </w:r>
      <w:r w:rsidR="001728F0" w:rsidRPr="009941F8">
        <w:t>,</w:t>
      </w:r>
      <w:r w:rsidR="007C6551" w:rsidRPr="009941F8">
        <w:t xml:space="preserve"> the magnitude of benefit remained uncertain. The ESC considered that the LLDAS results provided additional confidence in the clinical benefit of anifrolumab compared with SOC but did not address the question of magnitude of benefit</w:t>
      </w:r>
      <w:r w:rsidR="009941F8">
        <w:t xml:space="preserve">. </w:t>
      </w:r>
    </w:p>
    <w:p w14:paraId="5418C12B" w14:textId="5A3E436D" w:rsidR="00A244E2" w:rsidRPr="009941F8" w:rsidRDefault="00A244E2" w:rsidP="00A244E2">
      <w:pPr>
        <w:widowControl w:val="0"/>
        <w:numPr>
          <w:ilvl w:val="1"/>
          <w:numId w:val="1"/>
        </w:numPr>
        <w:spacing w:after="120"/>
        <w:rPr>
          <w:rFonts w:asciiTheme="minorHAnsi" w:hAnsiTheme="minorHAnsi"/>
          <w:snapToGrid w:val="0"/>
          <w:szCs w:val="20"/>
        </w:rPr>
      </w:pPr>
      <w:bookmarkStart w:id="54" w:name="_Hlk76376200"/>
      <w:r w:rsidRPr="009941F8">
        <w:rPr>
          <w:rFonts w:asciiTheme="minorHAnsi" w:hAnsiTheme="minorHAnsi"/>
          <w:iCs/>
          <w:snapToGrid w:val="0"/>
        </w:rPr>
        <w:t>The</w:t>
      </w:r>
      <w:r w:rsidRPr="009941F8">
        <w:rPr>
          <w:rFonts w:asciiTheme="minorHAnsi" w:hAnsiTheme="minorHAnsi"/>
          <w:snapToGrid w:val="0"/>
          <w:szCs w:val="20"/>
        </w:rPr>
        <w:t xml:space="preserve"> PBAC considered that the claim of superior comparative effectiveness was reasonable</w:t>
      </w:r>
      <w:r w:rsidR="00DD043C" w:rsidRPr="009941F8">
        <w:rPr>
          <w:rFonts w:asciiTheme="minorHAnsi" w:hAnsiTheme="minorHAnsi"/>
          <w:snapToGrid w:val="0"/>
          <w:szCs w:val="20"/>
        </w:rPr>
        <w:t xml:space="preserve">, </w:t>
      </w:r>
      <w:r w:rsidR="00DD043C" w:rsidRPr="009941F8">
        <w:t>compared to SOC alone.</w:t>
      </w:r>
    </w:p>
    <w:p w14:paraId="3822ACFD" w14:textId="63DB08FF" w:rsidR="00DD043C" w:rsidRPr="009941F8" w:rsidRDefault="00A244E2" w:rsidP="00460084">
      <w:pPr>
        <w:widowControl w:val="0"/>
        <w:numPr>
          <w:ilvl w:val="1"/>
          <w:numId w:val="1"/>
        </w:numPr>
        <w:spacing w:after="120"/>
        <w:rPr>
          <w:rFonts w:asciiTheme="minorHAnsi" w:hAnsiTheme="minorHAnsi"/>
          <w:snapToGrid w:val="0"/>
        </w:rPr>
      </w:pPr>
      <w:r w:rsidRPr="009941F8">
        <w:rPr>
          <w:rFonts w:asciiTheme="minorHAnsi" w:hAnsiTheme="minorHAnsi"/>
          <w:snapToGrid w:val="0"/>
          <w:szCs w:val="20"/>
        </w:rPr>
        <w:t xml:space="preserve">The PBAC considered that the claim of </w:t>
      </w:r>
      <w:r w:rsidR="00DD043C" w:rsidRPr="009941F8">
        <w:t>inferior but manageable safety was reasonable, compared to SOC alone.</w:t>
      </w:r>
    </w:p>
    <w:p w14:paraId="74A1172E" w14:textId="128C170E" w:rsidR="00B60939" w:rsidRPr="009941F8" w:rsidRDefault="00B60939" w:rsidP="00A244E2">
      <w:pPr>
        <w:pStyle w:val="4-SubsectionHeading"/>
      </w:pPr>
      <w:bookmarkStart w:id="55" w:name="_Toc22897645"/>
      <w:bookmarkStart w:id="56" w:name="_Toc156918349"/>
      <w:bookmarkEnd w:id="54"/>
      <w:r w:rsidRPr="009941F8">
        <w:t>Economic analysis</w:t>
      </w:r>
      <w:bookmarkEnd w:id="55"/>
      <w:bookmarkEnd w:id="56"/>
      <w:r w:rsidR="00491B3A" w:rsidRPr="009941F8">
        <w:t xml:space="preserve"> </w:t>
      </w:r>
    </w:p>
    <w:p w14:paraId="35FD7AC8" w14:textId="46095AD9" w:rsidR="00AB7860" w:rsidRPr="009941F8" w:rsidRDefault="00AB7860" w:rsidP="00A244E2">
      <w:pPr>
        <w:pStyle w:val="3-BodyText"/>
        <w:rPr>
          <w:b/>
          <w:bCs/>
          <w:color w:val="0066FF"/>
        </w:rPr>
      </w:pPr>
      <w:r w:rsidRPr="009941F8">
        <w:t>The resubmission presented a</w:t>
      </w:r>
      <w:r w:rsidR="006965D9" w:rsidRPr="009941F8">
        <w:t xml:space="preserve"> new </w:t>
      </w:r>
      <w:r w:rsidRPr="009941F8">
        <w:t>stepped economic evaluation starting with a trial-based cost per responder analysis informed by TULIP 1 and 2 and then implement</w:t>
      </w:r>
      <w:r w:rsidR="00F77AC8" w:rsidRPr="009941F8">
        <w:t>ing</w:t>
      </w:r>
      <w:r w:rsidRPr="009941F8">
        <w:t xml:space="preserve"> a modelled cost-utility analysis using evidence from TULIP 1 and 2, TULIP LTE and the Australian cohort of the Asia-Pacific Lupus Collaboration (APLC). Response in the resubmission was </w:t>
      </w:r>
      <w:r w:rsidR="00BD2A09" w:rsidRPr="009941F8">
        <w:t>for the subgroup with baseline SLEDAI</w:t>
      </w:r>
      <w:r w:rsidR="00C24342" w:rsidRPr="009941F8">
        <w:t xml:space="preserve">-2K </w:t>
      </w:r>
      <w:r w:rsidR="00BD2A09" w:rsidRPr="009941F8">
        <w:rPr>
          <w:rFonts w:cstheme="minorHAnsi"/>
        </w:rPr>
        <w:t>≥</w:t>
      </w:r>
      <w:r w:rsidR="00BD2A09" w:rsidRPr="009941F8">
        <w:t xml:space="preserve">10 and was </w:t>
      </w:r>
      <w:r w:rsidRPr="009941F8">
        <w:t>based on LLDAS attainment at Week 26, rather than a reduction in SLEDAI-2K of at least 4 which was used in the July 2022 and March 2023 submissions. The type of economic evaluation was a Markov cohort model with a lifetime (59 years in the base case) time horizon.</w:t>
      </w:r>
    </w:p>
    <w:p w14:paraId="585C20AC" w14:textId="12B12A15" w:rsidR="00AB7860" w:rsidRPr="009941F8" w:rsidRDefault="00AB7860" w:rsidP="00A244E2">
      <w:pPr>
        <w:pStyle w:val="3-BodyText"/>
        <w:rPr>
          <w:b/>
          <w:bCs/>
        </w:rPr>
      </w:pPr>
      <w:r w:rsidRPr="009941F8">
        <w:t>The March 2023 resubmission presented an ICER of $</w:t>
      </w:r>
      <w:r w:rsidR="00BF33FF" w:rsidRPr="00BF33FF">
        <w:t>75,000 to &lt; $95,000</w:t>
      </w:r>
      <w:r w:rsidR="00F54881">
        <w:t xml:space="preserve"> </w:t>
      </w:r>
      <w:r w:rsidRPr="009941F8">
        <w:t>per additional QALY gained. The PBAC had previously expressed concern that the March</w:t>
      </w:r>
      <w:r w:rsidR="00F54881">
        <w:t> </w:t>
      </w:r>
      <w:r w:rsidRPr="009941F8">
        <w:t>2023 model did not provide robust estimates and had not adequately addressed the concerns with the July 2022 model (paragraph 7.7, anifrolumab PSD, March 2023).</w:t>
      </w:r>
    </w:p>
    <w:p w14:paraId="615E5467" w14:textId="7AA4055C" w:rsidR="00AB7860" w:rsidRPr="009941F8" w:rsidRDefault="00AB7860" w:rsidP="00A244E2">
      <w:pPr>
        <w:pStyle w:val="3-BodyText"/>
      </w:pPr>
      <w:bookmarkStart w:id="57" w:name="_Ref162260178"/>
      <w:r w:rsidRPr="009941F8">
        <w:t>The PBAC’s key concerns of the March 2023 economic evaluation (paragraphs 7.7, 7.8 anifrolumab PSD, March 2023) and how the resubmission addressed them are provided below:</w:t>
      </w:r>
      <w:bookmarkEnd w:id="57"/>
    </w:p>
    <w:p w14:paraId="7AD8DF29" w14:textId="62EC1A49" w:rsidR="00AB7860" w:rsidRPr="009941F8" w:rsidRDefault="00AB7860" w:rsidP="00A244E2">
      <w:pPr>
        <w:pStyle w:val="ListParagraph"/>
        <w:numPr>
          <w:ilvl w:val="0"/>
          <w:numId w:val="16"/>
        </w:numPr>
        <w:ind w:left="993"/>
        <w:rPr>
          <w:lang w:eastAsia="en-US"/>
        </w:rPr>
      </w:pPr>
      <w:r w:rsidRPr="009941F8">
        <w:rPr>
          <w:b/>
          <w:bCs/>
        </w:rPr>
        <w:t xml:space="preserve">Trial follow-up was short (4 years) relative to the model time horizon (30 years). </w:t>
      </w:r>
      <w:r w:rsidRPr="009941F8">
        <w:t>This was not addressed by the current resubmission. The resubmission had no additional tri</w:t>
      </w:r>
      <w:r w:rsidR="006965D9" w:rsidRPr="009941F8">
        <w:t>a</w:t>
      </w:r>
      <w:r w:rsidRPr="009941F8">
        <w:t>l follow up and lengthened the time horizon to lifetime (59 years in the base case)</w:t>
      </w:r>
      <w:r w:rsidRPr="009941F8">
        <w:rPr>
          <w:lang w:eastAsia="en-US"/>
        </w:rPr>
        <w:t xml:space="preserve">. </w:t>
      </w:r>
      <w:r w:rsidR="000B1109" w:rsidRPr="009941F8">
        <w:rPr>
          <w:lang w:eastAsia="en-US"/>
        </w:rPr>
        <w:t xml:space="preserve">The </w:t>
      </w:r>
      <w:r w:rsidRPr="009941F8">
        <w:rPr>
          <w:lang w:eastAsia="en-US"/>
        </w:rPr>
        <w:t xml:space="preserve">ESC </w:t>
      </w:r>
      <w:r w:rsidR="00393221" w:rsidRPr="009941F8">
        <w:rPr>
          <w:lang w:eastAsia="en-US"/>
        </w:rPr>
        <w:t xml:space="preserve">had previously </w:t>
      </w:r>
      <w:r w:rsidRPr="009941F8">
        <w:rPr>
          <w:lang w:eastAsia="en-US"/>
        </w:rPr>
        <w:t xml:space="preserve">considered that a model with a substantially shorter time horizon would reduce the issues associated with extrapolation and may be more clinically valid and this was proposed as a potential modelling </w:t>
      </w:r>
      <w:r w:rsidRPr="009941F8">
        <w:rPr>
          <w:lang w:eastAsia="en-US"/>
        </w:rPr>
        <w:lastRenderedPageBreak/>
        <w:t>approach (paragraph 6.63, anifrolumab PSD March 2023)</w:t>
      </w:r>
      <w:r w:rsidR="009941F8">
        <w:rPr>
          <w:lang w:eastAsia="en-US"/>
        </w:rPr>
        <w:t xml:space="preserve">. </w:t>
      </w:r>
      <w:r w:rsidR="000B1109" w:rsidRPr="009941F8">
        <w:rPr>
          <w:lang w:eastAsia="en-US"/>
        </w:rPr>
        <w:t>The ESC noted that the time horizon was close to double that considered in March 2023, and agreed with the commentary that this was not justified.</w:t>
      </w:r>
    </w:p>
    <w:p w14:paraId="6CF62FBD" w14:textId="5C97F838" w:rsidR="00AB7860" w:rsidRPr="009941F8" w:rsidRDefault="00AB7860" w:rsidP="00A244E2">
      <w:pPr>
        <w:pStyle w:val="3-BodyText"/>
        <w:numPr>
          <w:ilvl w:val="0"/>
          <w:numId w:val="16"/>
        </w:numPr>
        <w:ind w:left="993"/>
        <w:rPr>
          <w:lang w:eastAsia="en-US"/>
        </w:rPr>
      </w:pPr>
      <w:r w:rsidRPr="009941F8">
        <w:rPr>
          <w:b/>
          <w:bCs/>
          <w:lang w:eastAsia="en-US"/>
        </w:rPr>
        <w:t xml:space="preserve">Lack of </w:t>
      </w:r>
      <w:r w:rsidRPr="009941F8">
        <w:rPr>
          <w:b/>
          <w:bCs/>
        </w:rPr>
        <w:t>direct</w:t>
      </w:r>
      <w:r w:rsidRPr="009941F8">
        <w:rPr>
          <w:b/>
          <w:bCs/>
          <w:lang w:eastAsia="en-US"/>
        </w:rPr>
        <w:t xml:space="preserve"> evidence on longer term clinical outcomes. </w:t>
      </w:r>
      <w:r w:rsidRPr="009941F8">
        <w:rPr>
          <w:lang w:eastAsia="en-US"/>
        </w:rPr>
        <w:t xml:space="preserve">The PBAC considered there was limited data on organ damage and mortality. This resubmission based </w:t>
      </w:r>
      <w:r w:rsidR="006965D9" w:rsidRPr="009941F8">
        <w:rPr>
          <w:lang w:eastAsia="en-US"/>
        </w:rPr>
        <w:t xml:space="preserve">its </w:t>
      </w:r>
      <w:r w:rsidRPr="009941F8">
        <w:rPr>
          <w:lang w:eastAsia="en-US"/>
        </w:rPr>
        <w:t>estimates of organ damage and mortality primarily on LLDAS attainment</w:t>
      </w:r>
      <w:r w:rsidR="006965D9" w:rsidRPr="009941F8">
        <w:rPr>
          <w:lang w:eastAsia="en-US"/>
        </w:rPr>
        <w:t xml:space="preserve">. </w:t>
      </w:r>
      <w:r w:rsidRPr="009941F8">
        <w:rPr>
          <w:lang w:eastAsia="en-US"/>
        </w:rPr>
        <w:t xml:space="preserve">LLDAS attainment </w:t>
      </w:r>
      <w:r w:rsidR="006965D9" w:rsidRPr="009941F8">
        <w:rPr>
          <w:lang w:eastAsia="en-US"/>
        </w:rPr>
        <w:t xml:space="preserve">was </w:t>
      </w:r>
      <w:r w:rsidRPr="009941F8">
        <w:rPr>
          <w:lang w:eastAsia="en-US"/>
        </w:rPr>
        <w:t>informed by the TULIP trials and LTE data</w:t>
      </w:r>
      <w:r w:rsidR="006965D9" w:rsidRPr="009941F8">
        <w:rPr>
          <w:lang w:eastAsia="en-US"/>
        </w:rPr>
        <w:t xml:space="preserve">, whereas </w:t>
      </w:r>
      <w:r w:rsidRPr="009941F8">
        <w:rPr>
          <w:lang w:eastAsia="en-US"/>
        </w:rPr>
        <w:t xml:space="preserve">the relationship between </w:t>
      </w:r>
      <w:r w:rsidR="006965D9" w:rsidRPr="009941F8">
        <w:rPr>
          <w:lang w:eastAsia="en-US"/>
        </w:rPr>
        <w:t>‘</w:t>
      </w:r>
      <w:r w:rsidRPr="009941F8">
        <w:rPr>
          <w:lang w:eastAsia="en-US"/>
        </w:rPr>
        <w:t>LLDAS</w:t>
      </w:r>
      <w:r w:rsidR="006965D9" w:rsidRPr="009941F8">
        <w:rPr>
          <w:lang w:eastAsia="en-US"/>
        </w:rPr>
        <w:t>’</w:t>
      </w:r>
      <w:r w:rsidRPr="009941F8">
        <w:rPr>
          <w:lang w:eastAsia="en-US"/>
        </w:rPr>
        <w:t xml:space="preserve"> and </w:t>
      </w:r>
      <w:r w:rsidR="006965D9" w:rsidRPr="009941F8">
        <w:rPr>
          <w:lang w:eastAsia="en-US"/>
        </w:rPr>
        <w:t>‘</w:t>
      </w:r>
      <w:r w:rsidR="00295097" w:rsidRPr="009941F8">
        <w:rPr>
          <w:lang w:eastAsia="en-US"/>
        </w:rPr>
        <w:t>N</w:t>
      </w:r>
      <w:r w:rsidRPr="009941F8">
        <w:rPr>
          <w:lang w:eastAsia="en-US"/>
        </w:rPr>
        <w:t>ot-LLDAS</w:t>
      </w:r>
      <w:r w:rsidR="006965D9" w:rsidRPr="009941F8">
        <w:rPr>
          <w:lang w:eastAsia="en-US"/>
        </w:rPr>
        <w:t>’</w:t>
      </w:r>
      <w:r w:rsidRPr="009941F8">
        <w:rPr>
          <w:lang w:eastAsia="en-US"/>
        </w:rPr>
        <w:t xml:space="preserve"> on organ damage and mortality</w:t>
      </w:r>
      <w:r w:rsidR="002B57DB" w:rsidRPr="009941F8">
        <w:rPr>
          <w:lang w:eastAsia="en-US"/>
        </w:rPr>
        <w:t xml:space="preserve"> was </w:t>
      </w:r>
      <w:r w:rsidRPr="009941F8">
        <w:rPr>
          <w:lang w:eastAsia="en-US"/>
        </w:rPr>
        <w:t xml:space="preserve">primarily </w:t>
      </w:r>
      <w:r w:rsidR="002B57DB" w:rsidRPr="009941F8">
        <w:rPr>
          <w:lang w:eastAsia="en-US"/>
        </w:rPr>
        <w:t>informed by data from the Asian Pacific Lupus Cohort (</w:t>
      </w:r>
      <w:r w:rsidRPr="009941F8">
        <w:rPr>
          <w:lang w:eastAsia="en-US"/>
        </w:rPr>
        <w:t xml:space="preserve">APLC). The effect of </w:t>
      </w:r>
      <w:r w:rsidR="002B57DB" w:rsidRPr="009941F8">
        <w:rPr>
          <w:lang w:eastAsia="en-US"/>
        </w:rPr>
        <w:t>‘</w:t>
      </w:r>
      <w:r w:rsidRPr="009941F8">
        <w:rPr>
          <w:lang w:eastAsia="en-US"/>
        </w:rPr>
        <w:t>LLDAS</w:t>
      </w:r>
      <w:r w:rsidR="002B57DB" w:rsidRPr="009941F8">
        <w:rPr>
          <w:lang w:eastAsia="en-US"/>
        </w:rPr>
        <w:t>’</w:t>
      </w:r>
      <w:r w:rsidRPr="009941F8">
        <w:rPr>
          <w:lang w:eastAsia="en-US"/>
        </w:rPr>
        <w:t xml:space="preserve"> on mortality compared to average SLE survival however was an assumption and therefore was uncertain. Organ damage accrual was similar across treatment arms and no longer a significant driver of the ICER</w:t>
      </w:r>
      <w:r w:rsidR="009941F8">
        <w:rPr>
          <w:lang w:eastAsia="en-US"/>
        </w:rPr>
        <w:t xml:space="preserve">. </w:t>
      </w:r>
      <w:r w:rsidR="00A81C92" w:rsidRPr="009941F8">
        <w:t>The PSCR stated that downstream benefits of achieving LLDAS were likely underestimated as LLDAS benefits were only applied within the LLDAS health states, when the sources informing these benefits (Golder 2019, Kandane</w:t>
      </w:r>
      <w:r w:rsidR="00A81C92" w:rsidRPr="009941F8">
        <w:rPr>
          <w:rFonts w:ascii="Cambria Math" w:hAnsi="Cambria Math" w:cs="Cambria Math"/>
        </w:rPr>
        <w:t>‑</w:t>
      </w:r>
      <w:r w:rsidR="00A81C92" w:rsidRPr="009941F8">
        <w:t xml:space="preserve">Rathnayake 2022a) showed benefits in patients who </w:t>
      </w:r>
      <w:r w:rsidR="001728F0" w:rsidRPr="009941F8">
        <w:t xml:space="preserve">had </w:t>
      </w:r>
      <w:r w:rsidR="00A81C92" w:rsidRPr="009941F8">
        <w:t>ever achieved LLDAS. Th</w:t>
      </w:r>
      <w:r w:rsidR="001728F0" w:rsidRPr="009941F8">
        <w:t>e ESC noted that this was</w:t>
      </w:r>
      <w:r w:rsidR="00A81C92" w:rsidRPr="009941F8">
        <w:t xml:space="preserve"> incorrect, as </w:t>
      </w:r>
      <w:r w:rsidR="00A81C92" w:rsidRPr="009941F8">
        <w:rPr>
          <w:rFonts w:ascii="Calibri" w:hAnsi="Calibri" w:cs="Calibri"/>
        </w:rPr>
        <w:t>‘</w:t>
      </w:r>
      <w:r w:rsidR="00A81C92" w:rsidRPr="009941F8">
        <w:t>LLDAS</w:t>
      </w:r>
      <w:r w:rsidR="00A81C92" w:rsidRPr="009941F8">
        <w:rPr>
          <w:rFonts w:ascii="Calibri" w:hAnsi="Calibri" w:cs="Calibri"/>
        </w:rPr>
        <w:t>’</w:t>
      </w:r>
      <w:r w:rsidR="00A81C92" w:rsidRPr="009941F8">
        <w:t xml:space="preserve"> as based on Golder 2019, which informed SDI increases and flares, was based on patients achieving LLDAS for at least 50% of the time</w:t>
      </w:r>
      <w:r w:rsidR="00A927C5" w:rsidRPr="009941F8">
        <w:t>. A</w:t>
      </w:r>
      <w:r w:rsidR="00A81C92" w:rsidRPr="009941F8">
        <w:t>s the ever-LLDAS mortality reduction from Kandane</w:t>
      </w:r>
      <w:r w:rsidR="00A81C92" w:rsidRPr="009941F8">
        <w:rPr>
          <w:rFonts w:ascii="Cambria Math" w:hAnsi="Cambria Math" w:cs="Cambria Math"/>
        </w:rPr>
        <w:t>‑</w:t>
      </w:r>
      <w:r w:rsidR="00A81C92" w:rsidRPr="009941F8">
        <w:t xml:space="preserve">Rathnayake 2022a only applied to patients in the </w:t>
      </w:r>
      <w:r w:rsidR="00A81C92" w:rsidRPr="009941F8">
        <w:rPr>
          <w:rFonts w:ascii="Calibri" w:hAnsi="Calibri" w:cs="Calibri"/>
        </w:rPr>
        <w:t>‘</w:t>
      </w:r>
      <w:r w:rsidR="00A81C92" w:rsidRPr="009941F8">
        <w:t>LLDAS</w:t>
      </w:r>
      <w:r w:rsidR="00A81C92" w:rsidRPr="009941F8">
        <w:rPr>
          <w:rFonts w:ascii="Calibri" w:hAnsi="Calibri" w:cs="Calibri"/>
        </w:rPr>
        <w:t>’</w:t>
      </w:r>
      <w:r w:rsidR="00A81C92" w:rsidRPr="009941F8">
        <w:t xml:space="preserve"> health state, the survival in </w:t>
      </w:r>
      <w:r w:rsidR="00A81C92" w:rsidRPr="009941F8">
        <w:rPr>
          <w:rFonts w:ascii="Calibri" w:hAnsi="Calibri" w:cs="Calibri"/>
        </w:rPr>
        <w:t>‘</w:t>
      </w:r>
      <w:r w:rsidR="00A81C92" w:rsidRPr="009941F8">
        <w:t>Not LLDAS</w:t>
      </w:r>
      <w:r w:rsidR="00A81C92" w:rsidRPr="009941F8">
        <w:rPr>
          <w:rFonts w:ascii="Calibri" w:hAnsi="Calibri" w:cs="Calibri"/>
        </w:rPr>
        <w:t>’</w:t>
      </w:r>
      <w:r w:rsidR="00A81C92" w:rsidRPr="009941F8">
        <w:t xml:space="preserve"> arm (which included ever-LLDAS patients) was likely underestimated</w:t>
      </w:r>
      <w:r w:rsidR="001728F0" w:rsidRPr="009941F8">
        <w:t>. T</w:t>
      </w:r>
      <w:r w:rsidR="00A81C92" w:rsidRPr="009941F8">
        <w:t>herefore</w:t>
      </w:r>
      <w:r w:rsidR="00A927C5" w:rsidRPr="009941F8">
        <w:t>,</w:t>
      </w:r>
      <w:r w:rsidR="00A81C92" w:rsidRPr="009941F8">
        <w:t xml:space="preserve"> the benefit for anifrolumab was potentially overestimated. </w:t>
      </w:r>
    </w:p>
    <w:p w14:paraId="3B924BA3" w14:textId="57A4746B" w:rsidR="00AB7860" w:rsidRPr="009941F8" w:rsidRDefault="00AB7860" w:rsidP="00A244E2">
      <w:pPr>
        <w:pStyle w:val="ListParagraph"/>
        <w:numPr>
          <w:ilvl w:val="0"/>
          <w:numId w:val="16"/>
        </w:numPr>
        <w:ind w:left="993"/>
        <w:rPr>
          <w:b/>
          <w:bCs/>
          <w:lang w:eastAsia="en-US"/>
        </w:rPr>
      </w:pPr>
      <w:r w:rsidRPr="009941F8">
        <w:rPr>
          <w:b/>
          <w:bCs/>
          <w:lang w:eastAsia="en-US"/>
        </w:rPr>
        <w:t>Reverse causality within regression analyses, appropriateness of model fit and the extrapolation of the regression coefficients across the time horizon and the high chance of double counting.</w:t>
      </w:r>
      <w:r w:rsidRPr="009941F8">
        <w:rPr>
          <w:lang w:eastAsia="en-US"/>
        </w:rPr>
        <w:t xml:space="preserve"> The resubmission presented a new model structure that did not rely on regression analyses, which was appropriate. </w:t>
      </w:r>
      <w:r w:rsidR="00D04514" w:rsidRPr="009941F8">
        <w:rPr>
          <w:lang w:eastAsia="en-US"/>
        </w:rPr>
        <w:t xml:space="preserve">The </w:t>
      </w:r>
      <w:r w:rsidRPr="009941F8">
        <w:rPr>
          <w:lang w:eastAsia="en-US"/>
        </w:rPr>
        <w:t>ESC previously considered that a simpler Markov cohort model structure would provide more transparency and may be more appropriate (paragraph 6.63, anifrolumab PSD, March 2023). While the revised model presented a Markov cohort model, it included 48 alive health states modelling treatment, treatment response (anifrolumab arm only), LLDAS status, and SDI score (0-5+)</w:t>
      </w:r>
      <w:r w:rsidR="009941F8">
        <w:rPr>
          <w:lang w:eastAsia="en-US"/>
        </w:rPr>
        <w:t xml:space="preserve">. </w:t>
      </w:r>
      <w:r w:rsidR="003633D0" w:rsidRPr="009941F8">
        <w:rPr>
          <w:lang w:eastAsia="en-US"/>
        </w:rPr>
        <w:t>The ESC considered that the revised model ha</w:t>
      </w:r>
      <w:r w:rsidR="00CD1B58" w:rsidRPr="009941F8">
        <w:rPr>
          <w:lang w:eastAsia="en-US"/>
        </w:rPr>
        <w:t>d</w:t>
      </w:r>
      <w:r w:rsidR="003633D0" w:rsidRPr="009941F8">
        <w:rPr>
          <w:lang w:eastAsia="en-US"/>
        </w:rPr>
        <w:t xml:space="preserve"> introduced unnecessary complexity due to the </w:t>
      </w:r>
      <w:r w:rsidR="00A06593" w:rsidRPr="009941F8">
        <w:rPr>
          <w:lang w:eastAsia="en-US"/>
        </w:rPr>
        <w:t>large</w:t>
      </w:r>
      <w:r w:rsidR="003633D0" w:rsidRPr="009941F8">
        <w:rPr>
          <w:lang w:eastAsia="en-US"/>
        </w:rPr>
        <w:t xml:space="preserve"> number of health states.</w:t>
      </w:r>
    </w:p>
    <w:p w14:paraId="766C8E4B" w14:textId="1824D7FE" w:rsidR="00AB7860" w:rsidRPr="009941F8" w:rsidRDefault="00AB7860" w:rsidP="00A244E2">
      <w:pPr>
        <w:pStyle w:val="ListParagraph"/>
        <w:numPr>
          <w:ilvl w:val="0"/>
          <w:numId w:val="16"/>
        </w:numPr>
        <w:ind w:left="993"/>
        <w:rPr>
          <w:rFonts w:eastAsia="Calibri"/>
        </w:rPr>
      </w:pPr>
      <w:r w:rsidRPr="009941F8">
        <w:rPr>
          <w:b/>
          <w:bCs/>
          <w:lang w:eastAsia="en-US"/>
        </w:rPr>
        <w:t>Plausibility</w:t>
      </w:r>
      <w:r w:rsidRPr="009941F8">
        <w:rPr>
          <w:rFonts w:eastAsia="Calibri"/>
          <w:b/>
          <w:bCs/>
        </w:rPr>
        <w:t xml:space="preserve"> and robustness </w:t>
      </w:r>
      <w:r w:rsidRPr="009941F8">
        <w:rPr>
          <w:b/>
          <w:bCs/>
          <w:lang w:eastAsia="en-US"/>
        </w:rPr>
        <w:t>of</w:t>
      </w:r>
      <w:r w:rsidRPr="009941F8">
        <w:rPr>
          <w:rFonts w:eastAsia="Calibri"/>
          <w:b/>
          <w:bCs/>
        </w:rPr>
        <w:t xml:space="preserve"> </w:t>
      </w:r>
      <w:r w:rsidRPr="009941F8">
        <w:rPr>
          <w:b/>
          <w:bCs/>
          <w:lang w:eastAsia="en-US"/>
        </w:rPr>
        <w:t>the</w:t>
      </w:r>
      <w:r w:rsidRPr="009941F8">
        <w:rPr>
          <w:rFonts w:eastAsia="Calibri"/>
          <w:b/>
          <w:bCs/>
        </w:rPr>
        <w:t xml:space="preserve"> model’s results. </w:t>
      </w:r>
      <w:r w:rsidRPr="009941F8">
        <w:rPr>
          <w:rFonts w:eastAsia="Calibri"/>
        </w:rPr>
        <w:t>Average utility in the absence of organ damage was &lt; 0.3 across the time horizon in the March 2023 resubmission compared to &gt; 0.8 in the July 2022 submission, based on minor changes between submissions. The July 2022 ICER was driven by survival, the March</w:t>
      </w:r>
      <w:r w:rsidR="00F54881">
        <w:rPr>
          <w:rFonts w:eastAsia="Calibri"/>
        </w:rPr>
        <w:t> </w:t>
      </w:r>
      <w:r w:rsidRPr="009941F8">
        <w:rPr>
          <w:rFonts w:eastAsia="Calibri"/>
        </w:rPr>
        <w:t xml:space="preserve">2023 resubmission ICER was driven by utility benefit and </w:t>
      </w:r>
      <w:r w:rsidR="002B57DB" w:rsidRPr="009941F8">
        <w:rPr>
          <w:rFonts w:eastAsia="Calibri"/>
        </w:rPr>
        <w:t xml:space="preserve">in this </w:t>
      </w:r>
      <w:r w:rsidRPr="009941F8">
        <w:rPr>
          <w:rFonts w:eastAsia="Calibri"/>
        </w:rPr>
        <w:t>resubmission</w:t>
      </w:r>
      <w:r w:rsidR="008310C5" w:rsidRPr="009941F8">
        <w:rPr>
          <w:rFonts w:eastAsia="Calibri"/>
        </w:rPr>
        <w:t>,</w:t>
      </w:r>
      <w:r w:rsidR="002B57DB" w:rsidRPr="009941F8">
        <w:rPr>
          <w:rFonts w:eastAsia="Calibri"/>
        </w:rPr>
        <w:t xml:space="preserve"> it</w:t>
      </w:r>
      <w:r w:rsidRPr="009941F8">
        <w:rPr>
          <w:rFonts w:eastAsia="Calibri"/>
        </w:rPr>
        <w:t xml:space="preserve"> </w:t>
      </w:r>
      <w:r w:rsidR="00295097" w:rsidRPr="009941F8">
        <w:rPr>
          <w:rFonts w:eastAsia="Calibri"/>
        </w:rPr>
        <w:t xml:space="preserve">was </w:t>
      </w:r>
      <w:r w:rsidRPr="009941F8">
        <w:rPr>
          <w:rFonts w:eastAsia="Calibri"/>
        </w:rPr>
        <w:t xml:space="preserve">driven by both. </w:t>
      </w:r>
      <w:r w:rsidR="002B57DB" w:rsidRPr="009941F8">
        <w:rPr>
          <w:rFonts w:eastAsia="Calibri"/>
        </w:rPr>
        <w:t xml:space="preserve">A </w:t>
      </w:r>
      <w:r w:rsidRPr="009941F8">
        <w:rPr>
          <w:rFonts w:eastAsia="Calibri"/>
        </w:rPr>
        <w:t xml:space="preserve">different </w:t>
      </w:r>
      <w:r w:rsidR="002B57DB" w:rsidRPr="009941F8">
        <w:rPr>
          <w:rFonts w:eastAsia="Calibri"/>
        </w:rPr>
        <w:t xml:space="preserve">model </w:t>
      </w:r>
      <w:r w:rsidRPr="009941F8">
        <w:rPr>
          <w:rFonts w:eastAsia="Calibri"/>
        </w:rPr>
        <w:t xml:space="preserve">structure </w:t>
      </w:r>
      <w:r w:rsidR="002B57DB" w:rsidRPr="009941F8">
        <w:rPr>
          <w:rFonts w:eastAsia="Calibri"/>
        </w:rPr>
        <w:t>was adopted in this resubmission compared to</w:t>
      </w:r>
      <w:r w:rsidRPr="009941F8">
        <w:rPr>
          <w:rFonts w:eastAsia="Calibri"/>
        </w:rPr>
        <w:t xml:space="preserve"> previous submissions and so </w:t>
      </w:r>
      <w:r w:rsidR="001728F0" w:rsidRPr="009941F8">
        <w:rPr>
          <w:rFonts w:eastAsia="Calibri"/>
        </w:rPr>
        <w:t xml:space="preserve">they were </w:t>
      </w:r>
      <w:r w:rsidRPr="009941F8">
        <w:rPr>
          <w:rFonts w:eastAsia="Calibri"/>
        </w:rPr>
        <w:t xml:space="preserve">not entirely comparable, but average utility over time </w:t>
      </w:r>
      <w:r w:rsidR="001728F0" w:rsidRPr="009941F8">
        <w:rPr>
          <w:rFonts w:eastAsia="Calibri"/>
        </w:rPr>
        <w:t xml:space="preserve">in this new model </w:t>
      </w:r>
      <w:r w:rsidRPr="009941F8">
        <w:rPr>
          <w:rFonts w:eastAsia="Calibri"/>
        </w:rPr>
        <w:t>was between 0.59 and 0.71</w:t>
      </w:r>
      <w:r w:rsidR="001728F0" w:rsidRPr="009941F8">
        <w:rPr>
          <w:rFonts w:eastAsia="Calibri"/>
        </w:rPr>
        <w:t>,</w:t>
      </w:r>
      <w:r w:rsidRPr="009941F8">
        <w:rPr>
          <w:rFonts w:eastAsia="Calibri"/>
        </w:rPr>
        <w:t xml:space="preserve"> </w:t>
      </w:r>
      <w:r w:rsidR="002B57DB" w:rsidRPr="009941F8">
        <w:rPr>
          <w:rFonts w:eastAsia="Calibri"/>
        </w:rPr>
        <w:t xml:space="preserve">with </w:t>
      </w:r>
      <w:r w:rsidRPr="009941F8">
        <w:rPr>
          <w:rFonts w:eastAsia="Calibri"/>
        </w:rPr>
        <w:t xml:space="preserve">an initial increase </w:t>
      </w:r>
      <w:r w:rsidR="002B57DB" w:rsidRPr="009941F8">
        <w:rPr>
          <w:rFonts w:eastAsia="Calibri"/>
        </w:rPr>
        <w:t xml:space="preserve">followed by </w:t>
      </w:r>
      <w:r w:rsidRPr="009941F8">
        <w:rPr>
          <w:rFonts w:eastAsia="Calibri"/>
        </w:rPr>
        <w:t>steady decline to 0.63 in both arms</w:t>
      </w:r>
      <w:r w:rsidR="00393221" w:rsidRPr="009941F8">
        <w:rPr>
          <w:rFonts w:eastAsia="Calibri"/>
        </w:rPr>
        <w:t>.</w:t>
      </w:r>
      <w:r w:rsidR="002B57DB" w:rsidRPr="009941F8">
        <w:rPr>
          <w:rFonts w:eastAsia="Calibri"/>
        </w:rPr>
        <w:t xml:space="preserve"> </w:t>
      </w:r>
      <w:r w:rsidR="00393221" w:rsidRPr="009941F8">
        <w:rPr>
          <w:rFonts w:eastAsia="Calibri"/>
        </w:rPr>
        <w:t xml:space="preserve">This </w:t>
      </w:r>
      <w:r w:rsidR="002B57DB" w:rsidRPr="009941F8">
        <w:rPr>
          <w:rFonts w:eastAsia="Calibri"/>
        </w:rPr>
        <w:t>was</w:t>
      </w:r>
      <w:r w:rsidRPr="009941F8">
        <w:rPr>
          <w:rFonts w:eastAsia="Calibri"/>
        </w:rPr>
        <w:t xml:space="preserve"> similar to </w:t>
      </w:r>
      <w:r w:rsidR="002B57DB" w:rsidRPr="009941F8">
        <w:rPr>
          <w:rFonts w:eastAsia="Calibri"/>
        </w:rPr>
        <w:lastRenderedPageBreak/>
        <w:t xml:space="preserve">results from </w:t>
      </w:r>
      <w:r w:rsidRPr="009941F8">
        <w:rPr>
          <w:rFonts w:eastAsia="Calibri"/>
        </w:rPr>
        <w:t xml:space="preserve">TULIP LTE at Year 4, </w:t>
      </w:r>
      <w:r w:rsidR="00393221" w:rsidRPr="009941F8">
        <w:rPr>
          <w:rFonts w:eastAsia="Calibri"/>
        </w:rPr>
        <w:t xml:space="preserve">which reported </w:t>
      </w:r>
      <w:r w:rsidRPr="009941F8">
        <w:rPr>
          <w:rFonts w:eastAsia="Calibri"/>
        </w:rPr>
        <w:t>a utility of ~0.7 for both</w:t>
      </w:r>
      <w:r w:rsidR="002B57DB" w:rsidRPr="009941F8">
        <w:rPr>
          <w:rFonts w:eastAsia="Calibri"/>
        </w:rPr>
        <w:t xml:space="preserve"> anifrolumab and SOC</w:t>
      </w:r>
      <w:r w:rsidRPr="009941F8">
        <w:rPr>
          <w:rFonts w:eastAsia="Calibri"/>
        </w:rPr>
        <w:t>. While the revised model was less sensitive to some model inputs (e.g. parameters informing organ damage), the model was not robust to assumptions concerning the impact of LLDAS on mortality and utility.</w:t>
      </w:r>
    </w:p>
    <w:p w14:paraId="3D9BCA88" w14:textId="5429C920" w:rsidR="00AB7860" w:rsidRPr="009941F8" w:rsidRDefault="00AB7860" w:rsidP="00A244E2">
      <w:pPr>
        <w:pStyle w:val="ListParagraph"/>
        <w:numPr>
          <w:ilvl w:val="0"/>
          <w:numId w:val="16"/>
        </w:numPr>
        <w:ind w:left="993"/>
        <w:rPr>
          <w:rFonts w:eastAsia="Calibri"/>
          <w:b/>
          <w:bCs/>
        </w:rPr>
      </w:pPr>
      <w:r w:rsidRPr="009941F8">
        <w:rPr>
          <w:rFonts w:eastAsia="Calibri"/>
          <w:b/>
          <w:bCs/>
        </w:rPr>
        <w:t xml:space="preserve">Price reduction. </w:t>
      </w:r>
      <w:r w:rsidRPr="009941F8">
        <w:rPr>
          <w:rFonts w:eastAsia="Calibri"/>
        </w:rPr>
        <w:t xml:space="preserve">The PBAC considered a price reduction in addition to a revised economic model would be necessary to achieve acceptable cost-effectiveness. </w:t>
      </w:r>
      <w:r w:rsidRPr="009941F8">
        <w:rPr>
          <w:lang w:eastAsia="en-US"/>
        </w:rPr>
        <w:t>The resubmission increased the effective DPMQ of anifrolumab to</w:t>
      </w:r>
      <w:r w:rsidRPr="009941F8">
        <w:rPr>
          <w:rFonts w:eastAsia="Calibri"/>
        </w:rPr>
        <w:t xml:space="preserve"> $</w:t>
      </w:r>
      <w:r w:rsidR="00640EC9" w:rsidRPr="00CE7EC7">
        <w:rPr>
          <w:rFonts w:eastAsia="Calibri"/>
          <w:color w:val="000000"/>
          <w:w w:val="15"/>
          <w:shd w:val="solid" w:color="000000" w:fill="000000"/>
          <w:fitText w:val="-20" w:id="-961890038"/>
          <w14:textFill>
            <w14:solidFill>
              <w14:srgbClr w14:val="000000">
                <w14:alpha w14:val="100000"/>
              </w14:srgbClr>
            </w14:solidFill>
          </w14:textFill>
        </w:rPr>
        <w:t xml:space="preserve">|  </w:t>
      </w:r>
      <w:r w:rsidR="00640EC9" w:rsidRPr="00CE7EC7">
        <w:rPr>
          <w:rFonts w:eastAsia="Calibri"/>
          <w:color w:val="000000"/>
          <w:spacing w:val="-69"/>
          <w:w w:val="15"/>
          <w:shd w:val="solid" w:color="000000" w:fill="000000"/>
          <w:fitText w:val="-20" w:id="-961890038"/>
          <w14:textFill>
            <w14:solidFill>
              <w14:srgbClr w14:val="000000">
                <w14:alpha w14:val="100000"/>
              </w14:srgbClr>
            </w14:solidFill>
          </w14:textFill>
        </w:rPr>
        <w:t>|</w:t>
      </w:r>
      <w:r w:rsidRPr="009941F8">
        <w:rPr>
          <w:rFonts w:eastAsia="Calibri"/>
        </w:rPr>
        <w:t xml:space="preserve"> per 300</w:t>
      </w:r>
      <w:r w:rsidR="00BA75EB">
        <w:rPr>
          <w:rFonts w:eastAsia="Calibri"/>
        </w:rPr>
        <w:t xml:space="preserve"> </w:t>
      </w:r>
      <w:r w:rsidRPr="009941F8">
        <w:rPr>
          <w:rFonts w:eastAsia="Calibri"/>
        </w:rPr>
        <w:t>mg vial of anifrolumab compared to $</w:t>
      </w:r>
      <w:r w:rsidR="00640EC9" w:rsidRPr="00CE7EC7">
        <w:rPr>
          <w:rFonts w:eastAsia="Calibri"/>
          <w:color w:val="000000"/>
          <w:w w:val="15"/>
          <w:shd w:val="solid" w:color="000000" w:fill="000000"/>
          <w:fitText w:val="-20" w:id="-961890037"/>
          <w14:textFill>
            <w14:solidFill>
              <w14:srgbClr w14:val="000000">
                <w14:alpha w14:val="100000"/>
              </w14:srgbClr>
            </w14:solidFill>
          </w14:textFill>
        </w:rPr>
        <w:t xml:space="preserve">|  </w:t>
      </w:r>
      <w:r w:rsidR="00640EC9" w:rsidRPr="00CE7EC7">
        <w:rPr>
          <w:rFonts w:eastAsia="Calibri"/>
          <w:color w:val="000000"/>
          <w:spacing w:val="-69"/>
          <w:w w:val="15"/>
          <w:shd w:val="solid" w:color="000000" w:fill="000000"/>
          <w:fitText w:val="-20" w:id="-961890037"/>
          <w14:textFill>
            <w14:solidFill>
              <w14:srgbClr w14:val="000000">
                <w14:alpha w14:val="100000"/>
              </w14:srgbClr>
            </w14:solidFill>
          </w14:textFill>
        </w:rPr>
        <w:t>|</w:t>
      </w:r>
      <w:r w:rsidRPr="009941F8">
        <w:rPr>
          <w:rFonts w:eastAsia="Calibri"/>
        </w:rPr>
        <w:t xml:space="preserve"> presented in the March 2023 pre-PBAC response (but </w:t>
      </w:r>
      <w:r w:rsidR="00393221" w:rsidRPr="009941F8">
        <w:rPr>
          <w:rFonts w:eastAsia="Calibri"/>
        </w:rPr>
        <w:t xml:space="preserve">this </w:t>
      </w:r>
      <w:r w:rsidRPr="009941F8">
        <w:rPr>
          <w:rFonts w:eastAsia="Calibri"/>
        </w:rPr>
        <w:t xml:space="preserve">was lower than the </w:t>
      </w:r>
      <w:r w:rsidR="00393221" w:rsidRPr="009941F8">
        <w:rPr>
          <w:rFonts w:eastAsia="Calibri"/>
        </w:rPr>
        <w:t>DPMQ</w:t>
      </w:r>
      <w:r w:rsidR="001F01CC" w:rsidRPr="009941F8">
        <w:rPr>
          <w:rFonts w:eastAsia="Calibri"/>
        </w:rPr>
        <w:t xml:space="preserve"> </w:t>
      </w:r>
      <w:r w:rsidRPr="009941F8">
        <w:rPr>
          <w:rFonts w:eastAsia="Calibri"/>
        </w:rPr>
        <w:t xml:space="preserve">proposed in the March 2023 resubmission </w:t>
      </w:r>
      <w:r w:rsidR="00393221" w:rsidRPr="009941F8">
        <w:rPr>
          <w:rFonts w:eastAsia="Calibri"/>
        </w:rPr>
        <w:t xml:space="preserve">of </w:t>
      </w:r>
      <w:r w:rsidRPr="009941F8">
        <w:rPr>
          <w:rFonts w:eastAsia="Calibri"/>
        </w:rPr>
        <w:t>$</w:t>
      </w:r>
      <w:r w:rsidR="00640EC9" w:rsidRPr="00CE7EC7">
        <w:rPr>
          <w:rFonts w:eastAsia="Calibri"/>
          <w:color w:val="000000"/>
          <w:w w:val="15"/>
          <w:shd w:val="solid" w:color="000000" w:fill="000000"/>
          <w:fitText w:val="-20" w:id="-961890036"/>
          <w14:textFill>
            <w14:solidFill>
              <w14:srgbClr w14:val="000000">
                <w14:alpha w14:val="100000"/>
              </w14:srgbClr>
            </w14:solidFill>
          </w14:textFill>
        </w:rPr>
        <w:t xml:space="preserve">|  </w:t>
      </w:r>
      <w:r w:rsidR="00640EC9" w:rsidRPr="00CE7EC7">
        <w:rPr>
          <w:rFonts w:eastAsia="Calibri"/>
          <w:color w:val="000000"/>
          <w:spacing w:val="-69"/>
          <w:w w:val="15"/>
          <w:shd w:val="solid" w:color="000000" w:fill="000000"/>
          <w:fitText w:val="-20" w:id="-961890036"/>
          <w14:textFill>
            <w14:solidFill>
              <w14:srgbClr w14:val="000000">
                <w14:alpha w14:val="100000"/>
              </w14:srgbClr>
            </w14:solidFill>
          </w14:textFill>
        </w:rPr>
        <w:t>|</w:t>
      </w:r>
      <w:r w:rsidRPr="009941F8">
        <w:rPr>
          <w:rFonts w:eastAsia="Calibri"/>
        </w:rPr>
        <w:t>).</w:t>
      </w:r>
    </w:p>
    <w:p w14:paraId="1CB5A3D7" w14:textId="7BC10B1B" w:rsidR="00AB7860" w:rsidRPr="009941F8" w:rsidRDefault="00A927C5" w:rsidP="00A244E2">
      <w:pPr>
        <w:pStyle w:val="3-BodyText"/>
      </w:pPr>
      <w:r w:rsidRPr="009941F8">
        <w:t>See</w:t>
      </w:r>
      <w:r w:rsidR="00AB7860" w:rsidRPr="009941F8">
        <w:t xml:space="preserve"> </w:t>
      </w:r>
      <w:r w:rsidR="00AB7860" w:rsidRPr="009941F8">
        <w:fldChar w:fldCharType="begin" w:fldLock="1"/>
      </w:r>
      <w:r w:rsidR="00AB7860" w:rsidRPr="009941F8">
        <w:instrText xml:space="preserve"> REF _Ref121698161 \h </w:instrText>
      </w:r>
      <w:r w:rsidR="00901668" w:rsidRPr="009941F8">
        <w:instrText xml:space="preserve"> \* MERGEFORMAT </w:instrText>
      </w:r>
      <w:r w:rsidR="00AB7860" w:rsidRPr="009941F8">
        <w:fldChar w:fldCharType="separate"/>
      </w:r>
      <w:r w:rsidR="00F07501" w:rsidRPr="009941F8">
        <w:t xml:space="preserve">Table </w:t>
      </w:r>
      <w:r w:rsidR="00F07501">
        <w:t>8</w:t>
      </w:r>
      <w:r w:rsidR="00AB7860" w:rsidRPr="009941F8">
        <w:fldChar w:fldCharType="end"/>
      </w:r>
      <w:r w:rsidRPr="009941F8">
        <w:t xml:space="preserve"> for a summary of the key components of the economic evaluation</w:t>
      </w:r>
      <w:r w:rsidR="00AB7860" w:rsidRPr="009941F8">
        <w:t>.</w:t>
      </w:r>
    </w:p>
    <w:p w14:paraId="7F5B402D" w14:textId="1732D4B0" w:rsidR="00AB7860" w:rsidRPr="009941F8" w:rsidRDefault="00AB7860" w:rsidP="00235D09">
      <w:pPr>
        <w:pStyle w:val="TableFigureHeading"/>
        <w:rPr>
          <w:rStyle w:val="CommentReference"/>
          <w:b/>
          <w:szCs w:val="24"/>
        </w:rPr>
      </w:pPr>
      <w:bookmarkStart w:id="58" w:name="_Ref121698161"/>
      <w:bookmarkStart w:id="59" w:name="_Hlk124513677"/>
      <w:r w:rsidRPr="009941F8">
        <w:t xml:space="preserve">Table </w:t>
      </w:r>
      <w:r w:rsidR="00CE7EC7">
        <w:fldChar w:fldCharType="begin" w:fldLock="1"/>
      </w:r>
      <w:r w:rsidR="00CE7EC7">
        <w:instrText xml:space="preserve"> SEQ Table \* ARABIC </w:instrText>
      </w:r>
      <w:r w:rsidR="00CE7EC7">
        <w:fldChar w:fldCharType="separate"/>
      </w:r>
      <w:r w:rsidR="00F07501">
        <w:rPr>
          <w:noProof/>
        </w:rPr>
        <w:t>8</w:t>
      </w:r>
      <w:r w:rsidR="00CE7EC7">
        <w:rPr>
          <w:noProof/>
        </w:rPr>
        <w:fldChar w:fldCharType="end"/>
      </w:r>
      <w:bookmarkEnd w:id="58"/>
      <w:r w:rsidRPr="009941F8">
        <w:t>:</w:t>
      </w:r>
      <w:r w:rsidRPr="009941F8">
        <w:rPr>
          <w:rStyle w:val="CommentReference"/>
          <w:b/>
          <w:szCs w:val="24"/>
        </w:rPr>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967"/>
        <w:gridCol w:w="2571"/>
        <w:gridCol w:w="5479"/>
      </w:tblGrid>
      <w:tr w:rsidR="00AB7860" w:rsidRPr="009941F8" w14:paraId="023835FE" w14:textId="77777777" w:rsidTr="00A244E2">
        <w:trPr>
          <w:tblHeader/>
        </w:trPr>
        <w:tc>
          <w:tcPr>
            <w:tcW w:w="536" w:type="pct"/>
            <w:shd w:val="clear" w:color="auto" w:fill="auto"/>
            <w:vAlign w:val="center"/>
          </w:tcPr>
          <w:bookmarkEnd w:id="59"/>
          <w:p w14:paraId="6AB9ECB7" w14:textId="77777777" w:rsidR="00AB7860" w:rsidRPr="009941F8" w:rsidRDefault="00AB7860" w:rsidP="00235D09">
            <w:pPr>
              <w:pStyle w:val="In-tableHeading"/>
              <w:widowControl w:val="0"/>
              <w:jc w:val="center"/>
              <w:rPr>
                <w:lang w:val="en-AU"/>
              </w:rPr>
            </w:pPr>
            <w:r w:rsidRPr="009941F8">
              <w:rPr>
                <w:lang w:val="en-AU"/>
              </w:rPr>
              <w:t>Component</w:t>
            </w:r>
          </w:p>
        </w:tc>
        <w:tc>
          <w:tcPr>
            <w:tcW w:w="1426" w:type="pct"/>
            <w:shd w:val="clear" w:color="auto" w:fill="auto"/>
          </w:tcPr>
          <w:p w14:paraId="79BB17BF" w14:textId="77777777" w:rsidR="00AB7860" w:rsidRPr="009941F8" w:rsidRDefault="00AB7860" w:rsidP="00235D09">
            <w:pPr>
              <w:pStyle w:val="In-tableHeading"/>
              <w:widowControl w:val="0"/>
              <w:jc w:val="center"/>
              <w:rPr>
                <w:lang w:val="en-AU"/>
              </w:rPr>
            </w:pPr>
            <w:r w:rsidRPr="009941F8">
              <w:rPr>
                <w:lang w:val="en-AU"/>
              </w:rPr>
              <w:t>March 2023 resubmission</w:t>
            </w:r>
          </w:p>
        </w:tc>
        <w:tc>
          <w:tcPr>
            <w:tcW w:w="3038" w:type="pct"/>
            <w:shd w:val="clear" w:color="auto" w:fill="auto"/>
          </w:tcPr>
          <w:p w14:paraId="198AF07A" w14:textId="77777777" w:rsidR="00AB7860" w:rsidRPr="009941F8" w:rsidRDefault="00AB7860" w:rsidP="00235D09">
            <w:pPr>
              <w:pStyle w:val="In-tableHeading"/>
              <w:widowControl w:val="0"/>
              <w:jc w:val="center"/>
              <w:rPr>
                <w:lang w:val="en-AU"/>
              </w:rPr>
            </w:pPr>
            <w:r w:rsidRPr="009941F8">
              <w:rPr>
                <w:lang w:val="en-AU"/>
              </w:rPr>
              <w:t>Resubmission Justification/comments</w:t>
            </w:r>
          </w:p>
        </w:tc>
      </w:tr>
      <w:tr w:rsidR="00AB7860" w:rsidRPr="009941F8" w14:paraId="123406BA" w14:textId="77777777" w:rsidTr="00A244E2">
        <w:tc>
          <w:tcPr>
            <w:tcW w:w="536" w:type="pct"/>
            <w:shd w:val="clear" w:color="auto" w:fill="auto"/>
            <w:vAlign w:val="center"/>
          </w:tcPr>
          <w:p w14:paraId="417BF131" w14:textId="77777777" w:rsidR="00AB7860" w:rsidRPr="009941F8" w:rsidRDefault="00AB7860" w:rsidP="00235D09">
            <w:pPr>
              <w:pStyle w:val="TableText0"/>
              <w:widowControl w:val="0"/>
            </w:pPr>
            <w:r w:rsidRPr="009941F8">
              <w:t>Type of analysis</w:t>
            </w:r>
          </w:p>
        </w:tc>
        <w:tc>
          <w:tcPr>
            <w:tcW w:w="1426" w:type="pct"/>
            <w:shd w:val="clear" w:color="auto" w:fill="auto"/>
            <w:vAlign w:val="center"/>
          </w:tcPr>
          <w:p w14:paraId="4AE0CD2E" w14:textId="77777777" w:rsidR="00AB7860" w:rsidRPr="009941F8" w:rsidRDefault="00AB7860" w:rsidP="00235D09">
            <w:pPr>
              <w:pStyle w:val="TableText0"/>
              <w:widowControl w:val="0"/>
            </w:pPr>
            <w:r w:rsidRPr="009941F8">
              <w:t>Cost-utility</w:t>
            </w:r>
          </w:p>
        </w:tc>
        <w:tc>
          <w:tcPr>
            <w:tcW w:w="3038" w:type="pct"/>
            <w:shd w:val="clear" w:color="auto" w:fill="auto"/>
            <w:vAlign w:val="center"/>
          </w:tcPr>
          <w:p w14:paraId="2D2C292A" w14:textId="77777777" w:rsidR="00AB7860" w:rsidRPr="009941F8" w:rsidRDefault="00AB7860" w:rsidP="00235D09">
            <w:pPr>
              <w:pStyle w:val="TableText0"/>
              <w:widowControl w:val="0"/>
            </w:pPr>
            <w:r w:rsidRPr="009941F8">
              <w:t>Unchanged. Appropriate.</w:t>
            </w:r>
          </w:p>
        </w:tc>
      </w:tr>
      <w:tr w:rsidR="00AB7860" w:rsidRPr="009941F8" w14:paraId="6A3AC080" w14:textId="77777777" w:rsidTr="00A244E2">
        <w:tc>
          <w:tcPr>
            <w:tcW w:w="536" w:type="pct"/>
            <w:shd w:val="clear" w:color="auto" w:fill="auto"/>
            <w:vAlign w:val="center"/>
          </w:tcPr>
          <w:p w14:paraId="70F2D892" w14:textId="77777777" w:rsidR="00AB7860" w:rsidRPr="009941F8" w:rsidRDefault="00AB7860" w:rsidP="00235D09">
            <w:pPr>
              <w:pStyle w:val="TableText0"/>
              <w:widowControl w:val="0"/>
            </w:pPr>
            <w:r w:rsidRPr="009941F8">
              <w:t>Outcomes</w:t>
            </w:r>
          </w:p>
        </w:tc>
        <w:tc>
          <w:tcPr>
            <w:tcW w:w="1426" w:type="pct"/>
            <w:shd w:val="clear" w:color="auto" w:fill="auto"/>
            <w:vAlign w:val="center"/>
          </w:tcPr>
          <w:p w14:paraId="2F6B526D" w14:textId="77777777" w:rsidR="00AB7860" w:rsidRPr="009941F8" w:rsidRDefault="00AB7860" w:rsidP="00235D09">
            <w:pPr>
              <w:pStyle w:val="TableText0"/>
              <w:widowControl w:val="0"/>
            </w:pPr>
            <w:r w:rsidRPr="009941F8">
              <w:t>Quality adjusted life years (QALYs)</w:t>
            </w:r>
          </w:p>
        </w:tc>
        <w:tc>
          <w:tcPr>
            <w:tcW w:w="3038" w:type="pct"/>
            <w:shd w:val="clear" w:color="auto" w:fill="auto"/>
            <w:vAlign w:val="center"/>
          </w:tcPr>
          <w:p w14:paraId="4345DCF7" w14:textId="77777777" w:rsidR="00AB7860" w:rsidRPr="009941F8" w:rsidRDefault="00AB7860" w:rsidP="00235D09">
            <w:pPr>
              <w:pStyle w:val="TableText0"/>
              <w:widowControl w:val="0"/>
            </w:pPr>
            <w:r w:rsidRPr="009941F8">
              <w:t>Life years and OCS use also presented. Appropriate, but disaggregated QALYs were presented by SDI health state, rather than LLDAS, which gave the incorrect impression the SDI was a key driver of the benefits. LLDAS drove differences in both life years and quality of life, rather than SDI score.</w:t>
            </w:r>
          </w:p>
        </w:tc>
      </w:tr>
      <w:tr w:rsidR="00AB7860" w:rsidRPr="009941F8" w14:paraId="0AA6D140" w14:textId="77777777" w:rsidTr="00A244E2">
        <w:tc>
          <w:tcPr>
            <w:tcW w:w="536" w:type="pct"/>
            <w:shd w:val="clear" w:color="auto" w:fill="auto"/>
            <w:vAlign w:val="center"/>
          </w:tcPr>
          <w:p w14:paraId="6AF7E75B" w14:textId="77777777" w:rsidR="00AB7860" w:rsidRPr="009941F8" w:rsidRDefault="00AB7860" w:rsidP="00235D09">
            <w:pPr>
              <w:pStyle w:val="TableText0"/>
              <w:widowControl w:val="0"/>
            </w:pPr>
            <w:r w:rsidRPr="009941F8">
              <w:t>Time horizon</w:t>
            </w:r>
          </w:p>
        </w:tc>
        <w:tc>
          <w:tcPr>
            <w:tcW w:w="1426" w:type="pct"/>
            <w:shd w:val="clear" w:color="auto" w:fill="auto"/>
            <w:vAlign w:val="center"/>
          </w:tcPr>
          <w:p w14:paraId="43738DBD" w14:textId="77777777" w:rsidR="00AB7860" w:rsidRPr="009941F8" w:rsidRDefault="00AB7860" w:rsidP="00235D09">
            <w:pPr>
              <w:pStyle w:val="TableText0"/>
              <w:widowControl w:val="0"/>
            </w:pPr>
            <w:r w:rsidRPr="009941F8">
              <w:t>30 years in the model base case vs. 52 weeks in TULIP 1 and 2, plus 3 years follow up from TULIP LTE (total 4 years)</w:t>
            </w:r>
          </w:p>
        </w:tc>
        <w:tc>
          <w:tcPr>
            <w:tcW w:w="3038" w:type="pct"/>
            <w:shd w:val="clear" w:color="auto" w:fill="auto"/>
            <w:vAlign w:val="center"/>
          </w:tcPr>
          <w:p w14:paraId="431152EB" w14:textId="3706B9DB" w:rsidR="00AB7860" w:rsidRPr="009941F8" w:rsidRDefault="00AB7860" w:rsidP="00235D09">
            <w:pPr>
              <w:pStyle w:val="TableText0"/>
              <w:widowControl w:val="0"/>
            </w:pPr>
            <w:r w:rsidRPr="009941F8">
              <w:t>Lifetime (to age 100). In the base case this was equal to 59 years</w:t>
            </w:r>
            <w:r w:rsidR="00801559" w:rsidRPr="009941F8">
              <w:t>.</w:t>
            </w:r>
            <w:r w:rsidRPr="009941F8">
              <w:t xml:space="preserve"> Trial evidence remained short relative to the 59-year time horizon of the model.</w:t>
            </w:r>
          </w:p>
        </w:tc>
      </w:tr>
      <w:tr w:rsidR="00AB7860" w:rsidRPr="009941F8" w14:paraId="14F01BB6" w14:textId="77777777" w:rsidTr="00A244E2">
        <w:tc>
          <w:tcPr>
            <w:tcW w:w="536" w:type="pct"/>
            <w:shd w:val="clear" w:color="auto" w:fill="auto"/>
            <w:vAlign w:val="center"/>
          </w:tcPr>
          <w:p w14:paraId="3CB6297D" w14:textId="77777777" w:rsidR="00AB7860" w:rsidRPr="009941F8" w:rsidRDefault="00AB7860" w:rsidP="00235D09">
            <w:pPr>
              <w:pStyle w:val="TableText0"/>
              <w:widowControl w:val="0"/>
            </w:pPr>
            <w:r w:rsidRPr="009941F8">
              <w:t>Methods used to generate results</w:t>
            </w:r>
          </w:p>
        </w:tc>
        <w:tc>
          <w:tcPr>
            <w:tcW w:w="1426" w:type="pct"/>
            <w:shd w:val="clear" w:color="auto" w:fill="auto"/>
            <w:vAlign w:val="center"/>
          </w:tcPr>
          <w:p w14:paraId="336284D1" w14:textId="77777777" w:rsidR="00AB7860" w:rsidRPr="009941F8" w:rsidRDefault="00AB7860" w:rsidP="00235D09">
            <w:pPr>
              <w:pStyle w:val="TableText0"/>
              <w:widowControl w:val="0"/>
            </w:pPr>
            <w:r w:rsidRPr="009941F8">
              <w:t>Individual patient microsimulation.</w:t>
            </w:r>
          </w:p>
        </w:tc>
        <w:tc>
          <w:tcPr>
            <w:tcW w:w="3038" w:type="pct"/>
            <w:shd w:val="clear" w:color="auto" w:fill="auto"/>
            <w:vAlign w:val="center"/>
          </w:tcPr>
          <w:p w14:paraId="658E08AF" w14:textId="77777777" w:rsidR="00AB7860" w:rsidRPr="009941F8" w:rsidRDefault="00AB7860" w:rsidP="00235D09">
            <w:pPr>
              <w:pStyle w:val="TableText0"/>
              <w:widowControl w:val="0"/>
            </w:pPr>
            <w:r w:rsidRPr="009941F8">
              <w:t>Markov cohort model. ESC had previously considered that a simpler Markov cohort model may be more reasonable and provide greater transparency in the underlying assumptions (para 6.63, anifrolumab PSD, March 2023).</w:t>
            </w:r>
          </w:p>
        </w:tc>
      </w:tr>
      <w:tr w:rsidR="00AB7860" w:rsidRPr="009941F8" w14:paraId="6CF72C69" w14:textId="77777777" w:rsidTr="00A244E2">
        <w:tc>
          <w:tcPr>
            <w:tcW w:w="536" w:type="pct"/>
            <w:shd w:val="clear" w:color="auto" w:fill="auto"/>
            <w:vAlign w:val="center"/>
          </w:tcPr>
          <w:p w14:paraId="5A63CB70" w14:textId="3ACC4207" w:rsidR="00801559" w:rsidRPr="009941F8" w:rsidRDefault="00AB7860" w:rsidP="00235D09">
            <w:pPr>
              <w:pStyle w:val="TableText0"/>
              <w:widowControl w:val="0"/>
            </w:pPr>
            <w:r w:rsidRPr="009941F8">
              <w:t>Health states</w:t>
            </w:r>
          </w:p>
        </w:tc>
        <w:tc>
          <w:tcPr>
            <w:tcW w:w="1426" w:type="pct"/>
            <w:shd w:val="clear" w:color="auto" w:fill="auto"/>
            <w:vAlign w:val="center"/>
          </w:tcPr>
          <w:p w14:paraId="41807BFA" w14:textId="77777777" w:rsidR="00AB7860" w:rsidRPr="009941F8" w:rsidRDefault="00AB7860" w:rsidP="00235D09">
            <w:pPr>
              <w:pStyle w:val="TableText0"/>
              <w:widowControl w:val="0"/>
              <w:numPr>
                <w:ilvl w:val="0"/>
                <w:numId w:val="15"/>
              </w:numPr>
              <w:ind w:left="136" w:hanging="141"/>
            </w:pPr>
            <w:r w:rsidRPr="009941F8">
              <w:t>Anifrolumab arm: alive on treatment, alive off treatment, dead.</w:t>
            </w:r>
          </w:p>
          <w:p w14:paraId="7920FC0F" w14:textId="77777777" w:rsidR="00AB7860" w:rsidRPr="009941F8" w:rsidRDefault="00AB7860" w:rsidP="00235D09">
            <w:pPr>
              <w:pStyle w:val="TableText0"/>
              <w:widowControl w:val="0"/>
              <w:numPr>
                <w:ilvl w:val="0"/>
                <w:numId w:val="15"/>
              </w:numPr>
              <w:ind w:left="136" w:hanging="141"/>
            </w:pPr>
            <w:r w:rsidRPr="009941F8">
              <w:t>SOC arm: alive, dead.</w:t>
            </w:r>
          </w:p>
          <w:p w14:paraId="0172CE47" w14:textId="77777777" w:rsidR="00AB7860" w:rsidRPr="009941F8" w:rsidRDefault="00AB7860" w:rsidP="00235D09">
            <w:pPr>
              <w:pStyle w:val="TableText0"/>
              <w:widowControl w:val="0"/>
            </w:pPr>
            <w:r w:rsidRPr="009941F8">
              <w:t>Each cycle patients could also experience events such as flares, organ damage, OCS use, and change in SLEDAI-2K. Some events were associated with ongoing costs and disutilities, effectively making these a different health state.</w:t>
            </w:r>
          </w:p>
        </w:tc>
        <w:tc>
          <w:tcPr>
            <w:tcW w:w="3038" w:type="pct"/>
            <w:shd w:val="clear" w:color="auto" w:fill="auto"/>
          </w:tcPr>
          <w:p w14:paraId="2C6032F7" w14:textId="6E6001B7" w:rsidR="00AB7860" w:rsidRPr="009941F8" w:rsidRDefault="00AB7860" w:rsidP="00235D09">
            <w:pPr>
              <w:pStyle w:val="TableText0"/>
              <w:widowControl w:val="0"/>
            </w:pPr>
            <w:r w:rsidRPr="009941F8">
              <w:t>Dead plus 48 alive health states defined by treatment (anifrolumab on treatment, anifrolumab responder off treatment responder [LLDAS at 26 weeks], anifrolumab non-responder off treatment [not LLDAS at 26 weeks], SOC), LLDAS state (LLDAS, not LLDAS), and SDI score (0, 1, 2, 3, 4, ≥5). Response in the economic model was equivalent to achievement of LLDAS by week 24 (modelled as week 26) and anifrolumab non-responders discontinued treatment beyond this point. Patients discontinued anifrolumab each cycle from week 26 if they failed to maintain LLDAS</w:t>
            </w:r>
            <w:r w:rsidR="00801559" w:rsidRPr="009941F8">
              <w:t xml:space="preserve">. See </w:t>
            </w:r>
            <w:r w:rsidR="00801559" w:rsidRPr="009941F8">
              <w:fldChar w:fldCharType="begin" w:fldLock="1"/>
            </w:r>
            <w:r w:rsidR="00801559" w:rsidRPr="009941F8">
              <w:instrText xml:space="preserve"> REF _Ref153930448 \h </w:instrText>
            </w:r>
            <w:r w:rsidR="00901668" w:rsidRPr="009941F8">
              <w:instrText xml:space="preserve"> \* MERGEFORMAT </w:instrText>
            </w:r>
            <w:r w:rsidR="00801559" w:rsidRPr="009941F8">
              <w:fldChar w:fldCharType="separate"/>
            </w:r>
            <w:r w:rsidR="00F07501" w:rsidRPr="009941F8">
              <w:t xml:space="preserve">Figure </w:t>
            </w:r>
            <w:r w:rsidR="00F07501">
              <w:t>2</w:t>
            </w:r>
            <w:r w:rsidR="00801559" w:rsidRPr="009941F8">
              <w:fldChar w:fldCharType="end"/>
            </w:r>
            <w:r w:rsidR="00801559" w:rsidRPr="009941F8">
              <w:t>.</w:t>
            </w:r>
          </w:p>
          <w:p w14:paraId="15DB9C1C" w14:textId="77777777" w:rsidR="00AB7860" w:rsidRPr="009941F8" w:rsidRDefault="00AB7860" w:rsidP="00235D09">
            <w:pPr>
              <w:pStyle w:val="TableText0"/>
              <w:widowControl w:val="0"/>
            </w:pPr>
          </w:p>
          <w:p w14:paraId="2500A68E" w14:textId="77777777" w:rsidR="00AB7860" w:rsidRPr="009941F8" w:rsidRDefault="00AB7860" w:rsidP="00235D09">
            <w:pPr>
              <w:pStyle w:val="TableText0"/>
              <w:widowControl w:val="0"/>
            </w:pPr>
            <w:r w:rsidRPr="009941F8">
              <w:t xml:space="preserve">Each cycle patients could also experience events such as flares (estimated from APLC data, Golder 2019), herpes zoster and infusion related reactions (estimated from pooled TULIP data). </w:t>
            </w:r>
          </w:p>
          <w:p w14:paraId="25025AE6" w14:textId="77777777" w:rsidR="00AB7860" w:rsidRPr="009941F8" w:rsidRDefault="00AB7860" w:rsidP="00235D09">
            <w:pPr>
              <w:pStyle w:val="TableText0"/>
              <w:widowControl w:val="0"/>
            </w:pPr>
          </w:p>
          <w:p w14:paraId="6665DDB4" w14:textId="77777777" w:rsidR="00AB7860" w:rsidRPr="009941F8" w:rsidRDefault="00AB7860" w:rsidP="00235D09">
            <w:pPr>
              <w:pStyle w:val="TableText0"/>
              <w:widowControl w:val="0"/>
            </w:pPr>
            <w:r w:rsidRPr="009941F8">
              <w:t xml:space="preserve">Health states and events were reasonable, but were potentially complex with 49 possible health states. However, movement between the SDI health states of the model had little effect upon the ICER. </w:t>
            </w:r>
          </w:p>
        </w:tc>
      </w:tr>
      <w:tr w:rsidR="00AB7860" w:rsidRPr="009941F8" w14:paraId="7ED77FD2" w14:textId="77777777" w:rsidTr="00A244E2">
        <w:tc>
          <w:tcPr>
            <w:tcW w:w="536" w:type="pct"/>
            <w:shd w:val="clear" w:color="auto" w:fill="auto"/>
            <w:vAlign w:val="center"/>
          </w:tcPr>
          <w:p w14:paraId="616FB92B" w14:textId="77777777" w:rsidR="00AB7860" w:rsidRPr="009941F8" w:rsidRDefault="00AB7860" w:rsidP="00235D09">
            <w:pPr>
              <w:pStyle w:val="TableText0"/>
              <w:keepNext w:val="0"/>
              <w:widowControl w:val="0"/>
            </w:pPr>
            <w:r w:rsidRPr="009941F8">
              <w:t>Cycle length</w:t>
            </w:r>
          </w:p>
        </w:tc>
        <w:tc>
          <w:tcPr>
            <w:tcW w:w="1426" w:type="pct"/>
            <w:shd w:val="clear" w:color="auto" w:fill="auto"/>
            <w:vAlign w:val="center"/>
          </w:tcPr>
          <w:p w14:paraId="161F9EBC" w14:textId="249B3B6B" w:rsidR="00AB7860" w:rsidRPr="009941F8" w:rsidRDefault="00AB7860" w:rsidP="00235D09">
            <w:pPr>
              <w:pStyle w:val="TableText0"/>
              <w:keepNext w:val="0"/>
              <w:widowControl w:val="0"/>
            </w:pPr>
            <w:r w:rsidRPr="009941F8">
              <w:t>6 months</w:t>
            </w:r>
            <w:r w:rsidR="00966B35" w:rsidRPr="009941F8">
              <w:t xml:space="preserve"> (26 weeks)</w:t>
            </w:r>
            <w:r w:rsidRPr="009941F8">
              <w:t>.</w:t>
            </w:r>
          </w:p>
        </w:tc>
        <w:tc>
          <w:tcPr>
            <w:tcW w:w="3038" w:type="pct"/>
            <w:shd w:val="clear" w:color="auto" w:fill="auto"/>
            <w:vAlign w:val="center"/>
          </w:tcPr>
          <w:p w14:paraId="56194C4A" w14:textId="75BBD576" w:rsidR="00AB7860" w:rsidRPr="009941F8" w:rsidRDefault="00AB7860" w:rsidP="00235D09">
            <w:pPr>
              <w:pStyle w:val="TableText0"/>
              <w:keepNext w:val="0"/>
              <w:widowControl w:val="0"/>
            </w:pPr>
            <w:r w:rsidRPr="009941F8">
              <w:t>Unchanged. Reasonable, though LLDAS attainment may vary over 6 months and may be assessed on average every 3.4 months (Golder 2019). Therefore</w:t>
            </w:r>
            <w:r w:rsidR="00801559" w:rsidRPr="009941F8">
              <w:t>,</w:t>
            </w:r>
            <w:r w:rsidRPr="009941F8">
              <w:t xml:space="preserve"> the model cycle length may not capture all events.</w:t>
            </w:r>
          </w:p>
          <w:p w14:paraId="2390A35A" w14:textId="77777777" w:rsidR="00AB7860" w:rsidRPr="009941F8" w:rsidRDefault="00AB7860" w:rsidP="00235D09">
            <w:pPr>
              <w:pStyle w:val="TableText0"/>
              <w:keepNext w:val="0"/>
              <w:widowControl w:val="0"/>
            </w:pPr>
            <w:r w:rsidRPr="009941F8">
              <w:t>A half cycle correction was applied to life years, QALYs and health state costs, but not to treatment costs.</w:t>
            </w:r>
          </w:p>
        </w:tc>
      </w:tr>
      <w:tr w:rsidR="00AB7860" w:rsidRPr="009941F8" w14:paraId="18417789" w14:textId="77777777" w:rsidTr="00A244E2">
        <w:tc>
          <w:tcPr>
            <w:tcW w:w="536" w:type="pct"/>
            <w:shd w:val="clear" w:color="auto" w:fill="auto"/>
            <w:vAlign w:val="center"/>
          </w:tcPr>
          <w:p w14:paraId="2C4F8A1C" w14:textId="77777777" w:rsidR="00AB7860" w:rsidRPr="009941F8" w:rsidRDefault="00AB7860" w:rsidP="00235D09">
            <w:pPr>
              <w:pStyle w:val="TableText0"/>
              <w:widowControl w:val="0"/>
            </w:pPr>
            <w:r w:rsidRPr="009941F8">
              <w:lastRenderedPageBreak/>
              <w:t>Transition probabilities</w:t>
            </w:r>
          </w:p>
        </w:tc>
        <w:tc>
          <w:tcPr>
            <w:tcW w:w="1426" w:type="pct"/>
            <w:shd w:val="clear" w:color="auto" w:fill="auto"/>
            <w:vAlign w:val="center"/>
          </w:tcPr>
          <w:p w14:paraId="02722087" w14:textId="77777777" w:rsidR="00AB7860" w:rsidRPr="009941F8" w:rsidRDefault="00AB7860" w:rsidP="00235D09">
            <w:pPr>
              <w:pStyle w:val="TableText0"/>
              <w:widowControl w:val="0"/>
              <w:numPr>
                <w:ilvl w:val="0"/>
                <w:numId w:val="15"/>
              </w:numPr>
              <w:ind w:left="136" w:hanging="141"/>
            </w:pPr>
            <w:r w:rsidRPr="009941F8">
              <w:t>Treatment discontinuation rates from TULIP 1 and 2</w:t>
            </w:r>
            <w:r w:rsidRPr="009941F8">
              <w:rPr>
                <w:shd w:val="clear" w:color="auto" w:fill="C6D9F1" w:themeFill="text2" w:themeFillTint="33"/>
              </w:rPr>
              <w:t xml:space="preserve"> </w:t>
            </w:r>
            <w:r w:rsidRPr="009941F8">
              <w:t>and TULIP LTE.</w:t>
            </w:r>
          </w:p>
          <w:p w14:paraId="6F56920A" w14:textId="77777777" w:rsidR="00AB7860" w:rsidRPr="009941F8" w:rsidRDefault="00AB7860" w:rsidP="00235D09">
            <w:pPr>
              <w:pStyle w:val="TableText0"/>
              <w:widowControl w:val="0"/>
              <w:numPr>
                <w:ilvl w:val="0"/>
                <w:numId w:val="15"/>
              </w:numPr>
              <w:ind w:left="136" w:hanging="141"/>
            </w:pPr>
            <w:r w:rsidRPr="009941F8">
              <w:t>Mortality rates derived from survival model based on JHLC adjusted by standardised mortality ratios for SLE patients.</w:t>
            </w:r>
          </w:p>
          <w:p w14:paraId="672D6FE9" w14:textId="77777777" w:rsidR="00AB7860" w:rsidRPr="009941F8" w:rsidRDefault="00AB7860" w:rsidP="00235D09">
            <w:pPr>
              <w:pStyle w:val="TableText0"/>
              <w:widowControl w:val="0"/>
              <w:numPr>
                <w:ilvl w:val="0"/>
                <w:numId w:val="15"/>
              </w:numPr>
              <w:ind w:left="136" w:hanging="141"/>
            </w:pPr>
            <w:r w:rsidRPr="009941F8">
              <w:t>Cycle dependent event regression models based on evidence from the TULIP trials (including TULIP LTE) and JHLC.</w:t>
            </w:r>
          </w:p>
          <w:p w14:paraId="552B2C2A" w14:textId="77777777" w:rsidR="00AB7860" w:rsidRPr="009941F8" w:rsidRDefault="00AB7860" w:rsidP="00235D09">
            <w:pPr>
              <w:pStyle w:val="TableText0"/>
              <w:widowControl w:val="0"/>
              <w:numPr>
                <w:ilvl w:val="0"/>
                <w:numId w:val="15"/>
              </w:numPr>
              <w:ind w:left="136" w:hanging="141"/>
            </w:pPr>
            <w:r w:rsidRPr="009941F8">
              <w:t>QALYs, SLEDAI-2K and OCS use were restricted to not fall below 0</w:t>
            </w:r>
          </w:p>
        </w:tc>
        <w:tc>
          <w:tcPr>
            <w:tcW w:w="3038" w:type="pct"/>
            <w:shd w:val="clear" w:color="auto" w:fill="auto"/>
          </w:tcPr>
          <w:p w14:paraId="744A1E06" w14:textId="77777777" w:rsidR="00AB7860" w:rsidRPr="009941F8" w:rsidRDefault="00AB7860" w:rsidP="00235D09">
            <w:pPr>
              <w:pStyle w:val="TableText0"/>
              <w:widowControl w:val="0"/>
            </w:pPr>
            <w:r w:rsidRPr="009941F8">
              <w:t>Treatment continuation for anifrolumab based on achieving LLDAS response within 6 months and maintaining LLDAS beyond 6 months. Patients receiving SOC were assumed to receive SOC for the entirety of the time horizon.</w:t>
            </w:r>
          </w:p>
          <w:p w14:paraId="5A6EB30E" w14:textId="77777777" w:rsidR="00AB7860" w:rsidRPr="009941F8" w:rsidRDefault="00AB7860" w:rsidP="00235D09">
            <w:pPr>
              <w:pStyle w:val="TableText0"/>
              <w:widowControl w:val="0"/>
            </w:pPr>
          </w:p>
          <w:p w14:paraId="63D8090F" w14:textId="2E8A79D8" w:rsidR="00AB7860" w:rsidRPr="009941F8" w:rsidRDefault="00AB7860" w:rsidP="00235D09">
            <w:pPr>
              <w:pStyle w:val="TableText0"/>
              <w:widowControl w:val="0"/>
            </w:pPr>
            <w:r w:rsidRPr="009941F8">
              <w:t xml:space="preserve">Transition between </w:t>
            </w:r>
            <w:r w:rsidR="00801559" w:rsidRPr="009941F8">
              <w:t>‘</w:t>
            </w:r>
            <w:r w:rsidR="00AF4776" w:rsidRPr="009941F8">
              <w:t>N</w:t>
            </w:r>
            <w:r w:rsidRPr="009941F8">
              <w:t>ot LLDAS</w:t>
            </w:r>
            <w:r w:rsidR="00801559" w:rsidRPr="009941F8">
              <w:t>’</w:t>
            </w:r>
            <w:r w:rsidRPr="009941F8">
              <w:t xml:space="preserve"> and </w:t>
            </w:r>
            <w:r w:rsidR="00801559" w:rsidRPr="009941F8">
              <w:t>‘</w:t>
            </w:r>
            <w:r w:rsidRPr="009941F8">
              <w:t>LLDAS</w:t>
            </w:r>
            <w:r w:rsidR="00801559" w:rsidRPr="009941F8">
              <w:t>’</w:t>
            </w:r>
          </w:p>
          <w:p w14:paraId="71E070A5" w14:textId="77777777" w:rsidR="00AB7860" w:rsidRPr="009941F8" w:rsidRDefault="00AB7860" w:rsidP="00235D09">
            <w:pPr>
              <w:pStyle w:val="TableText0"/>
              <w:widowControl w:val="0"/>
            </w:pPr>
            <w:r w:rsidRPr="009941F8">
              <w:t xml:space="preserve">Cycles 1-2: pooled TULIP 1 and 2 rates at 24 weeks and 52 weeks. </w:t>
            </w:r>
          </w:p>
          <w:p w14:paraId="4A4E4EDF" w14:textId="77777777" w:rsidR="00AB7860" w:rsidRPr="009941F8" w:rsidRDefault="00AB7860" w:rsidP="00235D09">
            <w:pPr>
              <w:pStyle w:val="TableText0"/>
              <w:widowControl w:val="0"/>
            </w:pPr>
            <w:r w:rsidRPr="009941F8">
              <w:t xml:space="preserve">Cycle 3-8: TULIP LTE. </w:t>
            </w:r>
          </w:p>
          <w:p w14:paraId="39348E43" w14:textId="11712837" w:rsidR="00AB7860" w:rsidRPr="009941F8" w:rsidRDefault="00AB7860" w:rsidP="00235D09">
            <w:pPr>
              <w:pStyle w:val="TableText0"/>
              <w:widowControl w:val="0"/>
            </w:pPr>
            <w:r w:rsidRPr="009941F8">
              <w:t>Cycle 9 onwards: average rate of maintaining LLDAS in TULIP LTE between weeks 104 and 208. Highest in patients receiving anifrolumab (0.8740), then anifrolumab non-responders (0.8129), then SOC patients (0.7708), then anifrolumab responders who discontinued treatment (0.6878)</w:t>
            </w:r>
            <w:r w:rsidR="00801559" w:rsidRPr="009941F8">
              <w:t>.</w:t>
            </w:r>
          </w:p>
          <w:p w14:paraId="30428498" w14:textId="77777777" w:rsidR="00AB7860" w:rsidRPr="009941F8" w:rsidRDefault="00AB7860" w:rsidP="00235D09">
            <w:pPr>
              <w:pStyle w:val="TableText0"/>
              <w:widowControl w:val="0"/>
            </w:pPr>
          </w:p>
          <w:p w14:paraId="02E59669" w14:textId="5D9BE01A" w:rsidR="00AB7860" w:rsidRPr="009941F8" w:rsidRDefault="00AB7860" w:rsidP="00235D09">
            <w:pPr>
              <w:pStyle w:val="TableText0"/>
              <w:widowControl w:val="0"/>
            </w:pPr>
            <w:r w:rsidRPr="009941F8">
              <w:t xml:space="preserve">From </w:t>
            </w:r>
            <w:r w:rsidR="00AF4776" w:rsidRPr="009941F8">
              <w:t>C</w:t>
            </w:r>
            <w:r w:rsidRPr="009941F8">
              <w:t>ycle 2, patients in the anifrolumab arm who did not achieve/maintain LLDAS were modelled as SOC, by response at 24 weeks. SOC arm was not modelled by response.</w:t>
            </w:r>
          </w:p>
          <w:p w14:paraId="3CC7EFCB" w14:textId="77777777" w:rsidR="00AB7860" w:rsidRPr="009941F8" w:rsidRDefault="00AB7860" w:rsidP="00235D09">
            <w:pPr>
              <w:pStyle w:val="TableText0"/>
              <w:widowControl w:val="0"/>
            </w:pPr>
          </w:p>
          <w:p w14:paraId="7E1F77BD" w14:textId="3D3CE0DB" w:rsidR="00AB7860" w:rsidRPr="009941F8" w:rsidRDefault="00AB7860" w:rsidP="00235D09">
            <w:pPr>
              <w:pStyle w:val="TableText0"/>
              <w:widowControl w:val="0"/>
            </w:pPr>
            <w:r w:rsidRPr="009941F8">
              <w:t>OCS dose was modelled according to LLDAS status, based on pooled TULIP data</w:t>
            </w:r>
            <w:r w:rsidR="00801559" w:rsidRPr="009941F8">
              <w:t xml:space="preserve">. </w:t>
            </w:r>
            <w:r w:rsidRPr="009941F8">
              <w:t>Background mortality based on Australian lifetables, adjusted for SLE mortality (Bernatsky 2006) and LLDAS (Kandane-Rathnayake 2022, APLC data)</w:t>
            </w:r>
            <w:r w:rsidR="00801559" w:rsidRPr="009941F8">
              <w:t xml:space="preserve">. </w:t>
            </w:r>
            <w:r w:rsidRPr="009941F8">
              <w:t>Organ damage related to LLDAS sourced from APLC data (Golder 2019)</w:t>
            </w:r>
          </w:p>
        </w:tc>
      </w:tr>
      <w:tr w:rsidR="00AB7860" w:rsidRPr="009941F8" w14:paraId="7C1EA75D" w14:textId="77777777" w:rsidTr="00A244E2">
        <w:tc>
          <w:tcPr>
            <w:tcW w:w="536" w:type="pct"/>
            <w:shd w:val="clear" w:color="auto" w:fill="auto"/>
            <w:vAlign w:val="center"/>
          </w:tcPr>
          <w:p w14:paraId="22938F93" w14:textId="77777777" w:rsidR="00AB7860" w:rsidRPr="009941F8" w:rsidRDefault="00AB7860" w:rsidP="00235D09">
            <w:pPr>
              <w:pStyle w:val="TableText0"/>
              <w:widowControl w:val="0"/>
            </w:pPr>
            <w:r w:rsidRPr="009941F8">
              <w:t>Software package</w:t>
            </w:r>
          </w:p>
        </w:tc>
        <w:tc>
          <w:tcPr>
            <w:tcW w:w="1426" w:type="pct"/>
            <w:shd w:val="clear" w:color="auto" w:fill="auto"/>
            <w:vAlign w:val="center"/>
          </w:tcPr>
          <w:p w14:paraId="11F7B4D9" w14:textId="77777777" w:rsidR="00AB7860" w:rsidRPr="009941F8" w:rsidRDefault="00AB7860" w:rsidP="00235D09">
            <w:pPr>
              <w:pStyle w:val="TableText0"/>
              <w:widowControl w:val="0"/>
            </w:pPr>
            <w:r w:rsidRPr="009941F8">
              <w:t>Excel 2010 with @RISK.</w:t>
            </w:r>
          </w:p>
        </w:tc>
        <w:tc>
          <w:tcPr>
            <w:tcW w:w="3038" w:type="pct"/>
            <w:shd w:val="clear" w:color="auto" w:fill="auto"/>
            <w:vAlign w:val="center"/>
          </w:tcPr>
          <w:p w14:paraId="66E1B661" w14:textId="02619F24" w:rsidR="00AB7860" w:rsidRPr="009941F8" w:rsidRDefault="00AB7860" w:rsidP="00235D09">
            <w:pPr>
              <w:pStyle w:val="TableText0"/>
              <w:widowControl w:val="0"/>
            </w:pPr>
            <w:r w:rsidRPr="009941F8">
              <w:t>Excel 2021 (</w:t>
            </w:r>
            <w:r w:rsidR="00801559" w:rsidRPr="009941F8">
              <w:t>re</w:t>
            </w:r>
            <w:r w:rsidRPr="009941F8">
              <w:t xml:space="preserve">submission claimed to </w:t>
            </w:r>
            <w:r w:rsidR="00801559" w:rsidRPr="009941F8">
              <w:t xml:space="preserve">have </w:t>
            </w:r>
            <w:r w:rsidRPr="009941F8">
              <w:t>use</w:t>
            </w:r>
            <w:r w:rsidR="00801559" w:rsidRPr="009941F8">
              <w:t>d</w:t>
            </w:r>
            <w:r w:rsidRPr="009941F8">
              <w:t xml:space="preserve"> Excel 2016)</w:t>
            </w:r>
          </w:p>
        </w:tc>
      </w:tr>
    </w:tbl>
    <w:p w14:paraId="1F8D07C8" w14:textId="77777777" w:rsidR="00AB7860" w:rsidRPr="009941F8" w:rsidRDefault="00AB7860" w:rsidP="00235D09">
      <w:pPr>
        <w:pStyle w:val="TableFigureFooter"/>
        <w:keepNext/>
      </w:pPr>
      <w:r w:rsidRPr="009941F8">
        <w:t xml:space="preserve">Source: Table 3-1, p237 of the March 2023 resubmission and Table 3-1 and 3-2 of the March 2024 resubmission </w:t>
      </w:r>
    </w:p>
    <w:p w14:paraId="0070587B" w14:textId="77777777" w:rsidR="00AB7860" w:rsidRPr="009941F8" w:rsidRDefault="00AB7860" w:rsidP="00235D09">
      <w:pPr>
        <w:pStyle w:val="TableFigureFooter"/>
        <w:keepNext/>
      </w:pPr>
      <w:r w:rsidRPr="009941F8">
        <w:t>ICER = incremental cost-effectiveness ratio, JHLC=John Hopkins Lupus cohort, OCS = oral corticosteroids, QALYs = quality adjusted life years, SLEDAI-2K= Systemic Lupus Erythematosus Disease Activity Index 2000, SOC = standard of care</w:t>
      </w:r>
    </w:p>
    <w:p w14:paraId="036801EB" w14:textId="786F6CE6" w:rsidR="00AB7860" w:rsidRPr="009941F8" w:rsidRDefault="00AB7860" w:rsidP="00A244E2">
      <w:pPr>
        <w:numPr>
          <w:ilvl w:val="1"/>
          <w:numId w:val="1"/>
        </w:numPr>
        <w:spacing w:after="120"/>
        <w:rPr>
          <w:rFonts w:asciiTheme="minorHAnsi" w:hAnsiTheme="minorHAnsi"/>
          <w:snapToGrid w:val="0"/>
        </w:rPr>
      </w:pPr>
      <w:r w:rsidRPr="009941F8">
        <w:rPr>
          <w:rFonts w:asciiTheme="minorHAnsi" w:hAnsiTheme="minorHAnsi"/>
          <w:snapToGrid w:val="0"/>
        </w:rPr>
        <w:t>In line with the new model structure, the model mechanics differed to the March</w:t>
      </w:r>
      <w:r w:rsidR="00F54881">
        <w:rPr>
          <w:rFonts w:asciiTheme="minorHAnsi" w:hAnsiTheme="minorHAnsi"/>
          <w:snapToGrid w:val="0"/>
        </w:rPr>
        <w:t> </w:t>
      </w:r>
      <w:r w:rsidRPr="009941F8">
        <w:rPr>
          <w:rFonts w:asciiTheme="minorHAnsi" w:hAnsiTheme="minorHAnsi"/>
          <w:snapToGrid w:val="0"/>
        </w:rPr>
        <w:t xml:space="preserve">2023 resubmission. </w:t>
      </w:r>
      <w:r w:rsidRPr="009941F8">
        <w:t>The new economic model utilised a Markov cohort structure according to treatment, LLDAS status and SDI score. In the anifrolumab arm</w:t>
      </w:r>
      <w:r w:rsidR="00801559" w:rsidRPr="009941F8">
        <w:t>,</w:t>
      </w:r>
      <w:r w:rsidRPr="009941F8">
        <w:t xml:space="preserve"> patients were also divided into those receiving anifrolumab, responders who had discontinued treatment (patients who achieved LLDAS at 26 weeks, but lost LLDAS afterwards); and non-responders who had discontinued treatment at 26 weeks. </w:t>
      </w:r>
      <w:r w:rsidRPr="009941F8">
        <w:rPr>
          <w:rFonts w:asciiTheme="minorHAnsi" w:hAnsiTheme="minorHAnsi"/>
          <w:snapToGrid w:val="0"/>
        </w:rPr>
        <w:t xml:space="preserve">Patients entered the model not in LLDAS, with SDI score distributed as per the pooled TULIP trials. </w:t>
      </w:r>
      <w:r w:rsidRPr="009941F8">
        <w:rPr>
          <w:iCs/>
        </w:rPr>
        <w:t xml:space="preserve">Each cycle patients could move between </w:t>
      </w:r>
      <w:r w:rsidR="001E22DA" w:rsidRPr="009941F8">
        <w:rPr>
          <w:iCs/>
        </w:rPr>
        <w:t>‘</w:t>
      </w:r>
      <w:r w:rsidRPr="009941F8">
        <w:rPr>
          <w:iCs/>
        </w:rPr>
        <w:t>LLDAS</w:t>
      </w:r>
      <w:r w:rsidR="001E22DA" w:rsidRPr="009941F8">
        <w:rPr>
          <w:iCs/>
        </w:rPr>
        <w:t>’</w:t>
      </w:r>
      <w:r w:rsidRPr="009941F8">
        <w:rPr>
          <w:iCs/>
        </w:rPr>
        <w:t xml:space="preserve"> and </w:t>
      </w:r>
      <w:r w:rsidR="001E22DA" w:rsidRPr="009941F8">
        <w:rPr>
          <w:iCs/>
        </w:rPr>
        <w:t>‘N</w:t>
      </w:r>
      <w:r w:rsidRPr="009941F8">
        <w:rPr>
          <w:iCs/>
        </w:rPr>
        <w:t>ot LLDAS</w:t>
      </w:r>
      <w:r w:rsidR="001E22DA" w:rsidRPr="009941F8">
        <w:rPr>
          <w:iCs/>
        </w:rPr>
        <w:t>’</w:t>
      </w:r>
      <w:r w:rsidRPr="009941F8">
        <w:rPr>
          <w:iCs/>
        </w:rPr>
        <w:t>, and could remain in their current SDI score or SDI score could worsen by 1 (until maximum state of SDI</w:t>
      </w:r>
      <w:r w:rsidRPr="009941F8">
        <w:rPr>
          <w:rFonts w:cs="Calibri"/>
          <w:iCs/>
        </w:rPr>
        <w:t>≥</w:t>
      </w:r>
      <w:r w:rsidRPr="009941F8">
        <w:rPr>
          <w:iCs/>
        </w:rPr>
        <w:t>5). Transition between LLDAS was dictated by what treatment patients were receiving and, in the anifrolumab arm, whether they achieved LLDAS status by week 26. Patients could die in any state. The new model structure is presented in</w:t>
      </w:r>
      <w:r w:rsidR="00801559" w:rsidRPr="009941F8">
        <w:rPr>
          <w:iCs/>
        </w:rPr>
        <w:t xml:space="preserve"> </w:t>
      </w:r>
      <w:r w:rsidR="00801559" w:rsidRPr="009941F8">
        <w:rPr>
          <w:iCs/>
        </w:rPr>
        <w:fldChar w:fldCharType="begin" w:fldLock="1"/>
      </w:r>
      <w:r w:rsidR="00801559" w:rsidRPr="009941F8">
        <w:rPr>
          <w:iCs/>
        </w:rPr>
        <w:instrText xml:space="preserve"> REF _Ref153930448 \h </w:instrText>
      </w:r>
      <w:r w:rsidR="001E22DA" w:rsidRPr="009941F8">
        <w:rPr>
          <w:iCs/>
        </w:rPr>
        <w:instrText xml:space="preserve"> \* MERGEFORMAT </w:instrText>
      </w:r>
      <w:r w:rsidR="00801559" w:rsidRPr="009941F8">
        <w:rPr>
          <w:iCs/>
        </w:rPr>
      </w:r>
      <w:r w:rsidR="00801559" w:rsidRPr="009941F8">
        <w:rPr>
          <w:iCs/>
        </w:rPr>
        <w:fldChar w:fldCharType="separate"/>
      </w:r>
      <w:r w:rsidR="00F07501" w:rsidRPr="00F07501">
        <w:rPr>
          <w:iCs/>
        </w:rPr>
        <w:t>Figure 2</w:t>
      </w:r>
      <w:r w:rsidR="00801559" w:rsidRPr="009941F8">
        <w:rPr>
          <w:iCs/>
        </w:rPr>
        <w:fldChar w:fldCharType="end"/>
      </w:r>
      <w:r w:rsidRPr="009941F8">
        <w:rPr>
          <w:iCs/>
        </w:rPr>
        <w:t>.</w:t>
      </w:r>
    </w:p>
    <w:p w14:paraId="4EB10ABE" w14:textId="7409ABE3" w:rsidR="00AB7860" w:rsidRPr="009941F8" w:rsidRDefault="00AB7860" w:rsidP="00235D09">
      <w:pPr>
        <w:pStyle w:val="Caption"/>
        <w:spacing w:before="120"/>
      </w:pPr>
      <w:bookmarkStart w:id="60" w:name="_Ref153930448"/>
      <w:r w:rsidRPr="009941F8">
        <w:lastRenderedPageBreak/>
        <w:t xml:space="preserve">Figure </w:t>
      </w:r>
      <w:r w:rsidR="00CE7EC7">
        <w:fldChar w:fldCharType="begin" w:fldLock="1"/>
      </w:r>
      <w:r w:rsidR="00CE7EC7">
        <w:instrText xml:space="preserve"> SEQ Figure \* ARABIC </w:instrText>
      </w:r>
      <w:r w:rsidR="00CE7EC7">
        <w:fldChar w:fldCharType="separate"/>
      </w:r>
      <w:r w:rsidR="00F07501">
        <w:rPr>
          <w:noProof/>
        </w:rPr>
        <w:t>2</w:t>
      </w:r>
      <w:r w:rsidR="00CE7EC7">
        <w:rPr>
          <w:noProof/>
        </w:rPr>
        <w:fldChar w:fldCharType="end"/>
      </w:r>
      <w:bookmarkEnd w:id="60"/>
      <w:r w:rsidRPr="009941F8">
        <w:t>: Summary of the submitted model structure</w:t>
      </w:r>
      <w:r w:rsidR="00801559" w:rsidRPr="009941F8">
        <w:t xml:space="preserve"> (compiled during the evaluation)</w:t>
      </w:r>
    </w:p>
    <w:tbl>
      <w:tblPr>
        <w:tblStyle w:val="TableGrid"/>
        <w:tblW w:w="0" w:type="auto"/>
        <w:tblLook w:val="04A0" w:firstRow="1" w:lastRow="0" w:firstColumn="1" w:lastColumn="0" w:noHBand="0" w:noVBand="1"/>
      </w:tblPr>
      <w:tblGrid>
        <w:gridCol w:w="9017"/>
      </w:tblGrid>
      <w:tr w:rsidR="00AB7860" w:rsidRPr="009941F8" w14:paraId="0F384E87" w14:textId="77777777" w:rsidTr="00CC67E7">
        <w:tc>
          <w:tcPr>
            <w:tcW w:w="9017" w:type="dxa"/>
            <w:tcBorders>
              <w:bottom w:val="single" w:sz="4" w:space="0" w:color="auto"/>
            </w:tcBorders>
          </w:tcPr>
          <w:p w14:paraId="78F5F802" w14:textId="77777777" w:rsidR="00AB7860" w:rsidRPr="009941F8" w:rsidRDefault="00AB7860" w:rsidP="00A244E2">
            <w:pPr>
              <w:pStyle w:val="In-tableHeading"/>
              <w:jc w:val="center"/>
              <w:rPr>
                <w:lang w:val="en-AU"/>
              </w:rPr>
            </w:pPr>
            <w:r w:rsidRPr="009941F8">
              <w:rPr>
                <w:lang w:val="en-AU"/>
              </w:rPr>
              <w:t>Patient allocation as defined in the model</w:t>
            </w:r>
          </w:p>
        </w:tc>
      </w:tr>
      <w:tr w:rsidR="00AB7860" w:rsidRPr="009941F8" w14:paraId="12F3D470" w14:textId="77777777" w:rsidTr="00CC67E7">
        <w:tc>
          <w:tcPr>
            <w:tcW w:w="9017" w:type="dxa"/>
            <w:tcBorders>
              <w:bottom w:val="nil"/>
            </w:tcBorders>
          </w:tcPr>
          <w:p w14:paraId="7E2956CC" w14:textId="77777777" w:rsidR="00AB7860" w:rsidRPr="009941F8" w:rsidRDefault="00AB7860" w:rsidP="00A244E2">
            <w:pPr>
              <w:pStyle w:val="In-tableHeading"/>
              <w:jc w:val="center"/>
              <w:rPr>
                <w:lang w:val="en-AU"/>
              </w:rPr>
            </w:pPr>
            <w:r w:rsidRPr="009941F8">
              <w:rPr>
                <w:noProof/>
                <w:lang w:val="en-AU"/>
              </w:rPr>
              <w:drawing>
                <wp:inline distT="0" distB="0" distL="0" distR="0" wp14:anchorId="4C751C44" wp14:editId="1C8D1065">
                  <wp:extent cx="5398710" cy="1796829"/>
                  <wp:effectExtent l="0" t="0" r="0" b="0"/>
                  <wp:docPr id="33" name="Picture 33" descr="Figure 2: Summary of the submitted model structure (compiled during the evaluation) Patient allocation as defined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igure 2: Summary of the submitted model structure (compiled during the evaluation) Patient allocation as defined in the model"/>
                          <pic:cNvPicPr>
                            <a:picLocks noChangeAspect="1" noChangeArrowheads="1"/>
                          </pic:cNvPicPr>
                        </pic:nvPicPr>
                        <pic:blipFill rotWithShape="1">
                          <a:blip r:embed="rId15">
                            <a:extLst>
                              <a:ext uri="{28A0092B-C50C-407E-A947-70E740481C1C}">
                                <a14:useLocalDpi xmlns:a14="http://schemas.microsoft.com/office/drawing/2010/main" val="0"/>
                              </a:ext>
                            </a:extLst>
                          </a:blip>
                          <a:srcRect t="17661" b="17965"/>
                          <a:stretch/>
                        </pic:blipFill>
                        <pic:spPr bwMode="auto">
                          <a:xfrm>
                            <a:off x="0" y="0"/>
                            <a:ext cx="5400000" cy="17972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860" w:rsidRPr="009941F8" w14:paraId="64E4AB6A" w14:textId="77777777" w:rsidTr="00CC67E7">
        <w:tc>
          <w:tcPr>
            <w:tcW w:w="9017" w:type="dxa"/>
            <w:tcBorders>
              <w:top w:val="nil"/>
            </w:tcBorders>
          </w:tcPr>
          <w:p w14:paraId="2F2977C6" w14:textId="637D1BBE" w:rsidR="00AB7860" w:rsidRPr="009941F8" w:rsidRDefault="00AB7860" w:rsidP="00A244E2">
            <w:pPr>
              <w:pStyle w:val="TableFigureFooter"/>
              <w:spacing w:after="0"/>
            </w:pPr>
            <w:r w:rsidRPr="009941F8">
              <w:t xml:space="preserve">The status of patients in the green boxes dictates the transition probabilities for the </w:t>
            </w:r>
            <w:r w:rsidR="0003215C">
              <w:t>M</w:t>
            </w:r>
            <w:r w:rsidRPr="009941F8">
              <w:t>arkov health states below</w:t>
            </w:r>
          </w:p>
        </w:tc>
      </w:tr>
      <w:tr w:rsidR="00AB7860" w:rsidRPr="009941F8" w14:paraId="575875B6" w14:textId="77777777" w:rsidTr="00CC67E7">
        <w:tc>
          <w:tcPr>
            <w:tcW w:w="9017" w:type="dxa"/>
          </w:tcPr>
          <w:p w14:paraId="3390DC19" w14:textId="77777777" w:rsidR="00AB7860" w:rsidRPr="009941F8" w:rsidRDefault="00AB7860" w:rsidP="00A244E2">
            <w:pPr>
              <w:pStyle w:val="In-tableHeading"/>
              <w:jc w:val="center"/>
              <w:rPr>
                <w:lang w:val="en-AU"/>
              </w:rPr>
            </w:pPr>
            <w:r w:rsidRPr="009941F8">
              <w:rPr>
                <w:lang w:val="en-AU"/>
              </w:rPr>
              <w:t>Markov heath states each cycle</w:t>
            </w:r>
          </w:p>
        </w:tc>
      </w:tr>
      <w:tr w:rsidR="00AB7860" w:rsidRPr="009941F8" w14:paraId="1AB52E5E" w14:textId="77777777" w:rsidTr="00CC67E7">
        <w:tc>
          <w:tcPr>
            <w:tcW w:w="9017" w:type="dxa"/>
          </w:tcPr>
          <w:p w14:paraId="77A89DA8" w14:textId="77777777" w:rsidR="00AB7860" w:rsidRPr="009941F8" w:rsidRDefault="00AB7860" w:rsidP="00A244E2">
            <w:pPr>
              <w:pStyle w:val="TableFigureFooter"/>
              <w:jc w:val="center"/>
            </w:pPr>
            <w:r w:rsidRPr="009941F8">
              <w:rPr>
                <w:noProof/>
              </w:rPr>
              <w:drawing>
                <wp:inline distT="0" distB="0" distL="0" distR="0" wp14:anchorId="3FBDC29E" wp14:editId="7459968E">
                  <wp:extent cx="4506163" cy="1883364"/>
                  <wp:effectExtent l="0" t="0" r="0" b="3175"/>
                  <wp:docPr id="42" name="Picture 42" descr="Figure 2: Summary of the submitted model structure (compiled during the evaluation) Markov heath states each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2: Summary of the submitted model structure (compiled during the evaluation) Markov heath states each cyc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0633" cy="1889412"/>
                          </a:xfrm>
                          <a:prstGeom prst="rect">
                            <a:avLst/>
                          </a:prstGeom>
                          <a:noFill/>
                        </pic:spPr>
                      </pic:pic>
                    </a:graphicData>
                  </a:graphic>
                </wp:inline>
              </w:drawing>
            </w:r>
          </w:p>
        </w:tc>
      </w:tr>
    </w:tbl>
    <w:p w14:paraId="33C09B33" w14:textId="77777777" w:rsidR="00AB7860" w:rsidRPr="009941F8" w:rsidRDefault="00AB7860" w:rsidP="00A244E2">
      <w:pPr>
        <w:pStyle w:val="TableFigureFooter"/>
        <w:keepNext/>
      </w:pPr>
      <w:r w:rsidRPr="009941F8">
        <w:t>Source: complied during the evaluation based on Figures 3-1, 3-2, 3-3, 3-4 and 3-6 of the March 2024 resubmission</w:t>
      </w:r>
    </w:p>
    <w:p w14:paraId="7F0EBF34" w14:textId="6BD35E4C" w:rsidR="00AB7860" w:rsidRPr="009941F8" w:rsidRDefault="00AB7860" w:rsidP="00A244E2">
      <w:pPr>
        <w:pStyle w:val="TableFigureFooter"/>
        <w:keepNext/>
      </w:pPr>
      <w:r w:rsidRPr="009941F8">
        <w:t xml:space="preserve">OCS = oral corticosteroids; QALYs = quality-adjust life year; SDI = Systemic Lupus International Collaborating Clinics/American College of Rheumatology (SLICC/ACR) Damage Index; SLEDAI-2K = Systemic Lupus Erythematosus Disease Activity Index. </w:t>
      </w:r>
    </w:p>
    <w:p w14:paraId="26D57176" w14:textId="31F16392" w:rsidR="004C30A8" w:rsidRPr="009941F8" w:rsidRDefault="004C30A8" w:rsidP="00A244E2">
      <w:pPr>
        <w:pStyle w:val="TableFigureFooter"/>
      </w:pPr>
      <w:r w:rsidRPr="009941F8">
        <w:t>Flares, OCS use and adverse events could occur in any alive state and rates were dependent on health state allocation.</w:t>
      </w:r>
    </w:p>
    <w:p w14:paraId="73CA1943" w14:textId="0F2C6FCF" w:rsidR="00AB7860" w:rsidRPr="009941F8" w:rsidRDefault="00AB7860" w:rsidP="00A244E2">
      <w:pPr>
        <w:pStyle w:val="3-BodyText"/>
      </w:pPr>
      <w:r w:rsidRPr="009941F8">
        <w:t>The general approach to calculation of probabilities each cycle for LLDAS, disease flares, OCS dose, organ damage, and mortality were estimated from patient characteristics and current health state occupation. Different transition probabilities for LLDAS were applied for Cycles 1-8, based on TULIP-1 and 2 and TULIP LTE data</w:t>
      </w:r>
      <w:r w:rsidR="00966B35" w:rsidRPr="009941F8">
        <w:t xml:space="preserve"> (Weeks 24, 76 and 180 of the TULIP trials and LTE data proxies for</w:t>
      </w:r>
      <w:r w:rsidRPr="009941F8">
        <w:t xml:space="preserve"> </w:t>
      </w:r>
      <w:r w:rsidR="00966B35" w:rsidRPr="009941F8">
        <w:t xml:space="preserve">Weeks 26, 78 and 182 in the model) </w:t>
      </w:r>
      <w:r w:rsidRPr="009941F8">
        <w:t xml:space="preserve">with the extrapolation from Cycle 9 onwards based on </w:t>
      </w:r>
      <w:r w:rsidR="004C30A8" w:rsidRPr="009941F8">
        <w:t xml:space="preserve">the </w:t>
      </w:r>
      <w:r w:rsidRPr="009941F8">
        <w:t>average</w:t>
      </w:r>
      <w:r w:rsidR="004C30A8" w:rsidRPr="009941F8">
        <w:t xml:space="preserve"> probability of maintaining LLDAS in</w:t>
      </w:r>
      <w:r w:rsidRPr="009941F8">
        <w:t xml:space="preserve"> Cycles 5-8. Transition through SDI health states was based on current health state and LLDAS status. Transitions differed according to treatment, plus responder status in the anifrolumab arm. In total 36 transition matrices for LLDAS and SDI were presented in the base case. These were applied to the proportion of patients alive each cycle (with mortality dependent </w:t>
      </w:r>
      <w:r w:rsidR="003F3A2F" w:rsidRPr="009941F8">
        <w:t>on</w:t>
      </w:r>
      <w:r w:rsidRPr="009941F8">
        <w:t xml:space="preserve"> age and LLDAS status) and flares and OCS use were calculated separately according to LLDAS status. Adverse events rates were sourced from TULIP-1 and -2 and TULIP LTE. Anifrolumab discontinuation occurred when LLDAS was not achieved or lost from Cycle 2 onwards. Data sources were similar to the March 2023 </w:t>
      </w:r>
      <w:r w:rsidR="00F85D18" w:rsidRPr="009941F8">
        <w:t>re</w:t>
      </w:r>
      <w:r w:rsidRPr="009941F8">
        <w:t>submission except for:</w:t>
      </w:r>
    </w:p>
    <w:p w14:paraId="2B38046B" w14:textId="2E9A0446" w:rsidR="00AB7860" w:rsidRPr="009941F8" w:rsidRDefault="00AB7860" w:rsidP="00A244E2">
      <w:pPr>
        <w:pStyle w:val="ListParagraph"/>
        <w:ind w:left="1134" w:hanging="425"/>
      </w:pPr>
      <w:r w:rsidRPr="009941F8">
        <w:lastRenderedPageBreak/>
        <w:t xml:space="preserve">Organ damage in </w:t>
      </w:r>
      <w:r w:rsidR="00F85D18" w:rsidRPr="009941F8">
        <w:t>‘</w:t>
      </w:r>
      <w:r w:rsidR="00AF4776" w:rsidRPr="009941F8">
        <w:t>N</w:t>
      </w:r>
      <w:r w:rsidRPr="009941F8">
        <w:t>ot LLDAS</w:t>
      </w:r>
      <w:r w:rsidR="00F85D18" w:rsidRPr="009941F8">
        <w:t>’</w:t>
      </w:r>
      <w:r w:rsidRPr="009941F8">
        <w:t xml:space="preserve"> and HR for </w:t>
      </w:r>
      <w:r w:rsidR="00F85D18" w:rsidRPr="009941F8">
        <w:t>‘</w:t>
      </w:r>
      <w:r w:rsidRPr="009941F8">
        <w:t>LLDAS</w:t>
      </w:r>
      <w:r w:rsidR="00F85D18" w:rsidRPr="009941F8">
        <w:t>’ were</w:t>
      </w:r>
      <w:r w:rsidRPr="009941F8">
        <w:t xml:space="preserve"> based on Golder</w:t>
      </w:r>
      <w:r w:rsidR="00AF4776" w:rsidRPr="009941F8">
        <w:t xml:space="preserve"> et al</w:t>
      </w:r>
      <w:r w:rsidRPr="009941F8">
        <w:t xml:space="preserve"> 2019 (APLC data, patients with &lt;50% time in LLDAS as proxy for not in LLDAS). Organ damage HR if SDI&gt;0 from Ugarte-Gil et al 2022 (Systemic Lupus International Collaborating Clinics cohort, multinational not restricted to HDAS patients)</w:t>
      </w:r>
    </w:p>
    <w:p w14:paraId="1F0E5810" w14:textId="65A2AAE6" w:rsidR="00AB7860" w:rsidRPr="009941F8" w:rsidRDefault="00AB7860" w:rsidP="00A244E2">
      <w:pPr>
        <w:pStyle w:val="ListParagraph"/>
        <w:ind w:left="1134" w:hanging="425"/>
      </w:pPr>
      <w:r w:rsidRPr="009941F8">
        <w:t>Risk of flare by LLDAS status calculated from Golder et al 2019 (APLC data, not restricted to Australian or HDAS patients). Flares were modelled as events with costs and disutilities applied for 3 months.</w:t>
      </w:r>
    </w:p>
    <w:p w14:paraId="04551377" w14:textId="3D606649" w:rsidR="00AB7860" w:rsidRPr="009941F8" w:rsidRDefault="00AB7860" w:rsidP="00A244E2">
      <w:pPr>
        <w:pStyle w:val="ListParagraph"/>
        <w:ind w:left="1134" w:hanging="425"/>
      </w:pPr>
      <w:r w:rsidRPr="009941F8">
        <w:t xml:space="preserve">Mortality was still SLE age-related mortality from Bernatsky et al 2006 (used in the belimumab submission to NICE 2016) applied to Australian general population mortality. However, the mortality hazard ratio for non-LLDAS health states taken from Kandane-Rathnayake et al 2022 (APLC data, patients never achieving LLDAS). The mortality hazard ratio for </w:t>
      </w:r>
      <w:r w:rsidR="00F85D18" w:rsidRPr="009941F8">
        <w:t>‘</w:t>
      </w:r>
      <w:r w:rsidRPr="009941F8">
        <w:t>LLDAS</w:t>
      </w:r>
      <w:r w:rsidR="00F85D18" w:rsidRPr="009941F8">
        <w:t>’</w:t>
      </w:r>
      <w:r w:rsidRPr="009941F8">
        <w:t xml:space="preserve"> versus general SLE was calculated to give overall life expectancy in the model of 64.5 years for SOC arm. </w:t>
      </w:r>
    </w:p>
    <w:p w14:paraId="4ED871CE" w14:textId="36B679DC" w:rsidR="00AB7860" w:rsidRPr="009941F8" w:rsidRDefault="00AB7860" w:rsidP="00A244E2">
      <w:pPr>
        <w:pStyle w:val="ListParagraph"/>
        <w:ind w:left="1134" w:hanging="425"/>
      </w:pPr>
      <w:r w:rsidRPr="009941F8">
        <w:t xml:space="preserve">OCS dose </w:t>
      </w:r>
      <w:r w:rsidR="00F85D18" w:rsidRPr="009941F8">
        <w:t>by</w:t>
      </w:r>
      <w:r w:rsidRPr="009941F8">
        <w:t xml:space="preserve"> LLDAS status was based on TULIP trial data, but not TULIP LTE.</w:t>
      </w:r>
    </w:p>
    <w:p w14:paraId="6092C0CE" w14:textId="77777777" w:rsidR="00AB7860" w:rsidRPr="009941F8" w:rsidRDefault="00AB7860" w:rsidP="00A244E2">
      <w:pPr>
        <w:pStyle w:val="ListParagraph"/>
        <w:ind w:left="1134" w:hanging="425"/>
      </w:pPr>
      <w:r w:rsidRPr="009941F8">
        <w:t>John Hopkins Lupus Cohort and ALRB data, which were included in organ damage and mortality estimated in the March 2023 resubmission were no longer included in the model.</w:t>
      </w:r>
    </w:p>
    <w:p w14:paraId="78FB77EC" w14:textId="77777777" w:rsidR="00AB7860" w:rsidRPr="009941F8" w:rsidRDefault="00AB7860" w:rsidP="00A244E2">
      <w:pPr>
        <w:pStyle w:val="3-BodyText"/>
      </w:pPr>
      <w:r w:rsidRPr="009941F8">
        <w:t>The following table summarises transition probabilities in the modelled economic evaluation.</w:t>
      </w:r>
    </w:p>
    <w:p w14:paraId="623497D0" w14:textId="5E64D526" w:rsidR="00AB7860" w:rsidRPr="009941F8" w:rsidRDefault="00AB7860" w:rsidP="00233562">
      <w:pPr>
        <w:rPr>
          <w:rFonts w:ascii="Arial Narrow" w:hAnsi="Arial Narrow"/>
          <w:b/>
          <w:bCs/>
          <w:sz w:val="20"/>
          <w:szCs w:val="20"/>
        </w:rPr>
      </w:pPr>
      <w:r w:rsidRPr="009941F8">
        <w:rPr>
          <w:rFonts w:ascii="Arial Narrow" w:hAnsi="Arial Narrow"/>
          <w:b/>
          <w:bCs/>
          <w:sz w:val="20"/>
          <w:szCs w:val="20"/>
        </w:rPr>
        <w:t xml:space="preserve">Table </w:t>
      </w:r>
      <w:r w:rsidR="0058598B" w:rsidRPr="009941F8">
        <w:rPr>
          <w:rFonts w:ascii="Arial Narrow" w:hAnsi="Arial Narrow"/>
          <w:b/>
          <w:bCs/>
          <w:sz w:val="20"/>
          <w:szCs w:val="20"/>
        </w:rPr>
        <w:fldChar w:fldCharType="begin" w:fldLock="1"/>
      </w:r>
      <w:r w:rsidR="0058598B" w:rsidRPr="009941F8">
        <w:rPr>
          <w:rFonts w:ascii="Arial Narrow" w:hAnsi="Arial Narrow"/>
          <w:b/>
          <w:bCs/>
          <w:sz w:val="20"/>
          <w:szCs w:val="20"/>
        </w:rPr>
        <w:instrText xml:space="preserve"> SEQ Table \* ARABIC </w:instrText>
      </w:r>
      <w:r w:rsidR="0058598B" w:rsidRPr="009941F8">
        <w:rPr>
          <w:rFonts w:ascii="Arial Narrow" w:hAnsi="Arial Narrow"/>
          <w:b/>
          <w:bCs/>
          <w:sz w:val="20"/>
          <w:szCs w:val="20"/>
        </w:rPr>
        <w:fldChar w:fldCharType="separate"/>
      </w:r>
      <w:r w:rsidR="00F07501">
        <w:rPr>
          <w:rFonts w:ascii="Arial Narrow" w:hAnsi="Arial Narrow"/>
          <w:b/>
          <w:bCs/>
          <w:noProof/>
          <w:sz w:val="20"/>
          <w:szCs w:val="20"/>
        </w:rPr>
        <w:t>9</w:t>
      </w:r>
      <w:r w:rsidR="0058598B" w:rsidRPr="009941F8">
        <w:rPr>
          <w:rFonts w:ascii="Arial Narrow" w:hAnsi="Arial Narrow"/>
          <w:b/>
          <w:bCs/>
          <w:sz w:val="20"/>
          <w:szCs w:val="20"/>
        </w:rPr>
        <w:fldChar w:fldCharType="end"/>
      </w:r>
      <w:r w:rsidRPr="009941F8">
        <w:rPr>
          <w:rFonts w:ascii="Arial Narrow" w:hAnsi="Arial Narrow"/>
          <w:b/>
          <w:bCs/>
          <w:sz w:val="20"/>
          <w:szCs w:val="20"/>
        </w:rPr>
        <w:t>: Transition probabilities in the modelled economic evaluation</w:t>
      </w:r>
    </w:p>
    <w:tbl>
      <w:tblPr>
        <w:tblStyle w:val="TableGrid"/>
        <w:tblW w:w="5000" w:type="pct"/>
        <w:tblCellMar>
          <w:left w:w="28" w:type="dxa"/>
          <w:right w:w="28" w:type="dxa"/>
        </w:tblCellMar>
        <w:tblLook w:val="04A0" w:firstRow="1" w:lastRow="0" w:firstColumn="1" w:lastColumn="0" w:noHBand="0" w:noVBand="1"/>
        <w:tblCaption w:val="Table 9: Transition probabilities in the modelled economic evaluation"/>
      </w:tblPr>
      <w:tblGrid>
        <w:gridCol w:w="1151"/>
        <w:gridCol w:w="3947"/>
        <w:gridCol w:w="3919"/>
      </w:tblGrid>
      <w:tr w:rsidR="00AB7860" w:rsidRPr="009941F8" w14:paraId="29611C1A" w14:textId="77777777" w:rsidTr="00CC67E7">
        <w:trPr>
          <w:cantSplit/>
          <w:trHeight w:val="469"/>
          <w:tblHeader/>
        </w:trPr>
        <w:tc>
          <w:tcPr>
            <w:tcW w:w="638" w:type="pct"/>
            <w:vAlign w:val="center"/>
          </w:tcPr>
          <w:p w14:paraId="16B0E2CD" w14:textId="77777777" w:rsidR="00AB7860" w:rsidRPr="009941F8" w:rsidRDefault="00AB7860" w:rsidP="00233562">
            <w:pPr>
              <w:jc w:val="left"/>
              <w:rPr>
                <w:rFonts w:ascii="Arial Narrow" w:hAnsi="Arial Narrow"/>
                <w:b/>
                <w:bCs/>
                <w:sz w:val="20"/>
                <w:szCs w:val="20"/>
              </w:rPr>
            </w:pPr>
            <w:r w:rsidRPr="009941F8">
              <w:rPr>
                <w:rFonts w:ascii="Arial Narrow" w:hAnsi="Arial Narrow"/>
                <w:b/>
                <w:bCs/>
                <w:sz w:val="20"/>
                <w:szCs w:val="20"/>
              </w:rPr>
              <w:t>Variable</w:t>
            </w:r>
          </w:p>
        </w:tc>
        <w:tc>
          <w:tcPr>
            <w:tcW w:w="2189" w:type="pct"/>
            <w:vAlign w:val="center"/>
          </w:tcPr>
          <w:p w14:paraId="1AF99CF4" w14:textId="77777777" w:rsidR="00AB7860" w:rsidRPr="009941F8" w:rsidRDefault="00AB7860" w:rsidP="00233562">
            <w:pPr>
              <w:jc w:val="center"/>
              <w:rPr>
                <w:rFonts w:ascii="Arial Narrow" w:hAnsi="Arial Narrow"/>
                <w:b/>
                <w:bCs/>
                <w:sz w:val="20"/>
                <w:szCs w:val="20"/>
              </w:rPr>
            </w:pPr>
            <w:r w:rsidRPr="009941F8">
              <w:rPr>
                <w:rFonts w:ascii="Arial Narrow" w:hAnsi="Arial Narrow"/>
                <w:b/>
                <w:bCs/>
                <w:sz w:val="20"/>
                <w:szCs w:val="20"/>
              </w:rPr>
              <w:t>Approach</w:t>
            </w:r>
          </w:p>
        </w:tc>
        <w:tc>
          <w:tcPr>
            <w:tcW w:w="2173" w:type="pct"/>
            <w:vAlign w:val="center"/>
          </w:tcPr>
          <w:p w14:paraId="7507053E" w14:textId="77777777" w:rsidR="00AB7860" w:rsidRPr="009941F8" w:rsidRDefault="00AB7860" w:rsidP="00233562">
            <w:pPr>
              <w:jc w:val="center"/>
              <w:rPr>
                <w:rFonts w:ascii="Arial Narrow" w:hAnsi="Arial Narrow"/>
                <w:b/>
                <w:bCs/>
                <w:sz w:val="20"/>
                <w:szCs w:val="20"/>
              </w:rPr>
            </w:pPr>
            <w:r w:rsidRPr="009941F8">
              <w:rPr>
                <w:rFonts w:ascii="Arial Narrow" w:hAnsi="Arial Narrow"/>
                <w:b/>
                <w:bCs/>
                <w:sz w:val="20"/>
                <w:szCs w:val="20"/>
              </w:rPr>
              <w:t>Source</w:t>
            </w:r>
          </w:p>
        </w:tc>
      </w:tr>
      <w:tr w:rsidR="00AB7860" w:rsidRPr="009941F8" w14:paraId="0DA058A2" w14:textId="77777777" w:rsidTr="00CC67E7">
        <w:trPr>
          <w:cantSplit/>
          <w:trHeight w:val="469"/>
        </w:trPr>
        <w:tc>
          <w:tcPr>
            <w:tcW w:w="638" w:type="pct"/>
            <w:vAlign w:val="center"/>
          </w:tcPr>
          <w:p w14:paraId="0D7FDF99" w14:textId="77777777" w:rsidR="00AB7860" w:rsidRPr="009941F8" w:rsidRDefault="00AB7860" w:rsidP="00233562">
            <w:pPr>
              <w:pStyle w:val="TableText0"/>
              <w:keepNext w:val="0"/>
            </w:pPr>
            <w:r w:rsidRPr="009941F8">
              <w:t>LLDAS</w:t>
            </w:r>
          </w:p>
        </w:tc>
        <w:tc>
          <w:tcPr>
            <w:tcW w:w="2189" w:type="pct"/>
            <w:vAlign w:val="center"/>
          </w:tcPr>
          <w:p w14:paraId="7DB1B55D" w14:textId="6273567A" w:rsidR="00AB7860" w:rsidRPr="009941F8" w:rsidRDefault="00AB7860" w:rsidP="00233562">
            <w:pPr>
              <w:pStyle w:val="TableText0"/>
              <w:keepNext w:val="0"/>
            </w:pPr>
            <w:r w:rsidRPr="009941F8">
              <w:t xml:space="preserve">Probability of achieving and maintaining LLDAS estimated each cycle. Anifrolumab arm </w:t>
            </w:r>
            <w:r w:rsidR="00F85D18" w:rsidRPr="009941F8">
              <w:t xml:space="preserve">was </w:t>
            </w:r>
            <w:r w:rsidRPr="009941F8">
              <w:t xml:space="preserve">split into </w:t>
            </w:r>
            <w:r w:rsidR="00F85D18" w:rsidRPr="009941F8">
              <w:t>‘</w:t>
            </w:r>
            <w:r w:rsidRPr="009941F8">
              <w:t>on treatment</w:t>
            </w:r>
            <w:r w:rsidR="00F85D18" w:rsidRPr="009941F8">
              <w:t>’</w:t>
            </w:r>
            <w:r w:rsidRPr="009941F8">
              <w:t xml:space="preserve">, </w:t>
            </w:r>
            <w:r w:rsidR="00F85D18" w:rsidRPr="009941F8">
              <w:t>‘</w:t>
            </w:r>
            <w:r w:rsidRPr="009941F8">
              <w:t>non-responders off treatment</w:t>
            </w:r>
            <w:r w:rsidR="00F85D18" w:rsidRPr="009941F8">
              <w:t>’</w:t>
            </w:r>
            <w:r w:rsidRPr="009941F8">
              <w:t xml:space="preserve">, and </w:t>
            </w:r>
            <w:r w:rsidR="00F85D18" w:rsidRPr="009941F8">
              <w:t>‘</w:t>
            </w:r>
            <w:r w:rsidRPr="009941F8">
              <w:t>responders off treatment</w:t>
            </w:r>
            <w:r w:rsidR="00F85D18" w:rsidRPr="009941F8">
              <w:t>’</w:t>
            </w:r>
            <w:r w:rsidRPr="009941F8">
              <w:t xml:space="preserve">. Anifrolumab arm </w:t>
            </w:r>
            <w:r w:rsidR="00F85D18" w:rsidRPr="009941F8">
              <w:t>‘</w:t>
            </w:r>
            <w:r w:rsidRPr="009941F8">
              <w:t>not on treatment</w:t>
            </w:r>
            <w:r w:rsidR="00F85D18" w:rsidRPr="009941F8">
              <w:t>’</w:t>
            </w:r>
            <w:r w:rsidRPr="009941F8">
              <w:t xml:space="preserve"> modelled using </w:t>
            </w:r>
            <w:r w:rsidR="00F85D18" w:rsidRPr="009941F8">
              <w:t xml:space="preserve">SOC </w:t>
            </w:r>
            <w:r w:rsidRPr="009941F8">
              <w:t>arm, by response at Week 24. SOC arm modelled as composite.</w:t>
            </w:r>
          </w:p>
          <w:p w14:paraId="2587A740" w14:textId="2CB5CE9A" w:rsidR="00AB7860" w:rsidRPr="009941F8" w:rsidRDefault="00AB7860" w:rsidP="00233562">
            <w:pPr>
              <w:pStyle w:val="TableText0"/>
              <w:keepNext w:val="0"/>
            </w:pPr>
            <w:r w:rsidRPr="009941F8">
              <w:t xml:space="preserve">Cycles 1-8 allowed movement in and out of </w:t>
            </w:r>
            <w:r w:rsidR="00AA03A7" w:rsidRPr="009941F8">
              <w:t>‘</w:t>
            </w:r>
            <w:r w:rsidRPr="009941F8">
              <w:t>LLDAS</w:t>
            </w:r>
            <w:r w:rsidR="00AA03A7" w:rsidRPr="009941F8">
              <w:t>’</w:t>
            </w:r>
            <w:r w:rsidRPr="009941F8">
              <w:t xml:space="preserve"> (achieving and maintaining LLDAS), though in the base case patients did not move to </w:t>
            </w:r>
            <w:r w:rsidR="00AA03A7" w:rsidRPr="009941F8">
              <w:t>‘</w:t>
            </w:r>
            <w:r w:rsidRPr="009941F8">
              <w:t>LLDAS</w:t>
            </w:r>
            <w:r w:rsidR="00AA03A7" w:rsidRPr="009941F8">
              <w:t>’</w:t>
            </w:r>
            <w:r w:rsidRPr="009941F8">
              <w:t xml:space="preserve"> after </w:t>
            </w:r>
            <w:r w:rsidR="00F85D18" w:rsidRPr="009941F8">
              <w:t>C</w:t>
            </w:r>
            <w:r w:rsidRPr="009941F8">
              <w:t xml:space="preserve">ycle 2 in the SOC arm and </w:t>
            </w:r>
            <w:r w:rsidR="00F85D18" w:rsidRPr="009941F8">
              <w:t>C</w:t>
            </w:r>
            <w:r w:rsidRPr="009941F8">
              <w:t>ycle 4 in the anifrolumab arm (non-responders). Cycle 9 onwards allowed only maintenance of LLDAS.</w:t>
            </w:r>
          </w:p>
        </w:tc>
        <w:tc>
          <w:tcPr>
            <w:tcW w:w="2173" w:type="pct"/>
            <w:shd w:val="clear" w:color="auto" w:fill="auto"/>
            <w:vAlign w:val="center"/>
          </w:tcPr>
          <w:p w14:paraId="6027FC78" w14:textId="3C1943D4" w:rsidR="00AB7860" w:rsidRPr="009941F8" w:rsidRDefault="00AB7860" w:rsidP="00233562">
            <w:pPr>
              <w:pStyle w:val="TableText0"/>
              <w:keepNext w:val="0"/>
            </w:pPr>
            <w:r w:rsidRPr="009941F8">
              <w:t>Cycle 1: 24 week follow up of TULIP trials, SLEDAI-2K</w:t>
            </w:r>
            <w:r w:rsidR="009941F8">
              <w:t xml:space="preserve"> </w:t>
            </w:r>
            <w:r w:rsidRPr="009941F8">
              <w:t>≥10 subgroup.</w:t>
            </w:r>
          </w:p>
          <w:p w14:paraId="790D669A" w14:textId="10D78DB3" w:rsidR="00AB7860" w:rsidRPr="009941F8" w:rsidRDefault="00AB7860" w:rsidP="00233562">
            <w:pPr>
              <w:pStyle w:val="TableText0"/>
              <w:keepNext w:val="0"/>
            </w:pPr>
            <w:r w:rsidRPr="009941F8">
              <w:t>Cycle 2: 52 week follow up of TULIP trials, SLEDAI-2K</w:t>
            </w:r>
            <w:r w:rsidR="009941F8">
              <w:t xml:space="preserve"> </w:t>
            </w:r>
            <w:r w:rsidRPr="009941F8">
              <w:t>≥10 subgroup for responders in the anifrolumab arm and all patients in SOC arm. Non</w:t>
            </w:r>
            <w:r w:rsidR="00F25AA9">
              <w:t>-</w:t>
            </w:r>
            <w:r w:rsidRPr="009941F8">
              <w:t>responders in the anifrolumab arm 52 week follow up of TULIP LTE placebo arm, SLEDAI-2K</w:t>
            </w:r>
            <w:r w:rsidR="009941F8">
              <w:t xml:space="preserve"> </w:t>
            </w:r>
            <w:r w:rsidRPr="009941F8">
              <w:t>≥10 subgroup</w:t>
            </w:r>
            <w:r w:rsidR="00393221" w:rsidRPr="009941F8">
              <w:t>.</w:t>
            </w:r>
          </w:p>
          <w:p w14:paraId="12260813" w14:textId="2DADEE54" w:rsidR="00AB7860" w:rsidRPr="009941F8" w:rsidRDefault="00AB7860" w:rsidP="00233562">
            <w:pPr>
              <w:pStyle w:val="TableText0"/>
              <w:keepNext w:val="0"/>
            </w:pPr>
            <w:r w:rsidRPr="009941F8">
              <w:t>Cycle 3-8: Week 76-208 follow up from TULIP LTE, SLEDAI-2K</w:t>
            </w:r>
            <w:r w:rsidR="009941F8">
              <w:t xml:space="preserve"> </w:t>
            </w:r>
            <w:r w:rsidRPr="009941F8">
              <w:t>≥10 subgroup.</w:t>
            </w:r>
          </w:p>
          <w:p w14:paraId="58108A8E" w14:textId="455E3427" w:rsidR="00AB7860" w:rsidRPr="009941F8" w:rsidRDefault="00AB7860" w:rsidP="00233562">
            <w:pPr>
              <w:pStyle w:val="TableText0"/>
              <w:keepNext w:val="0"/>
            </w:pPr>
            <w:r w:rsidRPr="009941F8">
              <w:t>Cycle 9+: Average LLDAS maintenance between Weeks 104 and 208 of the TULIP LTE, SLEDAI-2K</w:t>
            </w:r>
            <w:r w:rsidR="009941F8">
              <w:t xml:space="preserve"> </w:t>
            </w:r>
            <w:r w:rsidRPr="009941F8">
              <w:t>≥10 subgroup</w:t>
            </w:r>
            <w:r w:rsidR="00F85D18" w:rsidRPr="009941F8">
              <w:t>.</w:t>
            </w:r>
            <w:r w:rsidRPr="009941F8">
              <w:t xml:space="preserve"> </w:t>
            </w:r>
          </w:p>
        </w:tc>
      </w:tr>
      <w:tr w:rsidR="00AB7860" w:rsidRPr="009941F8" w14:paraId="2AD399AE" w14:textId="77777777" w:rsidTr="00CC67E7">
        <w:trPr>
          <w:cantSplit/>
        </w:trPr>
        <w:tc>
          <w:tcPr>
            <w:tcW w:w="638" w:type="pct"/>
            <w:tcBorders>
              <w:top w:val="nil"/>
            </w:tcBorders>
            <w:shd w:val="clear" w:color="auto" w:fill="auto"/>
            <w:vAlign w:val="center"/>
          </w:tcPr>
          <w:p w14:paraId="5B74F9AB" w14:textId="77777777" w:rsidR="00AB7860" w:rsidRPr="009941F8" w:rsidRDefault="00AB7860" w:rsidP="00233562">
            <w:pPr>
              <w:jc w:val="left"/>
              <w:rPr>
                <w:rFonts w:ascii="Arial Narrow" w:hAnsi="Arial Narrow"/>
                <w:sz w:val="20"/>
                <w:szCs w:val="20"/>
              </w:rPr>
            </w:pPr>
            <w:r w:rsidRPr="009941F8">
              <w:rPr>
                <w:rFonts w:ascii="Arial Narrow" w:hAnsi="Arial Narrow"/>
                <w:sz w:val="20"/>
                <w:szCs w:val="20"/>
              </w:rPr>
              <w:t>Organ damage</w:t>
            </w:r>
          </w:p>
        </w:tc>
        <w:tc>
          <w:tcPr>
            <w:tcW w:w="2189" w:type="pct"/>
            <w:shd w:val="clear" w:color="auto" w:fill="auto"/>
          </w:tcPr>
          <w:p w14:paraId="0382B3D7" w14:textId="1EC6C8C7" w:rsidR="00323B1C" w:rsidRPr="009941F8" w:rsidRDefault="00323B1C" w:rsidP="00233562">
            <w:pPr>
              <w:rPr>
                <w:rFonts w:ascii="Arial Narrow" w:hAnsi="Arial Narrow"/>
                <w:sz w:val="20"/>
                <w:szCs w:val="20"/>
              </w:rPr>
            </w:pPr>
            <w:r w:rsidRPr="009941F8">
              <w:rPr>
                <w:rFonts w:ascii="Arial Narrow" w:hAnsi="Arial Narrow"/>
                <w:sz w:val="20"/>
                <w:szCs w:val="20"/>
              </w:rPr>
              <w:t xml:space="preserve">At baseline 34.8% patients were expected to have SDI score &gt;0. </w:t>
            </w:r>
          </w:p>
          <w:p w14:paraId="319B0584" w14:textId="02D66CD6" w:rsidR="00AB7860" w:rsidRPr="009941F8" w:rsidRDefault="00AB7860" w:rsidP="00233562">
            <w:pPr>
              <w:rPr>
                <w:rFonts w:ascii="Arial Narrow" w:hAnsi="Arial Narrow"/>
                <w:sz w:val="20"/>
                <w:szCs w:val="20"/>
              </w:rPr>
            </w:pPr>
            <w:r w:rsidRPr="009941F8">
              <w:rPr>
                <w:rFonts w:ascii="Arial Narrow" w:hAnsi="Arial Narrow"/>
                <w:sz w:val="20"/>
                <w:szCs w:val="20"/>
              </w:rPr>
              <w:t>Probability of additional organ damage each cycle was estimated based on organ damage and LLDAS status in the previous cycle.</w:t>
            </w:r>
          </w:p>
          <w:p w14:paraId="232F5E1D" w14:textId="63B77D8C" w:rsidR="00323B1C" w:rsidRPr="009941F8" w:rsidRDefault="00AB7860" w:rsidP="00233562">
            <w:pPr>
              <w:rPr>
                <w:rFonts w:ascii="Arial Narrow" w:hAnsi="Arial Narrow"/>
                <w:sz w:val="20"/>
                <w:szCs w:val="20"/>
              </w:rPr>
            </w:pPr>
            <w:r w:rsidRPr="009941F8">
              <w:rPr>
                <w:rFonts w:ascii="Arial Narrow" w:hAnsi="Arial Narrow"/>
                <w:sz w:val="20"/>
                <w:szCs w:val="20"/>
              </w:rPr>
              <w:t>Organ damage was not body system dependent and SDI score could increase by a maximum of 1 each cycle</w:t>
            </w:r>
            <w:r w:rsidR="00F85D18" w:rsidRPr="009941F8">
              <w:rPr>
                <w:rFonts w:ascii="Arial Narrow" w:hAnsi="Arial Narrow"/>
                <w:sz w:val="20"/>
                <w:szCs w:val="20"/>
              </w:rPr>
              <w:t>.</w:t>
            </w:r>
          </w:p>
        </w:tc>
        <w:tc>
          <w:tcPr>
            <w:tcW w:w="2173" w:type="pct"/>
            <w:shd w:val="clear" w:color="auto" w:fill="auto"/>
            <w:vAlign w:val="center"/>
          </w:tcPr>
          <w:p w14:paraId="4FB9F4A2" w14:textId="45FB3E9B" w:rsidR="00323B1C" w:rsidRPr="009941F8" w:rsidRDefault="00323B1C" w:rsidP="00233562">
            <w:pPr>
              <w:jc w:val="left"/>
              <w:rPr>
                <w:rFonts w:ascii="Arial Narrow" w:hAnsi="Arial Narrow"/>
                <w:sz w:val="20"/>
                <w:szCs w:val="20"/>
              </w:rPr>
            </w:pPr>
            <w:r w:rsidRPr="009941F8">
              <w:rPr>
                <w:rFonts w:ascii="Arial Narrow" w:hAnsi="Arial Narrow"/>
                <w:sz w:val="20"/>
                <w:szCs w:val="20"/>
              </w:rPr>
              <w:t>Baseline organ damage: TULIP 1 trials, SLEDAI-2K</w:t>
            </w:r>
            <w:r w:rsidR="009941F8">
              <w:rPr>
                <w:rFonts w:ascii="Arial Narrow" w:hAnsi="Arial Narrow"/>
                <w:sz w:val="20"/>
                <w:szCs w:val="20"/>
              </w:rPr>
              <w:t xml:space="preserve"> </w:t>
            </w:r>
            <w:r w:rsidRPr="009941F8">
              <w:rPr>
                <w:rFonts w:ascii="Arial Narrow" w:hAnsi="Arial Narrow"/>
                <w:sz w:val="20"/>
                <w:szCs w:val="20"/>
              </w:rPr>
              <w:t>≥10</w:t>
            </w:r>
            <w:r w:rsidR="000F1990" w:rsidRPr="009941F8">
              <w:rPr>
                <w:rFonts w:ascii="Arial Narrow" w:hAnsi="Arial Narrow"/>
                <w:sz w:val="20"/>
                <w:szCs w:val="20"/>
              </w:rPr>
              <w:t xml:space="preserve"> subgroup</w:t>
            </w:r>
          </w:p>
          <w:p w14:paraId="6B3A4B1C" w14:textId="4AA78E0F" w:rsidR="00AB7860" w:rsidRPr="009941F8" w:rsidRDefault="00323B1C" w:rsidP="00233562">
            <w:pPr>
              <w:jc w:val="left"/>
              <w:rPr>
                <w:rFonts w:ascii="Arial Narrow" w:hAnsi="Arial Narrow"/>
                <w:sz w:val="20"/>
                <w:szCs w:val="20"/>
              </w:rPr>
            </w:pPr>
            <w:r w:rsidRPr="009941F8">
              <w:rPr>
                <w:rFonts w:ascii="Arial Narrow" w:hAnsi="Arial Narrow"/>
                <w:sz w:val="20"/>
                <w:szCs w:val="20"/>
              </w:rPr>
              <w:t xml:space="preserve">Organ damage by LLDAS: </w:t>
            </w:r>
            <w:r w:rsidR="00AB7860" w:rsidRPr="009941F8">
              <w:rPr>
                <w:rFonts w:ascii="Arial Narrow" w:hAnsi="Arial Narrow"/>
                <w:sz w:val="20"/>
                <w:szCs w:val="20"/>
              </w:rPr>
              <w:t>Golder</w:t>
            </w:r>
            <w:r w:rsidR="00F85D18" w:rsidRPr="009941F8">
              <w:rPr>
                <w:rFonts w:ascii="Arial Narrow" w:hAnsi="Arial Narrow"/>
                <w:sz w:val="20"/>
                <w:szCs w:val="20"/>
              </w:rPr>
              <w:t xml:space="preserve"> </w:t>
            </w:r>
            <w:r w:rsidR="00AB7860" w:rsidRPr="009941F8">
              <w:rPr>
                <w:rFonts w:ascii="Arial Narrow" w:hAnsi="Arial Narrow"/>
                <w:sz w:val="20"/>
                <w:szCs w:val="20"/>
              </w:rPr>
              <w:t>2019 (APLC data)</w:t>
            </w:r>
          </w:p>
          <w:p w14:paraId="36606370" w14:textId="70FFF93C" w:rsidR="00AB7860" w:rsidRPr="009941F8" w:rsidRDefault="00323B1C" w:rsidP="00233562">
            <w:pPr>
              <w:jc w:val="left"/>
              <w:rPr>
                <w:rFonts w:ascii="Arial Narrow" w:hAnsi="Arial Narrow"/>
                <w:sz w:val="20"/>
                <w:szCs w:val="20"/>
              </w:rPr>
            </w:pPr>
            <w:r w:rsidRPr="009941F8">
              <w:rPr>
                <w:rFonts w:ascii="Arial Narrow" w:hAnsi="Arial Narrow"/>
                <w:sz w:val="20"/>
                <w:szCs w:val="20"/>
              </w:rPr>
              <w:t xml:space="preserve">Organ damage by SDI score (0 vs 1+) </w:t>
            </w:r>
            <w:r w:rsidR="00AB7860" w:rsidRPr="009941F8">
              <w:rPr>
                <w:rFonts w:ascii="Arial Narrow" w:hAnsi="Arial Narrow"/>
                <w:sz w:val="20"/>
                <w:szCs w:val="20"/>
              </w:rPr>
              <w:t>Ugarte-Gil 2022</w:t>
            </w:r>
          </w:p>
        </w:tc>
      </w:tr>
      <w:tr w:rsidR="00AB7860" w:rsidRPr="009941F8" w14:paraId="6E75BB7F" w14:textId="77777777" w:rsidTr="009530C3">
        <w:trPr>
          <w:cantSplit/>
          <w:trHeight w:val="1611"/>
        </w:trPr>
        <w:tc>
          <w:tcPr>
            <w:tcW w:w="638" w:type="pct"/>
            <w:tcBorders>
              <w:top w:val="nil"/>
            </w:tcBorders>
            <w:shd w:val="clear" w:color="auto" w:fill="auto"/>
            <w:vAlign w:val="center"/>
          </w:tcPr>
          <w:p w14:paraId="12BB6176" w14:textId="77777777" w:rsidR="00AB7860" w:rsidRPr="009941F8" w:rsidRDefault="00AB7860" w:rsidP="00233562">
            <w:pPr>
              <w:jc w:val="left"/>
              <w:rPr>
                <w:rFonts w:ascii="Arial Narrow" w:hAnsi="Arial Narrow"/>
                <w:sz w:val="20"/>
                <w:szCs w:val="20"/>
              </w:rPr>
            </w:pPr>
            <w:r w:rsidRPr="009941F8">
              <w:rPr>
                <w:rFonts w:ascii="Arial Narrow" w:hAnsi="Arial Narrow"/>
                <w:sz w:val="20"/>
                <w:szCs w:val="20"/>
              </w:rPr>
              <w:lastRenderedPageBreak/>
              <w:t>Mortality</w:t>
            </w:r>
          </w:p>
        </w:tc>
        <w:tc>
          <w:tcPr>
            <w:tcW w:w="2189" w:type="pct"/>
            <w:shd w:val="clear" w:color="auto" w:fill="auto"/>
          </w:tcPr>
          <w:p w14:paraId="399696A7" w14:textId="77777777" w:rsidR="00AB7860" w:rsidRPr="009941F8" w:rsidRDefault="00AB7860" w:rsidP="00233562">
            <w:pPr>
              <w:rPr>
                <w:rFonts w:ascii="Arial Narrow" w:hAnsi="Arial Narrow"/>
                <w:sz w:val="20"/>
                <w:szCs w:val="20"/>
              </w:rPr>
            </w:pPr>
          </w:p>
          <w:p w14:paraId="611E53A4" w14:textId="77777777" w:rsidR="00AB7860" w:rsidRPr="009941F8" w:rsidRDefault="00AB7860" w:rsidP="00233562">
            <w:pPr>
              <w:rPr>
                <w:rFonts w:ascii="Arial Narrow" w:hAnsi="Arial Narrow"/>
                <w:sz w:val="20"/>
                <w:szCs w:val="20"/>
              </w:rPr>
            </w:pPr>
            <w:r w:rsidRPr="009941F8">
              <w:rPr>
                <w:rFonts w:ascii="Arial Narrow" w:hAnsi="Arial Narrow"/>
                <w:sz w:val="20"/>
                <w:szCs w:val="20"/>
              </w:rPr>
              <w:t>Annual hazard rates were adjusted for age-related mortality in SLE patients applied to background mortality of the Australian population converted to 6 monthly probability.</w:t>
            </w:r>
          </w:p>
          <w:p w14:paraId="637BA5A6" w14:textId="77777777" w:rsidR="00AB7860" w:rsidRPr="009941F8" w:rsidRDefault="00AB7860" w:rsidP="00233562">
            <w:pPr>
              <w:rPr>
                <w:rFonts w:ascii="Arial Narrow" w:hAnsi="Arial Narrow"/>
                <w:sz w:val="20"/>
                <w:szCs w:val="20"/>
              </w:rPr>
            </w:pPr>
          </w:p>
          <w:p w14:paraId="087545EA" w14:textId="05642B25" w:rsidR="0003525F" w:rsidRPr="009941F8" w:rsidRDefault="0003525F" w:rsidP="00233562">
            <w:pPr>
              <w:rPr>
                <w:rFonts w:ascii="Arial Narrow" w:hAnsi="Arial Narrow"/>
                <w:sz w:val="20"/>
                <w:szCs w:val="20"/>
              </w:rPr>
            </w:pPr>
            <w:r w:rsidRPr="009941F8">
              <w:rPr>
                <w:rFonts w:ascii="Arial Narrow" w:hAnsi="Arial Narrow"/>
                <w:sz w:val="20"/>
                <w:szCs w:val="20"/>
              </w:rPr>
              <w:t xml:space="preserve">‘LLDAS’ vs </w:t>
            </w:r>
            <w:r w:rsidR="00CB6D0E" w:rsidRPr="009941F8">
              <w:rPr>
                <w:rFonts w:ascii="Arial Narrow" w:hAnsi="Arial Narrow"/>
                <w:sz w:val="20"/>
                <w:szCs w:val="20"/>
              </w:rPr>
              <w:t>average</w:t>
            </w:r>
            <w:r w:rsidRPr="009941F8">
              <w:rPr>
                <w:rFonts w:ascii="Arial Narrow" w:hAnsi="Arial Narrow"/>
                <w:sz w:val="20"/>
                <w:szCs w:val="20"/>
              </w:rPr>
              <w:t xml:space="preserve"> SLE </w:t>
            </w:r>
            <w:r w:rsidR="00CB6D0E" w:rsidRPr="009941F8">
              <w:rPr>
                <w:rFonts w:ascii="Arial Narrow" w:hAnsi="Arial Narrow"/>
                <w:sz w:val="20"/>
                <w:szCs w:val="20"/>
              </w:rPr>
              <w:t xml:space="preserve">HR </w:t>
            </w:r>
            <w:r w:rsidRPr="009941F8">
              <w:rPr>
                <w:rFonts w:ascii="Arial Narrow" w:hAnsi="Arial Narrow"/>
                <w:sz w:val="20"/>
                <w:szCs w:val="20"/>
              </w:rPr>
              <w:t>= 0.7 (assumed)</w:t>
            </w:r>
          </w:p>
          <w:p w14:paraId="198EC0CD" w14:textId="0F4AEA80" w:rsidR="00AB7860" w:rsidRPr="009941F8" w:rsidRDefault="0003525F" w:rsidP="00233562">
            <w:pPr>
              <w:rPr>
                <w:rFonts w:ascii="Arial Narrow" w:hAnsi="Arial Narrow"/>
                <w:sz w:val="20"/>
                <w:szCs w:val="20"/>
              </w:rPr>
            </w:pPr>
            <w:r w:rsidRPr="009941F8">
              <w:rPr>
                <w:rFonts w:ascii="Arial Narrow" w:hAnsi="Arial Narrow"/>
                <w:sz w:val="20"/>
                <w:szCs w:val="20"/>
              </w:rPr>
              <w:t xml:space="preserve">‘Not LLDAS’ vs </w:t>
            </w:r>
            <w:r w:rsidR="00CB6D0E" w:rsidRPr="009941F8">
              <w:rPr>
                <w:rFonts w:ascii="Arial Narrow" w:hAnsi="Arial Narrow"/>
                <w:sz w:val="20"/>
                <w:szCs w:val="20"/>
              </w:rPr>
              <w:t>average</w:t>
            </w:r>
            <w:r w:rsidRPr="009941F8">
              <w:rPr>
                <w:rFonts w:ascii="Arial Narrow" w:hAnsi="Arial Narrow"/>
                <w:sz w:val="20"/>
                <w:szCs w:val="20"/>
              </w:rPr>
              <w:t xml:space="preserve"> SLE</w:t>
            </w:r>
            <w:r w:rsidR="00CB6D0E" w:rsidRPr="009941F8">
              <w:rPr>
                <w:rFonts w:ascii="Arial Narrow" w:hAnsi="Arial Narrow"/>
                <w:sz w:val="20"/>
                <w:szCs w:val="20"/>
              </w:rPr>
              <w:t xml:space="preserve"> HR</w:t>
            </w:r>
            <w:r w:rsidRPr="009941F8">
              <w:rPr>
                <w:rFonts w:ascii="Arial Narrow" w:hAnsi="Arial Narrow"/>
                <w:sz w:val="20"/>
                <w:szCs w:val="20"/>
              </w:rPr>
              <w:t xml:space="preserve"> = 0.7x4.98=3.49</w:t>
            </w:r>
          </w:p>
        </w:tc>
        <w:tc>
          <w:tcPr>
            <w:tcW w:w="2173" w:type="pct"/>
            <w:shd w:val="clear" w:color="auto" w:fill="auto"/>
          </w:tcPr>
          <w:p w14:paraId="148736BE" w14:textId="12A56CB0" w:rsidR="00AB7860" w:rsidRPr="009941F8" w:rsidRDefault="00AB7860" w:rsidP="00233562">
            <w:pPr>
              <w:rPr>
                <w:rFonts w:ascii="Arial Narrow" w:hAnsi="Arial Narrow"/>
                <w:sz w:val="20"/>
                <w:szCs w:val="20"/>
              </w:rPr>
            </w:pPr>
            <w:r w:rsidRPr="009941F8">
              <w:rPr>
                <w:rFonts w:ascii="Arial Narrow" w:hAnsi="Arial Narrow"/>
                <w:sz w:val="20"/>
                <w:szCs w:val="20"/>
              </w:rPr>
              <w:t>Age-related SLE mortality based on standardised mortality ratios for SLE patients as reported in NICE belimumab submission (Bernatsky 2006).</w:t>
            </w:r>
          </w:p>
          <w:p w14:paraId="224BC854" w14:textId="77777777" w:rsidR="00AB7860" w:rsidRPr="009941F8" w:rsidRDefault="00AB7860" w:rsidP="00233562">
            <w:pPr>
              <w:rPr>
                <w:rFonts w:ascii="Arial Narrow" w:hAnsi="Arial Narrow"/>
                <w:sz w:val="20"/>
                <w:szCs w:val="20"/>
              </w:rPr>
            </w:pPr>
          </w:p>
          <w:p w14:paraId="505105EC" w14:textId="77777777" w:rsidR="00AB7860" w:rsidRPr="009941F8" w:rsidRDefault="00AB7860" w:rsidP="00233562">
            <w:pPr>
              <w:jc w:val="left"/>
              <w:rPr>
                <w:rFonts w:ascii="Arial Narrow" w:hAnsi="Arial Narrow"/>
                <w:sz w:val="20"/>
                <w:szCs w:val="20"/>
              </w:rPr>
            </w:pPr>
            <w:r w:rsidRPr="009941F8">
              <w:rPr>
                <w:rFonts w:ascii="Arial Narrow" w:hAnsi="Arial Narrow"/>
                <w:sz w:val="20"/>
                <w:szCs w:val="20"/>
              </w:rPr>
              <w:t>Background mortality based on Australian life tables.</w:t>
            </w:r>
          </w:p>
          <w:p w14:paraId="2917B5BD" w14:textId="77777777" w:rsidR="0003525F" w:rsidRPr="009941F8" w:rsidRDefault="0003525F" w:rsidP="00233562">
            <w:pPr>
              <w:jc w:val="left"/>
              <w:rPr>
                <w:rFonts w:ascii="Arial Narrow" w:hAnsi="Arial Narrow"/>
                <w:sz w:val="20"/>
                <w:szCs w:val="20"/>
              </w:rPr>
            </w:pPr>
          </w:p>
          <w:p w14:paraId="3FB71A38" w14:textId="181CBB5B" w:rsidR="0003525F" w:rsidRPr="009941F8" w:rsidRDefault="0003525F" w:rsidP="00233562">
            <w:pPr>
              <w:jc w:val="left"/>
              <w:rPr>
                <w:rFonts w:ascii="Arial Narrow" w:hAnsi="Arial Narrow"/>
                <w:sz w:val="20"/>
                <w:szCs w:val="20"/>
              </w:rPr>
            </w:pPr>
            <w:r w:rsidRPr="009941F8">
              <w:rPr>
                <w:rFonts w:ascii="Arial Narrow" w:hAnsi="Arial Narrow"/>
                <w:sz w:val="20"/>
                <w:szCs w:val="20"/>
              </w:rPr>
              <w:t>‘N</w:t>
            </w:r>
            <w:r w:rsidR="004564C8" w:rsidRPr="009941F8">
              <w:rPr>
                <w:rFonts w:ascii="Arial Narrow" w:hAnsi="Arial Narrow"/>
                <w:sz w:val="20"/>
                <w:szCs w:val="20"/>
              </w:rPr>
              <w:t>ever</w:t>
            </w:r>
            <w:r w:rsidRPr="009941F8">
              <w:rPr>
                <w:rFonts w:ascii="Arial Narrow" w:hAnsi="Arial Narrow"/>
                <w:sz w:val="20"/>
                <w:szCs w:val="20"/>
              </w:rPr>
              <w:t xml:space="preserve"> </w:t>
            </w:r>
            <w:r w:rsidR="00AB7860" w:rsidRPr="009941F8">
              <w:rPr>
                <w:rFonts w:ascii="Arial Narrow" w:hAnsi="Arial Narrow"/>
                <w:sz w:val="20"/>
                <w:szCs w:val="20"/>
              </w:rPr>
              <w:t>LLDAS</w:t>
            </w:r>
            <w:r w:rsidRPr="009941F8">
              <w:rPr>
                <w:rFonts w:ascii="Arial Narrow" w:hAnsi="Arial Narrow"/>
                <w:sz w:val="20"/>
                <w:szCs w:val="20"/>
              </w:rPr>
              <w:t>’</w:t>
            </w:r>
            <w:r w:rsidR="00AB7860" w:rsidRPr="009941F8">
              <w:rPr>
                <w:rFonts w:ascii="Arial Narrow" w:hAnsi="Arial Narrow"/>
                <w:sz w:val="20"/>
                <w:szCs w:val="20"/>
              </w:rPr>
              <w:t xml:space="preserve"> HR</w:t>
            </w:r>
            <w:r w:rsidRPr="009941F8">
              <w:rPr>
                <w:rFonts w:ascii="Arial Narrow" w:hAnsi="Arial Narrow"/>
                <w:sz w:val="20"/>
                <w:szCs w:val="20"/>
              </w:rPr>
              <w:t xml:space="preserve"> versus ‘</w:t>
            </w:r>
            <w:r w:rsidR="004564C8" w:rsidRPr="009941F8">
              <w:rPr>
                <w:rFonts w:ascii="Arial Narrow" w:hAnsi="Arial Narrow"/>
                <w:sz w:val="20"/>
                <w:szCs w:val="20"/>
              </w:rPr>
              <w:t xml:space="preserve">ever </w:t>
            </w:r>
            <w:r w:rsidRPr="009941F8">
              <w:rPr>
                <w:rFonts w:ascii="Arial Narrow" w:hAnsi="Arial Narrow"/>
                <w:sz w:val="20"/>
                <w:szCs w:val="20"/>
              </w:rPr>
              <w:t>LLDAS’ HR of 4.98</w:t>
            </w:r>
            <w:r w:rsidR="00CB6D0E" w:rsidRPr="009941F8">
              <w:rPr>
                <w:rFonts w:ascii="Arial Narrow" w:hAnsi="Arial Narrow"/>
                <w:sz w:val="20"/>
                <w:szCs w:val="20"/>
              </w:rPr>
              <w:t xml:space="preserve"> from</w:t>
            </w:r>
            <w:r w:rsidR="00AB7860" w:rsidRPr="009941F8">
              <w:rPr>
                <w:rFonts w:ascii="Arial Narrow" w:hAnsi="Arial Narrow"/>
                <w:sz w:val="20"/>
                <w:szCs w:val="20"/>
              </w:rPr>
              <w:t xml:space="preserve"> Kandane-Rathnayake 2022</w:t>
            </w:r>
          </w:p>
        </w:tc>
      </w:tr>
      <w:tr w:rsidR="00AB7860" w:rsidRPr="009941F8" w14:paraId="04D180AF" w14:textId="77777777" w:rsidTr="009530C3">
        <w:trPr>
          <w:cantSplit/>
          <w:trHeight w:val="1102"/>
        </w:trPr>
        <w:tc>
          <w:tcPr>
            <w:tcW w:w="638" w:type="pct"/>
            <w:shd w:val="clear" w:color="auto" w:fill="auto"/>
            <w:vAlign w:val="center"/>
          </w:tcPr>
          <w:p w14:paraId="35A6D938" w14:textId="77777777" w:rsidR="00AB7860" w:rsidRPr="009941F8" w:rsidRDefault="00AB7860" w:rsidP="00233562">
            <w:pPr>
              <w:jc w:val="left"/>
              <w:rPr>
                <w:rFonts w:ascii="Arial Narrow" w:hAnsi="Arial Narrow"/>
                <w:sz w:val="20"/>
                <w:szCs w:val="20"/>
              </w:rPr>
            </w:pPr>
            <w:r w:rsidRPr="009941F8">
              <w:rPr>
                <w:rFonts w:ascii="Arial Narrow" w:hAnsi="Arial Narrow"/>
                <w:sz w:val="20"/>
                <w:szCs w:val="20"/>
              </w:rPr>
              <w:t>Flares</w:t>
            </w:r>
          </w:p>
        </w:tc>
        <w:tc>
          <w:tcPr>
            <w:tcW w:w="2189" w:type="pct"/>
            <w:vAlign w:val="center"/>
          </w:tcPr>
          <w:p w14:paraId="5CE80A57" w14:textId="1A2CBB72" w:rsidR="00AB7860" w:rsidRPr="009941F8" w:rsidRDefault="00AB7860" w:rsidP="00233562">
            <w:pPr>
              <w:jc w:val="left"/>
              <w:rPr>
                <w:rFonts w:ascii="Arial Narrow" w:hAnsi="Arial Narrow"/>
                <w:sz w:val="20"/>
                <w:szCs w:val="20"/>
              </w:rPr>
            </w:pPr>
            <w:r w:rsidRPr="009941F8">
              <w:rPr>
                <w:rFonts w:ascii="Arial Narrow" w:hAnsi="Arial Narrow"/>
                <w:sz w:val="20"/>
                <w:szCs w:val="20"/>
              </w:rPr>
              <w:t xml:space="preserve">The risk of a flare each cycle was 29.3% for patient </w:t>
            </w:r>
            <w:r w:rsidR="00AA03A7" w:rsidRPr="009941F8">
              <w:rPr>
                <w:rFonts w:ascii="Arial Narrow" w:hAnsi="Arial Narrow"/>
                <w:sz w:val="20"/>
                <w:szCs w:val="20"/>
              </w:rPr>
              <w:t>‘</w:t>
            </w:r>
            <w:r w:rsidR="00AF4776" w:rsidRPr="009941F8">
              <w:rPr>
                <w:rFonts w:ascii="Arial Narrow" w:hAnsi="Arial Narrow"/>
                <w:sz w:val="20"/>
                <w:szCs w:val="20"/>
              </w:rPr>
              <w:t>N</w:t>
            </w:r>
            <w:r w:rsidRPr="009941F8">
              <w:rPr>
                <w:rFonts w:ascii="Arial Narrow" w:hAnsi="Arial Narrow"/>
                <w:sz w:val="20"/>
                <w:szCs w:val="20"/>
              </w:rPr>
              <w:t>ot LLDAS</w:t>
            </w:r>
            <w:r w:rsidR="00AA03A7" w:rsidRPr="009941F8">
              <w:rPr>
                <w:rFonts w:ascii="Arial Narrow" w:hAnsi="Arial Narrow"/>
                <w:sz w:val="20"/>
                <w:szCs w:val="20"/>
              </w:rPr>
              <w:t>’</w:t>
            </w:r>
            <w:r w:rsidRPr="009941F8">
              <w:rPr>
                <w:rFonts w:ascii="Arial Narrow" w:hAnsi="Arial Narrow"/>
                <w:sz w:val="20"/>
                <w:szCs w:val="20"/>
              </w:rPr>
              <w:t xml:space="preserve"> and 13.2% for </w:t>
            </w:r>
            <w:r w:rsidR="00AF4776" w:rsidRPr="009941F8">
              <w:rPr>
                <w:rFonts w:ascii="Arial Narrow" w:hAnsi="Arial Narrow"/>
                <w:sz w:val="20"/>
                <w:szCs w:val="20"/>
              </w:rPr>
              <w:t>‘</w:t>
            </w:r>
            <w:r w:rsidRPr="009941F8">
              <w:rPr>
                <w:rFonts w:ascii="Arial Narrow" w:hAnsi="Arial Narrow"/>
                <w:sz w:val="20"/>
                <w:szCs w:val="20"/>
              </w:rPr>
              <w:t>LLDAS</w:t>
            </w:r>
            <w:r w:rsidR="00AA03A7" w:rsidRPr="009941F8">
              <w:rPr>
                <w:rFonts w:ascii="Arial Narrow" w:hAnsi="Arial Narrow"/>
                <w:sz w:val="20"/>
                <w:szCs w:val="20"/>
              </w:rPr>
              <w:t>’</w:t>
            </w:r>
            <w:r w:rsidRPr="009941F8">
              <w:rPr>
                <w:rFonts w:ascii="Arial Narrow" w:hAnsi="Arial Narrow"/>
                <w:sz w:val="20"/>
                <w:szCs w:val="20"/>
              </w:rPr>
              <w:t xml:space="preserve"> patients (RR 0.45). Flares were assumed to last 3 months and only one flare per cycle could occur.</w:t>
            </w:r>
          </w:p>
        </w:tc>
        <w:tc>
          <w:tcPr>
            <w:tcW w:w="2173" w:type="pct"/>
            <w:shd w:val="clear" w:color="auto" w:fill="auto"/>
            <w:vAlign w:val="center"/>
          </w:tcPr>
          <w:p w14:paraId="4CE19302" w14:textId="70F8F874" w:rsidR="00AB7860" w:rsidRPr="009941F8" w:rsidRDefault="00AB7860" w:rsidP="00233562">
            <w:pPr>
              <w:rPr>
                <w:rFonts w:ascii="Arial Narrow" w:hAnsi="Arial Narrow"/>
                <w:sz w:val="20"/>
                <w:szCs w:val="20"/>
              </w:rPr>
            </w:pPr>
            <w:r w:rsidRPr="009941F8">
              <w:rPr>
                <w:rFonts w:ascii="Arial Narrow" w:hAnsi="Arial Narrow"/>
                <w:sz w:val="20"/>
                <w:szCs w:val="20"/>
              </w:rPr>
              <w:t xml:space="preserve">Golder 2019 (APLC data) Figure 1, patients </w:t>
            </w:r>
            <w:r w:rsidR="00AF4776" w:rsidRPr="009941F8">
              <w:rPr>
                <w:rFonts w:ascii="Arial Narrow" w:hAnsi="Arial Narrow"/>
                <w:sz w:val="20"/>
                <w:szCs w:val="20"/>
              </w:rPr>
              <w:t xml:space="preserve">with </w:t>
            </w:r>
            <w:r w:rsidRPr="009941F8">
              <w:rPr>
                <w:rFonts w:ascii="Arial Narrow" w:hAnsi="Arial Narrow"/>
                <w:sz w:val="20"/>
                <w:szCs w:val="20"/>
              </w:rPr>
              <w:t xml:space="preserve"> </w:t>
            </w:r>
            <w:r w:rsidR="000F1990" w:rsidRPr="009941F8">
              <w:rPr>
                <w:rFonts w:ascii="Arial Narrow" w:hAnsi="Arial Narrow"/>
                <w:sz w:val="20"/>
                <w:szCs w:val="20"/>
              </w:rPr>
              <w:t xml:space="preserve"> </w:t>
            </w:r>
            <w:r w:rsidRPr="009941F8">
              <w:rPr>
                <w:rFonts w:ascii="Arial Narrow" w:hAnsi="Arial Narrow"/>
                <w:sz w:val="20"/>
                <w:szCs w:val="20"/>
              </w:rPr>
              <w:t xml:space="preserve">LLDAS &lt;50% of the time, proportion in first 6 months </w:t>
            </w:r>
          </w:p>
        </w:tc>
      </w:tr>
      <w:tr w:rsidR="00AB7860" w:rsidRPr="009941F8" w14:paraId="50FFE11E" w14:textId="77777777" w:rsidTr="00CC67E7">
        <w:trPr>
          <w:cantSplit/>
        </w:trPr>
        <w:tc>
          <w:tcPr>
            <w:tcW w:w="638" w:type="pct"/>
            <w:tcBorders>
              <w:top w:val="nil"/>
            </w:tcBorders>
            <w:shd w:val="clear" w:color="auto" w:fill="auto"/>
            <w:vAlign w:val="center"/>
          </w:tcPr>
          <w:p w14:paraId="74425B97" w14:textId="77777777" w:rsidR="00AB7860" w:rsidRPr="009941F8" w:rsidRDefault="00AB7860" w:rsidP="00233562">
            <w:pPr>
              <w:jc w:val="left"/>
              <w:rPr>
                <w:rFonts w:ascii="Arial Narrow" w:hAnsi="Arial Narrow"/>
                <w:sz w:val="20"/>
                <w:szCs w:val="20"/>
              </w:rPr>
            </w:pPr>
            <w:r w:rsidRPr="009941F8">
              <w:rPr>
                <w:rFonts w:ascii="Arial Narrow" w:hAnsi="Arial Narrow"/>
                <w:sz w:val="20"/>
                <w:szCs w:val="20"/>
              </w:rPr>
              <w:t>OCS dose</w:t>
            </w:r>
          </w:p>
        </w:tc>
        <w:tc>
          <w:tcPr>
            <w:tcW w:w="2189" w:type="pct"/>
            <w:shd w:val="clear" w:color="auto" w:fill="auto"/>
            <w:vAlign w:val="center"/>
          </w:tcPr>
          <w:p w14:paraId="30C09B87" w14:textId="470BBE43" w:rsidR="00AB7860" w:rsidRPr="009941F8" w:rsidRDefault="00AB7860" w:rsidP="00233562">
            <w:pPr>
              <w:jc w:val="left"/>
              <w:rPr>
                <w:rFonts w:ascii="Arial Narrow" w:hAnsi="Arial Narrow"/>
                <w:bCs/>
                <w:sz w:val="20"/>
                <w:szCs w:val="20"/>
              </w:rPr>
            </w:pPr>
            <w:r w:rsidRPr="009941F8">
              <w:rPr>
                <w:rFonts w:ascii="Arial Narrow" w:hAnsi="Arial Narrow"/>
                <w:bCs/>
                <w:sz w:val="20"/>
                <w:szCs w:val="20"/>
              </w:rPr>
              <w:t>Least square mean regression by treatment and LLDAS status</w:t>
            </w:r>
            <w:r w:rsidR="00AA03A7" w:rsidRPr="009941F8">
              <w:rPr>
                <w:rFonts w:ascii="Arial Narrow" w:hAnsi="Arial Narrow"/>
                <w:bCs/>
                <w:sz w:val="20"/>
                <w:szCs w:val="20"/>
              </w:rPr>
              <w:t>.</w:t>
            </w:r>
          </w:p>
          <w:p w14:paraId="681B64A1" w14:textId="58FB72E1" w:rsidR="00AB7860" w:rsidRPr="009941F8" w:rsidRDefault="00AA03A7" w:rsidP="00233562">
            <w:pPr>
              <w:jc w:val="left"/>
              <w:rPr>
                <w:rFonts w:ascii="Arial Narrow" w:hAnsi="Arial Narrow"/>
                <w:sz w:val="20"/>
                <w:szCs w:val="20"/>
              </w:rPr>
            </w:pPr>
            <w:r w:rsidRPr="009941F8">
              <w:rPr>
                <w:rFonts w:ascii="Arial Narrow" w:hAnsi="Arial Narrow"/>
                <w:sz w:val="20"/>
                <w:szCs w:val="20"/>
              </w:rPr>
              <w:t>‘</w:t>
            </w:r>
            <w:r w:rsidR="00AB7860" w:rsidRPr="009941F8">
              <w:rPr>
                <w:rFonts w:ascii="Arial Narrow" w:hAnsi="Arial Narrow"/>
                <w:sz w:val="20"/>
                <w:szCs w:val="20"/>
              </w:rPr>
              <w:t>LLDAS</w:t>
            </w:r>
            <w:r w:rsidRPr="009941F8">
              <w:rPr>
                <w:rFonts w:ascii="Arial Narrow" w:hAnsi="Arial Narrow"/>
                <w:sz w:val="20"/>
                <w:szCs w:val="20"/>
              </w:rPr>
              <w:t>’</w:t>
            </w:r>
            <w:r w:rsidR="00AB7860" w:rsidRPr="009941F8">
              <w:rPr>
                <w:rFonts w:ascii="Arial Narrow" w:hAnsi="Arial Narrow"/>
                <w:sz w:val="20"/>
                <w:szCs w:val="20"/>
              </w:rPr>
              <w:t>: 4.968mg/day anifrolumab, 5.669mg/day SOC</w:t>
            </w:r>
          </w:p>
          <w:p w14:paraId="7DF0657A" w14:textId="544D8EF3" w:rsidR="00AB7860" w:rsidRPr="009941F8" w:rsidRDefault="00AA03A7" w:rsidP="00233562">
            <w:pPr>
              <w:jc w:val="left"/>
              <w:rPr>
                <w:rFonts w:ascii="Arial Narrow" w:hAnsi="Arial Narrow"/>
                <w:sz w:val="20"/>
                <w:szCs w:val="20"/>
              </w:rPr>
            </w:pPr>
            <w:r w:rsidRPr="009941F8">
              <w:rPr>
                <w:rFonts w:ascii="Arial Narrow" w:hAnsi="Arial Narrow"/>
                <w:sz w:val="20"/>
                <w:szCs w:val="20"/>
              </w:rPr>
              <w:t>‘</w:t>
            </w:r>
            <w:r w:rsidR="00AB7860" w:rsidRPr="009941F8">
              <w:rPr>
                <w:rFonts w:ascii="Arial Narrow" w:hAnsi="Arial Narrow"/>
                <w:sz w:val="20"/>
                <w:szCs w:val="20"/>
              </w:rPr>
              <w:t>Not LLDAS</w:t>
            </w:r>
            <w:r w:rsidRPr="009941F8">
              <w:rPr>
                <w:rFonts w:ascii="Arial Narrow" w:hAnsi="Arial Narrow"/>
                <w:sz w:val="20"/>
                <w:szCs w:val="20"/>
              </w:rPr>
              <w:t>’</w:t>
            </w:r>
            <w:r w:rsidR="00AB7860" w:rsidRPr="009941F8">
              <w:rPr>
                <w:rFonts w:ascii="Arial Narrow" w:hAnsi="Arial Narrow"/>
                <w:sz w:val="20"/>
                <w:szCs w:val="20"/>
              </w:rPr>
              <w:t>: 8.055mg/day both arms (based on SOC arm)</w:t>
            </w:r>
          </w:p>
        </w:tc>
        <w:tc>
          <w:tcPr>
            <w:tcW w:w="2173" w:type="pct"/>
            <w:vAlign w:val="center"/>
          </w:tcPr>
          <w:p w14:paraId="0A71F63B" w14:textId="4B9C2186" w:rsidR="00AB7860" w:rsidRPr="009941F8" w:rsidRDefault="00AB7860" w:rsidP="00233562">
            <w:pPr>
              <w:jc w:val="left"/>
              <w:rPr>
                <w:rFonts w:ascii="Arial Narrow" w:hAnsi="Arial Narrow"/>
                <w:sz w:val="20"/>
                <w:szCs w:val="20"/>
              </w:rPr>
            </w:pPr>
            <w:r w:rsidRPr="009941F8">
              <w:rPr>
                <w:rFonts w:ascii="Arial Narrow" w:hAnsi="Arial Narrow"/>
                <w:sz w:val="20"/>
                <w:szCs w:val="20"/>
              </w:rPr>
              <w:t>Pooled TULIP trials (not TULIP LTE)</w:t>
            </w:r>
            <w:r w:rsidR="00AA03A7" w:rsidRPr="009941F8">
              <w:rPr>
                <w:rFonts w:ascii="Arial Narrow" w:hAnsi="Arial Narrow"/>
                <w:sz w:val="20"/>
                <w:szCs w:val="20"/>
              </w:rPr>
              <w:t>.</w:t>
            </w:r>
          </w:p>
        </w:tc>
      </w:tr>
      <w:tr w:rsidR="00AB7860" w:rsidRPr="009941F8" w14:paraId="72514FC4" w14:textId="77777777" w:rsidTr="00CC67E7">
        <w:trPr>
          <w:cantSplit/>
        </w:trPr>
        <w:tc>
          <w:tcPr>
            <w:tcW w:w="638" w:type="pct"/>
            <w:tcBorders>
              <w:top w:val="nil"/>
            </w:tcBorders>
            <w:shd w:val="clear" w:color="auto" w:fill="auto"/>
            <w:vAlign w:val="center"/>
          </w:tcPr>
          <w:p w14:paraId="036C11C5" w14:textId="77777777" w:rsidR="00AB7860" w:rsidRPr="009941F8" w:rsidRDefault="00AB7860" w:rsidP="00320BF5">
            <w:pPr>
              <w:jc w:val="left"/>
              <w:rPr>
                <w:rFonts w:ascii="Arial Narrow" w:hAnsi="Arial Narrow"/>
                <w:sz w:val="20"/>
                <w:szCs w:val="20"/>
              </w:rPr>
            </w:pPr>
            <w:r w:rsidRPr="009941F8">
              <w:rPr>
                <w:rFonts w:ascii="Arial Narrow" w:hAnsi="Arial Narrow"/>
                <w:sz w:val="20"/>
                <w:szCs w:val="20"/>
              </w:rPr>
              <w:t>Treatment discontinuation</w:t>
            </w:r>
          </w:p>
        </w:tc>
        <w:tc>
          <w:tcPr>
            <w:tcW w:w="2189" w:type="pct"/>
          </w:tcPr>
          <w:p w14:paraId="63F26C2F" w14:textId="222A6029" w:rsidR="00AB7860" w:rsidRPr="009941F8" w:rsidRDefault="00AB7860" w:rsidP="00320BF5">
            <w:pPr>
              <w:rPr>
                <w:rFonts w:ascii="Arial Narrow" w:hAnsi="Arial Narrow"/>
                <w:sz w:val="20"/>
                <w:szCs w:val="20"/>
              </w:rPr>
            </w:pPr>
            <w:r w:rsidRPr="009941F8">
              <w:rPr>
                <w:rFonts w:ascii="Arial Narrow" w:hAnsi="Arial Narrow"/>
                <w:sz w:val="20"/>
                <w:szCs w:val="20"/>
              </w:rPr>
              <w:t>79.2% patients discontinued anifrolumab in Cycle 1</w:t>
            </w:r>
            <w:r w:rsidR="00894787" w:rsidRPr="009941F8">
              <w:rPr>
                <w:rFonts w:ascii="Arial Narrow" w:hAnsi="Arial Narrow"/>
                <w:sz w:val="20"/>
                <w:szCs w:val="20"/>
              </w:rPr>
              <w:t xml:space="preserve"> (cycle length =26 weeks)</w:t>
            </w:r>
            <w:r w:rsidR="004C30A8" w:rsidRPr="009941F8">
              <w:rPr>
                <w:rFonts w:ascii="Arial Narrow" w:hAnsi="Arial Narrow"/>
                <w:sz w:val="20"/>
                <w:szCs w:val="20"/>
              </w:rPr>
              <w:t>.</w:t>
            </w:r>
          </w:p>
          <w:p w14:paraId="662D3B10" w14:textId="462AAFCE" w:rsidR="00AB7860" w:rsidRPr="009941F8" w:rsidRDefault="004C30A8" w:rsidP="00320BF5">
            <w:pPr>
              <w:rPr>
                <w:rFonts w:ascii="Arial Narrow" w:hAnsi="Arial Narrow"/>
                <w:sz w:val="20"/>
                <w:szCs w:val="20"/>
              </w:rPr>
            </w:pPr>
            <w:r w:rsidRPr="009941F8">
              <w:rPr>
                <w:rFonts w:ascii="Arial Narrow" w:hAnsi="Arial Narrow"/>
                <w:sz w:val="20"/>
                <w:szCs w:val="20"/>
              </w:rPr>
              <w:t xml:space="preserve">From </w:t>
            </w:r>
            <w:r w:rsidR="00AB7860" w:rsidRPr="009941F8">
              <w:rPr>
                <w:rFonts w:ascii="Arial Narrow" w:hAnsi="Arial Narrow"/>
                <w:sz w:val="20"/>
                <w:szCs w:val="20"/>
              </w:rPr>
              <w:t xml:space="preserve">Cycle 2 onwards anifrolumab discontinuation rate </w:t>
            </w:r>
            <w:r w:rsidRPr="009941F8">
              <w:rPr>
                <w:rFonts w:ascii="Arial Narrow" w:hAnsi="Arial Narrow"/>
                <w:sz w:val="20"/>
                <w:szCs w:val="20"/>
              </w:rPr>
              <w:t xml:space="preserve">was modelled </w:t>
            </w:r>
            <w:r w:rsidR="00AB7860" w:rsidRPr="009941F8">
              <w:rPr>
                <w:rFonts w:ascii="Arial Narrow" w:hAnsi="Arial Narrow"/>
                <w:sz w:val="20"/>
                <w:szCs w:val="20"/>
              </w:rPr>
              <w:t>according to loss of LLDAS</w:t>
            </w:r>
            <w:r w:rsidR="00894787" w:rsidRPr="009941F8">
              <w:rPr>
                <w:rFonts w:ascii="Arial Narrow" w:hAnsi="Arial Narrow"/>
                <w:sz w:val="20"/>
                <w:szCs w:val="20"/>
              </w:rPr>
              <w:t>. B</w:t>
            </w:r>
            <w:r w:rsidR="00AB7860" w:rsidRPr="009941F8">
              <w:rPr>
                <w:rFonts w:ascii="Arial Narrow" w:hAnsi="Arial Narrow"/>
                <w:sz w:val="20"/>
                <w:szCs w:val="20"/>
              </w:rPr>
              <w:t>y Year 2</w:t>
            </w:r>
            <w:r w:rsidR="00894787" w:rsidRPr="009941F8">
              <w:rPr>
                <w:rFonts w:ascii="Arial Narrow" w:hAnsi="Arial Narrow"/>
                <w:sz w:val="20"/>
                <w:szCs w:val="20"/>
              </w:rPr>
              <w:t>,</w:t>
            </w:r>
            <w:r w:rsidR="00AB7860" w:rsidRPr="009941F8">
              <w:rPr>
                <w:rFonts w:ascii="Arial Narrow" w:hAnsi="Arial Narrow"/>
                <w:sz w:val="20"/>
                <w:szCs w:val="20"/>
              </w:rPr>
              <w:t xml:space="preserve"> &lt;10% patients remained on anifrolumab</w:t>
            </w:r>
            <w:r w:rsidR="00894787" w:rsidRPr="009941F8">
              <w:rPr>
                <w:rFonts w:ascii="Arial Narrow" w:hAnsi="Arial Narrow"/>
                <w:sz w:val="20"/>
                <w:szCs w:val="20"/>
              </w:rPr>
              <w:t>.</w:t>
            </w:r>
          </w:p>
          <w:p w14:paraId="703FB58B" w14:textId="77777777" w:rsidR="00AB7860" w:rsidRPr="009941F8" w:rsidRDefault="00AB7860" w:rsidP="00320BF5">
            <w:pPr>
              <w:rPr>
                <w:rFonts w:ascii="Arial Narrow" w:hAnsi="Arial Narrow"/>
                <w:sz w:val="20"/>
                <w:szCs w:val="20"/>
                <w:shd w:val="clear" w:color="auto" w:fill="C6D9F1" w:themeFill="text2" w:themeFillTint="33"/>
              </w:rPr>
            </w:pPr>
          </w:p>
          <w:p w14:paraId="57248271" w14:textId="77777777" w:rsidR="00AB7860" w:rsidRPr="009941F8" w:rsidRDefault="00AB7860" w:rsidP="00320BF5">
            <w:pPr>
              <w:rPr>
                <w:rFonts w:ascii="Arial Narrow" w:hAnsi="Arial Narrow"/>
                <w:sz w:val="20"/>
                <w:szCs w:val="20"/>
              </w:rPr>
            </w:pPr>
            <w:r w:rsidRPr="009941F8">
              <w:rPr>
                <w:rFonts w:ascii="Arial Narrow" w:hAnsi="Arial Narrow"/>
                <w:sz w:val="20"/>
                <w:szCs w:val="20"/>
              </w:rPr>
              <w:t>Aside from OCS use, SOC treatments were constant over time in both arms</w:t>
            </w:r>
          </w:p>
        </w:tc>
        <w:tc>
          <w:tcPr>
            <w:tcW w:w="2173" w:type="pct"/>
            <w:shd w:val="clear" w:color="auto" w:fill="auto"/>
          </w:tcPr>
          <w:p w14:paraId="2EAD0716" w14:textId="28EBADC0" w:rsidR="00AB7860" w:rsidRPr="009941F8" w:rsidRDefault="00AB7860" w:rsidP="00320BF5">
            <w:pPr>
              <w:pStyle w:val="TableText0"/>
              <w:keepNext w:val="0"/>
            </w:pPr>
            <w:r w:rsidRPr="009941F8">
              <w:t>Cycle 1: 24 week follow up of LLDAS in TULIP trials, SLEDAI-2K</w:t>
            </w:r>
            <w:r w:rsidR="009941F8">
              <w:t xml:space="preserve"> </w:t>
            </w:r>
            <w:r w:rsidRPr="009941F8">
              <w:t>≥10 subgroup.</w:t>
            </w:r>
          </w:p>
          <w:p w14:paraId="3EF5AF42" w14:textId="77777777" w:rsidR="00AB7860" w:rsidRPr="009941F8" w:rsidRDefault="00AB7860" w:rsidP="00320BF5">
            <w:pPr>
              <w:pStyle w:val="TableText0"/>
              <w:keepNext w:val="0"/>
            </w:pPr>
            <w:r w:rsidRPr="009941F8">
              <w:t>Cycle 2 onwards: Loss of LLDAS as modelled.</w:t>
            </w:r>
          </w:p>
        </w:tc>
      </w:tr>
      <w:tr w:rsidR="00AB7860" w:rsidRPr="009941F8" w14:paraId="0885E43E" w14:textId="77777777" w:rsidTr="00CC67E7">
        <w:trPr>
          <w:cantSplit/>
        </w:trPr>
        <w:tc>
          <w:tcPr>
            <w:tcW w:w="638" w:type="pct"/>
            <w:tcBorders>
              <w:top w:val="nil"/>
            </w:tcBorders>
            <w:shd w:val="clear" w:color="auto" w:fill="auto"/>
            <w:vAlign w:val="center"/>
          </w:tcPr>
          <w:p w14:paraId="346DF569" w14:textId="77777777" w:rsidR="00AB7860" w:rsidRPr="009941F8" w:rsidRDefault="00AB7860" w:rsidP="00233562">
            <w:pPr>
              <w:jc w:val="left"/>
              <w:rPr>
                <w:rFonts w:ascii="Arial Narrow" w:hAnsi="Arial Narrow"/>
                <w:sz w:val="20"/>
                <w:szCs w:val="20"/>
              </w:rPr>
            </w:pPr>
            <w:r w:rsidRPr="009941F8">
              <w:rPr>
                <w:rFonts w:ascii="Arial Narrow" w:hAnsi="Arial Narrow"/>
                <w:sz w:val="20"/>
                <w:szCs w:val="20"/>
              </w:rPr>
              <w:t>Adverse events</w:t>
            </w:r>
          </w:p>
        </w:tc>
        <w:tc>
          <w:tcPr>
            <w:tcW w:w="2189" w:type="pct"/>
          </w:tcPr>
          <w:p w14:paraId="796C8380" w14:textId="77777777" w:rsidR="00AB7860" w:rsidRPr="009941F8" w:rsidRDefault="00AB7860" w:rsidP="00233562">
            <w:pPr>
              <w:rPr>
                <w:rFonts w:ascii="Arial Narrow" w:hAnsi="Arial Narrow"/>
                <w:sz w:val="20"/>
                <w:szCs w:val="20"/>
              </w:rPr>
            </w:pPr>
            <w:r w:rsidRPr="009941F8">
              <w:rPr>
                <w:rFonts w:ascii="Arial Narrow" w:hAnsi="Arial Narrow"/>
                <w:sz w:val="20"/>
                <w:szCs w:val="20"/>
              </w:rPr>
              <w:t>Herpes Zoster and infusion related reactions. Other infections no longer included.</w:t>
            </w:r>
          </w:p>
          <w:tbl>
            <w:tblPr>
              <w:tblStyle w:val="TableGrid"/>
              <w:tblW w:w="3860" w:type="dxa"/>
              <w:tblLook w:val="04A0" w:firstRow="1" w:lastRow="0" w:firstColumn="1" w:lastColumn="0" w:noHBand="0" w:noVBand="1"/>
            </w:tblPr>
            <w:tblGrid>
              <w:gridCol w:w="1370"/>
              <w:gridCol w:w="1268"/>
              <w:gridCol w:w="1222"/>
            </w:tblGrid>
            <w:tr w:rsidR="00AB7860" w:rsidRPr="009941F8" w14:paraId="7379598B" w14:textId="77777777" w:rsidTr="009530C3">
              <w:tc>
                <w:tcPr>
                  <w:tcW w:w="1370" w:type="dxa"/>
                  <w:vMerge w:val="restart"/>
                  <w:vAlign w:val="center"/>
                </w:tcPr>
                <w:p w14:paraId="52FDB4D8" w14:textId="77777777" w:rsidR="00AB7860" w:rsidRPr="009941F8" w:rsidRDefault="00AB7860" w:rsidP="00233562">
                  <w:pPr>
                    <w:pStyle w:val="In-tableHeading"/>
                    <w:keepNext w:val="0"/>
                    <w:rPr>
                      <w:lang w:val="en-AU"/>
                    </w:rPr>
                  </w:pPr>
                  <w:r w:rsidRPr="009941F8">
                    <w:rPr>
                      <w:lang w:val="en-AU"/>
                    </w:rPr>
                    <w:t>Adverse event</w:t>
                  </w:r>
                </w:p>
              </w:tc>
              <w:tc>
                <w:tcPr>
                  <w:tcW w:w="2490" w:type="dxa"/>
                  <w:gridSpan w:val="2"/>
                  <w:noWrap/>
                </w:tcPr>
                <w:p w14:paraId="6A0F994F" w14:textId="77777777" w:rsidR="00AB7860" w:rsidRPr="009941F8" w:rsidRDefault="00AB7860" w:rsidP="00233562">
                  <w:pPr>
                    <w:pStyle w:val="In-tableHeading"/>
                    <w:keepNext w:val="0"/>
                    <w:rPr>
                      <w:lang w:val="en-AU"/>
                    </w:rPr>
                  </w:pPr>
                  <w:r w:rsidRPr="009941F8">
                    <w:rPr>
                      <w:lang w:val="en-AU"/>
                    </w:rPr>
                    <w:t>Per cycle probability</w:t>
                  </w:r>
                </w:p>
              </w:tc>
            </w:tr>
            <w:tr w:rsidR="00AB7860" w:rsidRPr="009941F8" w14:paraId="6F97A3C6" w14:textId="77777777" w:rsidTr="00AA03A7">
              <w:tc>
                <w:tcPr>
                  <w:tcW w:w="1370" w:type="dxa"/>
                  <w:vMerge/>
                </w:tcPr>
                <w:p w14:paraId="116D0E47" w14:textId="77777777" w:rsidR="00AB7860" w:rsidRPr="009941F8" w:rsidRDefault="00AB7860" w:rsidP="00233562">
                  <w:pPr>
                    <w:pStyle w:val="In-tableHeading"/>
                    <w:keepNext w:val="0"/>
                    <w:rPr>
                      <w:lang w:val="en-AU"/>
                    </w:rPr>
                  </w:pPr>
                </w:p>
              </w:tc>
              <w:tc>
                <w:tcPr>
                  <w:tcW w:w="1268" w:type="dxa"/>
                  <w:noWrap/>
                </w:tcPr>
                <w:p w14:paraId="1FC9791C" w14:textId="77777777" w:rsidR="00AB7860" w:rsidRPr="009941F8" w:rsidRDefault="00AB7860" w:rsidP="00233562">
                  <w:pPr>
                    <w:pStyle w:val="In-tableHeading"/>
                    <w:keepNext w:val="0"/>
                    <w:rPr>
                      <w:lang w:val="en-AU"/>
                    </w:rPr>
                  </w:pPr>
                  <w:r w:rsidRPr="009941F8">
                    <w:rPr>
                      <w:lang w:val="en-AU"/>
                    </w:rPr>
                    <w:t>Anifrolumab</w:t>
                  </w:r>
                </w:p>
              </w:tc>
              <w:tc>
                <w:tcPr>
                  <w:tcW w:w="1222" w:type="dxa"/>
                  <w:noWrap/>
                </w:tcPr>
                <w:p w14:paraId="0F37ED4F" w14:textId="77777777" w:rsidR="00AB7860" w:rsidRPr="009941F8" w:rsidRDefault="00AB7860" w:rsidP="00233562">
                  <w:pPr>
                    <w:pStyle w:val="In-tableHeading"/>
                    <w:keepNext w:val="0"/>
                    <w:rPr>
                      <w:lang w:val="en-AU"/>
                    </w:rPr>
                  </w:pPr>
                  <w:r w:rsidRPr="009941F8">
                    <w:rPr>
                      <w:lang w:val="en-AU"/>
                    </w:rPr>
                    <w:t>SOC</w:t>
                  </w:r>
                </w:p>
              </w:tc>
            </w:tr>
            <w:tr w:rsidR="00AB7860" w:rsidRPr="009941F8" w14:paraId="037B3053" w14:textId="77777777" w:rsidTr="00AA03A7">
              <w:tc>
                <w:tcPr>
                  <w:tcW w:w="1370" w:type="dxa"/>
                  <w:vMerge w:val="restart"/>
                </w:tcPr>
                <w:p w14:paraId="2772C5FD" w14:textId="77777777" w:rsidR="00AB7860" w:rsidRPr="009941F8" w:rsidRDefault="00AB7860" w:rsidP="00233562">
                  <w:pPr>
                    <w:pStyle w:val="TableText0"/>
                    <w:keepNext w:val="0"/>
                  </w:pPr>
                  <w:r w:rsidRPr="009941F8">
                    <w:t>Herpes zoster</w:t>
                  </w:r>
                </w:p>
              </w:tc>
              <w:tc>
                <w:tcPr>
                  <w:tcW w:w="1268" w:type="dxa"/>
                  <w:noWrap/>
                  <w:hideMark/>
                </w:tcPr>
                <w:p w14:paraId="7922337A" w14:textId="77777777" w:rsidR="00AB7860" w:rsidRPr="009941F8" w:rsidRDefault="00AB7860" w:rsidP="00233562">
                  <w:pPr>
                    <w:pStyle w:val="TableText0"/>
                    <w:keepNext w:val="0"/>
                  </w:pPr>
                  <w:r w:rsidRPr="009941F8">
                    <w:t>3.2%</w:t>
                  </w:r>
                </w:p>
              </w:tc>
              <w:tc>
                <w:tcPr>
                  <w:tcW w:w="1222" w:type="dxa"/>
                  <w:noWrap/>
                  <w:hideMark/>
                </w:tcPr>
                <w:p w14:paraId="301DD4D8" w14:textId="77777777" w:rsidR="00AB7860" w:rsidRPr="009941F8" w:rsidRDefault="00AB7860" w:rsidP="00233562">
                  <w:pPr>
                    <w:pStyle w:val="TableText0"/>
                    <w:keepNext w:val="0"/>
                  </w:pPr>
                  <w:r w:rsidRPr="009941F8">
                    <w:t>0.7%</w:t>
                  </w:r>
                </w:p>
              </w:tc>
            </w:tr>
            <w:tr w:rsidR="00AB7860" w:rsidRPr="009941F8" w14:paraId="020DB929" w14:textId="77777777" w:rsidTr="00AA03A7">
              <w:tc>
                <w:tcPr>
                  <w:tcW w:w="1370" w:type="dxa"/>
                  <w:vMerge/>
                </w:tcPr>
                <w:p w14:paraId="27F98911" w14:textId="77777777" w:rsidR="00AB7860" w:rsidRPr="009941F8" w:rsidRDefault="00AB7860" w:rsidP="00233562">
                  <w:pPr>
                    <w:pStyle w:val="TableText0"/>
                    <w:keepNext w:val="0"/>
                  </w:pPr>
                </w:p>
              </w:tc>
              <w:tc>
                <w:tcPr>
                  <w:tcW w:w="1268" w:type="dxa"/>
                  <w:noWrap/>
                  <w:hideMark/>
                </w:tcPr>
                <w:p w14:paraId="2B0C0B66" w14:textId="77777777" w:rsidR="00AB7860" w:rsidRPr="009941F8" w:rsidRDefault="00AB7860" w:rsidP="00233562">
                  <w:pPr>
                    <w:pStyle w:val="TableText0"/>
                    <w:keepNext w:val="0"/>
                  </w:pPr>
                  <w:r w:rsidRPr="009941F8">
                    <w:t>1.6%</w:t>
                  </w:r>
                </w:p>
              </w:tc>
              <w:tc>
                <w:tcPr>
                  <w:tcW w:w="1222" w:type="dxa"/>
                  <w:noWrap/>
                  <w:hideMark/>
                </w:tcPr>
                <w:p w14:paraId="081E00B4" w14:textId="77777777" w:rsidR="00AB7860" w:rsidRPr="009941F8" w:rsidRDefault="00AB7860" w:rsidP="00233562">
                  <w:pPr>
                    <w:pStyle w:val="TableText0"/>
                    <w:keepNext w:val="0"/>
                  </w:pPr>
                  <w:r w:rsidRPr="009941F8">
                    <w:t>1.1%</w:t>
                  </w:r>
                </w:p>
              </w:tc>
            </w:tr>
            <w:tr w:rsidR="00AB7860" w:rsidRPr="009941F8" w14:paraId="6B4832D3" w14:textId="77777777" w:rsidTr="00AA03A7">
              <w:tc>
                <w:tcPr>
                  <w:tcW w:w="1370" w:type="dxa"/>
                  <w:vMerge w:val="restart"/>
                </w:tcPr>
                <w:p w14:paraId="6384FD1C" w14:textId="77777777" w:rsidR="00AB7860" w:rsidRPr="009941F8" w:rsidRDefault="00AB7860" w:rsidP="00233562">
                  <w:pPr>
                    <w:pStyle w:val="TableText0"/>
                    <w:keepNext w:val="0"/>
                  </w:pPr>
                  <w:r w:rsidRPr="009941F8">
                    <w:t>Infusion related reaction</w:t>
                  </w:r>
                </w:p>
              </w:tc>
              <w:tc>
                <w:tcPr>
                  <w:tcW w:w="1268" w:type="dxa"/>
                  <w:noWrap/>
                  <w:hideMark/>
                </w:tcPr>
                <w:p w14:paraId="7FEF033F" w14:textId="77777777" w:rsidR="00AB7860" w:rsidRPr="009941F8" w:rsidRDefault="00AB7860" w:rsidP="00233562">
                  <w:pPr>
                    <w:pStyle w:val="TableText0"/>
                    <w:keepNext w:val="0"/>
                  </w:pPr>
                  <w:r w:rsidRPr="009941F8">
                    <w:t>5.9%</w:t>
                  </w:r>
                </w:p>
              </w:tc>
              <w:tc>
                <w:tcPr>
                  <w:tcW w:w="1222" w:type="dxa"/>
                  <w:noWrap/>
                  <w:hideMark/>
                </w:tcPr>
                <w:p w14:paraId="0F5C8432" w14:textId="77777777" w:rsidR="00AB7860" w:rsidRPr="009941F8" w:rsidRDefault="00AB7860" w:rsidP="00233562">
                  <w:pPr>
                    <w:pStyle w:val="TableText0"/>
                    <w:keepNext w:val="0"/>
                  </w:pPr>
                  <w:r w:rsidRPr="009941F8">
                    <w:t>0.0%</w:t>
                  </w:r>
                </w:p>
              </w:tc>
            </w:tr>
            <w:tr w:rsidR="00AB7860" w:rsidRPr="009941F8" w14:paraId="0F00EA77" w14:textId="77777777" w:rsidTr="00AA03A7">
              <w:tc>
                <w:tcPr>
                  <w:tcW w:w="1370" w:type="dxa"/>
                  <w:vMerge/>
                </w:tcPr>
                <w:p w14:paraId="4BD2BF7D" w14:textId="77777777" w:rsidR="00AB7860" w:rsidRPr="009941F8" w:rsidRDefault="00AB7860" w:rsidP="00233562">
                  <w:pPr>
                    <w:pStyle w:val="TableText0"/>
                    <w:keepNext w:val="0"/>
                  </w:pPr>
                </w:p>
              </w:tc>
              <w:tc>
                <w:tcPr>
                  <w:tcW w:w="1268" w:type="dxa"/>
                  <w:noWrap/>
                  <w:hideMark/>
                </w:tcPr>
                <w:p w14:paraId="6F08FB8B" w14:textId="77777777" w:rsidR="00AB7860" w:rsidRPr="009941F8" w:rsidRDefault="00AB7860" w:rsidP="00233562">
                  <w:pPr>
                    <w:pStyle w:val="TableText0"/>
                    <w:keepNext w:val="0"/>
                  </w:pPr>
                  <w:r w:rsidRPr="009941F8">
                    <w:t>1.1%</w:t>
                  </w:r>
                </w:p>
              </w:tc>
              <w:tc>
                <w:tcPr>
                  <w:tcW w:w="1222" w:type="dxa"/>
                  <w:noWrap/>
                  <w:hideMark/>
                </w:tcPr>
                <w:p w14:paraId="46A6FB3B" w14:textId="77777777" w:rsidR="00AB7860" w:rsidRPr="009941F8" w:rsidRDefault="00AB7860" w:rsidP="00233562">
                  <w:pPr>
                    <w:pStyle w:val="TableText0"/>
                    <w:keepNext w:val="0"/>
                  </w:pPr>
                  <w:r w:rsidRPr="009941F8">
                    <w:t>0.0%</w:t>
                  </w:r>
                </w:p>
              </w:tc>
            </w:tr>
          </w:tbl>
          <w:p w14:paraId="312F9D84" w14:textId="77777777" w:rsidR="00AB7860" w:rsidRPr="009941F8" w:rsidRDefault="00AB7860" w:rsidP="00233562">
            <w:pPr>
              <w:rPr>
                <w:rFonts w:ascii="Arial Narrow" w:hAnsi="Arial Narrow"/>
                <w:sz w:val="20"/>
                <w:szCs w:val="20"/>
              </w:rPr>
            </w:pPr>
          </w:p>
        </w:tc>
        <w:tc>
          <w:tcPr>
            <w:tcW w:w="2173" w:type="pct"/>
            <w:shd w:val="clear" w:color="auto" w:fill="auto"/>
          </w:tcPr>
          <w:p w14:paraId="0ABA92F8" w14:textId="77777777" w:rsidR="00AB7860" w:rsidRPr="009941F8" w:rsidRDefault="00AB7860" w:rsidP="00233562">
            <w:pPr>
              <w:pStyle w:val="TableText0"/>
              <w:keepNext w:val="0"/>
            </w:pPr>
            <w:r w:rsidRPr="009941F8">
              <w:t>Cycle 1-2: Pooled rates in TULIP trials</w:t>
            </w:r>
          </w:p>
          <w:p w14:paraId="32A4E88B" w14:textId="77777777" w:rsidR="00AB7860" w:rsidRPr="009941F8" w:rsidRDefault="00AB7860" w:rsidP="00233562">
            <w:pPr>
              <w:pStyle w:val="TableText0"/>
              <w:keepNext w:val="0"/>
            </w:pPr>
            <w:r w:rsidRPr="009941F8">
              <w:t>Cycle 3+: TULIP LTE</w:t>
            </w:r>
          </w:p>
          <w:p w14:paraId="7B79FC07" w14:textId="77777777" w:rsidR="00AB7860" w:rsidRPr="009941F8" w:rsidRDefault="00AB7860" w:rsidP="00233562">
            <w:pPr>
              <w:pStyle w:val="TableText0"/>
              <w:keepNext w:val="0"/>
            </w:pPr>
          </w:p>
          <w:p w14:paraId="11C68917" w14:textId="77777777" w:rsidR="00AB7860" w:rsidRPr="009941F8" w:rsidRDefault="00AB7860" w:rsidP="00233562">
            <w:pPr>
              <w:pStyle w:val="TableText0"/>
              <w:keepNext w:val="0"/>
            </w:pPr>
            <w:r w:rsidRPr="009941F8">
              <w:t>0% infusion related reactions in the SOC arm was assumed.</w:t>
            </w:r>
          </w:p>
        </w:tc>
      </w:tr>
    </w:tbl>
    <w:p w14:paraId="5B0FC8BC" w14:textId="77777777" w:rsidR="00AB7860" w:rsidRPr="009941F8" w:rsidRDefault="00AB7860" w:rsidP="00233562">
      <w:pPr>
        <w:pStyle w:val="TableFigureFooter"/>
        <w:spacing w:after="0"/>
        <w:rPr>
          <w:szCs w:val="18"/>
        </w:rPr>
      </w:pPr>
      <w:r w:rsidRPr="009941F8">
        <w:rPr>
          <w:szCs w:val="18"/>
        </w:rPr>
        <w:t>Source: constructed during the evaluation</w:t>
      </w:r>
    </w:p>
    <w:p w14:paraId="0794A7EC" w14:textId="073278CA" w:rsidR="00AB7860" w:rsidRPr="009941F8" w:rsidRDefault="00AB7860" w:rsidP="00233562">
      <w:pPr>
        <w:pStyle w:val="TableFigureFooter"/>
      </w:pPr>
      <w:r w:rsidRPr="009941F8">
        <w:rPr>
          <w:szCs w:val="18"/>
        </w:rPr>
        <w:t>ALRB= Australian Lupus Registry and Biobank, APLC=Asia-Pacific Lupus Collaboration, JHLC=John Hopkins Lupus Cohort, NICE=National Institute for Health and Care Excellence UK, OCS=oral corticosteroid, SLE= Systemic Lupus Erythematosus, SLEDAI-2K= Systemic Lupus Erythematosus Disease Activity Index 2000</w:t>
      </w:r>
      <w:r w:rsidR="00323B1C" w:rsidRPr="009941F8">
        <w:rPr>
          <w:szCs w:val="18"/>
        </w:rPr>
        <w:t xml:space="preserve">, </w:t>
      </w:r>
      <w:r w:rsidR="00323B1C" w:rsidRPr="009941F8">
        <w:t>SDI=SLICC/ACR (Systemic Lupus International Collaborating Clinics/American College of Rheumatology) Damage Index</w:t>
      </w:r>
    </w:p>
    <w:p w14:paraId="6CFAB11E" w14:textId="77777777" w:rsidR="00AB7860" w:rsidRPr="009941F8" w:rsidRDefault="00AB7860" w:rsidP="00A244E2">
      <w:pPr>
        <w:pStyle w:val="3-BodyText"/>
      </w:pPr>
      <w:r w:rsidRPr="009941F8">
        <w:t>The resubmission was driven by LLDAS which was used to estimate mortality, flares, OCS dose and anifrolumab discontinuation. Unlike the March 2023 resubmission, the current resubmission did not model SLEDAI-2K, organ damage by body system or general ‘infections’.</w:t>
      </w:r>
    </w:p>
    <w:p w14:paraId="6869C86D" w14:textId="01577E71" w:rsidR="00AB7860" w:rsidRPr="009941F8" w:rsidRDefault="00AB7860" w:rsidP="00A244E2">
      <w:pPr>
        <w:pStyle w:val="3-BodyText"/>
      </w:pPr>
      <w:bookmarkStart w:id="61" w:name="_Ref159442584"/>
      <w:r w:rsidRPr="009941F8">
        <w:t xml:space="preserve">In the resubmission, data from TULIP LTE as well as TULIP 1 and 2 were used. However, none of the included trials (including TULIP LTE) had reported any difference with respect to organ damage or mortality. The resubmission presented literature to support the relationship between LLDAS and clinical outcomes but did not describe whether the studies also controlled for other factors, in particular time in LLDAS and </w:t>
      </w:r>
      <w:r w:rsidRPr="009941F8">
        <w:lastRenderedPageBreak/>
        <w:t xml:space="preserve">whether the studies considered patients with severe disease. Similar to SLEDAI-2K in the previous submissions, </w:t>
      </w:r>
      <w:r w:rsidR="00D04514" w:rsidRPr="009941F8">
        <w:t xml:space="preserve">the ESC considered that it </w:t>
      </w:r>
      <w:r w:rsidRPr="009941F8">
        <w:t>remained uncertain whether the resubmission had accurately quantified the relationship between LLDAS and final outcomes.</w:t>
      </w:r>
      <w:bookmarkEnd w:id="61"/>
    </w:p>
    <w:p w14:paraId="3D3AF99B" w14:textId="311C4D25" w:rsidR="00AB7860" w:rsidRPr="009941F8" w:rsidRDefault="00AB7860" w:rsidP="00A244E2">
      <w:pPr>
        <w:pStyle w:val="3-BodyText"/>
      </w:pPr>
      <w:r w:rsidRPr="009941F8">
        <w:t>The following table presents a summary of LLDAS transition probabilities applied each cycle</w:t>
      </w:r>
      <w:r w:rsidR="00AA03A7" w:rsidRPr="009941F8">
        <w:t>.</w:t>
      </w:r>
      <w:r w:rsidR="00894787" w:rsidRPr="009941F8">
        <w:t xml:space="preserve"> This was based on data for the post hoc subgroup of patients with SLEDAI-2K</w:t>
      </w:r>
      <w:r w:rsidR="0018501F" w:rsidRPr="009941F8">
        <w:t> </w:t>
      </w:r>
      <w:r w:rsidR="00894787" w:rsidRPr="009941F8">
        <w:rPr>
          <w:rFonts w:cstheme="minorHAnsi"/>
        </w:rPr>
        <w:t>≥</w:t>
      </w:r>
      <w:r w:rsidR="00894787" w:rsidRPr="009941F8">
        <w:t>10 at baseline in the TULIP trials.</w:t>
      </w:r>
      <w:r w:rsidR="00574BF8" w:rsidRPr="009941F8">
        <w:t xml:space="preserve"> The SOC arm and patients receiving anifrolumab in the anifrolumab arm were informed by the pooled TULIP-1 and TULIP-2 trials and the TULIP LTE data (applied to the pooled TULIP trial data). The analysis did not account for patients missing at each follow up. The resubmission stated that patients who discontinued anifrolumab (either as non-responders at 26 weeks or who lost LLDAS after 26 weeks) were informed by the pooled SOC arms of the TULIP-1 and TULIP-2 trials and the TULIP LTE data, by LLDAS response at 26 weeks</w:t>
      </w:r>
      <w:r w:rsidR="009941F8">
        <w:rPr>
          <w:i/>
          <w:iCs/>
        </w:rPr>
        <w:t xml:space="preserve">. </w:t>
      </w:r>
    </w:p>
    <w:p w14:paraId="1A867A64" w14:textId="53F7F0FF" w:rsidR="00AB7860" w:rsidRPr="009941F8" w:rsidRDefault="00AB7860" w:rsidP="00A244E2">
      <w:pPr>
        <w:pStyle w:val="TableFigureHeading"/>
      </w:pPr>
      <w:bookmarkStart w:id="62" w:name="_Ref156917009"/>
      <w:r w:rsidRPr="009941F8">
        <w:t xml:space="preserve">Table </w:t>
      </w:r>
      <w:r w:rsidR="00CE7EC7">
        <w:fldChar w:fldCharType="begin" w:fldLock="1"/>
      </w:r>
      <w:r w:rsidR="00CE7EC7">
        <w:instrText xml:space="preserve"> SEQ Table \* ARABIC </w:instrText>
      </w:r>
      <w:r w:rsidR="00CE7EC7">
        <w:fldChar w:fldCharType="separate"/>
      </w:r>
      <w:r w:rsidR="00F07501">
        <w:rPr>
          <w:noProof/>
        </w:rPr>
        <w:t>10</w:t>
      </w:r>
      <w:r w:rsidR="00CE7EC7">
        <w:rPr>
          <w:noProof/>
        </w:rPr>
        <w:fldChar w:fldCharType="end"/>
      </w:r>
      <w:bookmarkEnd w:id="62"/>
      <w:r w:rsidRPr="009941F8">
        <w:t>:</w:t>
      </w:r>
      <w:r w:rsidRPr="009941F8">
        <w:rPr>
          <w:rStyle w:val="CommentReference"/>
          <w:b/>
          <w:szCs w:val="24"/>
        </w:rPr>
        <w:t xml:space="preserve"> </w:t>
      </w:r>
      <w:r w:rsidRPr="009941F8">
        <w:t>LLDAS transition probabilities each cycle</w:t>
      </w:r>
      <w:r w:rsidR="00224035" w:rsidRPr="009941F8">
        <w:t xml:space="preserve"> </w:t>
      </w:r>
      <w:r w:rsidR="003B6844" w:rsidRPr="009941F8">
        <w:t xml:space="preserve">for patients with </w:t>
      </w:r>
      <w:r w:rsidR="00224035" w:rsidRPr="009941F8">
        <w:t>SLEDAI-2K</w:t>
      </w:r>
      <w:r w:rsidR="009941F8">
        <w:t xml:space="preserve"> </w:t>
      </w:r>
      <w:r w:rsidR="00224035" w:rsidRPr="009941F8">
        <w:t>≥10</w:t>
      </w:r>
      <w:r w:rsidR="003B6844" w:rsidRPr="009941F8">
        <w:t xml:space="preserve"> at baseline</w:t>
      </w:r>
    </w:p>
    <w:tbl>
      <w:tblPr>
        <w:tblStyle w:val="TableGrid"/>
        <w:tblW w:w="0" w:type="auto"/>
        <w:tblLayout w:type="fixed"/>
        <w:tblLook w:val="04A0" w:firstRow="1" w:lastRow="0" w:firstColumn="1" w:lastColumn="0" w:noHBand="0" w:noVBand="1"/>
        <w:tblCaption w:val="Table 10: LLDAS transition probabilities each cycle for patients with SLEDAI-2K ≥10 at baseline"/>
      </w:tblPr>
      <w:tblGrid>
        <w:gridCol w:w="846"/>
        <w:gridCol w:w="1021"/>
        <w:gridCol w:w="1021"/>
        <w:gridCol w:w="1022"/>
        <w:gridCol w:w="1021"/>
        <w:gridCol w:w="1021"/>
        <w:gridCol w:w="1022"/>
        <w:gridCol w:w="1021"/>
        <w:gridCol w:w="1022"/>
      </w:tblGrid>
      <w:tr w:rsidR="00AB7860" w:rsidRPr="009941F8" w14:paraId="1752D508" w14:textId="77777777" w:rsidTr="00AA03A7">
        <w:tc>
          <w:tcPr>
            <w:tcW w:w="846" w:type="dxa"/>
            <w:tcBorders>
              <w:bottom w:val="nil"/>
            </w:tcBorders>
            <w:noWrap/>
            <w:hideMark/>
          </w:tcPr>
          <w:p w14:paraId="341201F4" w14:textId="77777777" w:rsidR="00AB7860" w:rsidRPr="009941F8" w:rsidRDefault="00AB7860" w:rsidP="00A244E2">
            <w:pPr>
              <w:pStyle w:val="TableText0"/>
              <w:rPr>
                <w:szCs w:val="20"/>
              </w:rPr>
            </w:pPr>
            <w:r w:rsidRPr="009941F8">
              <w:rPr>
                <w:szCs w:val="20"/>
              </w:rPr>
              <w:t> </w:t>
            </w:r>
          </w:p>
        </w:tc>
        <w:tc>
          <w:tcPr>
            <w:tcW w:w="6128" w:type="dxa"/>
            <w:gridSpan w:val="6"/>
            <w:noWrap/>
          </w:tcPr>
          <w:p w14:paraId="31E1CD40" w14:textId="77777777" w:rsidR="00AB7860" w:rsidRPr="009941F8" w:rsidRDefault="00AB7860" w:rsidP="00A244E2">
            <w:pPr>
              <w:pStyle w:val="TableText0"/>
              <w:jc w:val="center"/>
              <w:rPr>
                <w:b/>
                <w:szCs w:val="20"/>
              </w:rPr>
            </w:pPr>
            <w:r w:rsidRPr="009941F8">
              <w:rPr>
                <w:b/>
                <w:szCs w:val="20"/>
              </w:rPr>
              <w:t>Anifrolumab arm</w:t>
            </w:r>
          </w:p>
        </w:tc>
        <w:tc>
          <w:tcPr>
            <w:tcW w:w="2043" w:type="dxa"/>
            <w:gridSpan w:val="2"/>
            <w:vMerge w:val="restart"/>
            <w:noWrap/>
          </w:tcPr>
          <w:p w14:paraId="3E8BE166" w14:textId="77777777" w:rsidR="00AB7860" w:rsidRPr="009941F8" w:rsidRDefault="00AB7860" w:rsidP="00A244E2">
            <w:pPr>
              <w:pStyle w:val="TableText0"/>
              <w:rPr>
                <w:b/>
                <w:szCs w:val="20"/>
              </w:rPr>
            </w:pPr>
            <w:r w:rsidRPr="009941F8">
              <w:rPr>
                <w:b/>
                <w:szCs w:val="20"/>
              </w:rPr>
              <w:t>SOC arm</w:t>
            </w:r>
          </w:p>
        </w:tc>
      </w:tr>
      <w:tr w:rsidR="00AB7860" w:rsidRPr="009941F8" w14:paraId="6012DEF4" w14:textId="77777777" w:rsidTr="00AA03A7">
        <w:tc>
          <w:tcPr>
            <w:tcW w:w="846" w:type="dxa"/>
            <w:tcBorders>
              <w:top w:val="nil"/>
            </w:tcBorders>
            <w:noWrap/>
          </w:tcPr>
          <w:p w14:paraId="5FC3589D" w14:textId="77777777" w:rsidR="00AB7860" w:rsidRPr="009941F8" w:rsidRDefault="00AB7860" w:rsidP="00A244E2">
            <w:pPr>
              <w:pStyle w:val="TableText0"/>
              <w:rPr>
                <w:szCs w:val="20"/>
              </w:rPr>
            </w:pPr>
          </w:p>
        </w:tc>
        <w:tc>
          <w:tcPr>
            <w:tcW w:w="2042" w:type="dxa"/>
            <w:gridSpan w:val="2"/>
            <w:noWrap/>
          </w:tcPr>
          <w:p w14:paraId="642B6E87" w14:textId="77777777" w:rsidR="00AB7860" w:rsidRPr="009941F8" w:rsidRDefault="00AB7860" w:rsidP="00A244E2">
            <w:pPr>
              <w:pStyle w:val="TableText0"/>
              <w:rPr>
                <w:b/>
                <w:szCs w:val="20"/>
              </w:rPr>
            </w:pPr>
            <w:r w:rsidRPr="009941F8">
              <w:rPr>
                <w:b/>
                <w:szCs w:val="20"/>
              </w:rPr>
              <w:t>On anifrolumab</w:t>
            </w:r>
          </w:p>
        </w:tc>
        <w:tc>
          <w:tcPr>
            <w:tcW w:w="2043" w:type="dxa"/>
            <w:gridSpan w:val="2"/>
            <w:noWrap/>
          </w:tcPr>
          <w:p w14:paraId="713C15AB" w14:textId="77777777" w:rsidR="00AB7860" w:rsidRPr="009941F8" w:rsidRDefault="00AB7860" w:rsidP="00A244E2">
            <w:pPr>
              <w:pStyle w:val="TableText0"/>
              <w:rPr>
                <w:b/>
                <w:szCs w:val="20"/>
              </w:rPr>
            </w:pPr>
            <w:r w:rsidRPr="009941F8">
              <w:rPr>
                <w:b/>
                <w:szCs w:val="20"/>
              </w:rPr>
              <w:t>Off anifrolumab (26 week responder)</w:t>
            </w:r>
          </w:p>
        </w:tc>
        <w:tc>
          <w:tcPr>
            <w:tcW w:w="2043" w:type="dxa"/>
            <w:gridSpan w:val="2"/>
            <w:noWrap/>
          </w:tcPr>
          <w:p w14:paraId="29183F27" w14:textId="77777777" w:rsidR="00AB7860" w:rsidRPr="009941F8" w:rsidRDefault="00AB7860" w:rsidP="00A244E2">
            <w:pPr>
              <w:pStyle w:val="TableText0"/>
              <w:rPr>
                <w:b/>
                <w:szCs w:val="20"/>
              </w:rPr>
            </w:pPr>
            <w:r w:rsidRPr="009941F8">
              <w:rPr>
                <w:b/>
                <w:szCs w:val="20"/>
              </w:rPr>
              <w:t>Off anifrolumab (26 week non-responder)</w:t>
            </w:r>
          </w:p>
        </w:tc>
        <w:tc>
          <w:tcPr>
            <w:tcW w:w="2043" w:type="dxa"/>
            <w:gridSpan w:val="2"/>
            <w:vMerge/>
            <w:noWrap/>
          </w:tcPr>
          <w:p w14:paraId="223B82BA" w14:textId="77777777" w:rsidR="00AB7860" w:rsidRPr="009941F8" w:rsidRDefault="00AB7860" w:rsidP="00A244E2">
            <w:pPr>
              <w:pStyle w:val="TableText0"/>
              <w:rPr>
                <w:b/>
                <w:szCs w:val="20"/>
              </w:rPr>
            </w:pPr>
          </w:p>
        </w:tc>
      </w:tr>
      <w:tr w:rsidR="00AB7860" w:rsidRPr="009941F8" w14:paraId="090BE13B" w14:textId="77777777" w:rsidTr="00314767">
        <w:tc>
          <w:tcPr>
            <w:tcW w:w="846" w:type="dxa"/>
            <w:noWrap/>
            <w:hideMark/>
          </w:tcPr>
          <w:p w14:paraId="4F00181F" w14:textId="5493266B" w:rsidR="00AB7860" w:rsidRPr="009941F8" w:rsidRDefault="00AB7860" w:rsidP="00A244E2">
            <w:pPr>
              <w:pStyle w:val="TableText0"/>
              <w:rPr>
                <w:rFonts w:eastAsia="Times New Roman"/>
                <w:b/>
                <w:bCs w:val="0"/>
                <w:szCs w:val="20"/>
              </w:rPr>
            </w:pPr>
            <w:r w:rsidRPr="009941F8">
              <w:rPr>
                <w:rFonts w:eastAsia="Times New Roman"/>
                <w:b/>
                <w:bCs w:val="0"/>
                <w:szCs w:val="20"/>
              </w:rPr>
              <w:t>Week</w:t>
            </w:r>
            <w:r w:rsidR="00AA03A7" w:rsidRPr="009941F8">
              <w:rPr>
                <w:rFonts w:eastAsia="Times New Roman"/>
                <w:b/>
                <w:bCs w:val="0"/>
                <w:szCs w:val="20"/>
              </w:rPr>
              <w:t>*</w:t>
            </w:r>
          </w:p>
        </w:tc>
        <w:tc>
          <w:tcPr>
            <w:tcW w:w="1021" w:type="dxa"/>
            <w:noWrap/>
            <w:hideMark/>
          </w:tcPr>
          <w:p w14:paraId="51AA432A" w14:textId="77777777" w:rsidR="00AB7860" w:rsidRPr="009941F8" w:rsidRDefault="00AB7860" w:rsidP="00A244E2">
            <w:pPr>
              <w:pStyle w:val="TableText0"/>
              <w:rPr>
                <w:rFonts w:eastAsia="Times New Roman"/>
                <w:b/>
                <w:szCs w:val="20"/>
              </w:rPr>
            </w:pPr>
            <w:r w:rsidRPr="009941F8">
              <w:rPr>
                <w:rFonts w:eastAsia="Times New Roman"/>
                <w:b/>
                <w:szCs w:val="20"/>
              </w:rPr>
              <w:t>Maintain LLDAS</w:t>
            </w:r>
          </w:p>
        </w:tc>
        <w:tc>
          <w:tcPr>
            <w:tcW w:w="1021" w:type="dxa"/>
            <w:noWrap/>
            <w:hideMark/>
          </w:tcPr>
          <w:p w14:paraId="0BDF7D4D" w14:textId="77777777" w:rsidR="00AB7860" w:rsidRPr="009941F8" w:rsidRDefault="00AB7860" w:rsidP="00A244E2">
            <w:pPr>
              <w:pStyle w:val="TableText0"/>
              <w:rPr>
                <w:rFonts w:eastAsia="Times New Roman"/>
                <w:b/>
                <w:szCs w:val="20"/>
              </w:rPr>
            </w:pPr>
            <w:r w:rsidRPr="009941F8">
              <w:rPr>
                <w:rFonts w:eastAsia="Times New Roman"/>
                <w:b/>
                <w:szCs w:val="20"/>
              </w:rPr>
              <w:t>Move to LLDAS</w:t>
            </w:r>
          </w:p>
        </w:tc>
        <w:tc>
          <w:tcPr>
            <w:tcW w:w="1022" w:type="dxa"/>
            <w:noWrap/>
            <w:hideMark/>
          </w:tcPr>
          <w:p w14:paraId="17D69AB0" w14:textId="77777777" w:rsidR="00AB7860" w:rsidRPr="009941F8" w:rsidRDefault="00AB7860" w:rsidP="00A244E2">
            <w:pPr>
              <w:pStyle w:val="TableText0"/>
              <w:rPr>
                <w:rFonts w:eastAsia="Times New Roman"/>
                <w:b/>
                <w:szCs w:val="20"/>
              </w:rPr>
            </w:pPr>
            <w:r w:rsidRPr="009941F8">
              <w:rPr>
                <w:rFonts w:eastAsia="Times New Roman"/>
                <w:b/>
                <w:szCs w:val="20"/>
              </w:rPr>
              <w:t>Maintain LLDAS</w:t>
            </w:r>
          </w:p>
        </w:tc>
        <w:tc>
          <w:tcPr>
            <w:tcW w:w="1021" w:type="dxa"/>
            <w:noWrap/>
            <w:hideMark/>
          </w:tcPr>
          <w:p w14:paraId="1EF90FC1" w14:textId="77777777" w:rsidR="00AB7860" w:rsidRPr="009941F8" w:rsidRDefault="00AB7860" w:rsidP="00A244E2">
            <w:pPr>
              <w:pStyle w:val="TableText0"/>
              <w:rPr>
                <w:rFonts w:eastAsia="Times New Roman"/>
                <w:b/>
                <w:szCs w:val="20"/>
              </w:rPr>
            </w:pPr>
            <w:r w:rsidRPr="009941F8">
              <w:rPr>
                <w:rFonts w:eastAsia="Times New Roman"/>
                <w:b/>
                <w:szCs w:val="20"/>
              </w:rPr>
              <w:t>Move to LLDAS</w:t>
            </w:r>
          </w:p>
        </w:tc>
        <w:tc>
          <w:tcPr>
            <w:tcW w:w="1021" w:type="dxa"/>
            <w:noWrap/>
            <w:hideMark/>
          </w:tcPr>
          <w:p w14:paraId="53DE3355" w14:textId="77777777" w:rsidR="00AB7860" w:rsidRPr="009941F8" w:rsidRDefault="00AB7860" w:rsidP="00A244E2">
            <w:pPr>
              <w:pStyle w:val="TableText0"/>
              <w:rPr>
                <w:rFonts w:eastAsia="Times New Roman"/>
                <w:b/>
                <w:szCs w:val="20"/>
              </w:rPr>
            </w:pPr>
            <w:r w:rsidRPr="009941F8">
              <w:rPr>
                <w:rFonts w:eastAsia="Times New Roman"/>
                <w:b/>
                <w:szCs w:val="20"/>
              </w:rPr>
              <w:t>Maintain LLDAS</w:t>
            </w:r>
          </w:p>
        </w:tc>
        <w:tc>
          <w:tcPr>
            <w:tcW w:w="1022" w:type="dxa"/>
            <w:noWrap/>
            <w:hideMark/>
          </w:tcPr>
          <w:p w14:paraId="0E642404" w14:textId="77777777" w:rsidR="00AB7860" w:rsidRPr="009941F8" w:rsidRDefault="00AB7860" w:rsidP="00A244E2">
            <w:pPr>
              <w:pStyle w:val="TableText0"/>
              <w:rPr>
                <w:rFonts w:eastAsia="Times New Roman"/>
                <w:b/>
                <w:szCs w:val="20"/>
              </w:rPr>
            </w:pPr>
            <w:r w:rsidRPr="009941F8">
              <w:rPr>
                <w:rFonts w:eastAsia="Times New Roman"/>
                <w:b/>
                <w:szCs w:val="20"/>
              </w:rPr>
              <w:t>Move to LLDAS</w:t>
            </w:r>
          </w:p>
        </w:tc>
        <w:tc>
          <w:tcPr>
            <w:tcW w:w="1021" w:type="dxa"/>
            <w:noWrap/>
            <w:hideMark/>
          </w:tcPr>
          <w:p w14:paraId="32C662A7" w14:textId="77777777" w:rsidR="00AB7860" w:rsidRPr="009941F8" w:rsidRDefault="00AB7860" w:rsidP="00A244E2">
            <w:pPr>
              <w:pStyle w:val="TableText0"/>
              <w:rPr>
                <w:rFonts w:eastAsia="Times New Roman"/>
                <w:b/>
                <w:szCs w:val="20"/>
              </w:rPr>
            </w:pPr>
            <w:r w:rsidRPr="009941F8">
              <w:rPr>
                <w:rFonts w:eastAsia="Times New Roman"/>
                <w:b/>
                <w:szCs w:val="20"/>
              </w:rPr>
              <w:t>Maintain LLDAS</w:t>
            </w:r>
          </w:p>
        </w:tc>
        <w:tc>
          <w:tcPr>
            <w:tcW w:w="1022" w:type="dxa"/>
            <w:noWrap/>
            <w:hideMark/>
          </w:tcPr>
          <w:p w14:paraId="7FC37928" w14:textId="77777777" w:rsidR="00AB7860" w:rsidRPr="009941F8" w:rsidRDefault="00AB7860" w:rsidP="00A244E2">
            <w:pPr>
              <w:pStyle w:val="TableText0"/>
              <w:rPr>
                <w:rFonts w:eastAsia="Times New Roman"/>
                <w:b/>
                <w:szCs w:val="20"/>
              </w:rPr>
            </w:pPr>
            <w:r w:rsidRPr="009941F8">
              <w:rPr>
                <w:rFonts w:eastAsia="Times New Roman"/>
                <w:b/>
                <w:szCs w:val="20"/>
              </w:rPr>
              <w:t>Move to LLDAS</w:t>
            </w:r>
          </w:p>
        </w:tc>
      </w:tr>
      <w:tr w:rsidR="00AB7860" w:rsidRPr="009941F8" w14:paraId="22414052" w14:textId="77777777" w:rsidTr="00314767">
        <w:tc>
          <w:tcPr>
            <w:tcW w:w="846" w:type="dxa"/>
            <w:noWrap/>
            <w:hideMark/>
          </w:tcPr>
          <w:p w14:paraId="27CC44EA" w14:textId="77777777" w:rsidR="00AB7860" w:rsidRPr="009941F8" w:rsidRDefault="00AB7860" w:rsidP="00A244E2">
            <w:pPr>
              <w:pStyle w:val="TableText0"/>
              <w:rPr>
                <w:rFonts w:eastAsia="Times New Roman"/>
                <w:szCs w:val="20"/>
              </w:rPr>
            </w:pPr>
            <w:r w:rsidRPr="009941F8">
              <w:rPr>
                <w:rFonts w:eastAsia="Times New Roman"/>
                <w:szCs w:val="20"/>
              </w:rPr>
              <w:t>0-26</w:t>
            </w:r>
          </w:p>
        </w:tc>
        <w:tc>
          <w:tcPr>
            <w:tcW w:w="1021" w:type="dxa"/>
            <w:noWrap/>
            <w:hideMark/>
          </w:tcPr>
          <w:p w14:paraId="627C8C7D"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5F267C30" w14:textId="77777777" w:rsidR="00AB7860" w:rsidRPr="009941F8" w:rsidRDefault="00AB7860" w:rsidP="00A244E2">
            <w:pPr>
              <w:pStyle w:val="TableText0"/>
              <w:rPr>
                <w:rFonts w:eastAsia="Times New Roman"/>
                <w:szCs w:val="20"/>
              </w:rPr>
            </w:pPr>
            <w:r w:rsidRPr="009941F8">
              <w:rPr>
                <w:rFonts w:eastAsia="Times New Roman"/>
                <w:szCs w:val="20"/>
              </w:rPr>
              <w:t>20.9%</w:t>
            </w:r>
          </w:p>
        </w:tc>
        <w:tc>
          <w:tcPr>
            <w:tcW w:w="1022" w:type="dxa"/>
            <w:noWrap/>
            <w:hideMark/>
          </w:tcPr>
          <w:p w14:paraId="6277230A"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0F881C2A"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73AD2F74"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hideMark/>
          </w:tcPr>
          <w:p w14:paraId="560257D2"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32EFF5AC"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hideMark/>
          </w:tcPr>
          <w:p w14:paraId="3AB08DEB" w14:textId="77777777" w:rsidR="00AB7860" w:rsidRPr="009941F8" w:rsidRDefault="00AB7860" w:rsidP="00A244E2">
            <w:pPr>
              <w:pStyle w:val="TableText0"/>
              <w:rPr>
                <w:rFonts w:eastAsia="Times New Roman"/>
                <w:szCs w:val="20"/>
              </w:rPr>
            </w:pPr>
            <w:r w:rsidRPr="009941F8">
              <w:rPr>
                <w:rFonts w:eastAsia="Times New Roman"/>
                <w:szCs w:val="20"/>
              </w:rPr>
              <w:t>9.0%</w:t>
            </w:r>
          </w:p>
        </w:tc>
      </w:tr>
      <w:tr w:rsidR="00AB7860" w:rsidRPr="009941F8" w14:paraId="49545E75" w14:textId="77777777" w:rsidTr="00D81031">
        <w:tc>
          <w:tcPr>
            <w:tcW w:w="846" w:type="dxa"/>
            <w:noWrap/>
            <w:hideMark/>
          </w:tcPr>
          <w:p w14:paraId="3C4D5C5C" w14:textId="77777777" w:rsidR="00AB7860" w:rsidRPr="009941F8" w:rsidRDefault="00AB7860" w:rsidP="00A244E2">
            <w:pPr>
              <w:pStyle w:val="TableText0"/>
              <w:rPr>
                <w:rFonts w:eastAsia="Times New Roman"/>
                <w:szCs w:val="20"/>
              </w:rPr>
            </w:pPr>
            <w:r w:rsidRPr="009941F8">
              <w:rPr>
                <w:rFonts w:eastAsia="Times New Roman"/>
                <w:szCs w:val="20"/>
              </w:rPr>
              <w:t>26-52</w:t>
            </w:r>
          </w:p>
        </w:tc>
        <w:tc>
          <w:tcPr>
            <w:tcW w:w="1021" w:type="dxa"/>
            <w:noWrap/>
            <w:hideMark/>
          </w:tcPr>
          <w:p w14:paraId="7EDD15B4" w14:textId="77777777" w:rsidR="00AB7860" w:rsidRPr="009941F8" w:rsidRDefault="00AB7860" w:rsidP="00A244E2">
            <w:pPr>
              <w:pStyle w:val="TableText0"/>
              <w:rPr>
                <w:rFonts w:eastAsia="Times New Roman"/>
                <w:szCs w:val="20"/>
              </w:rPr>
            </w:pPr>
            <w:r w:rsidRPr="009941F8">
              <w:rPr>
                <w:rFonts w:eastAsia="Times New Roman"/>
                <w:szCs w:val="20"/>
              </w:rPr>
              <w:t>70.4%</w:t>
            </w:r>
          </w:p>
        </w:tc>
        <w:tc>
          <w:tcPr>
            <w:tcW w:w="1021" w:type="dxa"/>
            <w:noWrap/>
            <w:hideMark/>
          </w:tcPr>
          <w:p w14:paraId="029683E5"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shd w:val="clear" w:color="auto" w:fill="auto"/>
            <w:noWrap/>
            <w:hideMark/>
          </w:tcPr>
          <w:p w14:paraId="634E9213"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shd w:val="clear" w:color="auto" w:fill="auto"/>
            <w:noWrap/>
            <w:hideMark/>
          </w:tcPr>
          <w:p w14:paraId="5846D159"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shd w:val="clear" w:color="auto" w:fill="auto"/>
            <w:noWrap/>
            <w:hideMark/>
          </w:tcPr>
          <w:p w14:paraId="2FDA2A23"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shd w:val="clear" w:color="auto" w:fill="auto"/>
            <w:noWrap/>
            <w:hideMark/>
          </w:tcPr>
          <w:p w14:paraId="5F8F3C48" w14:textId="77777777" w:rsidR="00AB7860" w:rsidRPr="009941F8" w:rsidRDefault="00AB7860" w:rsidP="00A244E2">
            <w:pPr>
              <w:pStyle w:val="TableText0"/>
              <w:rPr>
                <w:rFonts w:eastAsia="Times New Roman"/>
                <w:szCs w:val="20"/>
              </w:rPr>
            </w:pPr>
            <w:r w:rsidRPr="009941F8">
              <w:rPr>
                <w:rFonts w:eastAsia="Times New Roman"/>
                <w:szCs w:val="20"/>
              </w:rPr>
              <w:t>11.6%</w:t>
            </w:r>
          </w:p>
        </w:tc>
        <w:tc>
          <w:tcPr>
            <w:tcW w:w="1021" w:type="dxa"/>
            <w:noWrap/>
            <w:hideMark/>
          </w:tcPr>
          <w:p w14:paraId="15087F82"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2" w:type="dxa"/>
            <w:noWrap/>
            <w:hideMark/>
          </w:tcPr>
          <w:p w14:paraId="0210608B" w14:textId="77777777" w:rsidR="00AB7860" w:rsidRPr="009941F8" w:rsidRDefault="00AB7860" w:rsidP="00A244E2">
            <w:pPr>
              <w:pStyle w:val="TableText0"/>
              <w:rPr>
                <w:rFonts w:eastAsia="Times New Roman"/>
                <w:szCs w:val="20"/>
              </w:rPr>
            </w:pPr>
            <w:r w:rsidRPr="009941F8">
              <w:rPr>
                <w:rFonts w:eastAsia="Times New Roman"/>
                <w:szCs w:val="20"/>
              </w:rPr>
              <w:t>7.9%</w:t>
            </w:r>
          </w:p>
        </w:tc>
      </w:tr>
      <w:tr w:rsidR="00AB7860" w:rsidRPr="009941F8" w14:paraId="571FFA06" w14:textId="77777777" w:rsidTr="00D81031">
        <w:tc>
          <w:tcPr>
            <w:tcW w:w="846" w:type="dxa"/>
            <w:noWrap/>
            <w:hideMark/>
          </w:tcPr>
          <w:p w14:paraId="44B87D8E" w14:textId="77777777" w:rsidR="00AB7860" w:rsidRPr="009941F8" w:rsidRDefault="00AB7860" w:rsidP="00A244E2">
            <w:pPr>
              <w:pStyle w:val="TableText0"/>
              <w:rPr>
                <w:rFonts w:eastAsia="Times New Roman"/>
                <w:szCs w:val="20"/>
              </w:rPr>
            </w:pPr>
            <w:r w:rsidRPr="009941F8">
              <w:rPr>
                <w:rFonts w:eastAsia="Times New Roman"/>
                <w:szCs w:val="20"/>
              </w:rPr>
              <w:t>52-78</w:t>
            </w:r>
          </w:p>
        </w:tc>
        <w:tc>
          <w:tcPr>
            <w:tcW w:w="1021" w:type="dxa"/>
            <w:noWrap/>
            <w:hideMark/>
          </w:tcPr>
          <w:p w14:paraId="74B59343" w14:textId="77777777" w:rsidR="00AB7860" w:rsidRPr="009941F8" w:rsidRDefault="00AB7860" w:rsidP="00A244E2">
            <w:pPr>
              <w:pStyle w:val="TableText0"/>
              <w:rPr>
                <w:rFonts w:eastAsia="Times New Roman"/>
                <w:szCs w:val="20"/>
              </w:rPr>
            </w:pPr>
            <w:r w:rsidRPr="009941F8">
              <w:rPr>
                <w:rFonts w:eastAsia="Times New Roman"/>
                <w:szCs w:val="20"/>
              </w:rPr>
              <w:t>67.8%</w:t>
            </w:r>
          </w:p>
        </w:tc>
        <w:tc>
          <w:tcPr>
            <w:tcW w:w="1021" w:type="dxa"/>
            <w:noWrap/>
            <w:hideMark/>
          </w:tcPr>
          <w:p w14:paraId="74DF7A02"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shd w:val="clear" w:color="auto" w:fill="auto"/>
            <w:noWrap/>
            <w:hideMark/>
          </w:tcPr>
          <w:p w14:paraId="3C58848E"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1" w:type="dxa"/>
            <w:shd w:val="clear" w:color="auto" w:fill="auto"/>
            <w:noWrap/>
            <w:hideMark/>
          </w:tcPr>
          <w:p w14:paraId="2AE20FBB" w14:textId="5FD9120D" w:rsidR="00AB7860" w:rsidRPr="009941F8" w:rsidRDefault="00AB7860" w:rsidP="00A244E2">
            <w:pPr>
              <w:pStyle w:val="TableText0"/>
              <w:rPr>
                <w:rFonts w:eastAsia="Times New Roman"/>
                <w:szCs w:val="20"/>
              </w:rPr>
            </w:pPr>
            <w:r w:rsidRPr="009941F8">
              <w:rPr>
                <w:rFonts w:eastAsia="Times New Roman"/>
                <w:szCs w:val="20"/>
              </w:rPr>
              <w:t>23.7%</w:t>
            </w:r>
          </w:p>
        </w:tc>
        <w:tc>
          <w:tcPr>
            <w:tcW w:w="1021" w:type="dxa"/>
            <w:shd w:val="clear" w:color="auto" w:fill="auto"/>
            <w:noWrap/>
            <w:hideMark/>
          </w:tcPr>
          <w:p w14:paraId="3D825219"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2" w:type="dxa"/>
            <w:shd w:val="clear" w:color="auto" w:fill="auto"/>
            <w:noWrap/>
            <w:hideMark/>
          </w:tcPr>
          <w:p w14:paraId="4B9468C4" w14:textId="77777777" w:rsidR="00AB7860" w:rsidRPr="009941F8" w:rsidRDefault="00AB7860" w:rsidP="00A244E2">
            <w:pPr>
              <w:pStyle w:val="TableText0"/>
              <w:rPr>
                <w:rFonts w:eastAsia="Times New Roman"/>
                <w:szCs w:val="20"/>
              </w:rPr>
            </w:pPr>
            <w:r w:rsidRPr="009941F8">
              <w:rPr>
                <w:rFonts w:eastAsia="Times New Roman"/>
                <w:szCs w:val="20"/>
              </w:rPr>
              <w:t>4.0%</w:t>
            </w:r>
          </w:p>
        </w:tc>
        <w:tc>
          <w:tcPr>
            <w:tcW w:w="1021" w:type="dxa"/>
            <w:noWrap/>
            <w:hideMark/>
          </w:tcPr>
          <w:p w14:paraId="1783FF52" w14:textId="77777777" w:rsidR="00AB7860" w:rsidRPr="009941F8" w:rsidRDefault="00AB7860" w:rsidP="00A244E2">
            <w:pPr>
              <w:pStyle w:val="TableText0"/>
              <w:rPr>
                <w:rFonts w:eastAsia="Times New Roman"/>
                <w:szCs w:val="20"/>
              </w:rPr>
            </w:pPr>
            <w:r w:rsidRPr="009941F8">
              <w:rPr>
                <w:rFonts w:eastAsia="Times New Roman"/>
                <w:szCs w:val="20"/>
              </w:rPr>
              <w:t>88.9%</w:t>
            </w:r>
          </w:p>
        </w:tc>
        <w:tc>
          <w:tcPr>
            <w:tcW w:w="1022" w:type="dxa"/>
            <w:noWrap/>
            <w:hideMark/>
          </w:tcPr>
          <w:p w14:paraId="3DE6B7A5" w14:textId="77777777" w:rsidR="00AB7860" w:rsidRPr="009941F8" w:rsidRDefault="00AB7860" w:rsidP="00A244E2">
            <w:pPr>
              <w:pStyle w:val="TableText0"/>
              <w:rPr>
                <w:rFonts w:eastAsia="Times New Roman"/>
                <w:szCs w:val="20"/>
              </w:rPr>
            </w:pPr>
            <w:r w:rsidRPr="009941F8">
              <w:rPr>
                <w:rFonts w:eastAsia="Times New Roman"/>
                <w:szCs w:val="20"/>
              </w:rPr>
              <w:t>0.0%</w:t>
            </w:r>
          </w:p>
        </w:tc>
      </w:tr>
      <w:tr w:rsidR="00AB7860" w:rsidRPr="009941F8" w14:paraId="167349C3" w14:textId="77777777" w:rsidTr="00D81031">
        <w:tc>
          <w:tcPr>
            <w:tcW w:w="846" w:type="dxa"/>
            <w:noWrap/>
            <w:hideMark/>
          </w:tcPr>
          <w:p w14:paraId="00C7A428" w14:textId="77777777" w:rsidR="00AB7860" w:rsidRPr="009941F8" w:rsidRDefault="00AB7860" w:rsidP="00A244E2">
            <w:pPr>
              <w:pStyle w:val="TableText0"/>
              <w:rPr>
                <w:rFonts w:eastAsia="Times New Roman"/>
                <w:szCs w:val="20"/>
              </w:rPr>
            </w:pPr>
            <w:r w:rsidRPr="009941F8">
              <w:rPr>
                <w:rFonts w:eastAsia="Times New Roman"/>
                <w:szCs w:val="20"/>
              </w:rPr>
              <w:t>78-104</w:t>
            </w:r>
          </w:p>
        </w:tc>
        <w:tc>
          <w:tcPr>
            <w:tcW w:w="1021" w:type="dxa"/>
            <w:noWrap/>
            <w:hideMark/>
          </w:tcPr>
          <w:p w14:paraId="05F13C32"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1" w:type="dxa"/>
            <w:noWrap/>
            <w:hideMark/>
          </w:tcPr>
          <w:p w14:paraId="129EFD58"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shd w:val="clear" w:color="auto" w:fill="auto"/>
            <w:noWrap/>
            <w:hideMark/>
          </w:tcPr>
          <w:p w14:paraId="7869DA43" w14:textId="77777777" w:rsidR="00AB7860" w:rsidRPr="009941F8" w:rsidRDefault="00AB7860" w:rsidP="00A244E2">
            <w:pPr>
              <w:pStyle w:val="TableText0"/>
              <w:rPr>
                <w:rFonts w:eastAsia="Times New Roman"/>
                <w:szCs w:val="20"/>
              </w:rPr>
            </w:pPr>
            <w:r w:rsidRPr="009941F8">
              <w:rPr>
                <w:rFonts w:eastAsia="Times New Roman"/>
                <w:szCs w:val="20"/>
              </w:rPr>
              <w:t>80.0%</w:t>
            </w:r>
          </w:p>
        </w:tc>
        <w:tc>
          <w:tcPr>
            <w:tcW w:w="1021" w:type="dxa"/>
            <w:shd w:val="clear" w:color="auto" w:fill="auto"/>
            <w:noWrap/>
            <w:hideMark/>
          </w:tcPr>
          <w:p w14:paraId="0FE72D3E"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shd w:val="clear" w:color="auto" w:fill="auto"/>
            <w:noWrap/>
            <w:hideMark/>
          </w:tcPr>
          <w:p w14:paraId="32BF549A"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2" w:type="dxa"/>
            <w:shd w:val="clear" w:color="auto" w:fill="auto"/>
            <w:noWrap/>
            <w:hideMark/>
          </w:tcPr>
          <w:p w14:paraId="711D70CF" w14:textId="77777777" w:rsidR="00AB7860" w:rsidRPr="009941F8" w:rsidRDefault="00AB7860" w:rsidP="00A244E2">
            <w:pPr>
              <w:pStyle w:val="TableText0"/>
              <w:rPr>
                <w:rFonts w:eastAsia="Times New Roman"/>
                <w:szCs w:val="20"/>
              </w:rPr>
            </w:pPr>
            <w:r w:rsidRPr="009941F8">
              <w:rPr>
                <w:rFonts w:eastAsia="Times New Roman"/>
                <w:szCs w:val="20"/>
              </w:rPr>
              <w:t>1.5%</w:t>
            </w:r>
          </w:p>
        </w:tc>
        <w:tc>
          <w:tcPr>
            <w:tcW w:w="1021" w:type="dxa"/>
            <w:noWrap/>
            <w:hideMark/>
          </w:tcPr>
          <w:p w14:paraId="117D9F60"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2" w:type="dxa"/>
            <w:noWrap/>
            <w:hideMark/>
          </w:tcPr>
          <w:p w14:paraId="1B57E830" w14:textId="77777777" w:rsidR="00AB7860" w:rsidRPr="009941F8" w:rsidRDefault="00AB7860" w:rsidP="00A244E2">
            <w:pPr>
              <w:pStyle w:val="TableText0"/>
              <w:rPr>
                <w:rFonts w:eastAsia="Times New Roman"/>
                <w:szCs w:val="20"/>
              </w:rPr>
            </w:pPr>
            <w:r w:rsidRPr="009941F8">
              <w:rPr>
                <w:rFonts w:eastAsia="Times New Roman"/>
                <w:szCs w:val="20"/>
              </w:rPr>
              <w:t>0.0%</w:t>
            </w:r>
          </w:p>
        </w:tc>
      </w:tr>
      <w:tr w:rsidR="00AB7860" w:rsidRPr="009941F8" w14:paraId="45C07055" w14:textId="77777777" w:rsidTr="00314767">
        <w:tc>
          <w:tcPr>
            <w:tcW w:w="846" w:type="dxa"/>
            <w:noWrap/>
            <w:hideMark/>
          </w:tcPr>
          <w:p w14:paraId="5FE18CE3" w14:textId="77777777" w:rsidR="00AB7860" w:rsidRPr="009941F8" w:rsidRDefault="00AB7860" w:rsidP="00A244E2">
            <w:pPr>
              <w:pStyle w:val="TableText0"/>
              <w:rPr>
                <w:rFonts w:eastAsia="Times New Roman"/>
                <w:szCs w:val="20"/>
              </w:rPr>
            </w:pPr>
            <w:r w:rsidRPr="009941F8">
              <w:rPr>
                <w:rFonts w:eastAsia="Times New Roman"/>
                <w:szCs w:val="20"/>
              </w:rPr>
              <w:t>104-130</w:t>
            </w:r>
          </w:p>
        </w:tc>
        <w:tc>
          <w:tcPr>
            <w:tcW w:w="1021" w:type="dxa"/>
            <w:noWrap/>
            <w:hideMark/>
          </w:tcPr>
          <w:p w14:paraId="6AE6D281" w14:textId="77777777" w:rsidR="00AB7860" w:rsidRPr="009941F8" w:rsidRDefault="00AB7860" w:rsidP="00A244E2">
            <w:pPr>
              <w:pStyle w:val="TableText0"/>
              <w:rPr>
                <w:rFonts w:eastAsia="Times New Roman"/>
                <w:szCs w:val="20"/>
              </w:rPr>
            </w:pPr>
            <w:r w:rsidRPr="009941F8">
              <w:rPr>
                <w:rFonts w:eastAsia="Times New Roman"/>
                <w:szCs w:val="20"/>
              </w:rPr>
              <w:t>80.1%</w:t>
            </w:r>
          </w:p>
        </w:tc>
        <w:tc>
          <w:tcPr>
            <w:tcW w:w="1021" w:type="dxa"/>
            <w:noWrap/>
            <w:hideMark/>
          </w:tcPr>
          <w:p w14:paraId="34268A3D"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hideMark/>
          </w:tcPr>
          <w:p w14:paraId="459204E0"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1" w:type="dxa"/>
            <w:noWrap/>
            <w:hideMark/>
          </w:tcPr>
          <w:p w14:paraId="0DD1E07E"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479DF074"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2" w:type="dxa"/>
            <w:noWrap/>
            <w:hideMark/>
          </w:tcPr>
          <w:p w14:paraId="111E7234"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580FE31F"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2" w:type="dxa"/>
            <w:noWrap/>
            <w:hideMark/>
          </w:tcPr>
          <w:p w14:paraId="7488F8DF" w14:textId="77777777" w:rsidR="00AB7860" w:rsidRPr="009941F8" w:rsidRDefault="00AB7860" w:rsidP="00A244E2">
            <w:pPr>
              <w:pStyle w:val="TableText0"/>
              <w:rPr>
                <w:rFonts w:eastAsia="Times New Roman"/>
                <w:szCs w:val="20"/>
              </w:rPr>
            </w:pPr>
            <w:r w:rsidRPr="009941F8">
              <w:rPr>
                <w:rFonts w:eastAsia="Times New Roman"/>
                <w:szCs w:val="20"/>
              </w:rPr>
              <w:t>0.0%</w:t>
            </w:r>
          </w:p>
        </w:tc>
      </w:tr>
      <w:tr w:rsidR="00AB7860" w:rsidRPr="009941F8" w14:paraId="08E8F5C5" w14:textId="77777777" w:rsidTr="00314767">
        <w:tc>
          <w:tcPr>
            <w:tcW w:w="846" w:type="dxa"/>
            <w:noWrap/>
            <w:hideMark/>
          </w:tcPr>
          <w:p w14:paraId="02A24752" w14:textId="77777777" w:rsidR="00AB7860" w:rsidRPr="009941F8" w:rsidRDefault="00AB7860" w:rsidP="00A244E2">
            <w:pPr>
              <w:pStyle w:val="TableText0"/>
              <w:rPr>
                <w:rFonts w:eastAsia="Times New Roman"/>
                <w:szCs w:val="20"/>
              </w:rPr>
            </w:pPr>
            <w:r w:rsidRPr="009941F8">
              <w:rPr>
                <w:rFonts w:eastAsia="Times New Roman"/>
                <w:szCs w:val="20"/>
              </w:rPr>
              <w:t>130-156</w:t>
            </w:r>
          </w:p>
        </w:tc>
        <w:tc>
          <w:tcPr>
            <w:tcW w:w="1021" w:type="dxa"/>
            <w:noWrap/>
            <w:hideMark/>
          </w:tcPr>
          <w:p w14:paraId="2696D17C"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1" w:type="dxa"/>
            <w:noWrap/>
            <w:hideMark/>
          </w:tcPr>
          <w:p w14:paraId="02EF3A79"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hideMark/>
          </w:tcPr>
          <w:p w14:paraId="2EA2F5D2" w14:textId="77777777" w:rsidR="00AB7860" w:rsidRPr="009941F8" w:rsidRDefault="00AB7860" w:rsidP="00A244E2">
            <w:pPr>
              <w:pStyle w:val="TableText0"/>
              <w:rPr>
                <w:rFonts w:eastAsia="Times New Roman"/>
                <w:szCs w:val="20"/>
              </w:rPr>
            </w:pPr>
            <w:r w:rsidRPr="009941F8">
              <w:rPr>
                <w:rFonts w:eastAsia="Times New Roman"/>
                <w:szCs w:val="20"/>
              </w:rPr>
              <w:t>100.0%</w:t>
            </w:r>
          </w:p>
        </w:tc>
        <w:tc>
          <w:tcPr>
            <w:tcW w:w="1021" w:type="dxa"/>
            <w:noWrap/>
            <w:hideMark/>
          </w:tcPr>
          <w:p w14:paraId="3CBD462B"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4439B809" w14:textId="77777777" w:rsidR="00AB7860" w:rsidRPr="009941F8" w:rsidRDefault="00AB7860" w:rsidP="00A244E2">
            <w:pPr>
              <w:pStyle w:val="TableText0"/>
              <w:rPr>
                <w:rFonts w:eastAsia="Times New Roman"/>
                <w:szCs w:val="20"/>
              </w:rPr>
            </w:pPr>
            <w:r w:rsidRPr="009941F8">
              <w:rPr>
                <w:rFonts w:eastAsia="Times New Roman"/>
                <w:szCs w:val="20"/>
              </w:rPr>
              <w:t>67.1%</w:t>
            </w:r>
          </w:p>
        </w:tc>
        <w:tc>
          <w:tcPr>
            <w:tcW w:w="1022" w:type="dxa"/>
            <w:noWrap/>
            <w:hideMark/>
          </w:tcPr>
          <w:p w14:paraId="755617FE"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02E36C9B" w14:textId="77777777" w:rsidR="00AB7860" w:rsidRPr="009941F8" w:rsidRDefault="00AB7860" w:rsidP="00A244E2">
            <w:pPr>
              <w:pStyle w:val="TableText0"/>
              <w:rPr>
                <w:rFonts w:eastAsia="Times New Roman"/>
                <w:szCs w:val="20"/>
              </w:rPr>
            </w:pPr>
            <w:r w:rsidRPr="009941F8">
              <w:rPr>
                <w:rFonts w:eastAsia="Times New Roman"/>
                <w:szCs w:val="20"/>
              </w:rPr>
              <w:t>75.0%</w:t>
            </w:r>
          </w:p>
        </w:tc>
        <w:tc>
          <w:tcPr>
            <w:tcW w:w="1022" w:type="dxa"/>
            <w:noWrap/>
            <w:hideMark/>
          </w:tcPr>
          <w:p w14:paraId="69CA1733" w14:textId="77777777" w:rsidR="00AB7860" w:rsidRPr="009941F8" w:rsidRDefault="00AB7860" w:rsidP="00A244E2">
            <w:pPr>
              <w:pStyle w:val="TableText0"/>
              <w:rPr>
                <w:rFonts w:eastAsia="Times New Roman"/>
                <w:szCs w:val="20"/>
              </w:rPr>
            </w:pPr>
            <w:r w:rsidRPr="009941F8">
              <w:rPr>
                <w:rFonts w:eastAsia="Times New Roman"/>
                <w:szCs w:val="20"/>
              </w:rPr>
              <w:t>0.0%</w:t>
            </w:r>
          </w:p>
        </w:tc>
      </w:tr>
      <w:tr w:rsidR="00AB7860" w:rsidRPr="009941F8" w14:paraId="20F91456" w14:textId="77777777" w:rsidTr="00314767">
        <w:tc>
          <w:tcPr>
            <w:tcW w:w="846" w:type="dxa"/>
            <w:noWrap/>
            <w:hideMark/>
          </w:tcPr>
          <w:p w14:paraId="6C2942CE" w14:textId="77777777" w:rsidR="00AB7860" w:rsidRPr="009941F8" w:rsidRDefault="00AB7860" w:rsidP="00A244E2">
            <w:pPr>
              <w:pStyle w:val="TableText0"/>
              <w:rPr>
                <w:rFonts w:eastAsia="Times New Roman"/>
                <w:szCs w:val="20"/>
              </w:rPr>
            </w:pPr>
            <w:r w:rsidRPr="009941F8">
              <w:rPr>
                <w:rFonts w:eastAsia="Times New Roman"/>
                <w:szCs w:val="20"/>
              </w:rPr>
              <w:t>156-182</w:t>
            </w:r>
          </w:p>
        </w:tc>
        <w:tc>
          <w:tcPr>
            <w:tcW w:w="1021" w:type="dxa"/>
            <w:noWrap/>
            <w:hideMark/>
          </w:tcPr>
          <w:p w14:paraId="05F4DA8A" w14:textId="77777777" w:rsidR="00AB7860" w:rsidRPr="009941F8" w:rsidRDefault="00AB7860" w:rsidP="00A244E2">
            <w:pPr>
              <w:pStyle w:val="TableText0"/>
              <w:rPr>
                <w:rFonts w:eastAsia="Times New Roman"/>
                <w:szCs w:val="20"/>
              </w:rPr>
            </w:pPr>
            <w:r w:rsidRPr="009941F8">
              <w:rPr>
                <w:rFonts w:eastAsia="Times New Roman"/>
                <w:szCs w:val="20"/>
              </w:rPr>
              <w:t>90.6%</w:t>
            </w:r>
          </w:p>
        </w:tc>
        <w:tc>
          <w:tcPr>
            <w:tcW w:w="1021" w:type="dxa"/>
            <w:noWrap/>
            <w:hideMark/>
          </w:tcPr>
          <w:p w14:paraId="1D70A3CC"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hideMark/>
          </w:tcPr>
          <w:p w14:paraId="05487D6A" w14:textId="77777777" w:rsidR="00AB7860" w:rsidRPr="009941F8" w:rsidRDefault="00AB7860" w:rsidP="00A244E2">
            <w:pPr>
              <w:pStyle w:val="TableText0"/>
              <w:rPr>
                <w:rFonts w:eastAsia="Times New Roman"/>
                <w:szCs w:val="20"/>
              </w:rPr>
            </w:pPr>
            <w:r w:rsidRPr="009941F8">
              <w:rPr>
                <w:rFonts w:eastAsia="Times New Roman"/>
                <w:szCs w:val="20"/>
              </w:rPr>
              <w:t>75.1%</w:t>
            </w:r>
          </w:p>
        </w:tc>
        <w:tc>
          <w:tcPr>
            <w:tcW w:w="1021" w:type="dxa"/>
            <w:noWrap/>
            <w:hideMark/>
          </w:tcPr>
          <w:p w14:paraId="48FFF6BE"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1EA9A972" w14:textId="77777777" w:rsidR="00AB7860" w:rsidRPr="009941F8" w:rsidRDefault="00AB7860" w:rsidP="00A244E2">
            <w:pPr>
              <w:pStyle w:val="TableText0"/>
              <w:rPr>
                <w:rFonts w:eastAsia="Times New Roman"/>
                <w:szCs w:val="20"/>
              </w:rPr>
            </w:pPr>
            <w:r w:rsidRPr="009941F8">
              <w:rPr>
                <w:rFonts w:eastAsia="Times New Roman"/>
                <w:szCs w:val="20"/>
              </w:rPr>
              <w:t>87.3%</w:t>
            </w:r>
          </w:p>
        </w:tc>
        <w:tc>
          <w:tcPr>
            <w:tcW w:w="1022" w:type="dxa"/>
            <w:noWrap/>
            <w:hideMark/>
          </w:tcPr>
          <w:p w14:paraId="6DD64CC2"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514BA038" w14:textId="77777777" w:rsidR="00AB7860" w:rsidRPr="009941F8" w:rsidRDefault="00AB7860" w:rsidP="00A244E2">
            <w:pPr>
              <w:pStyle w:val="TableText0"/>
              <w:rPr>
                <w:rFonts w:eastAsia="Times New Roman"/>
                <w:szCs w:val="20"/>
              </w:rPr>
            </w:pPr>
            <w:r w:rsidRPr="009941F8">
              <w:rPr>
                <w:rFonts w:eastAsia="Times New Roman"/>
                <w:szCs w:val="20"/>
              </w:rPr>
              <w:t>83.3%</w:t>
            </w:r>
          </w:p>
        </w:tc>
        <w:tc>
          <w:tcPr>
            <w:tcW w:w="1022" w:type="dxa"/>
            <w:noWrap/>
            <w:hideMark/>
          </w:tcPr>
          <w:p w14:paraId="5D4E53FE" w14:textId="77777777" w:rsidR="00AB7860" w:rsidRPr="009941F8" w:rsidRDefault="00AB7860" w:rsidP="00A244E2">
            <w:pPr>
              <w:pStyle w:val="TableText0"/>
              <w:rPr>
                <w:rFonts w:eastAsia="Times New Roman"/>
                <w:szCs w:val="20"/>
              </w:rPr>
            </w:pPr>
            <w:r w:rsidRPr="009941F8">
              <w:rPr>
                <w:rFonts w:eastAsia="Times New Roman"/>
                <w:szCs w:val="20"/>
              </w:rPr>
              <w:t>0.0%</w:t>
            </w:r>
          </w:p>
        </w:tc>
      </w:tr>
      <w:tr w:rsidR="00AB7860" w:rsidRPr="009941F8" w14:paraId="4642DA5A" w14:textId="77777777" w:rsidTr="00314767">
        <w:tc>
          <w:tcPr>
            <w:tcW w:w="846" w:type="dxa"/>
            <w:noWrap/>
            <w:hideMark/>
          </w:tcPr>
          <w:p w14:paraId="0E8DF1A6" w14:textId="77777777" w:rsidR="00AB7860" w:rsidRPr="009941F8" w:rsidRDefault="00AB7860" w:rsidP="00A244E2">
            <w:pPr>
              <w:pStyle w:val="TableText0"/>
              <w:rPr>
                <w:rFonts w:eastAsia="Times New Roman"/>
                <w:szCs w:val="20"/>
              </w:rPr>
            </w:pPr>
            <w:r w:rsidRPr="009941F8">
              <w:rPr>
                <w:rFonts w:eastAsia="Times New Roman"/>
                <w:szCs w:val="20"/>
              </w:rPr>
              <w:t>182-208</w:t>
            </w:r>
          </w:p>
        </w:tc>
        <w:tc>
          <w:tcPr>
            <w:tcW w:w="1021" w:type="dxa"/>
            <w:noWrap/>
            <w:hideMark/>
          </w:tcPr>
          <w:p w14:paraId="767C2EF0" w14:textId="77777777" w:rsidR="00AB7860" w:rsidRPr="009941F8" w:rsidRDefault="00AB7860" w:rsidP="00A244E2">
            <w:pPr>
              <w:pStyle w:val="TableText0"/>
              <w:rPr>
                <w:rFonts w:eastAsia="Times New Roman"/>
                <w:szCs w:val="20"/>
              </w:rPr>
            </w:pPr>
            <w:r w:rsidRPr="009941F8">
              <w:rPr>
                <w:rFonts w:eastAsia="Times New Roman"/>
                <w:szCs w:val="20"/>
              </w:rPr>
              <w:t>78.9%</w:t>
            </w:r>
          </w:p>
        </w:tc>
        <w:tc>
          <w:tcPr>
            <w:tcW w:w="1021" w:type="dxa"/>
            <w:noWrap/>
            <w:hideMark/>
          </w:tcPr>
          <w:p w14:paraId="1521B1E3"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hideMark/>
          </w:tcPr>
          <w:p w14:paraId="48B21F51"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746835B2"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5CE0F49C" w14:textId="77777777" w:rsidR="00AB7860" w:rsidRPr="009941F8" w:rsidRDefault="00AB7860" w:rsidP="00A244E2">
            <w:pPr>
              <w:pStyle w:val="TableText0"/>
              <w:rPr>
                <w:rFonts w:eastAsia="Times New Roman"/>
                <w:szCs w:val="20"/>
              </w:rPr>
            </w:pPr>
            <w:r w:rsidRPr="009941F8">
              <w:rPr>
                <w:rFonts w:eastAsia="Times New Roman"/>
                <w:szCs w:val="20"/>
              </w:rPr>
              <w:t>70.8%</w:t>
            </w:r>
          </w:p>
        </w:tc>
        <w:tc>
          <w:tcPr>
            <w:tcW w:w="1022" w:type="dxa"/>
            <w:noWrap/>
            <w:hideMark/>
          </w:tcPr>
          <w:p w14:paraId="3D14E3C2"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hideMark/>
          </w:tcPr>
          <w:p w14:paraId="65725035" w14:textId="77777777" w:rsidR="00AB7860" w:rsidRPr="009941F8" w:rsidRDefault="00AB7860" w:rsidP="00A244E2">
            <w:pPr>
              <w:pStyle w:val="TableText0"/>
              <w:rPr>
                <w:rFonts w:eastAsia="Times New Roman"/>
                <w:szCs w:val="20"/>
              </w:rPr>
            </w:pPr>
            <w:r w:rsidRPr="009941F8">
              <w:rPr>
                <w:rFonts w:eastAsia="Times New Roman"/>
                <w:szCs w:val="20"/>
              </w:rPr>
              <w:t>50.0%</w:t>
            </w:r>
          </w:p>
        </w:tc>
        <w:tc>
          <w:tcPr>
            <w:tcW w:w="1022" w:type="dxa"/>
            <w:noWrap/>
            <w:hideMark/>
          </w:tcPr>
          <w:p w14:paraId="6D7BED13" w14:textId="77777777" w:rsidR="00AB7860" w:rsidRPr="009941F8" w:rsidRDefault="00AB7860" w:rsidP="00A244E2">
            <w:pPr>
              <w:pStyle w:val="TableText0"/>
              <w:rPr>
                <w:rFonts w:eastAsia="Times New Roman"/>
                <w:szCs w:val="20"/>
              </w:rPr>
            </w:pPr>
            <w:r w:rsidRPr="009941F8">
              <w:rPr>
                <w:rFonts w:eastAsia="Times New Roman"/>
                <w:szCs w:val="20"/>
              </w:rPr>
              <w:t>0.0%</w:t>
            </w:r>
          </w:p>
        </w:tc>
      </w:tr>
      <w:tr w:rsidR="00AB7860" w:rsidRPr="009941F8" w14:paraId="04129AFE" w14:textId="77777777" w:rsidTr="00314767">
        <w:tc>
          <w:tcPr>
            <w:tcW w:w="846" w:type="dxa"/>
            <w:noWrap/>
          </w:tcPr>
          <w:p w14:paraId="0DBF90A1" w14:textId="77777777" w:rsidR="00AB7860" w:rsidRPr="009941F8" w:rsidRDefault="00AB7860" w:rsidP="00A244E2">
            <w:pPr>
              <w:pStyle w:val="TableText0"/>
              <w:rPr>
                <w:rFonts w:eastAsia="Times New Roman"/>
                <w:szCs w:val="20"/>
              </w:rPr>
            </w:pPr>
            <w:r w:rsidRPr="009941F8">
              <w:rPr>
                <w:rFonts w:eastAsia="Times New Roman"/>
                <w:szCs w:val="20"/>
              </w:rPr>
              <w:t>209+</w:t>
            </w:r>
          </w:p>
        </w:tc>
        <w:tc>
          <w:tcPr>
            <w:tcW w:w="1021" w:type="dxa"/>
            <w:noWrap/>
          </w:tcPr>
          <w:p w14:paraId="091C337A" w14:textId="77777777" w:rsidR="00AB7860" w:rsidRPr="009941F8" w:rsidRDefault="00AB7860" w:rsidP="00A244E2">
            <w:pPr>
              <w:pStyle w:val="TableText0"/>
              <w:rPr>
                <w:rFonts w:eastAsia="Times New Roman"/>
                <w:szCs w:val="20"/>
              </w:rPr>
            </w:pPr>
            <w:r w:rsidRPr="009941F8">
              <w:rPr>
                <w:rFonts w:eastAsia="Times New Roman"/>
                <w:szCs w:val="20"/>
              </w:rPr>
              <w:t>87.4%</w:t>
            </w:r>
          </w:p>
        </w:tc>
        <w:tc>
          <w:tcPr>
            <w:tcW w:w="1021" w:type="dxa"/>
            <w:noWrap/>
          </w:tcPr>
          <w:p w14:paraId="19EF91A2"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2" w:type="dxa"/>
            <w:noWrap/>
          </w:tcPr>
          <w:p w14:paraId="16B2C42D" w14:textId="21296252" w:rsidR="00AB7860" w:rsidRPr="009941F8" w:rsidRDefault="00AB7860" w:rsidP="00A244E2">
            <w:pPr>
              <w:pStyle w:val="TableText0"/>
              <w:rPr>
                <w:rFonts w:eastAsia="Times New Roman"/>
                <w:szCs w:val="20"/>
              </w:rPr>
            </w:pPr>
            <w:r w:rsidRPr="009941F8">
              <w:rPr>
                <w:rFonts w:eastAsia="Times New Roman"/>
                <w:szCs w:val="20"/>
              </w:rPr>
              <w:t>68.8%</w:t>
            </w:r>
            <w:r w:rsidR="000B3AC0" w:rsidRPr="009941F8">
              <w:rPr>
                <w:rFonts w:eastAsia="Times New Roman"/>
                <w:szCs w:val="20"/>
              </w:rPr>
              <w:t>**</w:t>
            </w:r>
          </w:p>
        </w:tc>
        <w:tc>
          <w:tcPr>
            <w:tcW w:w="1021" w:type="dxa"/>
            <w:noWrap/>
          </w:tcPr>
          <w:p w14:paraId="631CC165"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tcPr>
          <w:p w14:paraId="613431BB" w14:textId="77777777" w:rsidR="00AB7860" w:rsidRPr="009941F8" w:rsidRDefault="00AB7860" w:rsidP="00A244E2">
            <w:pPr>
              <w:pStyle w:val="TableText0"/>
              <w:rPr>
                <w:rFonts w:eastAsia="Times New Roman"/>
                <w:szCs w:val="20"/>
              </w:rPr>
            </w:pPr>
            <w:r w:rsidRPr="009941F8">
              <w:rPr>
                <w:rFonts w:eastAsia="Times New Roman"/>
                <w:szCs w:val="20"/>
              </w:rPr>
              <w:t>81.3%</w:t>
            </w:r>
          </w:p>
        </w:tc>
        <w:tc>
          <w:tcPr>
            <w:tcW w:w="1022" w:type="dxa"/>
            <w:noWrap/>
          </w:tcPr>
          <w:p w14:paraId="2A64BE4F" w14:textId="77777777" w:rsidR="00AB7860" w:rsidRPr="009941F8" w:rsidRDefault="00AB7860" w:rsidP="00A244E2">
            <w:pPr>
              <w:pStyle w:val="TableText0"/>
              <w:rPr>
                <w:rFonts w:eastAsia="Times New Roman"/>
                <w:szCs w:val="20"/>
              </w:rPr>
            </w:pPr>
            <w:r w:rsidRPr="009941F8">
              <w:rPr>
                <w:rFonts w:eastAsia="Times New Roman"/>
                <w:szCs w:val="20"/>
              </w:rPr>
              <w:t>0.0%</w:t>
            </w:r>
          </w:p>
        </w:tc>
        <w:tc>
          <w:tcPr>
            <w:tcW w:w="1021" w:type="dxa"/>
            <w:noWrap/>
          </w:tcPr>
          <w:p w14:paraId="75E59B56" w14:textId="77777777" w:rsidR="00AB7860" w:rsidRPr="009941F8" w:rsidRDefault="00AB7860" w:rsidP="00A244E2">
            <w:pPr>
              <w:pStyle w:val="TableText0"/>
              <w:rPr>
                <w:rFonts w:eastAsia="Times New Roman"/>
                <w:szCs w:val="20"/>
              </w:rPr>
            </w:pPr>
            <w:r w:rsidRPr="009941F8">
              <w:rPr>
                <w:rFonts w:eastAsia="Times New Roman"/>
                <w:szCs w:val="20"/>
              </w:rPr>
              <w:t>77.1%</w:t>
            </w:r>
          </w:p>
        </w:tc>
        <w:tc>
          <w:tcPr>
            <w:tcW w:w="1022" w:type="dxa"/>
            <w:noWrap/>
          </w:tcPr>
          <w:p w14:paraId="04852CC1" w14:textId="77777777" w:rsidR="00AB7860" w:rsidRPr="009941F8" w:rsidRDefault="00AB7860" w:rsidP="00A244E2">
            <w:pPr>
              <w:pStyle w:val="TableText0"/>
              <w:rPr>
                <w:rFonts w:eastAsia="Times New Roman"/>
                <w:szCs w:val="20"/>
              </w:rPr>
            </w:pPr>
            <w:r w:rsidRPr="009941F8">
              <w:rPr>
                <w:rFonts w:eastAsia="Times New Roman"/>
                <w:szCs w:val="20"/>
              </w:rPr>
              <w:t>0.0%</w:t>
            </w:r>
          </w:p>
        </w:tc>
      </w:tr>
    </w:tbl>
    <w:p w14:paraId="58D0C290" w14:textId="267AF939" w:rsidR="00AB7860" w:rsidRPr="009941F8" w:rsidRDefault="00AB7860" w:rsidP="00A244E2">
      <w:pPr>
        <w:pStyle w:val="TableFigureFooter"/>
      </w:pPr>
      <w:r w:rsidRPr="009941F8">
        <w:t>Source: Table 3-11 and Sheet ‘Clinical inputs’ Excel workbook ‘Saphelo SLE CEA_final.xlsx’ of the March 2024 resubmission</w:t>
      </w:r>
      <w:r w:rsidR="00A62E17" w:rsidRPr="009941F8">
        <w:t>.</w:t>
      </w:r>
      <w:r w:rsidR="00573501" w:rsidRPr="009941F8">
        <w:t xml:space="preserve"> LLDAS values over time could not be verified.</w:t>
      </w:r>
    </w:p>
    <w:p w14:paraId="2BA48B0E" w14:textId="77777777" w:rsidR="00393221" w:rsidRPr="009941F8" w:rsidRDefault="00AB7860" w:rsidP="00A244E2">
      <w:pPr>
        <w:pStyle w:val="TableFigureFooter"/>
      </w:pPr>
      <w:r w:rsidRPr="009941F8">
        <w:t>LLDAS=Lupus low disease activity state, SOC=standard of care</w:t>
      </w:r>
      <w:r w:rsidR="00AA03A7" w:rsidRPr="009941F8">
        <w:t xml:space="preserve"> </w:t>
      </w:r>
    </w:p>
    <w:p w14:paraId="21785B06" w14:textId="0F82A0DB" w:rsidR="00AB7860" w:rsidRPr="009941F8" w:rsidRDefault="00AA03A7" w:rsidP="00A244E2">
      <w:pPr>
        <w:pStyle w:val="TableFigureFooter"/>
        <w:ind w:left="165" w:hanging="165"/>
      </w:pPr>
      <w:r w:rsidRPr="009941F8">
        <w:t>*</w:t>
      </w:r>
      <w:r w:rsidR="00894787" w:rsidRPr="009941F8">
        <w:tab/>
      </w:r>
      <w:r w:rsidR="00AB7860" w:rsidRPr="009941F8">
        <w:t>Weeks 26, 78 and 182 were equal to Weeks 24, 76 and 180 of the TULIP trials and LTE data.</w:t>
      </w:r>
      <w:r w:rsidR="00323B1C" w:rsidRPr="009941F8">
        <w:t xml:space="preserve"> </w:t>
      </w:r>
      <w:r w:rsidR="00AB7860" w:rsidRPr="009941F8">
        <w:t>Weeks 209+ were constant based on the average transition probabilities in Weeks 104-208.</w:t>
      </w:r>
    </w:p>
    <w:p w14:paraId="60373EDA" w14:textId="77727866" w:rsidR="000B3AC0" w:rsidRPr="009941F8" w:rsidRDefault="000B3AC0" w:rsidP="00A244E2">
      <w:pPr>
        <w:pStyle w:val="TableFigureFooter"/>
      </w:pPr>
      <w:r w:rsidRPr="009941F8">
        <w:t>**</w:t>
      </w:r>
      <w:r w:rsidRPr="009941F8">
        <w:tab/>
        <w:t xml:space="preserve">While probability of maintaining LLDAS was &gt;0%, </w:t>
      </w:r>
      <w:r w:rsidR="003B6844" w:rsidRPr="009941F8">
        <w:t>the model assumed all anifrolumab responders were ‘Not LLDAS’ beyond Week 208</w:t>
      </w:r>
      <w:r w:rsidR="00574BF8" w:rsidRPr="009941F8">
        <w:t xml:space="preserve"> </w:t>
      </w:r>
      <w:r w:rsidRPr="009941F8">
        <w:t xml:space="preserve">(see </w:t>
      </w:r>
      <w:r w:rsidR="00CE7EC7">
        <w:fldChar w:fldCharType="begin" w:fldLock="1"/>
      </w:r>
      <w:r w:rsidR="00CE7EC7">
        <w:instrText xml:space="preserve"> REF _Ref153878831  \* MERGEFORMAT </w:instrText>
      </w:r>
      <w:r w:rsidR="00CE7EC7">
        <w:fldChar w:fldCharType="separate"/>
      </w:r>
      <w:r w:rsidR="00F07501" w:rsidRPr="009941F8">
        <w:t xml:space="preserve">Figure </w:t>
      </w:r>
      <w:r w:rsidR="00F07501">
        <w:t>4</w:t>
      </w:r>
      <w:r w:rsidR="00CE7EC7">
        <w:fldChar w:fldCharType="end"/>
      </w:r>
      <w:r w:rsidRPr="009941F8">
        <w:t>)</w:t>
      </w:r>
      <w:r w:rsidR="003B6844" w:rsidRPr="009941F8">
        <w:t>.</w:t>
      </w:r>
    </w:p>
    <w:p w14:paraId="3B4E4A73" w14:textId="14D9D24A" w:rsidR="00555B2A" w:rsidRPr="009941F8" w:rsidRDefault="00555B2A" w:rsidP="00A244E2">
      <w:pPr>
        <w:pStyle w:val="TableFigureFooter"/>
      </w:pPr>
      <w:r w:rsidRPr="009941F8">
        <w:t>Anifrolumab arm patients off treatment were modelled using SOC arm probabilities, by LLDAS response at Week 26.</w:t>
      </w:r>
      <w:r w:rsidR="00A62E17" w:rsidRPr="009941F8">
        <w:t xml:space="preserve"> SOC arm was not modelled by response at 26 weeks.</w:t>
      </w:r>
    </w:p>
    <w:p w14:paraId="2148CC8C" w14:textId="153C663B" w:rsidR="00AB7860" w:rsidRPr="009941F8" w:rsidRDefault="00AB7860" w:rsidP="00A244E2">
      <w:pPr>
        <w:pStyle w:val="3-BodyText"/>
      </w:pPr>
      <w:bookmarkStart w:id="63" w:name="_Ref159442342"/>
      <w:r w:rsidRPr="009941F8">
        <w:t>The TULIP LTE data by response did not appear to be adjusted for the TULIP-1 and 2 data for the patients who discontinued anifrolumab and</w:t>
      </w:r>
      <w:r w:rsidR="00D04514" w:rsidRPr="009941F8">
        <w:t>,</w:t>
      </w:r>
      <w:r w:rsidRPr="009941F8">
        <w:t xml:space="preserve"> as such</w:t>
      </w:r>
      <w:r w:rsidR="00D04514" w:rsidRPr="009941F8">
        <w:t>,</w:t>
      </w:r>
      <w:r w:rsidRPr="009941F8">
        <w:t xml:space="preserve"> the model assumed an increase in LLDAS beyond 52 weeks</w:t>
      </w:r>
      <w:r w:rsidR="00A8387E" w:rsidRPr="009941F8">
        <w:t xml:space="preserve"> </w:t>
      </w:r>
      <w:r w:rsidR="00D81031" w:rsidRPr="009941F8">
        <w:t xml:space="preserve">for non-responders </w:t>
      </w:r>
      <w:r w:rsidR="00A8387E" w:rsidRPr="009941F8">
        <w:t xml:space="preserve">(refer weeks 52-78 and 78-104 in </w:t>
      </w:r>
      <w:r w:rsidR="00A8387E" w:rsidRPr="009941F8">
        <w:fldChar w:fldCharType="begin" w:fldLock="1"/>
      </w:r>
      <w:r w:rsidR="00A8387E" w:rsidRPr="009941F8">
        <w:instrText xml:space="preserve"> REF _Ref156917009 \h  \* MERGEFORMAT </w:instrText>
      </w:r>
      <w:r w:rsidR="00A8387E" w:rsidRPr="009941F8">
        <w:fldChar w:fldCharType="separate"/>
      </w:r>
      <w:r w:rsidR="00F07501" w:rsidRPr="009941F8">
        <w:t xml:space="preserve">Table </w:t>
      </w:r>
      <w:r w:rsidR="00F07501">
        <w:t>10</w:t>
      </w:r>
      <w:r w:rsidR="00A8387E" w:rsidRPr="009941F8">
        <w:fldChar w:fldCharType="end"/>
      </w:r>
      <w:r w:rsidR="00A8387E" w:rsidRPr="009941F8">
        <w:t>)</w:t>
      </w:r>
      <w:r w:rsidRPr="009941F8">
        <w:t>, which did not occur in the SOC arm. Anifrolumab non-responders also had the second highest probability of maintaining LLDAS from Week 209 (81.3%), higher than the combined SOC arm</w:t>
      </w:r>
      <w:r w:rsidR="00384029" w:rsidRPr="009941F8">
        <w:t xml:space="preserve"> (77.1%)</w:t>
      </w:r>
      <w:r w:rsidRPr="009941F8">
        <w:t>. As the extrapolated transition probabilities were based on the average of maintaining LLDAS in Weeks 104-208 of the TULIP LTE, this may reflect the delayed time to achieving LLDAS in the SOC non</w:t>
      </w:r>
      <w:r w:rsidR="00F25AA9">
        <w:t>-</w:t>
      </w:r>
      <w:r w:rsidRPr="009941F8">
        <w:t xml:space="preserve">responders rather than a true continued maintenance of LLDAS. Further, there </w:t>
      </w:r>
      <w:r w:rsidR="00E1254F" w:rsidRPr="009941F8">
        <w:t xml:space="preserve">are </w:t>
      </w:r>
      <w:r w:rsidRPr="009941F8">
        <w:t xml:space="preserve">no </w:t>
      </w:r>
      <w:r w:rsidRPr="009941F8">
        <w:lastRenderedPageBreak/>
        <w:t xml:space="preserve">data available to estimate the effect of discontinuing anifrolumab on </w:t>
      </w:r>
      <w:r w:rsidR="00E1254F" w:rsidRPr="009941F8">
        <w:t xml:space="preserve">a patient’s </w:t>
      </w:r>
      <w:r w:rsidRPr="009941F8">
        <w:t xml:space="preserve">ability to achieve LLDAS </w:t>
      </w:r>
      <w:r w:rsidR="00AA03A7" w:rsidRPr="009941F8">
        <w:t>post</w:t>
      </w:r>
      <w:r w:rsidRPr="009941F8">
        <w:t xml:space="preserve"> discontinuation.</w:t>
      </w:r>
      <w:bookmarkEnd w:id="63"/>
    </w:p>
    <w:p w14:paraId="00DBE8C3" w14:textId="7DE1AFD2" w:rsidR="00AB7860" w:rsidRPr="009941F8" w:rsidRDefault="00AB7860" w:rsidP="00A244E2">
      <w:pPr>
        <w:pStyle w:val="3-BodyText"/>
      </w:pPr>
      <w:r w:rsidRPr="009941F8">
        <w:t>The model did not consider continuous time in LLDAS for patients in the TULIP trials. Instead</w:t>
      </w:r>
      <w:r w:rsidR="00AA03A7" w:rsidRPr="009941F8">
        <w:t>,</w:t>
      </w:r>
      <w:r w:rsidRPr="009941F8">
        <w:t xml:space="preserve"> the proportion of patients in LLDAS at each follow up were compared to the proportion in the previous follow up, and if the proportion was higher, 100% patients from the previous follow up were assumed to have maintained LLDAS, plus an additional proportion of patients moving to LLDAS. In reality, the proportion of patients in LLDAS at each follow up may not overlap so completely, and as such the downstream effects of being</w:t>
      </w:r>
      <w:r w:rsidR="00AA03A7" w:rsidRPr="009941F8">
        <w:t xml:space="preserve"> in</w:t>
      </w:r>
      <w:r w:rsidRPr="009941F8">
        <w:t xml:space="preserve"> LLDAS in the previous cycle will not carry forward to the next. This is demonstrated in the figure below where patients in the TULIP LTE who achieved LLDAS at week 26 began to lose LLDAS by Week 52, while the total proportion of patients in LLDAS continued to increase.</w:t>
      </w:r>
    </w:p>
    <w:p w14:paraId="0F7D2269" w14:textId="01D8E720" w:rsidR="00AB7860" w:rsidRPr="009941F8" w:rsidRDefault="00AB7860" w:rsidP="00A244E2">
      <w:pPr>
        <w:pStyle w:val="TableFigureHeading"/>
      </w:pPr>
      <w:bookmarkStart w:id="64" w:name="_Ref153878778"/>
      <w:r w:rsidRPr="009941F8">
        <w:t xml:space="preserve">Figure </w:t>
      </w:r>
      <w:r w:rsidR="00CE7EC7">
        <w:fldChar w:fldCharType="begin" w:fldLock="1"/>
      </w:r>
      <w:r w:rsidR="00CE7EC7">
        <w:instrText xml:space="preserve"> SEQ Figure \* ARABIC </w:instrText>
      </w:r>
      <w:r w:rsidR="00CE7EC7">
        <w:fldChar w:fldCharType="separate"/>
      </w:r>
      <w:r w:rsidR="00F07501">
        <w:rPr>
          <w:noProof/>
        </w:rPr>
        <w:t>3</w:t>
      </w:r>
      <w:r w:rsidR="00CE7EC7">
        <w:rPr>
          <w:noProof/>
        </w:rPr>
        <w:fldChar w:fldCharType="end"/>
      </w:r>
      <w:bookmarkEnd w:id="64"/>
      <w:r w:rsidRPr="009941F8">
        <w:t xml:space="preserve">: Pooled TULIP and LTE LLDAS data and modelled LLDAS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B7860" w:rsidRPr="009941F8" w14:paraId="4CBBE4D5" w14:textId="77777777" w:rsidTr="00314767">
        <w:tc>
          <w:tcPr>
            <w:tcW w:w="4508" w:type="dxa"/>
            <w:shd w:val="clear" w:color="auto" w:fill="auto"/>
          </w:tcPr>
          <w:p w14:paraId="4E9DD802" w14:textId="77777777" w:rsidR="00AB7860" w:rsidRPr="009941F8" w:rsidRDefault="00AB7860" w:rsidP="00A244E2">
            <w:pPr>
              <w:pStyle w:val="In-tableHeading"/>
              <w:jc w:val="center"/>
              <w:rPr>
                <w:lang w:val="en-AU"/>
              </w:rPr>
            </w:pPr>
            <w:r w:rsidRPr="009941F8">
              <w:rPr>
                <w:lang w:val="en-AU"/>
              </w:rPr>
              <w:t>Anifrolumab</w:t>
            </w:r>
          </w:p>
        </w:tc>
        <w:tc>
          <w:tcPr>
            <w:tcW w:w="4509" w:type="dxa"/>
            <w:shd w:val="clear" w:color="auto" w:fill="auto"/>
          </w:tcPr>
          <w:p w14:paraId="18749D1B" w14:textId="77777777" w:rsidR="00AB7860" w:rsidRPr="009941F8" w:rsidRDefault="00AB7860" w:rsidP="00A244E2">
            <w:pPr>
              <w:pStyle w:val="In-tableHeading"/>
              <w:jc w:val="center"/>
              <w:rPr>
                <w:lang w:val="en-AU"/>
              </w:rPr>
            </w:pPr>
            <w:r w:rsidRPr="009941F8">
              <w:rPr>
                <w:lang w:val="en-AU"/>
              </w:rPr>
              <w:t>SOC</w:t>
            </w:r>
          </w:p>
        </w:tc>
      </w:tr>
      <w:tr w:rsidR="00AB7860" w:rsidRPr="009941F8" w14:paraId="730F8A47" w14:textId="77777777" w:rsidTr="00314767">
        <w:tc>
          <w:tcPr>
            <w:tcW w:w="4508" w:type="dxa"/>
            <w:shd w:val="clear" w:color="auto" w:fill="auto"/>
          </w:tcPr>
          <w:p w14:paraId="5F4698EB" w14:textId="77777777" w:rsidR="00AB7860" w:rsidRPr="009941F8" w:rsidRDefault="00AB7860" w:rsidP="00A244E2">
            <w:pPr>
              <w:pStyle w:val="TableText0"/>
            </w:pPr>
            <w:r w:rsidRPr="009941F8">
              <w:rPr>
                <w:noProof/>
              </w:rPr>
              <w:drawing>
                <wp:inline distT="0" distB="0" distL="0" distR="0" wp14:anchorId="43E1A6C0" wp14:editId="5B04E220">
                  <wp:extent cx="2790000" cy="1824048"/>
                  <wp:effectExtent l="0" t="0" r="0" b="5080"/>
                  <wp:docPr id="46" name="Picture 46" descr="Figure 3: Pooled TULIP and LTE LLDAS data and modelled LLDAS Anifrol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Figure 3: Pooled TULIP and LTE LLDAS data and modelled LLDAS Anifroluma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0000" cy="1824048"/>
                          </a:xfrm>
                          <a:prstGeom prst="rect">
                            <a:avLst/>
                          </a:prstGeom>
                          <a:noFill/>
                        </pic:spPr>
                      </pic:pic>
                    </a:graphicData>
                  </a:graphic>
                </wp:inline>
              </w:drawing>
            </w:r>
          </w:p>
        </w:tc>
        <w:tc>
          <w:tcPr>
            <w:tcW w:w="4509" w:type="dxa"/>
            <w:shd w:val="clear" w:color="auto" w:fill="auto"/>
          </w:tcPr>
          <w:p w14:paraId="32654B89" w14:textId="77777777" w:rsidR="00AB7860" w:rsidRPr="009941F8" w:rsidRDefault="00AB7860" w:rsidP="00A244E2">
            <w:pPr>
              <w:pStyle w:val="TableText0"/>
            </w:pPr>
            <w:r w:rsidRPr="009941F8">
              <w:rPr>
                <w:noProof/>
              </w:rPr>
              <w:drawing>
                <wp:inline distT="0" distB="0" distL="0" distR="0" wp14:anchorId="61E3AA90" wp14:editId="022708CF">
                  <wp:extent cx="2790000" cy="1824048"/>
                  <wp:effectExtent l="0" t="0" r="0" b="5080"/>
                  <wp:docPr id="47" name="Picture 47" descr="Figure 3: Pooled TULIP and LTE LLDAS data and modelled LLDAS 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3: Pooled TULIP and LTE LLDAS data and modelled LLDAS SO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0000" cy="1824048"/>
                          </a:xfrm>
                          <a:prstGeom prst="rect">
                            <a:avLst/>
                          </a:prstGeom>
                          <a:noFill/>
                        </pic:spPr>
                      </pic:pic>
                    </a:graphicData>
                  </a:graphic>
                </wp:inline>
              </w:drawing>
            </w:r>
          </w:p>
        </w:tc>
      </w:tr>
    </w:tbl>
    <w:p w14:paraId="3638B8E2" w14:textId="77777777" w:rsidR="00AB7860" w:rsidRPr="009941F8" w:rsidRDefault="00AB7860" w:rsidP="00A244E2">
      <w:pPr>
        <w:pStyle w:val="TableFigureFooter"/>
      </w:pPr>
      <w:r w:rsidRPr="009941F8">
        <w:t>Source: compiled during the evaluation</w:t>
      </w:r>
    </w:p>
    <w:p w14:paraId="39198FF1" w14:textId="77777777" w:rsidR="00AB7860" w:rsidRPr="009941F8" w:rsidRDefault="00AB7860" w:rsidP="00A244E2">
      <w:pPr>
        <w:pStyle w:val="TableFigureFooter"/>
      </w:pPr>
      <w:r w:rsidRPr="009941F8">
        <w:t>SOC=standard of care, responder=patient achieved LLDAS at week 24</w:t>
      </w:r>
    </w:p>
    <w:p w14:paraId="24B3E23A" w14:textId="77777777" w:rsidR="00AB7860" w:rsidRPr="009941F8" w:rsidRDefault="00AB7860" w:rsidP="00A244E2">
      <w:pPr>
        <w:pStyle w:val="TableFigureFooter"/>
      </w:pPr>
      <w:r w:rsidRPr="009941F8">
        <w:t>Weeks 24, 76 and 180 used as proxy for 26, 78 and 182 respectively</w:t>
      </w:r>
    </w:p>
    <w:p w14:paraId="23FA7E19" w14:textId="33B347A5" w:rsidR="00AB7860" w:rsidRPr="009941F8" w:rsidRDefault="00AB7860" w:rsidP="00A244E2">
      <w:pPr>
        <w:pStyle w:val="TableFigureFooter"/>
      </w:pPr>
      <w:r w:rsidRPr="009941F8">
        <w:t>The anifrolumab arm used SOC transition probabilities for non</w:t>
      </w:r>
      <w:r w:rsidR="00F25AA9">
        <w:t>-</w:t>
      </w:r>
      <w:r w:rsidRPr="009941F8">
        <w:t>responders and patients who did not maintain LLDAS beyond 26 weeks. Patients in LTE had better response at 52 weeks in both arms.</w:t>
      </w:r>
    </w:p>
    <w:p w14:paraId="5BC4534E" w14:textId="4110CD2F" w:rsidR="00AB7860" w:rsidRPr="009941F8" w:rsidRDefault="002D7199" w:rsidP="00A244E2">
      <w:pPr>
        <w:pStyle w:val="3-BodyText"/>
      </w:pPr>
      <w:r w:rsidRPr="009941F8">
        <w:fldChar w:fldCharType="begin" w:fldLock="1"/>
      </w:r>
      <w:r w:rsidRPr="009941F8">
        <w:instrText xml:space="preserve"> REF _Ref153878778 </w:instrText>
      </w:r>
      <w:r w:rsidR="00B47BF2" w:rsidRPr="009941F8">
        <w:instrText xml:space="preserve"> \* MERGEFORMAT </w:instrText>
      </w:r>
      <w:r w:rsidRPr="009941F8">
        <w:fldChar w:fldCharType="separate"/>
      </w:r>
      <w:r w:rsidR="00F07501" w:rsidRPr="009941F8">
        <w:t xml:space="preserve">Figure </w:t>
      </w:r>
      <w:r w:rsidR="00F07501">
        <w:t>3</w:t>
      </w:r>
      <w:r w:rsidRPr="009941F8">
        <w:fldChar w:fldCharType="end"/>
      </w:r>
      <w:r w:rsidR="00AB7860" w:rsidRPr="009941F8">
        <w:t xml:space="preserve"> presents a summary of the LLDAS data used in the economic model, as well as modelled estimates over the first 4 years of the model. It should be noted that response rates in the TULIP LTE were better in both the anifrolumab and </w:t>
      </w:r>
      <w:r w:rsidR="00323B1C" w:rsidRPr="009941F8">
        <w:t xml:space="preserve">SOC </w:t>
      </w:r>
      <w:r w:rsidR="00AB7860" w:rsidRPr="009941F8">
        <w:t xml:space="preserve">arms compared to the pooled TULIP trials and therefore it was appropriate for the modelled arms to lie below the total LLDAS in the TULIP LTE. Further, the modelled anifrolumab arm applied SOC transition probabilities to patients who discontinued anifrolumab, also resulting in lower rates of LLDAS than observed in the anifrolumab arm of the TULIP LTE. </w:t>
      </w:r>
      <w:r w:rsidR="0049496D" w:rsidRPr="009941F8">
        <w:t>As missing patients were excluded from the analysis, the long term LLDAS attainment may be overestimated in both arms if patients achieving LLDAS were less likely to be lost to follow up.</w:t>
      </w:r>
    </w:p>
    <w:p w14:paraId="15BCC974" w14:textId="05ABBFBB" w:rsidR="00AB7860" w:rsidRPr="009941F8" w:rsidRDefault="00AB7860" w:rsidP="00A244E2">
      <w:pPr>
        <w:pStyle w:val="3-BodyText"/>
      </w:pPr>
      <w:r w:rsidRPr="009941F8">
        <w:t>Beyond 4 years, the model applied a constant transition probability based on the average of maintaining LLDAS status over week</w:t>
      </w:r>
      <w:r w:rsidR="004E5DAB" w:rsidRPr="009941F8">
        <w:t>s</w:t>
      </w:r>
      <w:r w:rsidRPr="009941F8">
        <w:t xml:space="preserve"> 104-208 of the TULIP LTE data. As described above, this resulted in a higher probability of maintaining LLDAS for anifrolumab non-responders, compared to SOC. </w:t>
      </w:r>
      <w:r w:rsidR="000B1109" w:rsidRPr="009941F8">
        <w:t xml:space="preserve">The </w:t>
      </w:r>
      <w:r w:rsidR="00BB6C11" w:rsidRPr="009941F8">
        <w:t>ESC advised that the absence of treatment effect waning over the time horizon was unlikely and favoured anifrolumab.</w:t>
      </w:r>
      <w:r w:rsidR="00BB6C11" w:rsidRPr="009941F8">
        <w:rPr>
          <w:i/>
          <w:iCs/>
        </w:rPr>
        <w:t xml:space="preserve"> </w:t>
      </w:r>
      <w:r w:rsidRPr="009941F8">
        <w:lastRenderedPageBreak/>
        <w:t>Modelled time in LLDAS is presented in the following figure with the anifrolumab arm broken down by response and treatment discontinuation status.</w:t>
      </w:r>
      <w:r w:rsidR="00BB6C11" w:rsidRPr="009941F8">
        <w:t xml:space="preserve"> </w:t>
      </w:r>
    </w:p>
    <w:p w14:paraId="0689331F" w14:textId="64131D95" w:rsidR="00AB7860" w:rsidRPr="009941F8" w:rsidRDefault="00AB7860" w:rsidP="00A244E2">
      <w:pPr>
        <w:pStyle w:val="TableFigureHeading"/>
      </w:pPr>
      <w:bookmarkStart w:id="65" w:name="_Ref153878831"/>
      <w:r w:rsidRPr="009941F8">
        <w:t xml:space="preserve">Figure </w:t>
      </w:r>
      <w:r w:rsidR="00CE7EC7">
        <w:fldChar w:fldCharType="begin" w:fldLock="1"/>
      </w:r>
      <w:r w:rsidR="00CE7EC7">
        <w:instrText xml:space="preserve"> SEQ Figure \* ARABIC </w:instrText>
      </w:r>
      <w:r w:rsidR="00CE7EC7">
        <w:fldChar w:fldCharType="separate"/>
      </w:r>
      <w:r w:rsidR="00F07501">
        <w:rPr>
          <w:noProof/>
        </w:rPr>
        <w:t>4</w:t>
      </w:r>
      <w:r w:rsidR="00CE7EC7">
        <w:rPr>
          <w:noProof/>
        </w:rPr>
        <w:fldChar w:fldCharType="end"/>
      </w:r>
      <w:bookmarkEnd w:id="65"/>
      <w:r w:rsidRPr="009941F8">
        <w:t xml:space="preserve">: Base case modelled extrapolations </w:t>
      </w:r>
    </w:p>
    <w:p w14:paraId="587AE6C8" w14:textId="77777777" w:rsidR="00AB7860" w:rsidRPr="009941F8" w:rsidRDefault="00AB7860" w:rsidP="00A244E2">
      <w:r w:rsidRPr="009941F8">
        <w:rPr>
          <w:noProof/>
        </w:rPr>
        <w:drawing>
          <wp:inline distT="0" distB="0" distL="0" distR="0" wp14:anchorId="5D97A6E2" wp14:editId="0032A098">
            <wp:extent cx="3846244" cy="2514600"/>
            <wp:effectExtent l="0" t="0" r="1905" b="0"/>
            <wp:docPr id="6" name="Picture 6" descr="Figure 4: Base case modelled extrapo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Base case modelled extrapolation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817" cy="2516282"/>
                    </a:xfrm>
                    <a:prstGeom prst="rect">
                      <a:avLst/>
                    </a:prstGeom>
                    <a:noFill/>
                  </pic:spPr>
                </pic:pic>
              </a:graphicData>
            </a:graphic>
          </wp:inline>
        </w:drawing>
      </w:r>
    </w:p>
    <w:p w14:paraId="7DF45B2C" w14:textId="77777777" w:rsidR="00AB7860" w:rsidRPr="009941F8" w:rsidRDefault="00AB7860" w:rsidP="00A244E2">
      <w:pPr>
        <w:pStyle w:val="TableFigureFooter"/>
      </w:pPr>
      <w:r w:rsidRPr="009941F8">
        <w:t>Source: compiled during the evaluation</w:t>
      </w:r>
    </w:p>
    <w:p w14:paraId="225AA2FE" w14:textId="77777777" w:rsidR="00AB7860" w:rsidRPr="009941F8" w:rsidRDefault="00AB7860" w:rsidP="00A244E2">
      <w:pPr>
        <w:pStyle w:val="TableFigureFooter"/>
      </w:pPr>
      <w:r w:rsidRPr="009941F8">
        <w:t>Responder= patient achieves LLDAS by end of stopping rule, SOC=standard of care</w:t>
      </w:r>
    </w:p>
    <w:p w14:paraId="49DBF78E" w14:textId="47A15C7F" w:rsidR="00AB7860" w:rsidRPr="009941F8" w:rsidRDefault="00AB7860" w:rsidP="00A244E2">
      <w:pPr>
        <w:pStyle w:val="3-BodyText"/>
      </w:pPr>
      <w:r w:rsidRPr="009941F8">
        <w:t xml:space="preserve">As </w:t>
      </w:r>
      <w:r w:rsidRPr="009941F8">
        <w:rPr>
          <w:highlight w:val="yellow"/>
        </w:rPr>
        <w:fldChar w:fldCharType="begin" w:fldLock="1"/>
      </w:r>
      <w:r w:rsidRPr="009941F8">
        <w:instrText xml:space="preserve"> REF _Ref153878831 </w:instrText>
      </w:r>
      <w:r w:rsidR="00323B1C" w:rsidRPr="009941F8">
        <w:instrText xml:space="preserve"> \* MERGEFORMAT </w:instrText>
      </w:r>
      <w:r w:rsidRPr="009941F8">
        <w:rPr>
          <w:highlight w:val="yellow"/>
        </w:rPr>
        <w:fldChar w:fldCharType="separate"/>
      </w:r>
      <w:r w:rsidR="00F07501" w:rsidRPr="009941F8">
        <w:t xml:space="preserve">Figure </w:t>
      </w:r>
      <w:r w:rsidR="00F07501">
        <w:t>4</w:t>
      </w:r>
      <w:r w:rsidRPr="009941F8">
        <w:rPr>
          <w:highlight w:val="yellow"/>
        </w:rPr>
        <w:fldChar w:fldCharType="end"/>
      </w:r>
      <w:r w:rsidRPr="009941F8">
        <w:t xml:space="preserve"> demonstrates, a large proportion of the LLDAS benefit for anifrolumab was accrued during the extrapolated period, and in the base case by the anifrolumab non-responders (LLDAS not achieved at Week 26). Therefore</w:t>
      </w:r>
      <w:r w:rsidR="004E5DAB" w:rsidRPr="009941F8">
        <w:t>,</w:t>
      </w:r>
      <w:r w:rsidRPr="009941F8">
        <w:t xml:space="preserve"> the anifrolumab arm accrued additional LLDAS benefit from week 26 without the additional cost of anifrolumab. The trajectory of the proportion of patients in LLDAS prior to the extrapolation period appeared to trend towards zero in both arms, making the long modelled LLDAS tail unlikely. Further, patients are expected to achieve and lose LLDAS multiple times throughout the course of their disease and therefore the model is unlikely to reflect true patient experience. Overall</w:t>
      </w:r>
      <w:r w:rsidR="000F49C2" w:rsidRPr="009941F8">
        <w:t>,</w:t>
      </w:r>
      <w:r w:rsidRPr="009941F8">
        <w:t xml:space="preserve"> the extrapolation of LLDAS was uncertain, and the ICER was very sensitive to its inclusion. If LLDAS was not extrapolated beyond 4 years (i.e. 0% patients in both arms have LLDAS from Year 4.5), the discounted incremental QALYs reduced from 0.129 in the base case to 0.082 and the ICER increased to $</w:t>
      </w:r>
      <w:r w:rsidR="00BF33FF" w:rsidRPr="00BF33FF">
        <w:t>95,000</w:t>
      </w:r>
      <w:r w:rsidR="00320BF5">
        <w:t> </w:t>
      </w:r>
      <w:r w:rsidR="00BF33FF" w:rsidRPr="00BF33FF">
        <w:t xml:space="preserve">to &lt; $115,000 </w:t>
      </w:r>
      <w:r w:rsidRPr="009941F8">
        <w:t>per QALY gained compared to $</w:t>
      </w:r>
      <w:r w:rsidR="00BF33FF" w:rsidRPr="00BF33FF">
        <w:t xml:space="preserve">55,000 to &lt; $75,000 </w:t>
      </w:r>
      <w:r w:rsidRPr="009941F8">
        <w:t>in the base case.</w:t>
      </w:r>
      <w:r w:rsidR="00BB6C11" w:rsidRPr="009941F8">
        <w:t xml:space="preserve"> </w:t>
      </w:r>
      <w:r w:rsidR="000B1109" w:rsidRPr="009941F8">
        <w:t xml:space="preserve">The </w:t>
      </w:r>
      <w:r w:rsidR="00BB6C11" w:rsidRPr="009941F8">
        <w:t>ESC advised that due to the uncertainty in these extrapolation</w:t>
      </w:r>
      <w:r w:rsidR="00EA5ED8" w:rsidRPr="009941F8">
        <w:t>s</w:t>
      </w:r>
      <w:r w:rsidR="00BB6C11" w:rsidRPr="009941F8">
        <w:t>, and their subsequent impact on costs and outcomes, a 10 year time horizon would be more appropriate in the base case analysis.</w:t>
      </w:r>
    </w:p>
    <w:p w14:paraId="4C5BB5E8" w14:textId="6C83E444" w:rsidR="003C5172" w:rsidRPr="009941F8" w:rsidRDefault="00000F60" w:rsidP="00A244E2">
      <w:pPr>
        <w:pStyle w:val="3-BodyText"/>
      </w:pPr>
      <w:r w:rsidRPr="009941F8">
        <w:fldChar w:fldCharType="begin" w:fldLock="1"/>
      </w:r>
      <w:r w:rsidRPr="009941F8">
        <w:instrText xml:space="preserve"> REF _Ref153878972 </w:instrText>
      </w:r>
      <w:r w:rsidR="00901668" w:rsidRPr="009941F8">
        <w:instrText xml:space="preserve"> \* MERGEFORMAT </w:instrText>
      </w:r>
      <w:r w:rsidRPr="009941F8">
        <w:fldChar w:fldCharType="separate"/>
      </w:r>
      <w:r w:rsidR="00F07501" w:rsidRPr="009941F8">
        <w:t xml:space="preserve">Table </w:t>
      </w:r>
      <w:r w:rsidR="00F07501">
        <w:t>11</w:t>
      </w:r>
      <w:r w:rsidRPr="009941F8">
        <w:fldChar w:fldCharType="end"/>
      </w:r>
      <w:r w:rsidR="00AB7860" w:rsidRPr="009941F8">
        <w:t xml:space="preserve"> presents the transition probabilities through the SDI health states, flares and daily OCS dose each cycle, according to LLDAS status.</w:t>
      </w:r>
      <w:r w:rsidR="003C5172" w:rsidRPr="009941F8">
        <w:t xml:space="preserve"> The ESC noted that the submission cited retrospective observational studies to support that LLDAS is associated with lower morbidity and mortality, higher QOL and reduced resource utilisation. However</w:t>
      </w:r>
      <w:r w:rsidR="001728F0" w:rsidRPr="009941F8">
        <w:t>, the ESC noted that</w:t>
      </w:r>
      <w:r w:rsidR="003C5172" w:rsidRPr="009941F8">
        <w:t xml:space="preserve"> these studies d</w:t>
      </w:r>
      <w:r w:rsidR="004D3DDB" w:rsidRPr="009941F8">
        <w:t>id</w:t>
      </w:r>
      <w:r w:rsidR="003C5172" w:rsidRPr="009941F8">
        <w:t xml:space="preserve"> not adjust for potential confounders (e.g. time in LLDAS, disease severity/status) and </w:t>
      </w:r>
      <w:r w:rsidR="001728F0" w:rsidRPr="009941F8">
        <w:t>we</w:t>
      </w:r>
      <w:r w:rsidR="003C5172" w:rsidRPr="009941F8">
        <w:t>re there</w:t>
      </w:r>
      <w:r w:rsidR="004D3DDB" w:rsidRPr="009941F8">
        <w:t>fore</w:t>
      </w:r>
      <w:r w:rsidR="003C5172" w:rsidRPr="009941F8">
        <w:t xml:space="preserve"> unreliable for </w:t>
      </w:r>
      <w:r w:rsidR="00A927C5" w:rsidRPr="009941F8">
        <w:t>quantifying the impact on final patient outcomes</w:t>
      </w:r>
      <w:r w:rsidR="009941F8">
        <w:t xml:space="preserve">. </w:t>
      </w:r>
      <w:r w:rsidR="003C5172" w:rsidRPr="009941F8">
        <w:t>While the LLDAS is a validated measure that has been associated with better patient outcomes (paragraph</w:t>
      </w:r>
      <w:r w:rsidR="004D3DDB" w:rsidRPr="009941F8">
        <w:t xml:space="preserve"> </w:t>
      </w:r>
      <w:r w:rsidR="004D3DDB" w:rsidRPr="009941F8">
        <w:lastRenderedPageBreak/>
        <w:fldChar w:fldCharType="begin" w:fldLock="1"/>
      </w:r>
      <w:r w:rsidR="004D3DDB" w:rsidRPr="009941F8">
        <w:instrText xml:space="preserve"> REF _Ref159442541 \r \h </w:instrText>
      </w:r>
      <w:r w:rsidR="00A244E2" w:rsidRPr="009941F8">
        <w:instrText xml:space="preserve"> \* MERGEFORMAT </w:instrText>
      </w:r>
      <w:r w:rsidR="004D3DDB" w:rsidRPr="009941F8">
        <w:fldChar w:fldCharType="separate"/>
      </w:r>
      <w:r w:rsidR="00F07501">
        <w:t>4.6</w:t>
      </w:r>
      <w:r w:rsidR="004D3DDB" w:rsidRPr="009941F8">
        <w:fldChar w:fldCharType="end"/>
      </w:r>
      <w:r w:rsidR="003C5172" w:rsidRPr="009941F8">
        <w:t xml:space="preserve">), </w:t>
      </w:r>
      <w:r w:rsidR="00791E6C" w:rsidRPr="009941F8">
        <w:t>a</w:t>
      </w:r>
      <w:r w:rsidR="003C5172" w:rsidRPr="009941F8">
        <w:t>s with the use of SLEDAI-2K in the economic model of the previous resubmission, the</w:t>
      </w:r>
      <w:r w:rsidR="001728F0" w:rsidRPr="009941F8">
        <w:t xml:space="preserve"> ESC considered that there</w:t>
      </w:r>
      <w:r w:rsidR="003C5172" w:rsidRPr="009941F8">
        <w:t xml:space="preserve"> </w:t>
      </w:r>
      <w:r w:rsidR="001728F0" w:rsidRPr="009941F8">
        <w:t>wa</w:t>
      </w:r>
      <w:r w:rsidR="003C5172" w:rsidRPr="009941F8">
        <w:t xml:space="preserve">s a lack of evidence as to relationship between </w:t>
      </w:r>
      <w:r w:rsidR="00C17811" w:rsidRPr="009941F8">
        <w:t xml:space="preserve">changes in </w:t>
      </w:r>
      <w:r w:rsidR="003C5172" w:rsidRPr="009941F8">
        <w:t xml:space="preserve">LLDAS and </w:t>
      </w:r>
      <w:r w:rsidR="00C17811" w:rsidRPr="009941F8">
        <w:t xml:space="preserve">changes in </w:t>
      </w:r>
      <w:r w:rsidR="003C5172" w:rsidRPr="009941F8">
        <w:t>long term outcomes</w:t>
      </w:r>
      <w:r w:rsidR="00791E6C" w:rsidRPr="009941F8">
        <w:t xml:space="preserve"> that is sufficiently </w:t>
      </w:r>
      <w:r w:rsidR="00C17811" w:rsidRPr="009941F8">
        <w:t>reliable</w:t>
      </w:r>
      <w:r w:rsidR="00791E6C" w:rsidRPr="009941F8">
        <w:t xml:space="preserve"> for </w:t>
      </w:r>
      <w:r w:rsidR="00C17811" w:rsidRPr="009941F8">
        <w:t>long-term modelling</w:t>
      </w:r>
      <w:r w:rsidR="004D3DDB" w:rsidRPr="009941F8">
        <w:t xml:space="preserve"> (see paragraph </w:t>
      </w:r>
      <w:r w:rsidR="004D3DDB" w:rsidRPr="009941F8">
        <w:fldChar w:fldCharType="begin" w:fldLock="1"/>
      </w:r>
      <w:r w:rsidR="004D3DDB" w:rsidRPr="009941F8">
        <w:instrText xml:space="preserve"> REF _Ref159442584 \r \h </w:instrText>
      </w:r>
      <w:r w:rsidR="00A244E2" w:rsidRPr="009941F8">
        <w:instrText xml:space="preserve"> \* MERGEFORMAT </w:instrText>
      </w:r>
      <w:r w:rsidR="004D3DDB" w:rsidRPr="009941F8">
        <w:fldChar w:fldCharType="separate"/>
      </w:r>
      <w:r w:rsidR="00F07501">
        <w:t>6.43</w:t>
      </w:r>
      <w:r w:rsidR="004D3DDB" w:rsidRPr="009941F8">
        <w:fldChar w:fldCharType="end"/>
      </w:r>
      <w:r w:rsidR="004D3DDB" w:rsidRPr="009941F8">
        <w:t>)</w:t>
      </w:r>
      <w:r w:rsidR="003C5172" w:rsidRPr="009941F8">
        <w:t>.</w:t>
      </w:r>
    </w:p>
    <w:p w14:paraId="33B8506D" w14:textId="5D22356C" w:rsidR="00AB7860" w:rsidRPr="009941F8" w:rsidRDefault="00AB7860" w:rsidP="00A244E2">
      <w:pPr>
        <w:pStyle w:val="TableFigureHeading"/>
      </w:pPr>
      <w:bookmarkStart w:id="66" w:name="_Ref153878972"/>
      <w:r w:rsidRPr="009941F8">
        <w:t xml:space="preserve">Table </w:t>
      </w:r>
      <w:r w:rsidR="00CE7EC7">
        <w:fldChar w:fldCharType="begin" w:fldLock="1"/>
      </w:r>
      <w:r w:rsidR="00CE7EC7">
        <w:instrText xml:space="preserve"> SEQ Table \* ARABIC </w:instrText>
      </w:r>
      <w:r w:rsidR="00CE7EC7">
        <w:fldChar w:fldCharType="separate"/>
      </w:r>
      <w:r w:rsidR="00F07501">
        <w:rPr>
          <w:noProof/>
        </w:rPr>
        <w:t>11</w:t>
      </w:r>
      <w:r w:rsidR="00CE7EC7">
        <w:rPr>
          <w:noProof/>
        </w:rPr>
        <w:fldChar w:fldCharType="end"/>
      </w:r>
      <w:bookmarkEnd w:id="66"/>
      <w:r w:rsidRPr="009941F8">
        <w:t>:</w:t>
      </w:r>
      <w:r w:rsidRPr="009941F8">
        <w:rPr>
          <w:rStyle w:val="CommentReference"/>
          <w:b/>
          <w:szCs w:val="24"/>
        </w:rPr>
        <w:t xml:space="preserve"> </w:t>
      </w:r>
      <w:r w:rsidRPr="009941F8">
        <w:t>Probabilities for organ damage accrual, flare incidence and OCS dose each cycle</w:t>
      </w:r>
    </w:p>
    <w:tbl>
      <w:tblPr>
        <w:tblStyle w:val="TableGrid"/>
        <w:tblW w:w="9067" w:type="dxa"/>
        <w:tblCellMar>
          <w:left w:w="28" w:type="dxa"/>
          <w:right w:w="28" w:type="dxa"/>
        </w:tblCellMar>
        <w:tblLook w:val="04A0" w:firstRow="1" w:lastRow="0" w:firstColumn="1" w:lastColumn="0" w:noHBand="0" w:noVBand="1"/>
        <w:tblCaption w:val="Table 11: Probabilities for organ damage accrual, flare incidence and OCS dose each cycle"/>
      </w:tblPr>
      <w:tblGrid>
        <w:gridCol w:w="988"/>
        <w:gridCol w:w="1701"/>
        <w:gridCol w:w="1842"/>
        <w:gridCol w:w="2268"/>
        <w:gridCol w:w="1121"/>
        <w:gridCol w:w="1147"/>
      </w:tblGrid>
      <w:tr w:rsidR="00AB7860" w:rsidRPr="009941F8" w14:paraId="7C9EA0CD" w14:textId="77777777" w:rsidTr="004E5DAB">
        <w:tc>
          <w:tcPr>
            <w:tcW w:w="988" w:type="dxa"/>
            <w:vMerge w:val="restart"/>
            <w:noWrap/>
          </w:tcPr>
          <w:p w14:paraId="40F2310D" w14:textId="77777777" w:rsidR="00AB7860" w:rsidRPr="009941F8" w:rsidRDefault="00AB7860" w:rsidP="00A244E2">
            <w:pPr>
              <w:pStyle w:val="In-tableHeading"/>
              <w:rPr>
                <w:lang w:val="en-AU"/>
              </w:rPr>
            </w:pPr>
            <w:r w:rsidRPr="009941F8">
              <w:rPr>
                <w:lang w:val="en-AU"/>
              </w:rPr>
              <w:t>Health state</w:t>
            </w:r>
          </w:p>
        </w:tc>
        <w:tc>
          <w:tcPr>
            <w:tcW w:w="8079" w:type="dxa"/>
            <w:gridSpan w:val="5"/>
            <w:noWrap/>
          </w:tcPr>
          <w:p w14:paraId="26509631" w14:textId="77777777" w:rsidR="00AB7860" w:rsidRPr="009941F8" w:rsidRDefault="00AB7860" w:rsidP="00A244E2">
            <w:pPr>
              <w:pStyle w:val="In-tableHeading"/>
              <w:jc w:val="center"/>
              <w:rPr>
                <w:lang w:val="en-AU"/>
              </w:rPr>
            </w:pPr>
            <w:r w:rsidRPr="009941F8">
              <w:rPr>
                <w:lang w:val="en-AU"/>
              </w:rPr>
              <w:t>Probability each cycle</w:t>
            </w:r>
          </w:p>
        </w:tc>
      </w:tr>
      <w:tr w:rsidR="00AB7860" w:rsidRPr="009941F8" w14:paraId="39E7AA40" w14:textId="77777777" w:rsidTr="004E5DAB">
        <w:tc>
          <w:tcPr>
            <w:tcW w:w="988" w:type="dxa"/>
            <w:vMerge/>
            <w:noWrap/>
          </w:tcPr>
          <w:p w14:paraId="6C8BD1DB" w14:textId="77777777" w:rsidR="00AB7860" w:rsidRPr="009941F8" w:rsidRDefault="00AB7860" w:rsidP="00A244E2">
            <w:pPr>
              <w:pStyle w:val="In-tableHeading"/>
              <w:rPr>
                <w:lang w:val="en-AU"/>
              </w:rPr>
            </w:pPr>
          </w:p>
        </w:tc>
        <w:tc>
          <w:tcPr>
            <w:tcW w:w="3543" w:type="dxa"/>
            <w:gridSpan w:val="2"/>
            <w:noWrap/>
            <w:hideMark/>
          </w:tcPr>
          <w:p w14:paraId="4AFEA24A" w14:textId="77777777" w:rsidR="00AB7860" w:rsidRPr="009941F8" w:rsidRDefault="00AB7860" w:rsidP="00A244E2">
            <w:pPr>
              <w:pStyle w:val="In-tableHeading"/>
              <w:jc w:val="center"/>
              <w:rPr>
                <w:lang w:val="en-AU"/>
              </w:rPr>
            </w:pPr>
            <w:r w:rsidRPr="009941F8">
              <w:rPr>
                <w:lang w:val="en-AU"/>
              </w:rPr>
              <w:t>Increase SDI score by +1 each cycle</w:t>
            </w:r>
          </w:p>
        </w:tc>
        <w:tc>
          <w:tcPr>
            <w:tcW w:w="2268" w:type="dxa"/>
            <w:vMerge w:val="restart"/>
          </w:tcPr>
          <w:p w14:paraId="25A4C1BB" w14:textId="77777777" w:rsidR="00AB7860" w:rsidRPr="009941F8" w:rsidRDefault="00AB7860" w:rsidP="00A244E2">
            <w:pPr>
              <w:pStyle w:val="In-tableHeading"/>
              <w:jc w:val="center"/>
              <w:rPr>
                <w:lang w:val="en-AU"/>
              </w:rPr>
            </w:pPr>
            <w:r w:rsidRPr="009941F8">
              <w:rPr>
                <w:lang w:val="en-AU"/>
              </w:rPr>
              <w:t>Flares</w:t>
            </w:r>
          </w:p>
        </w:tc>
        <w:tc>
          <w:tcPr>
            <w:tcW w:w="2268" w:type="dxa"/>
            <w:gridSpan w:val="2"/>
          </w:tcPr>
          <w:p w14:paraId="3CA8FC66" w14:textId="77777777" w:rsidR="00AB7860" w:rsidRPr="009941F8" w:rsidRDefault="00AB7860" w:rsidP="00A244E2">
            <w:pPr>
              <w:pStyle w:val="In-tableHeading"/>
              <w:jc w:val="center"/>
              <w:rPr>
                <w:lang w:val="en-AU"/>
              </w:rPr>
            </w:pPr>
            <w:r w:rsidRPr="009941F8">
              <w:rPr>
                <w:lang w:val="en-AU"/>
              </w:rPr>
              <w:t>Daily OCS dose</w:t>
            </w:r>
          </w:p>
        </w:tc>
      </w:tr>
      <w:tr w:rsidR="00AB7860" w:rsidRPr="009941F8" w14:paraId="0A9E4FF6" w14:textId="77777777" w:rsidTr="004E5DAB">
        <w:tc>
          <w:tcPr>
            <w:tcW w:w="988" w:type="dxa"/>
            <w:vMerge/>
            <w:noWrap/>
          </w:tcPr>
          <w:p w14:paraId="077B20E3" w14:textId="77777777" w:rsidR="00AB7860" w:rsidRPr="009941F8" w:rsidRDefault="00AB7860" w:rsidP="00A244E2">
            <w:pPr>
              <w:pStyle w:val="In-tableHeading"/>
              <w:rPr>
                <w:lang w:val="en-AU"/>
              </w:rPr>
            </w:pPr>
          </w:p>
        </w:tc>
        <w:tc>
          <w:tcPr>
            <w:tcW w:w="1701" w:type="dxa"/>
            <w:noWrap/>
            <w:hideMark/>
          </w:tcPr>
          <w:p w14:paraId="19A94A75" w14:textId="77777777" w:rsidR="00AB7860" w:rsidRPr="009941F8" w:rsidRDefault="00AB7860" w:rsidP="00A244E2">
            <w:pPr>
              <w:pStyle w:val="In-tableHeading"/>
              <w:jc w:val="center"/>
              <w:rPr>
                <w:lang w:val="en-AU"/>
              </w:rPr>
            </w:pPr>
            <w:r w:rsidRPr="009941F8">
              <w:rPr>
                <w:lang w:val="en-AU"/>
              </w:rPr>
              <w:t>From SDI=0</w:t>
            </w:r>
          </w:p>
        </w:tc>
        <w:tc>
          <w:tcPr>
            <w:tcW w:w="1842" w:type="dxa"/>
            <w:noWrap/>
            <w:hideMark/>
          </w:tcPr>
          <w:p w14:paraId="0E9A2181" w14:textId="77777777" w:rsidR="00AB7860" w:rsidRPr="009941F8" w:rsidRDefault="00AB7860" w:rsidP="00A244E2">
            <w:pPr>
              <w:pStyle w:val="In-tableHeading"/>
              <w:jc w:val="center"/>
              <w:rPr>
                <w:lang w:val="en-AU"/>
              </w:rPr>
            </w:pPr>
            <w:r w:rsidRPr="009941F8">
              <w:rPr>
                <w:lang w:val="en-AU"/>
              </w:rPr>
              <w:t>From SDI&gt;0</w:t>
            </w:r>
          </w:p>
        </w:tc>
        <w:tc>
          <w:tcPr>
            <w:tcW w:w="2268" w:type="dxa"/>
            <w:vMerge/>
          </w:tcPr>
          <w:p w14:paraId="4A0411C7" w14:textId="77777777" w:rsidR="00AB7860" w:rsidRPr="009941F8" w:rsidRDefault="00AB7860" w:rsidP="00A244E2">
            <w:pPr>
              <w:pStyle w:val="In-tableHeading"/>
              <w:jc w:val="center"/>
              <w:rPr>
                <w:lang w:val="en-AU"/>
              </w:rPr>
            </w:pPr>
          </w:p>
        </w:tc>
        <w:tc>
          <w:tcPr>
            <w:tcW w:w="1121" w:type="dxa"/>
          </w:tcPr>
          <w:p w14:paraId="192AD6D0" w14:textId="77777777" w:rsidR="00AB7860" w:rsidRPr="009941F8" w:rsidRDefault="00AB7860" w:rsidP="00A244E2">
            <w:pPr>
              <w:pStyle w:val="In-tableHeading"/>
              <w:jc w:val="center"/>
              <w:rPr>
                <w:lang w:val="en-AU"/>
              </w:rPr>
            </w:pPr>
            <w:r w:rsidRPr="009941F8">
              <w:rPr>
                <w:lang w:val="en-AU"/>
              </w:rPr>
              <w:t>Anifrolumab</w:t>
            </w:r>
          </w:p>
        </w:tc>
        <w:tc>
          <w:tcPr>
            <w:tcW w:w="1147" w:type="dxa"/>
          </w:tcPr>
          <w:p w14:paraId="1B7FA309" w14:textId="77777777" w:rsidR="00AB7860" w:rsidRPr="009941F8" w:rsidRDefault="00AB7860" w:rsidP="00A244E2">
            <w:pPr>
              <w:pStyle w:val="In-tableHeading"/>
              <w:jc w:val="center"/>
              <w:rPr>
                <w:lang w:val="en-AU"/>
              </w:rPr>
            </w:pPr>
            <w:r w:rsidRPr="009941F8">
              <w:rPr>
                <w:lang w:val="en-AU"/>
              </w:rPr>
              <w:t>SOC</w:t>
            </w:r>
          </w:p>
        </w:tc>
      </w:tr>
      <w:tr w:rsidR="00AB7860" w:rsidRPr="009941F8" w14:paraId="708B958F" w14:textId="77777777" w:rsidTr="004E5DAB">
        <w:tc>
          <w:tcPr>
            <w:tcW w:w="988" w:type="dxa"/>
            <w:noWrap/>
            <w:hideMark/>
          </w:tcPr>
          <w:p w14:paraId="766E52FA" w14:textId="77777777" w:rsidR="00AB7860" w:rsidRPr="009941F8" w:rsidRDefault="00AB7860" w:rsidP="00A244E2">
            <w:pPr>
              <w:pStyle w:val="TableText0"/>
            </w:pPr>
            <w:r w:rsidRPr="009941F8">
              <w:t>LLDAS</w:t>
            </w:r>
          </w:p>
        </w:tc>
        <w:tc>
          <w:tcPr>
            <w:tcW w:w="1701" w:type="dxa"/>
            <w:noWrap/>
            <w:hideMark/>
          </w:tcPr>
          <w:p w14:paraId="01722D05" w14:textId="77777777" w:rsidR="00AB7860" w:rsidRPr="009941F8" w:rsidRDefault="00AB7860" w:rsidP="00A244E2">
            <w:pPr>
              <w:pStyle w:val="TableText0"/>
              <w:jc w:val="center"/>
            </w:pPr>
            <w:r w:rsidRPr="009941F8">
              <w:t>2.6%</w:t>
            </w:r>
          </w:p>
        </w:tc>
        <w:tc>
          <w:tcPr>
            <w:tcW w:w="1842" w:type="dxa"/>
            <w:noWrap/>
          </w:tcPr>
          <w:p w14:paraId="1435D762" w14:textId="77777777" w:rsidR="00AB7860" w:rsidRPr="009941F8" w:rsidRDefault="00AB7860" w:rsidP="00A244E2">
            <w:pPr>
              <w:pStyle w:val="TableText0"/>
              <w:jc w:val="center"/>
            </w:pPr>
            <w:r w:rsidRPr="009941F8">
              <w:t>2.9%</w:t>
            </w:r>
          </w:p>
        </w:tc>
        <w:tc>
          <w:tcPr>
            <w:tcW w:w="2268" w:type="dxa"/>
          </w:tcPr>
          <w:p w14:paraId="709497C7" w14:textId="77777777" w:rsidR="00AB7860" w:rsidRPr="009941F8" w:rsidRDefault="00AB7860" w:rsidP="00A244E2">
            <w:pPr>
              <w:pStyle w:val="TableText0"/>
              <w:jc w:val="center"/>
            </w:pPr>
            <w:r w:rsidRPr="009941F8">
              <w:t>13.2%</w:t>
            </w:r>
          </w:p>
        </w:tc>
        <w:tc>
          <w:tcPr>
            <w:tcW w:w="1121" w:type="dxa"/>
          </w:tcPr>
          <w:p w14:paraId="0F8F9615" w14:textId="77777777" w:rsidR="00AB7860" w:rsidRPr="009941F8" w:rsidRDefault="00AB7860" w:rsidP="00A244E2">
            <w:pPr>
              <w:pStyle w:val="TableText0"/>
              <w:jc w:val="center"/>
            </w:pPr>
            <w:r w:rsidRPr="009941F8">
              <w:t>4.968mg/day</w:t>
            </w:r>
          </w:p>
        </w:tc>
        <w:tc>
          <w:tcPr>
            <w:tcW w:w="1147" w:type="dxa"/>
          </w:tcPr>
          <w:p w14:paraId="127D6B57" w14:textId="77777777" w:rsidR="00AB7860" w:rsidRPr="009941F8" w:rsidRDefault="00AB7860" w:rsidP="00A244E2">
            <w:pPr>
              <w:pStyle w:val="TableText0"/>
              <w:jc w:val="center"/>
            </w:pPr>
            <w:r w:rsidRPr="009941F8">
              <w:t>5.669mg/day</w:t>
            </w:r>
          </w:p>
        </w:tc>
      </w:tr>
      <w:tr w:rsidR="00AB7860" w:rsidRPr="009941F8" w14:paraId="1DC2E03B" w14:textId="77777777" w:rsidTr="004E5DAB">
        <w:tc>
          <w:tcPr>
            <w:tcW w:w="988" w:type="dxa"/>
            <w:noWrap/>
            <w:hideMark/>
          </w:tcPr>
          <w:p w14:paraId="35F58E8E" w14:textId="77777777" w:rsidR="00AB7860" w:rsidRPr="009941F8" w:rsidRDefault="00AB7860" w:rsidP="00A244E2">
            <w:pPr>
              <w:pStyle w:val="TableText0"/>
            </w:pPr>
            <w:r w:rsidRPr="009941F8">
              <w:t>Not LLDAS</w:t>
            </w:r>
          </w:p>
        </w:tc>
        <w:tc>
          <w:tcPr>
            <w:tcW w:w="1701" w:type="dxa"/>
            <w:noWrap/>
            <w:hideMark/>
          </w:tcPr>
          <w:p w14:paraId="286A9DF3" w14:textId="77777777" w:rsidR="00AB7860" w:rsidRPr="009941F8" w:rsidRDefault="00AB7860" w:rsidP="00A244E2">
            <w:pPr>
              <w:pStyle w:val="TableText0"/>
              <w:jc w:val="center"/>
            </w:pPr>
            <w:r w:rsidRPr="009941F8">
              <w:t>4.2%</w:t>
            </w:r>
          </w:p>
        </w:tc>
        <w:tc>
          <w:tcPr>
            <w:tcW w:w="1842" w:type="dxa"/>
            <w:noWrap/>
          </w:tcPr>
          <w:p w14:paraId="1D3A4E3E" w14:textId="77777777" w:rsidR="00AB7860" w:rsidRPr="009941F8" w:rsidRDefault="00AB7860" w:rsidP="00A244E2">
            <w:pPr>
              <w:pStyle w:val="TableText0"/>
              <w:jc w:val="center"/>
            </w:pPr>
            <w:r w:rsidRPr="009941F8">
              <w:t>4.6%</w:t>
            </w:r>
          </w:p>
        </w:tc>
        <w:tc>
          <w:tcPr>
            <w:tcW w:w="2268" w:type="dxa"/>
          </w:tcPr>
          <w:p w14:paraId="60D867A1" w14:textId="77777777" w:rsidR="00AB7860" w:rsidRPr="009941F8" w:rsidRDefault="00AB7860" w:rsidP="00A244E2">
            <w:pPr>
              <w:pStyle w:val="TableText0"/>
              <w:jc w:val="center"/>
            </w:pPr>
            <w:r w:rsidRPr="009941F8">
              <w:t>29.3%</w:t>
            </w:r>
          </w:p>
        </w:tc>
        <w:tc>
          <w:tcPr>
            <w:tcW w:w="2268" w:type="dxa"/>
            <w:gridSpan w:val="2"/>
          </w:tcPr>
          <w:p w14:paraId="690C73C9" w14:textId="77777777" w:rsidR="00AB7860" w:rsidRPr="009941F8" w:rsidRDefault="00AB7860" w:rsidP="00A244E2">
            <w:pPr>
              <w:pStyle w:val="TableText0"/>
              <w:jc w:val="center"/>
            </w:pPr>
            <w:r w:rsidRPr="009941F8">
              <w:t>8.055mg/day</w:t>
            </w:r>
          </w:p>
        </w:tc>
      </w:tr>
      <w:tr w:rsidR="00AB7860" w:rsidRPr="009941F8" w14:paraId="3892A8B3" w14:textId="77777777" w:rsidTr="004E5DAB">
        <w:tc>
          <w:tcPr>
            <w:tcW w:w="988" w:type="dxa"/>
            <w:noWrap/>
          </w:tcPr>
          <w:p w14:paraId="5820F4B9" w14:textId="77777777" w:rsidR="00AB7860" w:rsidRPr="009941F8" w:rsidRDefault="00AB7860" w:rsidP="00A244E2">
            <w:pPr>
              <w:pStyle w:val="TableText0"/>
            </w:pPr>
            <w:r w:rsidRPr="009941F8">
              <w:t>Source</w:t>
            </w:r>
          </w:p>
        </w:tc>
        <w:tc>
          <w:tcPr>
            <w:tcW w:w="3543" w:type="dxa"/>
            <w:gridSpan w:val="2"/>
            <w:noWrap/>
          </w:tcPr>
          <w:p w14:paraId="03594D61" w14:textId="639B623B" w:rsidR="00AB7860" w:rsidRPr="009941F8" w:rsidRDefault="004E5DAB" w:rsidP="00A244E2">
            <w:pPr>
              <w:pStyle w:val="TableText0"/>
              <w:jc w:val="center"/>
            </w:pPr>
            <w:r w:rsidRPr="009941F8">
              <w:t>‘</w:t>
            </w:r>
            <w:r w:rsidR="00AB7860" w:rsidRPr="009941F8">
              <w:t>Not LLDAS</w:t>
            </w:r>
            <w:r w:rsidRPr="009941F8">
              <w:t>’</w:t>
            </w:r>
            <w:r w:rsidR="00AB7860" w:rsidRPr="009941F8">
              <w:t>: 22.5% per 3 years in Golder 2019 among LLDAS &lt;50% time; adjusted by IRR of 1.12 from Ugarte-Gil 2022 for patients with SDI&gt;0</w:t>
            </w:r>
          </w:p>
          <w:p w14:paraId="13FA327F" w14:textId="5B146C8A" w:rsidR="00AB7860" w:rsidRPr="009941F8" w:rsidRDefault="004E5DAB" w:rsidP="00A244E2">
            <w:pPr>
              <w:pStyle w:val="TableText0"/>
              <w:jc w:val="center"/>
            </w:pPr>
            <w:r w:rsidRPr="009941F8">
              <w:t>‘</w:t>
            </w:r>
            <w:r w:rsidR="00AB7860" w:rsidRPr="009941F8">
              <w:t>LLDAS</w:t>
            </w:r>
            <w:r w:rsidRPr="009941F8">
              <w:t>’</w:t>
            </w:r>
            <w:r w:rsidR="00AB7860" w:rsidRPr="009941F8">
              <w:t xml:space="preserve">: </w:t>
            </w:r>
            <w:r w:rsidRPr="009941F8">
              <w:t>‘</w:t>
            </w:r>
            <w:r w:rsidR="00AB7860" w:rsidRPr="009941F8">
              <w:t>Not LLDAS</w:t>
            </w:r>
            <w:r w:rsidRPr="009941F8">
              <w:t>’</w:t>
            </w:r>
            <w:r w:rsidR="00AB7860" w:rsidRPr="009941F8">
              <w:t xml:space="preserve"> adjusted for </w:t>
            </w:r>
            <w:r w:rsidRPr="009941F8">
              <w:t>‘</w:t>
            </w:r>
            <w:r w:rsidR="00AB7860" w:rsidRPr="009941F8">
              <w:t>LLDAS</w:t>
            </w:r>
            <w:r w:rsidRPr="009941F8">
              <w:t>’</w:t>
            </w:r>
            <w:r w:rsidR="00AB7860" w:rsidRPr="009941F8">
              <w:t xml:space="preserve"> vs </w:t>
            </w:r>
            <w:r w:rsidRPr="009941F8">
              <w:t>‘N</w:t>
            </w:r>
            <w:r w:rsidR="00AB7860" w:rsidRPr="009941F8">
              <w:t>ot LLDAS</w:t>
            </w:r>
            <w:r w:rsidRPr="009941F8">
              <w:t>’</w:t>
            </w:r>
            <w:r w:rsidR="00AB7860" w:rsidRPr="009941F8">
              <w:t xml:space="preserve"> OR 0.59 from Golder 2019</w:t>
            </w:r>
          </w:p>
        </w:tc>
        <w:tc>
          <w:tcPr>
            <w:tcW w:w="2268" w:type="dxa"/>
          </w:tcPr>
          <w:p w14:paraId="006FE4B8" w14:textId="3994D4AE" w:rsidR="00AB7860" w:rsidRPr="009941F8" w:rsidRDefault="004E5DAB" w:rsidP="00A244E2">
            <w:pPr>
              <w:pStyle w:val="TableText0"/>
              <w:jc w:val="center"/>
            </w:pPr>
            <w:r w:rsidRPr="009941F8">
              <w:t>‘</w:t>
            </w:r>
            <w:r w:rsidR="00AB7860" w:rsidRPr="009941F8">
              <w:t>Not LLDAS</w:t>
            </w:r>
            <w:r w:rsidRPr="009941F8">
              <w:t>’</w:t>
            </w:r>
            <w:r w:rsidR="00AB7860" w:rsidRPr="009941F8">
              <w:t>: Golder 2019 Figure 1A LLDAS&lt;50% curve, first 6 months</w:t>
            </w:r>
          </w:p>
          <w:p w14:paraId="5FA60B42" w14:textId="00CCA488" w:rsidR="00AB7860" w:rsidRPr="009941F8" w:rsidRDefault="004E5DAB" w:rsidP="00A244E2">
            <w:pPr>
              <w:pStyle w:val="TableText0"/>
              <w:jc w:val="center"/>
            </w:pPr>
            <w:r w:rsidRPr="009941F8">
              <w:t>‘</w:t>
            </w:r>
            <w:r w:rsidR="00AB7860" w:rsidRPr="009941F8">
              <w:t>LLDAS</w:t>
            </w:r>
            <w:r w:rsidR="0003525F" w:rsidRPr="009941F8">
              <w:t>’:</w:t>
            </w:r>
            <w:r w:rsidR="00AB7860" w:rsidRPr="009941F8">
              <w:t xml:space="preserve"> </w:t>
            </w:r>
            <w:r w:rsidRPr="009941F8">
              <w:t>‘</w:t>
            </w:r>
            <w:r w:rsidR="00AB7860" w:rsidRPr="009941F8">
              <w:t>Not LLDAS</w:t>
            </w:r>
            <w:r w:rsidRPr="009941F8">
              <w:t xml:space="preserve">’ </w:t>
            </w:r>
            <w:r w:rsidR="00AB7860" w:rsidRPr="009941F8">
              <w:t>with HR 0.45 applied from Golder 2019 (severe flare)</w:t>
            </w:r>
          </w:p>
        </w:tc>
        <w:tc>
          <w:tcPr>
            <w:tcW w:w="2268" w:type="dxa"/>
            <w:gridSpan w:val="2"/>
          </w:tcPr>
          <w:p w14:paraId="000AC776" w14:textId="3505CD01" w:rsidR="00AB7860" w:rsidRPr="009941F8" w:rsidRDefault="00AB7860" w:rsidP="00A244E2">
            <w:pPr>
              <w:pStyle w:val="TableText0"/>
              <w:jc w:val="center"/>
            </w:pPr>
            <w:r w:rsidRPr="009941F8">
              <w:t>Pooled TULIP-1 and TULIP-2 data</w:t>
            </w:r>
            <w:r w:rsidR="0003525F" w:rsidRPr="009941F8">
              <w:t>, SLEDAI-2K≥10 subgroup</w:t>
            </w:r>
            <w:r w:rsidRPr="009941F8">
              <w:t>, TULIP LTE not included.</w:t>
            </w:r>
          </w:p>
        </w:tc>
      </w:tr>
    </w:tbl>
    <w:p w14:paraId="6D5EA2A8" w14:textId="45D0AE0D" w:rsidR="00AB7860" w:rsidRPr="009941F8" w:rsidRDefault="00AB7860" w:rsidP="00A244E2">
      <w:pPr>
        <w:pStyle w:val="TableFigureFooter"/>
      </w:pPr>
      <w:r w:rsidRPr="009941F8">
        <w:t>Source: Table 3-14, Tables 3-17, Table 3-18, of the March 2024 resubmission</w:t>
      </w:r>
    </w:p>
    <w:p w14:paraId="3D8F1A49" w14:textId="55E7E1C0" w:rsidR="00AB7860" w:rsidRPr="009941F8" w:rsidRDefault="00AB7860" w:rsidP="00A244E2">
      <w:pPr>
        <w:pStyle w:val="TableFigureFooter"/>
      </w:pPr>
      <w:r w:rsidRPr="009941F8">
        <w:t>LLDAS= lupus low disease activity state, HR=hazard ratio, IRR=incident rate ratio, OR=odds ratio, SDI=SLICC/ACR (Systemic Lupus International Collaborating Clinics/American College of Rheumatology) Damage Index, OCS=oral corticosteroid, SOC=standard of care</w:t>
      </w:r>
    </w:p>
    <w:p w14:paraId="35F03AA3" w14:textId="19DAB105" w:rsidR="00AB7860" w:rsidRPr="009941F8" w:rsidRDefault="001728F0" w:rsidP="00A244E2">
      <w:pPr>
        <w:pStyle w:val="3-BodyText"/>
      </w:pPr>
      <w:r w:rsidRPr="009941F8">
        <w:t>Unlike the March 2023 resubmission, t</w:t>
      </w:r>
      <w:r w:rsidR="00AB7860" w:rsidRPr="009941F8">
        <w:t>he ICER was not sensitive to organ damage. If organ damage accrual was removed from the model, the ICER increased only slightly to $</w:t>
      </w:r>
      <w:r w:rsidR="00BF33FF" w:rsidRPr="00BF33FF">
        <w:t xml:space="preserve">55,000 to &lt; $75,000 </w:t>
      </w:r>
      <w:r w:rsidR="00AB7860" w:rsidRPr="009941F8">
        <w:t>per QALY gained, compared to $</w:t>
      </w:r>
      <w:r w:rsidR="00BF33FF" w:rsidRPr="00BF33FF">
        <w:t xml:space="preserve">55,000 to &lt; $75,000 </w:t>
      </w:r>
      <w:r w:rsidR="00AB7860" w:rsidRPr="009941F8">
        <w:t>in the base case</w:t>
      </w:r>
      <w:r w:rsidR="004E5DAB" w:rsidRPr="009941F8">
        <w:t>.</w:t>
      </w:r>
    </w:p>
    <w:p w14:paraId="5C064A11" w14:textId="14665BC4" w:rsidR="00AB7860" w:rsidRPr="009941F8" w:rsidRDefault="0003525F" w:rsidP="00A244E2">
      <w:pPr>
        <w:pStyle w:val="3-BodyText"/>
      </w:pPr>
      <w:r w:rsidRPr="009941F8">
        <w:t xml:space="preserve">Compared to the March 2023 resubmission, flares in the current resubmission did not affect disease progression. </w:t>
      </w:r>
      <w:r w:rsidR="001728F0" w:rsidRPr="009941F8">
        <w:t>However, f</w:t>
      </w:r>
      <w:r w:rsidRPr="009941F8">
        <w:t>lares were still a key driver of the results, and t</w:t>
      </w:r>
      <w:r w:rsidR="00AB7860" w:rsidRPr="009941F8">
        <w:t>here was some inconsistency with the modelling of flares throughout the model. Flare</w:t>
      </w:r>
      <w:r w:rsidRPr="009941F8">
        <w:t xml:space="preserve"> incidence HR was based on severe flares,</w:t>
      </w:r>
      <w:r w:rsidR="00AB7860" w:rsidRPr="009941F8">
        <w:t xml:space="preserve"> costs were based on mild/moderate flares</w:t>
      </w:r>
      <w:r w:rsidRPr="009941F8">
        <w:t>,</w:t>
      </w:r>
      <w:r w:rsidR="00AB7860" w:rsidRPr="009941F8">
        <w:t xml:space="preserve"> and flare disutilities were based on a distribution of all severity flares. If the</w:t>
      </w:r>
      <w:r w:rsidRPr="009941F8">
        <w:t xml:space="preserve"> flare incidence</w:t>
      </w:r>
      <w:r w:rsidR="00AB7860" w:rsidRPr="009941F8">
        <w:t xml:space="preserve"> hazard ratio was set to 0.65 (any flares) the ICER increased to $</w:t>
      </w:r>
      <w:r w:rsidR="00BF33FF" w:rsidRPr="00BF33FF">
        <w:t>55,</w:t>
      </w:r>
      <w:r w:rsidR="00320BF5" w:rsidRPr="00BF33FF">
        <w:t>000</w:t>
      </w:r>
      <w:r w:rsidR="00320BF5">
        <w:t> </w:t>
      </w:r>
      <w:r w:rsidR="00BF33FF" w:rsidRPr="00BF33FF">
        <w:t xml:space="preserve">to &lt; $75,000 </w:t>
      </w:r>
      <w:r w:rsidR="00AB7860" w:rsidRPr="009941F8">
        <w:t>per QALY gained compared to $</w:t>
      </w:r>
      <w:r w:rsidR="00BF33FF" w:rsidRPr="00BF33FF">
        <w:t xml:space="preserve">55,000 to &lt; $75,000 </w:t>
      </w:r>
      <w:r w:rsidR="00AB7860" w:rsidRPr="009941F8">
        <w:t>in the base case.</w:t>
      </w:r>
    </w:p>
    <w:p w14:paraId="12CB4066" w14:textId="46A59A95" w:rsidR="00AB7860" w:rsidRPr="009941F8" w:rsidRDefault="00AB7860" w:rsidP="00A244E2">
      <w:pPr>
        <w:pStyle w:val="3-BodyText"/>
      </w:pPr>
      <w:r w:rsidRPr="009941F8">
        <w:t xml:space="preserve">Daily OCS </w:t>
      </w:r>
      <w:r w:rsidR="0003525F" w:rsidRPr="009941F8">
        <w:t>dose</w:t>
      </w:r>
      <w:r w:rsidRPr="009941F8">
        <w:t xml:space="preserve"> was higher in both arms in the current resubmission compared to the March 2023</w:t>
      </w:r>
      <w:r w:rsidR="0003525F" w:rsidRPr="009941F8">
        <w:t xml:space="preserve"> resubmission</w:t>
      </w:r>
      <w:r w:rsidRPr="009941F8">
        <w:t xml:space="preserve"> and appeared to overestimate OCS usage in the long term compared to the ALRB data (</w:t>
      </w:r>
      <w:r w:rsidRPr="009941F8">
        <w:fldChar w:fldCharType="begin" w:fldLock="1"/>
      </w:r>
      <w:r w:rsidRPr="009941F8">
        <w:instrText xml:space="preserve"> REF _Ref153882123 </w:instrText>
      </w:r>
      <w:r w:rsidR="00901668" w:rsidRPr="009941F8">
        <w:instrText xml:space="preserve"> \* MERGEFORMAT </w:instrText>
      </w:r>
      <w:r w:rsidRPr="009941F8">
        <w:fldChar w:fldCharType="separate"/>
      </w:r>
      <w:r w:rsidR="00F07501" w:rsidRPr="009941F8">
        <w:t xml:space="preserve">Figure </w:t>
      </w:r>
      <w:r w:rsidR="00F07501">
        <w:t>5</w:t>
      </w:r>
      <w:r w:rsidRPr="009941F8">
        <w:fldChar w:fldCharType="end"/>
      </w:r>
      <w:r w:rsidRPr="009941F8">
        <w:t xml:space="preserve">). </w:t>
      </w:r>
      <w:bookmarkStart w:id="67" w:name="_Hlk153882400"/>
      <w:r w:rsidRPr="009941F8">
        <w:t>The incremental reduction in OCS use was 0.032</w:t>
      </w:r>
      <w:r w:rsidR="00553EB3" w:rsidRPr="009941F8">
        <w:t> </w:t>
      </w:r>
      <w:r w:rsidRPr="009941F8">
        <w:t>mg per day in the anifrolumab arm compared to SOC</w:t>
      </w:r>
      <w:r w:rsidR="0003525F" w:rsidRPr="009941F8">
        <w:t xml:space="preserve"> and</w:t>
      </w:r>
      <w:r w:rsidRPr="009941F8">
        <w:t xml:space="preserve"> OCS costs contributed little to the incremental costs (an incremental undiscounted </w:t>
      </w:r>
      <w:r w:rsidRPr="00F8396F">
        <w:t>cost of -</w:t>
      </w:r>
      <w:r w:rsidR="00C908A1" w:rsidRPr="00F8396F">
        <w:t> </w:t>
      </w:r>
      <w:r w:rsidRPr="00F8396F">
        <w:t>$2.79 for</w:t>
      </w:r>
      <w:r w:rsidRPr="009941F8">
        <w:t xml:space="preserve"> the anifrolumab arm versus SOC arm)</w:t>
      </w:r>
      <w:r w:rsidR="0003525F" w:rsidRPr="009941F8">
        <w:t>. OCS dose no longer affected future organ damage or survival</w:t>
      </w:r>
      <w:r w:rsidRPr="009941F8">
        <w:t xml:space="preserve"> but the fixed OCS disutility in the ‘</w:t>
      </w:r>
      <w:r w:rsidR="00C908A1" w:rsidRPr="009941F8">
        <w:t>N</w:t>
      </w:r>
      <w:r w:rsidRPr="009941F8">
        <w:t>ot LLDAS’ health states was a moderate driver of the ICER</w:t>
      </w:r>
      <w:bookmarkEnd w:id="67"/>
      <w:r w:rsidRPr="009941F8">
        <w:t>.</w:t>
      </w:r>
    </w:p>
    <w:p w14:paraId="1A724334" w14:textId="1C618A25" w:rsidR="00AB7860" w:rsidRPr="009941F8" w:rsidRDefault="00AB7860" w:rsidP="00A244E2">
      <w:pPr>
        <w:pStyle w:val="TableFigureHeading"/>
      </w:pPr>
      <w:bookmarkStart w:id="68" w:name="_Ref153882123"/>
      <w:r w:rsidRPr="009941F8">
        <w:lastRenderedPageBreak/>
        <w:t xml:space="preserve">Figure </w:t>
      </w:r>
      <w:r w:rsidR="00CE7EC7">
        <w:fldChar w:fldCharType="begin" w:fldLock="1"/>
      </w:r>
      <w:r w:rsidR="00CE7EC7">
        <w:instrText xml:space="preserve"> SEQ Figure \* ARABIC </w:instrText>
      </w:r>
      <w:r w:rsidR="00CE7EC7">
        <w:fldChar w:fldCharType="separate"/>
      </w:r>
      <w:r w:rsidR="00F07501">
        <w:rPr>
          <w:noProof/>
        </w:rPr>
        <w:t>5</w:t>
      </w:r>
      <w:r w:rsidR="00CE7EC7">
        <w:rPr>
          <w:noProof/>
        </w:rPr>
        <w:fldChar w:fldCharType="end"/>
      </w:r>
      <w:bookmarkEnd w:id="68"/>
      <w:r w:rsidRPr="009941F8">
        <w:t>: Modelled OCS dose adjusted for mortality over 30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609"/>
      </w:tblGrid>
      <w:tr w:rsidR="00AB7860" w:rsidRPr="009941F8" w14:paraId="03528C4E" w14:textId="77777777" w:rsidTr="00A244E2">
        <w:tc>
          <w:tcPr>
            <w:tcW w:w="4566" w:type="dxa"/>
            <w:shd w:val="clear" w:color="auto" w:fill="auto"/>
          </w:tcPr>
          <w:p w14:paraId="2C88D392" w14:textId="77777777" w:rsidR="00AB7860" w:rsidRPr="009941F8" w:rsidRDefault="00AB7860" w:rsidP="00A244E2">
            <w:pPr>
              <w:pStyle w:val="In-tableHeading"/>
              <w:jc w:val="center"/>
              <w:rPr>
                <w:lang w:val="en-AU"/>
              </w:rPr>
            </w:pPr>
            <w:r w:rsidRPr="009941F8">
              <w:rPr>
                <w:lang w:val="en-AU"/>
              </w:rPr>
              <w:t>March 2023 resubmission</w:t>
            </w:r>
          </w:p>
        </w:tc>
        <w:tc>
          <w:tcPr>
            <w:tcW w:w="4451" w:type="dxa"/>
          </w:tcPr>
          <w:p w14:paraId="18294BED" w14:textId="77777777" w:rsidR="00AB7860" w:rsidRPr="009941F8" w:rsidRDefault="00AB7860" w:rsidP="00A244E2">
            <w:pPr>
              <w:pStyle w:val="In-tableHeading"/>
              <w:jc w:val="center"/>
              <w:rPr>
                <w:lang w:val="en-AU"/>
              </w:rPr>
            </w:pPr>
            <w:r w:rsidRPr="009941F8">
              <w:rPr>
                <w:lang w:val="en-AU"/>
              </w:rPr>
              <w:t>March 2024 resubmission</w:t>
            </w:r>
          </w:p>
        </w:tc>
      </w:tr>
      <w:tr w:rsidR="00AB7860" w:rsidRPr="009941F8" w14:paraId="2F085647" w14:textId="77777777" w:rsidTr="00A244E2">
        <w:tc>
          <w:tcPr>
            <w:tcW w:w="4566" w:type="dxa"/>
            <w:shd w:val="clear" w:color="auto" w:fill="auto"/>
          </w:tcPr>
          <w:p w14:paraId="10DD5193" w14:textId="77777777" w:rsidR="00AB7860" w:rsidRPr="009941F8" w:rsidRDefault="00AB7860" w:rsidP="00A244E2">
            <w:pPr>
              <w:pStyle w:val="In-tableHeading"/>
              <w:jc w:val="center"/>
              <w:rPr>
                <w:lang w:val="en-AU"/>
              </w:rPr>
            </w:pPr>
            <w:r w:rsidRPr="009941F8">
              <w:rPr>
                <w:noProof/>
                <w:lang w:val="en-AU"/>
              </w:rPr>
              <w:drawing>
                <wp:inline distT="0" distB="0" distL="0" distR="0" wp14:anchorId="39C41441" wp14:editId="6961C543">
                  <wp:extent cx="2552131" cy="1660430"/>
                  <wp:effectExtent l="0" t="0" r="635" b="0"/>
                  <wp:docPr id="58" name="Picture 58" descr="Figure 5: Modelled OCS dose adjusted for mortality over 30 years: March 2023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Figure 5: Modelled OCS dose adjusted for mortality over 30 years: March 2023 resubmiss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80958" cy="1679185"/>
                          </a:xfrm>
                          <a:prstGeom prst="rect">
                            <a:avLst/>
                          </a:prstGeom>
                          <a:noFill/>
                          <a:ln>
                            <a:noFill/>
                          </a:ln>
                        </pic:spPr>
                      </pic:pic>
                    </a:graphicData>
                  </a:graphic>
                </wp:inline>
              </w:drawing>
            </w:r>
          </w:p>
        </w:tc>
        <w:tc>
          <w:tcPr>
            <w:tcW w:w="4451" w:type="dxa"/>
          </w:tcPr>
          <w:p w14:paraId="158F2197" w14:textId="77777777" w:rsidR="00AB7860" w:rsidRPr="009941F8" w:rsidRDefault="00AB7860" w:rsidP="00A244E2">
            <w:pPr>
              <w:pStyle w:val="In-tableHeading"/>
              <w:jc w:val="center"/>
              <w:rPr>
                <w:lang w:val="en-AU"/>
              </w:rPr>
            </w:pPr>
            <w:r w:rsidRPr="009941F8">
              <w:rPr>
                <w:noProof/>
                <w:lang w:val="en-AU"/>
              </w:rPr>
              <w:drawing>
                <wp:inline distT="0" distB="0" distL="0" distR="0" wp14:anchorId="5361263F" wp14:editId="52BA82D3">
                  <wp:extent cx="2790000" cy="1634443"/>
                  <wp:effectExtent l="0" t="0" r="0" b="4445"/>
                  <wp:docPr id="59" name="Picture 59" descr="Figure 5: Modelled OCS dose adjusted for mortality over 30 years: March 2024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Figure 5: Modelled OCS dose adjusted for mortality over 30 years: March 2024 resubmiss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000" cy="1634443"/>
                          </a:xfrm>
                          <a:prstGeom prst="rect">
                            <a:avLst/>
                          </a:prstGeom>
                          <a:noFill/>
                        </pic:spPr>
                      </pic:pic>
                    </a:graphicData>
                  </a:graphic>
                </wp:inline>
              </w:drawing>
            </w:r>
          </w:p>
        </w:tc>
      </w:tr>
    </w:tbl>
    <w:p w14:paraId="2CFA7666" w14:textId="77777777" w:rsidR="00AB7860" w:rsidRPr="009941F8" w:rsidRDefault="00AB7860" w:rsidP="00A244E2">
      <w:pPr>
        <w:pStyle w:val="TableFigureFooter"/>
      </w:pPr>
      <w:r w:rsidRPr="009941F8">
        <w:t>Source: compiled from, Sheet ‘Summary’ of the Excel workbook ‘CE model_anifrolumab_SLE_Nov2022.xlsm’ March 2023 resubmission, Sheet ‘Deterministic results’ of the Excel workbook ‘Saphnelo SLE CEA_final.xlsx’ March 2024 resubmission.</w:t>
      </w:r>
    </w:p>
    <w:p w14:paraId="1F9CE7B8" w14:textId="77777777" w:rsidR="00AB7860" w:rsidRPr="009941F8" w:rsidRDefault="00AB7860" w:rsidP="00A244E2">
      <w:pPr>
        <w:pStyle w:val="TableFigureFooter"/>
        <w:ind w:left="170" w:hanging="170"/>
      </w:pPr>
      <w:r w:rsidRPr="009941F8">
        <w:t>OCS=oral corticosteroid, SOC=standard of care, ALRB= Australian Lupus Registry and Biobank, HDAS=high disease activity status</w:t>
      </w:r>
    </w:p>
    <w:p w14:paraId="61724E51" w14:textId="77777777" w:rsidR="00AB7860" w:rsidRPr="009941F8" w:rsidRDefault="00AB7860" w:rsidP="00A244E2">
      <w:pPr>
        <w:pStyle w:val="TableFigureFooter"/>
        <w:ind w:left="170" w:hanging="170"/>
      </w:pPr>
      <w:r w:rsidRPr="009941F8">
        <w:t>March 2024 figure truncated to 30 years for comparison, but time horizon was 59 years</w:t>
      </w:r>
    </w:p>
    <w:p w14:paraId="4186E3F2" w14:textId="0BBE43E1" w:rsidR="00AB7860" w:rsidRPr="009941F8" w:rsidRDefault="00AB7860" w:rsidP="00A244E2">
      <w:pPr>
        <w:pStyle w:val="3-BodyText"/>
      </w:pPr>
      <w:r w:rsidRPr="009941F8">
        <w:t xml:space="preserve">The </w:t>
      </w:r>
      <w:r w:rsidR="00CB6D0E" w:rsidRPr="009941F8">
        <w:t>re</w:t>
      </w:r>
      <w:r w:rsidRPr="009941F8">
        <w:t>submission claimed th</w:t>
      </w:r>
      <w:r w:rsidR="00CB6D0E" w:rsidRPr="009941F8">
        <w:t xml:space="preserve">e mortality HR for ‘LLDAS’ versus an average SLE patient (0.7) </w:t>
      </w:r>
      <w:r w:rsidRPr="009941F8">
        <w:t>was</w:t>
      </w:r>
      <w:r w:rsidR="00CB6D0E" w:rsidRPr="009941F8">
        <w:t xml:space="preserve"> chosen</w:t>
      </w:r>
      <w:r w:rsidRPr="009941F8">
        <w:t xml:space="preserve"> to produce an overall life expectancy of 64.5 years in the SOC arm of the model. It was unclear how this value was estimated as it was hard coded in the model, and would likely be incorrect if different base case assumptions affecting mortality in the SOC arm were adjusted (e.g. age of patients at entry, proportion female, underlying SLE mortality, proportion of patients in LLDAS). </w:t>
      </w:r>
      <w:r w:rsidR="00D04514" w:rsidRPr="009941F8">
        <w:t>The ESC considered that the assumption of a survival benefit for LLDAS patients over other SLE patients was uncertain and not well justified.</w:t>
      </w:r>
    </w:p>
    <w:p w14:paraId="6EE380AB" w14:textId="11625247" w:rsidR="00AB7860" w:rsidRPr="009941F8" w:rsidRDefault="00CB6D0E" w:rsidP="00A244E2">
      <w:pPr>
        <w:pStyle w:val="3-BodyText"/>
      </w:pPr>
      <w:r w:rsidRPr="009941F8">
        <w:t>The</w:t>
      </w:r>
      <w:r w:rsidR="00AB7860" w:rsidRPr="009941F8">
        <w:t xml:space="preserve"> estimated average SLE survival far exceed</w:t>
      </w:r>
      <w:r w:rsidRPr="009941F8">
        <w:t>ed</w:t>
      </w:r>
      <w:r w:rsidR="00AB7860" w:rsidRPr="009941F8">
        <w:t xml:space="preserve"> the modelled survival in both the SOC and anifrolumab arms (</w:t>
      </w:r>
      <w:r w:rsidR="00AB7860" w:rsidRPr="009941F8">
        <w:fldChar w:fldCharType="begin" w:fldLock="1"/>
      </w:r>
      <w:r w:rsidR="00AB7860" w:rsidRPr="009941F8">
        <w:instrText xml:space="preserve"> REF _Ref153880089 </w:instrText>
      </w:r>
      <w:r w:rsidR="00553EB3" w:rsidRPr="009941F8">
        <w:instrText xml:space="preserve"> \* MERGEFORMAT </w:instrText>
      </w:r>
      <w:r w:rsidR="00AB7860" w:rsidRPr="009941F8">
        <w:fldChar w:fldCharType="separate"/>
      </w:r>
      <w:r w:rsidR="00F07501" w:rsidRPr="009941F8">
        <w:t xml:space="preserve">Figure </w:t>
      </w:r>
      <w:r w:rsidR="00F07501">
        <w:t>6</w:t>
      </w:r>
      <w:r w:rsidR="00AB7860" w:rsidRPr="009941F8">
        <w:fldChar w:fldCharType="end"/>
      </w:r>
      <w:r w:rsidR="00AB7860" w:rsidRPr="009941F8">
        <w:t xml:space="preserve">). While the modelled population </w:t>
      </w:r>
      <w:r w:rsidR="00C908A1" w:rsidRPr="009941F8">
        <w:t>wa</w:t>
      </w:r>
      <w:r w:rsidR="00AB7860" w:rsidRPr="009941F8">
        <w:t>s a higher risk group with expected higher mortality</w:t>
      </w:r>
      <w:r w:rsidRPr="009941F8">
        <w:t xml:space="preserve"> than ‘average’ SLE patients</w:t>
      </w:r>
      <w:r w:rsidR="00AB7860" w:rsidRPr="009941F8">
        <w:t>, there appeared to be no validation of this modelled survival curve. Modelled survival also appeared to exceed general population mortality at times. In the base</w:t>
      </w:r>
      <w:r w:rsidR="003E48C0" w:rsidRPr="009941F8">
        <w:t xml:space="preserve"> case</w:t>
      </w:r>
      <w:r w:rsidR="00AB7860" w:rsidRPr="009941F8">
        <w:t xml:space="preserve">, the </w:t>
      </w:r>
      <w:r w:rsidR="00C908A1" w:rsidRPr="009941F8">
        <w:t>‘</w:t>
      </w:r>
      <w:r w:rsidR="00AB7860" w:rsidRPr="009941F8">
        <w:t>LLDAS</w:t>
      </w:r>
      <w:r w:rsidR="00C908A1" w:rsidRPr="009941F8">
        <w:t>’</w:t>
      </w:r>
      <w:r w:rsidR="00AB7860" w:rsidRPr="009941F8">
        <w:t xml:space="preserve"> survival curve (if patients never lose LLDAS status) exceeded general population mortality at 91 years (see </w:t>
      </w:r>
      <w:r w:rsidR="00AB7860" w:rsidRPr="009941F8">
        <w:fldChar w:fldCharType="begin" w:fldLock="1"/>
      </w:r>
      <w:r w:rsidR="00AB7860" w:rsidRPr="009941F8">
        <w:instrText xml:space="preserve"> REF _Ref153880089 </w:instrText>
      </w:r>
      <w:r w:rsidR="00553EB3" w:rsidRPr="009941F8">
        <w:instrText xml:space="preserve"> \* MERGEFORMAT </w:instrText>
      </w:r>
      <w:r w:rsidR="00AB7860" w:rsidRPr="009941F8">
        <w:fldChar w:fldCharType="separate"/>
      </w:r>
      <w:r w:rsidR="00F07501" w:rsidRPr="009941F8">
        <w:t xml:space="preserve">Figure </w:t>
      </w:r>
      <w:r w:rsidR="00F07501">
        <w:t>6</w:t>
      </w:r>
      <w:r w:rsidR="00AB7860" w:rsidRPr="009941F8">
        <w:fldChar w:fldCharType="end"/>
      </w:r>
      <w:r w:rsidR="00AB7860" w:rsidRPr="009941F8">
        <w:t>).</w:t>
      </w:r>
    </w:p>
    <w:p w14:paraId="28CC2472" w14:textId="3FBC9F2A" w:rsidR="00AB7860" w:rsidRPr="009941F8" w:rsidRDefault="00AB7860" w:rsidP="00A244E2">
      <w:pPr>
        <w:pStyle w:val="TableFigureHeading"/>
      </w:pPr>
      <w:bookmarkStart w:id="69" w:name="_Ref153880089"/>
      <w:r w:rsidRPr="009941F8">
        <w:lastRenderedPageBreak/>
        <w:t xml:space="preserve">Figure </w:t>
      </w:r>
      <w:r w:rsidR="00CE7EC7">
        <w:fldChar w:fldCharType="begin" w:fldLock="1"/>
      </w:r>
      <w:r w:rsidR="00CE7EC7">
        <w:instrText xml:space="preserve"> SEQ Figure \* ARABIC </w:instrText>
      </w:r>
      <w:r w:rsidR="00CE7EC7">
        <w:fldChar w:fldCharType="separate"/>
      </w:r>
      <w:r w:rsidR="00F07501">
        <w:rPr>
          <w:noProof/>
        </w:rPr>
        <w:t>6</w:t>
      </w:r>
      <w:r w:rsidR="00CE7EC7">
        <w:rPr>
          <w:noProof/>
        </w:rPr>
        <w:fldChar w:fldCharType="end"/>
      </w:r>
      <w:bookmarkEnd w:id="69"/>
      <w:r w:rsidRPr="009941F8">
        <w:t>: Survival by age in the model</w:t>
      </w:r>
    </w:p>
    <w:p w14:paraId="3A9EFADD" w14:textId="77777777" w:rsidR="00AB7860" w:rsidRPr="009941F8" w:rsidRDefault="00AB7860" w:rsidP="00A244E2">
      <w:r w:rsidRPr="009941F8">
        <w:rPr>
          <w:noProof/>
        </w:rPr>
        <w:drawing>
          <wp:inline distT="0" distB="0" distL="0" distR="0" wp14:anchorId="4DFF4D4F" wp14:editId="6FBC5298">
            <wp:extent cx="5580000" cy="3640854"/>
            <wp:effectExtent l="0" t="0" r="1905" b="0"/>
            <wp:docPr id="52" name="Picture 52" descr="Figure 6: Survival by age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6: Survival by age in the mode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0000" cy="3640854"/>
                    </a:xfrm>
                    <a:prstGeom prst="rect">
                      <a:avLst/>
                    </a:prstGeom>
                    <a:noFill/>
                  </pic:spPr>
                </pic:pic>
              </a:graphicData>
            </a:graphic>
          </wp:inline>
        </w:drawing>
      </w:r>
    </w:p>
    <w:p w14:paraId="000AB4C6" w14:textId="77777777" w:rsidR="00AB7860" w:rsidRPr="009941F8" w:rsidRDefault="00AB7860" w:rsidP="00A244E2">
      <w:pPr>
        <w:pStyle w:val="TableFigureFooter"/>
      </w:pPr>
      <w:r w:rsidRPr="009941F8">
        <w:t>Source: compiled during the evaluation</w:t>
      </w:r>
    </w:p>
    <w:p w14:paraId="35C5C428" w14:textId="77777777" w:rsidR="00AB7860" w:rsidRPr="009941F8" w:rsidRDefault="00AB7860" w:rsidP="00A244E2">
      <w:pPr>
        <w:pStyle w:val="TableFigureFooter"/>
      </w:pPr>
      <w:r w:rsidRPr="009941F8">
        <w:t>Modelled lines appear stepped due to age rounding in the model. Average SLE survival based on Bernatsky 2006 age related ratios applied to Australian general population mortality. LLDAS and not LLDAS curves are for comparison purposes only. They assume patients maintain that state across their lifetime and therefore are unlikely to represent actual patient experience.</w:t>
      </w:r>
    </w:p>
    <w:p w14:paraId="30B6F213" w14:textId="2F2AE48C" w:rsidR="00AB7860" w:rsidRPr="009941F8" w:rsidRDefault="00AB7860" w:rsidP="00A244E2">
      <w:pPr>
        <w:pStyle w:val="3-BodyText"/>
      </w:pPr>
      <w:r w:rsidRPr="009941F8">
        <w:rPr>
          <w:snapToGrid/>
        </w:rPr>
        <w:fldChar w:fldCharType="begin" w:fldLock="1"/>
      </w:r>
      <w:r w:rsidRPr="009941F8">
        <w:rPr>
          <w:snapToGrid/>
        </w:rPr>
        <w:instrText xml:space="preserve"> REF _Ref153881784 </w:instrText>
      </w:r>
      <w:r w:rsidR="00C908A1" w:rsidRPr="009941F8">
        <w:rPr>
          <w:snapToGrid/>
        </w:rPr>
        <w:instrText xml:space="preserve"> \* MERGEFORMAT </w:instrText>
      </w:r>
      <w:r w:rsidRPr="009941F8">
        <w:rPr>
          <w:snapToGrid/>
        </w:rPr>
        <w:fldChar w:fldCharType="separate"/>
      </w:r>
      <w:r w:rsidR="00F07501" w:rsidRPr="009941F8">
        <w:t xml:space="preserve">Figure </w:t>
      </w:r>
      <w:r w:rsidR="00F07501">
        <w:t>7</w:t>
      </w:r>
      <w:r w:rsidRPr="009941F8">
        <w:rPr>
          <w:snapToGrid/>
        </w:rPr>
        <w:fldChar w:fldCharType="end"/>
      </w:r>
      <w:r w:rsidRPr="009941F8">
        <w:rPr>
          <w:snapToGrid/>
        </w:rPr>
        <w:t xml:space="preserve"> compares the modelled survival over 30 years in the current resubmission compared to the March 202</w:t>
      </w:r>
      <w:r w:rsidR="00C908A1" w:rsidRPr="009941F8">
        <w:rPr>
          <w:snapToGrid/>
        </w:rPr>
        <w:t>3</w:t>
      </w:r>
      <w:r w:rsidRPr="009941F8">
        <w:rPr>
          <w:snapToGrid/>
        </w:rPr>
        <w:t xml:space="preserve"> </w:t>
      </w:r>
      <w:r w:rsidR="00C908A1" w:rsidRPr="009941F8">
        <w:rPr>
          <w:snapToGrid/>
        </w:rPr>
        <w:t>re</w:t>
      </w:r>
      <w:r w:rsidRPr="009941F8">
        <w:rPr>
          <w:snapToGrid/>
        </w:rPr>
        <w:t xml:space="preserve">submission. </w:t>
      </w:r>
    </w:p>
    <w:p w14:paraId="75719732" w14:textId="0527B216" w:rsidR="00AB7860" w:rsidRPr="009941F8" w:rsidRDefault="00AB7860" w:rsidP="00A244E2">
      <w:pPr>
        <w:pStyle w:val="TableFigureHeading"/>
      </w:pPr>
      <w:bookmarkStart w:id="70" w:name="_Ref153881784"/>
      <w:r w:rsidRPr="009941F8">
        <w:t xml:space="preserve">Figure </w:t>
      </w:r>
      <w:r w:rsidR="00CE7EC7">
        <w:fldChar w:fldCharType="begin" w:fldLock="1"/>
      </w:r>
      <w:r w:rsidR="00CE7EC7">
        <w:instrText xml:space="preserve"> SEQ Figure \* ARABIC </w:instrText>
      </w:r>
      <w:r w:rsidR="00CE7EC7">
        <w:fldChar w:fldCharType="separate"/>
      </w:r>
      <w:r w:rsidR="00F07501">
        <w:rPr>
          <w:noProof/>
        </w:rPr>
        <w:t>7</w:t>
      </w:r>
      <w:r w:rsidR="00CE7EC7">
        <w:rPr>
          <w:noProof/>
        </w:rPr>
        <w:fldChar w:fldCharType="end"/>
      </w:r>
      <w:bookmarkEnd w:id="70"/>
      <w:r w:rsidRPr="009941F8">
        <w:t>: Modelled survival over 30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3"/>
      </w:tblGrid>
      <w:tr w:rsidR="00AB7860" w:rsidRPr="009941F8" w14:paraId="08648C4F" w14:textId="77777777" w:rsidTr="00A244E2">
        <w:tc>
          <w:tcPr>
            <w:tcW w:w="4448" w:type="dxa"/>
            <w:shd w:val="clear" w:color="auto" w:fill="auto"/>
          </w:tcPr>
          <w:p w14:paraId="21C24044" w14:textId="77777777" w:rsidR="00AB7860" w:rsidRPr="009941F8" w:rsidRDefault="00AB7860" w:rsidP="00A244E2">
            <w:pPr>
              <w:pStyle w:val="In-tableHeading"/>
              <w:jc w:val="center"/>
              <w:rPr>
                <w:lang w:val="en-AU"/>
              </w:rPr>
            </w:pPr>
            <w:r w:rsidRPr="009941F8">
              <w:rPr>
                <w:lang w:val="en-AU"/>
              </w:rPr>
              <w:t>March 2023 resubmission</w:t>
            </w:r>
          </w:p>
        </w:tc>
        <w:tc>
          <w:tcPr>
            <w:tcW w:w="4569" w:type="dxa"/>
            <w:shd w:val="clear" w:color="auto" w:fill="auto"/>
          </w:tcPr>
          <w:p w14:paraId="34284825" w14:textId="135C364C" w:rsidR="00AB7860" w:rsidRPr="009941F8" w:rsidRDefault="00AB7860" w:rsidP="00A244E2">
            <w:pPr>
              <w:pStyle w:val="In-tableHeading"/>
              <w:jc w:val="center"/>
              <w:rPr>
                <w:lang w:val="en-AU"/>
              </w:rPr>
            </w:pPr>
            <w:r w:rsidRPr="009941F8">
              <w:rPr>
                <w:lang w:val="en-AU"/>
              </w:rPr>
              <w:t>March 2024</w:t>
            </w:r>
            <w:r w:rsidR="00CB6D0E" w:rsidRPr="009941F8">
              <w:rPr>
                <w:lang w:val="en-AU"/>
              </w:rPr>
              <w:t xml:space="preserve"> </w:t>
            </w:r>
            <w:r w:rsidRPr="009941F8">
              <w:rPr>
                <w:lang w:val="en-AU"/>
              </w:rPr>
              <w:t>resubmission</w:t>
            </w:r>
            <w:r w:rsidR="00CB6D0E" w:rsidRPr="009941F8">
              <w:rPr>
                <w:lang w:val="en-AU"/>
              </w:rPr>
              <w:t>*</w:t>
            </w:r>
          </w:p>
        </w:tc>
      </w:tr>
      <w:tr w:rsidR="00AB7860" w:rsidRPr="009941F8" w14:paraId="35FC2B5F" w14:textId="77777777" w:rsidTr="00A244E2">
        <w:tc>
          <w:tcPr>
            <w:tcW w:w="4448" w:type="dxa"/>
            <w:shd w:val="clear" w:color="auto" w:fill="auto"/>
          </w:tcPr>
          <w:p w14:paraId="14677683" w14:textId="77777777" w:rsidR="00AB7860" w:rsidRPr="009941F8" w:rsidRDefault="00AB7860" w:rsidP="00A244E2">
            <w:pPr>
              <w:pStyle w:val="TableFigureFooter"/>
            </w:pPr>
            <w:r w:rsidRPr="009941F8">
              <w:rPr>
                <w:noProof/>
              </w:rPr>
              <w:drawing>
                <wp:inline distT="0" distB="0" distL="0" distR="0" wp14:anchorId="4849B308" wp14:editId="4A514B5A">
                  <wp:extent cx="2790000" cy="1772754"/>
                  <wp:effectExtent l="0" t="0" r="0" b="0"/>
                  <wp:docPr id="53" name="Picture 53" descr="Figure 7: Modelled survival over 30 years: March 2023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Figure 7: Modelled survival over 30 years: March 2023 resubmission"/>
                          <pic:cNvPicPr>
                            <a:picLocks noChangeAspect="1" noChangeArrowheads="1"/>
                          </pic:cNvPicPr>
                        </pic:nvPicPr>
                        <pic:blipFill rotWithShape="1">
                          <a:blip r:embed="rId23">
                            <a:extLst>
                              <a:ext uri="{28A0092B-C50C-407E-A947-70E740481C1C}">
                                <a14:useLocalDpi xmlns:a14="http://schemas.microsoft.com/office/drawing/2010/main" val="0"/>
                              </a:ext>
                            </a:extLst>
                          </a:blip>
                          <a:srcRect t="12186"/>
                          <a:stretch/>
                        </pic:blipFill>
                        <pic:spPr bwMode="auto">
                          <a:xfrm>
                            <a:off x="0" y="0"/>
                            <a:ext cx="2790000" cy="17727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69" w:type="dxa"/>
          </w:tcPr>
          <w:p w14:paraId="603A41D3" w14:textId="77777777" w:rsidR="00AB7860" w:rsidRPr="009941F8" w:rsidRDefault="00AB7860" w:rsidP="00A244E2">
            <w:pPr>
              <w:pStyle w:val="TableFigureFooter"/>
            </w:pPr>
            <w:r w:rsidRPr="009941F8">
              <w:rPr>
                <w:noProof/>
              </w:rPr>
              <w:drawing>
                <wp:inline distT="0" distB="0" distL="0" distR="0" wp14:anchorId="3BF0E4FE" wp14:editId="5E783809">
                  <wp:extent cx="2789498" cy="1638300"/>
                  <wp:effectExtent l="0" t="0" r="0" b="0"/>
                  <wp:docPr id="54" name="Picture 54" descr="Figure 7: Modelled survival over 30 years: March 2024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7: Modelled survival over 30 years: March 2024 resubmiss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6946" cy="1642674"/>
                          </a:xfrm>
                          <a:prstGeom prst="rect">
                            <a:avLst/>
                          </a:prstGeom>
                          <a:noFill/>
                        </pic:spPr>
                      </pic:pic>
                    </a:graphicData>
                  </a:graphic>
                </wp:inline>
              </w:drawing>
            </w:r>
          </w:p>
        </w:tc>
      </w:tr>
    </w:tbl>
    <w:p w14:paraId="1BF23AE1" w14:textId="77777777" w:rsidR="00AB7860" w:rsidRPr="009941F8" w:rsidRDefault="00AB7860" w:rsidP="00A244E2">
      <w:pPr>
        <w:pStyle w:val="TableFigureFooter"/>
      </w:pPr>
      <w:r w:rsidRPr="009941F8">
        <w:t>Source: Figure 3.7-8 of the March 2023 resubmission and compiled during the evaluation from Sheets ‘Ani cal’ ‘SOC cal’ of the Excel Workbook ‘Saphnelo SLE CEA_final.xlsx’ of the March 2024 resubmission</w:t>
      </w:r>
    </w:p>
    <w:p w14:paraId="36C99245" w14:textId="77777777" w:rsidR="00AB7860" w:rsidRPr="009941F8" w:rsidRDefault="00AB7860" w:rsidP="00A244E2">
      <w:pPr>
        <w:pStyle w:val="TableFigureFooter"/>
      </w:pPr>
      <w:r w:rsidRPr="009941F8">
        <w:t>SOC=standard of care</w:t>
      </w:r>
    </w:p>
    <w:p w14:paraId="25CCB356" w14:textId="35DB29B2" w:rsidR="00AB7860" w:rsidRPr="009941F8" w:rsidRDefault="00C908A1" w:rsidP="00A244E2">
      <w:pPr>
        <w:pStyle w:val="TableFigureFooter"/>
      </w:pPr>
      <w:r w:rsidRPr="009941F8">
        <w:t>*</w:t>
      </w:r>
      <w:r w:rsidRPr="009941F8">
        <w:tab/>
      </w:r>
      <w:r w:rsidR="00AB7860" w:rsidRPr="009941F8">
        <w:t xml:space="preserve">The figure has been truncated to 30 years for comparison, but the </w:t>
      </w:r>
      <w:r w:rsidR="00CB6D0E" w:rsidRPr="009941F8">
        <w:t>current (</w:t>
      </w:r>
      <w:r w:rsidR="00AB7860" w:rsidRPr="009941F8">
        <w:t>March 2024</w:t>
      </w:r>
      <w:r w:rsidR="00CB6D0E" w:rsidRPr="009941F8">
        <w:t>)</w:t>
      </w:r>
      <w:r w:rsidR="00AB7860" w:rsidRPr="009941F8">
        <w:t xml:space="preserve"> resubmission modelled survival to 59 years.</w:t>
      </w:r>
    </w:p>
    <w:p w14:paraId="3908AECD" w14:textId="3F3CCCEC" w:rsidR="00AB7860" w:rsidRPr="009941F8" w:rsidRDefault="00AB7860" w:rsidP="00A244E2">
      <w:pPr>
        <w:pStyle w:val="3-BodyText"/>
      </w:pPr>
      <w:r w:rsidRPr="009941F8">
        <w:rPr>
          <w:snapToGrid/>
        </w:rPr>
        <w:t>Compared to the March 2023 resubmission, overall survival was similar in the SOC arm (~35% alive by the end of the 30 years) with anifrolumab slightly reduced from the March</w:t>
      </w:r>
      <w:r w:rsidR="00F54881">
        <w:rPr>
          <w:snapToGrid/>
        </w:rPr>
        <w:t> </w:t>
      </w:r>
      <w:r w:rsidRPr="009941F8">
        <w:rPr>
          <w:snapToGrid/>
        </w:rPr>
        <w:t xml:space="preserve">2023 resubmission (~35% alive at 30 years reduced from 45% in the </w:t>
      </w:r>
      <w:r w:rsidRPr="009941F8">
        <w:rPr>
          <w:snapToGrid/>
        </w:rPr>
        <w:lastRenderedPageBreak/>
        <w:t>March</w:t>
      </w:r>
      <w:r w:rsidR="00F54881">
        <w:rPr>
          <w:snapToGrid/>
        </w:rPr>
        <w:t> </w:t>
      </w:r>
      <w:r w:rsidRPr="009941F8">
        <w:rPr>
          <w:snapToGrid/>
        </w:rPr>
        <w:t>2023 resubmission). The incremental survival of anifrolumab over SOC was significantly reduced, though a small persistent benefit was maintained to the end of the 59</w:t>
      </w:r>
      <w:r w:rsidR="00CB6D0E" w:rsidRPr="009941F8">
        <w:rPr>
          <w:snapToGrid/>
        </w:rPr>
        <w:t>-</w:t>
      </w:r>
      <w:r w:rsidRPr="009941F8">
        <w:rPr>
          <w:snapToGrid/>
        </w:rPr>
        <w:t xml:space="preserve">year time horizon. Despite the small benefit, incremental life years </w:t>
      </w:r>
      <w:r w:rsidR="003E48C0" w:rsidRPr="009941F8">
        <w:rPr>
          <w:snapToGrid/>
        </w:rPr>
        <w:t xml:space="preserve">was a driver of </w:t>
      </w:r>
      <w:r w:rsidRPr="009941F8">
        <w:rPr>
          <w:snapToGrid/>
        </w:rPr>
        <w:t>the model results. If no survival benefit was assumed, the ICER increased to $</w:t>
      </w:r>
      <w:r w:rsidR="00B4193A" w:rsidRPr="00B4193A">
        <w:rPr>
          <w:snapToGrid/>
        </w:rPr>
        <w:t>75,000</w:t>
      </w:r>
      <w:r w:rsidR="00460084">
        <w:rPr>
          <w:snapToGrid/>
        </w:rPr>
        <w:t> </w:t>
      </w:r>
      <w:r w:rsidR="00B4193A" w:rsidRPr="00B4193A">
        <w:rPr>
          <w:snapToGrid/>
        </w:rPr>
        <w:t>to &lt; $95,000</w:t>
      </w:r>
      <w:r w:rsidR="00320BF5">
        <w:rPr>
          <w:snapToGrid/>
        </w:rPr>
        <w:t xml:space="preserve"> </w:t>
      </w:r>
      <w:r w:rsidRPr="009941F8">
        <w:rPr>
          <w:snapToGrid/>
        </w:rPr>
        <w:t>per QALY gained compared to $</w:t>
      </w:r>
      <w:r w:rsidR="00B4193A" w:rsidRPr="00B4193A">
        <w:rPr>
          <w:snapToGrid/>
        </w:rPr>
        <w:t xml:space="preserve">55,000 to &lt; $75,000 </w:t>
      </w:r>
      <w:r w:rsidRPr="009941F8">
        <w:rPr>
          <w:snapToGrid/>
        </w:rPr>
        <w:t>in the base case.</w:t>
      </w:r>
    </w:p>
    <w:p w14:paraId="4C4842E5" w14:textId="33DB740C" w:rsidR="00DB3A5D" w:rsidRPr="009941F8" w:rsidRDefault="00AB7860" w:rsidP="00A244E2">
      <w:pPr>
        <w:pStyle w:val="3-BodyText"/>
      </w:pPr>
      <w:r w:rsidRPr="009941F8">
        <w:t>Treatment discontinuation in the model occurred as patients failed to achieve LLDAS at Week 26 or maintain LLDAS post-Week 26. The model did not use any discontinuation data from the trials. Further, the model d</w:t>
      </w:r>
      <w:r w:rsidR="00C908A1" w:rsidRPr="009941F8">
        <w:t>id</w:t>
      </w:r>
      <w:r w:rsidRPr="009941F8">
        <w:t xml:space="preserve"> not allow for retrial with anifrolumab</w:t>
      </w:r>
      <w:r w:rsidR="00C908A1" w:rsidRPr="009941F8">
        <w:t xml:space="preserve">. Retrial of anifrolumab would be permitted according to the requested restrictions and </w:t>
      </w:r>
      <w:r w:rsidR="003E48C0" w:rsidRPr="009941F8">
        <w:t>was</w:t>
      </w:r>
      <w:r w:rsidR="00C908A1" w:rsidRPr="009941F8">
        <w:t xml:space="preserve"> included in </w:t>
      </w:r>
      <w:r w:rsidRPr="009941F8">
        <w:t>the financial estimates. Overall, treatment duration was likely underestimated in this resubmission.</w:t>
      </w:r>
      <w:r w:rsidR="004D3DDB" w:rsidRPr="009941F8">
        <w:t xml:space="preserve"> </w:t>
      </w:r>
      <w:r w:rsidR="00DB3A5D" w:rsidRPr="009941F8">
        <w:t xml:space="preserve">The PSCR stated that the modelled treatment duration was appropriate given the new response criteria and that only a small proportion of patients would access the balance of supply. </w:t>
      </w:r>
      <w:r w:rsidR="00DB3A5D" w:rsidRPr="00CA2DB0">
        <w:t>If 5%</w:t>
      </w:r>
      <w:r w:rsidR="00DB3A5D" w:rsidRPr="009941F8">
        <w:t xml:space="preserve"> patients met Balance of Supply criteria, the PSCR stated this would increase incremental costs by </w:t>
      </w:r>
      <w:r w:rsidR="00DB3A5D" w:rsidRPr="0031580A">
        <w:t>$</w:t>
      </w:r>
      <w:r w:rsidR="00640EC9" w:rsidRPr="00CE7EC7">
        <w:rPr>
          <w:color w:val="000000"/>
          <w:w w:val="15"/>
          <w:shd w:val="solid" w:color="000000" w:fill="000000"/>
          <w:fitText w:val="-20" w:id="-961890035"/>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5"/>
          <w14:textFill>
            <w14:solidFill>
              <w14:srgbClr w14:val="000000">
                <w14:alpha w14:val="100000"/>
              </w14:srgbClr>
            </w14:solidFill>
          </w14:textFill>
        </w:rPr>
        <w:t>|</w:t>
      </w:r>
      <w:r w:rsidR="00DB3A5D" w:rsidRPr="0031580A">
        <w:t xml:space="preserve"> </w:t>
      </w:r>
      <w:r w:rsidR="00DB3A5D" w:rsidRPr="009941F8">
        <w:t>and the ICER by $</w:t>
      </w:r>
      <w:r w:rsidR="00B4193A" w:rsidRPr="00B4193A">
        <w:t>0 to &lt; $5,000</w:t>
      </w:r>
      <w:r w:rsidR="00DB3A5D" w:rsidRPr="009941F8">
        <w:t>. The full calculations for these results were not presented, and could not be exactly reproduced. Two months of additional treatment (equal to 2.17 treatment doses) for 5% patients would be an extra $</w:t>
      </w:r>
      <w:r w:rsidR="00640EC9" w:rsidRPr="00CE7EC7">
        <w:rPr>
          <w:color w:val="000000"/>
          <w:w w:val="15"/>
          <w:shd w:val="solid" w:color="000000" w:fill="000000"/>
          <w:fitText w:val="-20" w:id="-961890034"/>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4"/>
          <w14:textFill>
            <w14:solidFill>
              <w14:srgbClr w14:val="000000">
                <w14:alpha w14:val="100000"/>
              </w14:srgbClr>
            </w14:solidFill>
          </w14:textFill>
        </w:rPr>
        <w:t>|</w:t>
      </w:r>
      <w:r w:rsidR="00DB3A5D" w:rsidRPr="009941F8">
        <w:t xml:space="preserve"> ($</w:t>
      </w:r>
      <w:r w:rsidR="00640EC9" w:rsidRPr="00CE7EC7">
        <w:rPr>
          <w:color w:val="000000"/>
          <w:w w:val="15"/>
          <w:shd w:val="solid" w:color="000000" w:fill="000000"/>
          <w:fitText w:val="-20" w:id="-961890033"/>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3"/>
          <w14:textFill>
            <w14:solidFill>
              <w14:srgbClr w14:val="000000">
                <w14:alpha w14:val="100000"/>
              </w14:srgbClr>
            </w14:solidFill>
          </w14:textFill>
        </w:rPr>
        <w:t>|</w:t>
      </w:r>
      <w:r w:rsidR="00DB3A5D" w:rsidRPr="009941F8">
        <w:t xml:space="preserve"> without administration), resulting in an ICER of $</w:t>
      </w:r>
      <w:r w:rsidR="00B4193A" w:rsidRPr="00B4193A">
        <w:t xml:space="preserve">55,000 to &lt;$75,000 </w:t>
      </w:r>
      <w:r w:rsidR="00DB3A5D" w:rsidRPr="009941F8">
        <w:t>per QALY gained ($</w:t>
      </w:r>
      <w:r w:rsidR="00B4193A" w:rsidRPr="00B4193A">
        <w:t xml:space="preserve">0 to </w:t>
      </w:r>
      <w:r w:rsidR="00320BF5" w:rsidRPr="00B4193A">
        <w:t>&lt;</w:t>
      </w:r>
      <w:r w:rsidR="00320BF5">
        <w:t> </w:t>
      </w:r>
      <w:r w:rsidR="00B4193A" w:rsidRPr="00B4193A">
        <w:t>$5,000</w:t>
      </w:r>
      <w:r w:rsidR="00DB3A5D" w:rsidRPr="009941F8">
        <w:t xml:space="preserve"> more than the base case ICER of $</w:t>
      </w:r>
      <w:r w:rsidR="00B4193A" w:rsidRPr="00B4193A">
        <w:t>55,000 to &lt;</w:t>
      </w:r>
      <w:r w:rsidR="00460084">
        <w:t> </w:t>
      </w:r>
      <w:r w:rsidR="00B4193A" w:rsidRPr="00B4193A">
        <w:t xml:space="preserve">$75,000 </w:t>
      </w:r>
      <w:r w:rsidR="00DB3A5D" w:rsidRPr="009941F8">
        <w:t xml:space="preserve">per QALY gained). </w:t>
      </w:r>
    </w:p>
    <w:p w14:paraId="75078969" w14:textId="248C9766" w:rsidR="00AB7860" w:rsidRPr="009941F8" w:rsidRDefault="00AB7860" w:rsidP="00A244E2">
      <w:pPr>
        <w:pStyle w:val="3-BodyText"/>
      </w:pPr>
      <w:r w:rsidRPr="009941F8">
        <w:t xml:space="preserve">As shown in </w:t>
      </w:r>
      <w:r w:rsidRPr="009941F8">
        <w:rPr>
          <w:highlight w:val="yellow"/>
        </w:rPr>
        <w:fldChar w:fldCharType="begin" w:fldLock="1"/>
      </w:r>
      <w:r w:rsidRPr="009941F8">
        <w:instrText xml:space="preserve"> REF _Ref153882530 </w:instrText>
      </w:r>
      <w:r w:rsidR="00553EB3" w:rsidRPr="009941F8">
        <w:instrText xml:space="preserve"> \* MERGEFORMAT </w:instrText>
      </w:r>
      <w:r w:rsidRPr="009941F8">
        <w:rPr>
          <w:highlight w:val="yellow"/>
        </w:rPr>
        <w:fldChar w:fldCharType="separate"/>
      </w:r>
      <w:r w:rsidR="00F07501" w:rsidRPr="009941F8">
        <w:t xml:space="preserve">Figure </w:t>
      </w:r>
      <w:r w:rsidR="00F07501">
        <w:t>8</w:t>
      </w:r>
      <w:r w:rsidRPr="009941F8">
        <w:rPr>
          <w:highlight w:val="yellow"/>
        </w:rPr>
        <w:fldChar w:fldCharType="end"/>
      </w:r>
      <w:r w:rsidRPr="009941F8">
        <w:t>, patients were estimated to remain on anifrolumab longer in the March 2023 resubmission than in the current resubmission. At 1 year, only 10% of patients remained on treatment, though benefits persisted across the time horizon. Mean time on treatment was estimated to be 1.11 years.</w:t>
      </w:r>
    </w:p>
    <w:p w14:paraId="6211EA0C" w14:textId="046127C0" w:rsidR="00AB7860" w:rsidRPr="009941F8" w:rsidRDefault="00AB7860" w:rsidP="00A244E2">
      <w:pPr>
        <w:pStyle w:val="TableFigureHeading"/>
      </w:pPr>
      <w:bookmarkStart w:id="71" w:name="_Ref153882530"/>
      <w:r w:rsidRPr="009941F8">
        <w:t xml:space="preserve">Figure </w:t>
      </w:r>
      <w:r w:rsidR="00CE7EC7">
        <w:fldChar w:fldCharType="begin" w:fldLock="1"/>
      </w:r>
      <w:r w:rsidR="00CE7EC7">
        <w:instrText xml:space="preserve"> SEQ Figure \* ARABIC </w:instrText>
      </w:r>
      <w:r w:rsidR="00CE7EC7">
        <w:fldChar w:fldCharType="separate"/>
      </w:r>
      <w:r w:rsidR="00F07501">
        <w:rPr>
          <w:noProof/>
        </w:rPr>
        <w:t>8</w:t>
      </w:r>
      <w:r w:rsidR="00CE7EC7">
        <w:rPr>
          <w:noProof/>
        </w:rPr>
        <w:fldChar w:fldCharType="end"/>
      </w:r>
      <w:bookmarkEnd w:id="71"/>
      <w:r w:rsidRPr="009941F8">
        <w:t>: Modelled proportion of patients on treatment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B7860" w:rsidRPr="009941F8" w14:paraId="5E46E7F7" w14:textId="77777777" w:rsidTr="00A244E2">
        <w:tc>
          <w:tcPr>
            <w:tcW w:w="4509" w:type="dxa"/>
            <w:shd w:val="clear" w:color="auto" w:fill="auto"/>
          </w:tcPr>
          <w:p w14:paraId="644CAF04" w14:textId="77777777" w:rsidR="00AB7860" w:rsidRPr="009941F8" w:rsidRDefault="00AB7860" w:rsidP="00A244E2">
            <w:pPr>
              <w:pStyle w:val="In-tableHeading"/>
              <w:jc w:val="center"/>
              <w:rPr>
                <w:lang w:val="en-AU"/>
              </w:rPr>
            </w:pPr>
            <w:r w:rsidRPr="009941F8">
              <w:rPr>
                <w:lang w:val="en-AU"/>
              </w:rPr>
              <w:t>March 2023 resubmission</w:t>
            </w:r>
          </w:p>
        </w:tc>
        <w:tc>
          <w:tcPr>
            <w:tcW w:w="4508" w:type="dxa"/>
            <w:shd w:val="clear" w:color="auto" w:fill="auto"/>
          </w:tcPr>
          <w:p w14:paraId="6CE3126E" w14:textId="4C5A273E" w:rsidR="00AB7860" w:rsidRPr="009941F8" w:rsidRDefault="007039CE" w:rsidP="00A244E2">
            <w:pPr>
              <w:pStyle w:val="In-tableHeading"/>
              <w:jc w:val="center"/>
              <w:rPr>
                <w:lang w:val="en-AU"/>
              </w:rPr>
            </w:pPr>
            <w:r>
              <w:rPr>
                <w:lang w:val="en-AU"/>
              </w:rPr>
              <w:t xml:space="preserve">March 2024 </w:t>
            </w:r>
            <w:r w:rsidR="00AB7860" w:rsidRPr="009941F8">
              <w:rPr>
                <w:lang w:val="en-AU"/>
              </w:rPr>
              <w:t>Resubmission</w:t>
            </w:r>
          </w:p>
        </w:tc>
      </w:tr>
      <w:tr w:rsidR="00AB7860" w:rsidRPr="009941F8" w14:paraId="05DCE8B6" w14:textId="77777777" w:rsidTr="00A244E2">
        <w:tc>
          <w:tcPr>
            <w:tcW w:w="4509" w:type="dxa"/>
            <w:shd w:val="clear" w:color="auto" w:fill="auto"/>
          </w:tcPr>
          <w:p w14:paraId="613DDF0C" w14:textId="77777777" w:rsidR="00AB7860" w:rsidRPr="009941F8" w:rsidRDefault="00AB7860" w:rsidP="00A244E2">
            <w:pPr>
              <w:pStyle w:val="In-tableHeading"/>
              <w:jc w:val="center"/>
              <w:rPr>
                <w:lang w:val="en-AU"/>
              </w:rPr>
            </w:pPr>
            <w:r w:rsidRPr="009941F8">
              <w:rPr>
                <w:noProof/>
                <w:lang w:val="en-AU"/>
              </w:rPr>
              <w:drawing>
                <wp:inline distT="0" distB="0" distL="0" distR="0" wp14:anchorId="0E36820F" wp14:editId="5CD2798C">
                  <wp:extent cx="2790000" cy="1375705"/>
                  <wp:effectExtent l="0" t="0" r="0" b="0"/>
                  <wp:docPr id="62" name="Picture 62" descr="Figure 8: Modelled proportion of patients on treatment March 2023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Figure 8: Modelled proportion of patients on treatment March 2023 resubmission"/>
                          <pic:cNvPicPr>
                            <a:picLocks noChangeAspect="1" noChangeArrowheads="1"/>
                          </pic:cNvPicPr>
                        </pic:nvPicPr>
                        <pic:blipFill rotWithShape="1">
                          <a:blip r:embed="rId25">
                            <a:extLst>
                              <a:ext uri="{28A0092B-C50C-407E-A947-70E740481C1C}">
                                <a14:useLocalDpi xmlns:a14="http://schemas.microsoft.com/office/drawing/2010/main" val="0"/>
                              </a:ext>
                            </a:extLst>
                          </a:blip>
                          <a:srcRect t="11252" b="13030"/>
                          <a:stretch/>
                        </pic:blipFill>
                        <pic:spPr bwMode="auto">
                          <a:xfrm>
                            <a:off x="0" y="0"/>
                            <a:ext cx="2790000" cy="1375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Pr>
          <w:p w14:paraId="1DA2B3EA" w14:textId="77777777" w:rsidR="00AB7860" w:rsidRPr="009941F8" w:rsidRDefault="00AB7860" w:rsidP="00A244E2">
            <w:pPr>
              <w:pStyle w:val="In-tableHeading"/>
              <w:jc w:val="center"/>
              <w:rPr>
                <w:lang w:val="en-AU"/>
              </w:rPr>
            </w:pPr>
            <w:r w:rsidRPr="009941F8">
              <w:rPr>
                <w:noProof/>
                <w:lang w:val="en-AU"/>
              </w:rPr>
              <w:drawing>
                <wp:inline distT="0" distB="0" distL="0" distR="0" wp14:anchorId="0B3C5E30" wp14:editId="2A464FDA">
                  <wp:extent cx="2789555" cy="1419225"/>
                  <wp:effectExtent l="0" t="0" r="0" b="9525"/>
                  <wp:docPr id="63" name="Picture 63" descr="Figure 8: Modelled proportion of patients on treatment March 2024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Figure 8: Modelled proportion of patients on treatment March 2024 resubmiss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90001" cy="1419452"/>
                          </a:xfrm>
                          <a:prstGeom prst="rect">
                            <a:avLst/>
                          </a:prstGeom>
                          <a:noFill/>
                        </pic:spPr>
                      </pic:pic>
                    </a:graphicData>
                  </a:graphic>
                </wp:inline>
              </w:drawing>
            </w:r>
          </w:p>
        </w:tc>
      </w:tr>
    </w:tbl>
    <w:p w14:paraId="2F342E98" w14:textId="77777777" w:rsidR="00AB7860" w:rsidRPr="009941F8" w:rsidRDefault="00AB7860" w:rsidP="00A244E2">
      <w:pPr>
        <w:pStyle w:val="TableFigureFooter"/>
      </w:pPr>
      <w:r w:rsidRPr="009941F8">
        <w:t>Source: Sheet ‘Summary’ of the Excel workbook ‘CE model_anifrolumab_SLE_Nov2022.xlsm’ March 2023 resubmission and adapted from Figure 3-10 in the March 2024 resubmission</w:t>
      </w:r>
    </w:p>
    <w:p w14:paraId="2837B9AE" w14:textId="0F4E6497" w:rsidR="00AB7860" w:rsidRPr="009941F8" w:rsidRDefault="00AB7860" w:rsidP="00A244E2">
      <w:pPr>
        <w:pStyle w:val="3-BodyText"/>
      </w:pPr>
      <w:r w:rsidRPr="009941F8">
        <w:t>The resubmission estimated health state utilities by LLDAS status based on a linear regression of patient characteristics and response to treatment from pooled ITT data from TULIP 1 and 2 trials. The base case applied the estimates from the anifrolumab arm</w:t>
      </w:r>
      <w:r w:rsidR="00CB6D0E" w:rsidRPr="009941F8">
        <w:t xml:space="preserve"> (0.888 ‘LLDAS’, 0.810 ‘Not LLDAS’)</w:t>
      </w:r>
      <w:r w:rsidRPr="009941F8">
        <w:t>. It was unclear why the placebo arm was excluded. Disutilities were applied</w:t>
      </w:r>
      <w:r w:rsidR="00A665C4" w:rsidRPr="009941F8">
        <w:t xml:space="preserve"> each cycle</w:t>
      </w:r>
      <w:r w:rsidRPr="009941F8">
        <w:t xml:space="preserve"> for organ damage</w:t>
      </w:r>
      <w:r w:rsidR="00A665C4" w:rsidRPr="009941F8">
        <w:t xml:space="preserve"> (-0.012 per SDI unit increase)</w:t>
      </w:r>
      <w:r w:rsidRPr="009941F8">
        <w:t>, flares</w:t>
      </w:r>
      <w:r w:rsidR="00A665C4" w:rsidRPr="009941F8">
        <w:t xml:space="preserve"> (-0.159)</w:t>
      </w:r>
      <w:r w:rsidRPr="009941F8">
        <w:t>, OCS use in the not LLDAS state</w:t>
      </w:r>
      <w:r w:rsidR="00A665C4" w:rsidRPr="009941F8">
        <w:t xml:space="preserve"> (-0.03)</w:t>
      </w:r>
      <w:r w:rsidRPr="009941F8">
        <w:t>, and adverse events (herpes zoster</w:t>
      </w:r>
      <w:r w:rsidR="00A665C4" w:rsidRPr="009941F8">
        <w:t xml:space="preserve"> -0.0195</w:t>
      </w:r>
      <w:r w:rsidRPr="009941F8">
        <w:t>, infusion related reactions</w:t>
      </w:r>
      <w:r w:rsidR="00A665C4" w:rsidRPr="009941F8">
        <w:t xml:space="preserve"> -0.0017</w:t>
      </w:r>
      <w:r w:rsidRPr="009941F8">
        <w:t xml:space="preserve">). The health state utilities </w:t>
      </w:r>
      <w:r w:rsidRPr="009941F8">
        <w:lastRenderedPageBreak/>
        <w:t>according to LLDAS</w:t>
      </w:r>
      <w:r w:rsidR="00A665C4" w:rsidRPr="009941F8">
        <w:t xml:space="preserve"> status</w:t>
      </w:r>
      <w:r w:rsidRPr="009941F8">
        <w:t xml:space="preserve"> did not adjust for organ damage or OCS use</w:t>
      </w:r>
      <w:r w:rsidR="00A665C4" w:rsidRPr="009941F8">
        <w:t xml:space="preserve"> </w:t>
      </w:r>
      <w:r w:rsidRPr="009941F8">
        <w:t>and therefore the health state utilities may implicitly capture the</w:t>
      </w:r>
      <w:r w:rsidR="00A665C4" w:rsidRPr="009941F8">
        <w:t>se disutilities.</w:t>
      </w:r>
      <w:r w:rsidRPr="009941F8">
        <w:t xml:space="preserve"> The additional disutilities may therefore result in a double counting of the effect of achieving LLDAS. If the OCS disutility was removed from the base case, the ICER increased </w:t>
      </w:r>
      <w:r w:rsidRPr="00831A70">
        <w:t>to $</w:t>
      </w:r>
      <w:r w:rsidR="0031580A" w:rsidRPr="00831A70">
        <w:t>55,000</w:t>
      </w:r>
      <w:r w:rsidR="00460084">
        <w:t> </w:t>
      </w:r>
      <w:r w:rsidR="0031580A" w:rsidRPr="00831A70">
        <w:t>to &lt; $75,000</w:t>
      </w:r>
      <w:r w:rsidRPr="00831A70">
        <w:t xml:space="preserve"> per QALY gained.</w:t>
      </w:r>
    </w:p>
    <w:p w14:paraId="7CDB031A" w14:textId="17DA253E" w:rsidR="00AB7860" w:rsidRPr="009941F8" w:rsidRDefault="00AB7860" w:rsidP="00A244E2">
      <w:pPr>
        <w:pStyle w:val="3-BodyText"/>
      </w:pPr>
      <w:r w:rsidRPr="009941F8">
        <w:t xml:space="preserve">Despite little difference in the number of flares in the results (the anifrolumab arm resulted in 0.08 fewer flares </w:t>
      </w:r>
      <w:r w:rsidR="00452BBA" w:rsidRPr="009941F8">
        <w:t xml:space="preserve">over the model time horizon </w:t>
      </w:r>
      <w:r w:rsidRPr="009941F8">
        <w:t xml:space="preserve">compared to the SOC arm), flares accounted for </w:t>
      </w:r>
      <w:r w:rsidRPr="00F8396F">
        <w:t>12.6</w:t>
      </w:r>
      <w:r w:rsidRPr="009941F8">
        <w:t>% of the discounted QALY gains (</w:t>
      </w:r>
      <w:r w:rsidRPr="00F8396F">
        <w:t>5.8</w:t>
      </w:r>
      <w:r w:rsidRPr="009941F8">
        <w:t>% undiscounted), and therefore the disutility of flares remained a key driver of the results. Removing disutility for flares increased the ICER to $</w:t>
      </w:r>
      <w:r w:rsidR="00B4193A" w:rsidRPr="00B4193A">
        <w:t>75,000 to &lt; $95,000</w:t>
      </w:r>
      <w:r w:rsidR="00320BF5">
        <w:t xml:space="preserve"> </w:t>
      </w:r>
      <w:r w:rsidRPr="009941F8">
        <w:t>per QALY gained compared to $</w:t>
      </w:r>
      <w:r w:rsidR="00B4193A" w:rsidRPr="00B4193A">
        <w:t xml:space="preserve">55,000 to &lt; $75,000 </w:t>
      </w:r>
      <w:r w:rsidRPr="009941F8">
        <w:t>in the base case.</w:t>
      </w:r>
    </w:p>
    <w:p w14:paraId="7912F3CE" w14:textId="02737D4A" w:rsidR="00AB7860" w:rsidRPr="009941F8" w:rsidRDefault="00AB7860" w:rsidP="00A244E2">
      <w:pPr>
        <w:pStyle w:val="3-BodyText"/>
      </w:pPr>
      <w:r w:rsidRPr="009941F8">
        <w:t xml:space="preserve">The unit costs and methods for calculating treatment costs were largely unchanged from the March 2023 resubmission, except for updating the PBS and MBS costs to current schedule fees. Health state costs were estimated differently, with average cost per cycle based on published mean costs, rather than regressing over patient characteristics. </w:t>
      </w:r>
    </w:p>
    <w:p w14:paraId="67200D4F" w14:textId="04FFB6CC" w:rsidR="00AB7860" w:rsidRPr="009941F8" w:rsidRDefault="00AB7860" w:rsidP="00A244E2">
      <w:pPr>
        <w:pStyle w:val="3-BodyText"/>
      </w:pPr>
      <w:r w:rsidRPr="009941F8">
        <w:t>The per cycle cost of anifrolumab was based on the proposed DPMQ of $</w:t>
      </w:r>
      <w:r w:rsidR="00640EC9" w:rsidRPr="00640EC9">
        <w:rPr>
          <w:color w:val="000000"/>
          <w:w w:val="61"/>
          <w:shd w:val="solid" w:color="000000" w:fill="000000"/>
          <w:fitText w:val="472" w:id="-961890032"/>
          <w14:textFill>
            <w14:solidFill>
              <w14:srgbClr w14:val="000000">
                <w14:alpha w14:val="100000"/>
              </w14:srgbClr>
            </w14:solidFill>
          </w14:textFill>
        </w:rPr>
        <w:t>|||  ||</w:t>
      </w:r>
      <w:r w:rsidR="00640EC9" w:rsidRPr="00640EC9">
        <w:rPr>
          <w:color w:val="000000"/>
          <w:spacing w:val="2"/>
          <w:w w:val="61"/>
          <w:shd w:val="solid" w:color="000000" w:fill="000000"/>
          <w:fitText w:val="472" w:id="-961890032"/>
          <w14:textFill>
            <w14:solidFill>
              <w14:srgbClr w14:val="000000">
                <w14:alpha w14:val="100000"/>
              </w14:srgbClr>
            </w14:solidFill>
          </w14:textFill>
        </w:rPr>
        <w:t>|</w:t>
      </w:r>
      <w:r w:rsidRPr="009941F8">
        <w:t xml:space="preserve"> per 300</w:t>
      </w:r>
      <w:r w:rsidR="00320BF5">
        <w:t> </w:t>
      </w:r>
      <w:r w:rsidRPr="009941F8">
        <w:t>mg single dose vial (the requested DPMQ was $</w:t>
      </w:r>
      <w:r w:rsidR="00640EC9" w:rsidRPr="00CE7EC7">
        <w:rPr>
          <w:color w:val="000000"/>
          <w:w w:val="15"/>
          <w:shd w:val="solid" w:color="000000" w:fill="000000"/>
          <w:fitText w:val="-20" w:id="-961890048"/>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48"/>
          <w14:textFill>
            <w14:solidFill>
              <w14:srgbClr w14:val="000000">
                <w14:alpha w14:val="100000"/>
              </w14:srgbClr>
            </w14:solidFill>
          </w14:textFill>
        </w:rPr>
        <w:t>|</w:t>
      </w:r>
      <w:r w:rsidRPr="009941F8">
        <w:t xml:space="preserve"> per 300</w:t>
      </w:r>
      <w:r w:rsidR="00393221" w:rsidRPr="009941F8">
        <w:t xml:space="preserve"> </w:t>
      </w:r>
      <w:r w:rsidRPr="009941F8">
        <w:t>mg in the March 2023 submission, and $</w:t>
      </w:r>
      <w:r w:rsidR="00640EC9" w:rsidRPr="00CE7EC7">
        <w:rPr>
          <w:color w:val="000000"/>
          <w:w w:val="15"/>
          <w:shd w:val="solid" w:color="000000" w:fill="000000"/>
          <w:fitText w:val="-20" w:id="-961890047"/>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47"/>
          <w14:textFill>
            <w14:solidFill>
              <w14:srgbClr w14:val="000000">
                <w14:alpha w14:val="100000"/>
              </w14:srgbClr>
            </w14:solidFill>
          </w14:textFill>
        </w:rPr>
        <w:t>|</w:t>
      </w:r>
      <w:r w:rsidRPr="009941F8">
        <w:t xml:space="preserve"> in</w:t>
      </w:r>
      <w:r w:rsidR="00D00FFE" w:rsidRPr="009941F8">
        <w:t xml:space="preserve"> the</w:t>
      </w:r>
      <w:r w:rsidRPr="009941F8">
        <w:t xml:space="preserve"> </w:t>
      </w:r>
      <w:r w:rsidR="008310C5" w:rsidRPr="009941F8">
        <w:t>p</w:t>
      </w:r>
      <w:r w:rsidRPr="009941F8">
        <w:t>re-PBAC response), at a dose of 300</w:t>
      </w:r>
      <w:r w:rsidR="00393221" w:rsidRPr="009941F8">
        <w:t xml:space="preserve"> </w:t>
      </w:r>
      <w:r w:rsidRPr="009941F8">
        <w:t xml:space="preserve">mg every 28 days (estimated as 13 administrations per year, 6.5 administration per cycle, except for Cycle 1 where 6 administrations were assumed) until treatment discontinuation. </w:t>
      </w:r>
    </w:p>
    <w:p w14:paraId="53AB8A0E" w14:textId="611459B1" w:rsidR="00AB7860" w:rsidRPr="009941F8" w:rsidRDefault="00AB7860" w:rsidP="00A244E2">
      <w:pPr>
        <w:pStyle w:val="3-BodyText"/>
      </w:pPr>
      <w:r w:rsidRPr="009941F8">
        <w:t>The cost of administration for anifrolumab was $199 in Cycle 1 (6 administrations) and $215 per cycle from Cycle 2 onwards (6.5 administrations) at a cost of $33.09 per administration</w:t>
      </w:r>
      <w:r w:rsidR="00452BBA" w:rsidRPr="009941F8">
        <w:t xml:space="preserve"> (MBS item 105 $47.80 adjusted assuming 9 out of 13 administration</w:t>
      </w:r>
      <w:r w:rsidR="00B47BF2" w:rsidRPr="009941F8">
        <w:t>s</w:t>
      </w:r>
      <w:r w:rsidR="00452BBA" w:rsidRPr="009941F8">
        <w:t xml:space="preserve"> would incur an additional cost</w:t>
      </w:r>
      <w:r w:rsidR="004C703F" w:rsidRPr="009941F8">
        <w:t>, with</w:t>
      </w:r>
      <w:r w:rsidR="00452BBA" w:rsidRPr="009941F8">
        <w:t xml:space="preserve"> 4 specialist visits a year assumed to be standard practice)</w:t>
      </w:r>
      <w:r w:rsidRPr="009941F8">
        <w:t>. This was significantly reduced from the March 2023 resubmission, which utilised a cost of $103.55 per administration (MBS item 14245)</w:t>
      </w:r>
      <w:r w:rsidR="000911AA" w:rsidRPr="009941F8">
        <w:t>, and the</w:t>
      </w:r>
      <w:r w:rsidRPr="009941F8">
        <w:t xml:space="preserve"> resubmission claimed </w:t>
      </w:r>
      <w:r w:rsidR="000911AA" w:rsidRPr="009941F8">
        <w:t xml:space="preserve">was appropriate for a 30 minute </w:t>
      </w:r>
      <w:r w:rsidRPr="009941F8">
        <w:t>anifrolumab infusion. If the cost of administration was based on MBS item 14245 as previously (currently $107.85), the ICER increased to $</w:t>
      </w:r>
      <w:r w:rsidR="008B4AB0" w:rsidRPr="008B4AB0">
        <w:t>75,000 to &lt; $95,000</w:t>
      </w:r>
      <w:r w:rsidR="00320BF5">
        <w:t xml:space="preserve"> </w:t>
      </w:r>
      <w:r w:rsidRPr="009941F8">
        <w:t>per QALY gained compared to $</w:t>
      </w:r>
      <w:r w:rsidR="008B4AB0" w:rsidRPr="008B4AB0">
        <w:t>55,000 to &lt;</w:t>
      </w:r>
      <w:r w:rsidR="00320BF5">
        <w:t> </w:t>
      </w:r>
      <w:r w:rsidR="008B4AB0" w:rsidRPr="008B4AB0">
        <w:t xml:space="preserve">$75,000 </w:t>
      </w:r>
      <w:r w:rsidRPr="009941F8">
        <w:t xml:space="preserve">in the base case. </w:t>
      </w:r>
    </w:p>
    <w:p w14:paraId="76DC2CAD" w14:textId="5FEDF883" w:rsidR="00AB7860" w:rsidRPr="009941F8" w:rsidRDefault="00AB7860" w:rsidP="00A244E2">
      <w:pPr>
        <w:pStyle w:val="3-BodyText"/>
      </w:pPr>
      <w:r w:rsidRPr="009941F8">
        <w:t xml:space="preserve">Cost in </w:t>
      </w:r>
      <w:r w:rsidR="00A665C4" w:rsidRPr="009941F8">
        <w:t>‘</w:t>
      </w:r>
      <w:r w:rsidRPr="009941F8">
        <w:t>LLDAS</w:t>
      </w:r>
      <w:r w:rsidR="00A665C4" w:rsidRPr="009941F8">
        <w:t>’</w:t>
      </w:r>
      <w:r w:rsidRPr="009941F8">
        <w:t xml:space="preserve"> </w:t>
      </w:r>
      <w:r w:rsidR="005D4540" w:rsidRPr="009941F8">
        <w:t>was</w:t>
      </w:r>
      <w:r w:rsidRPr="009941F8">
        <w:t xml:space="preserve"> assumed to be </w:t>
      </w:r>
      <w:r w:rsidR="005D4540" w:rsidRPr="009941F8">
        <w:t>$</w:t>
      </w:r>
      <w:r w:rsidR="005D4540" w:rsidRPr="00093BAC">
        <w:t>95.60</w:t>
      </w:r>
      <w:r w:rsidR="005D4540" w:rsidRPr="009941F8">
        <w:t xml:space="preserve"> per cycle</w:t>
      </w:r>
      <w:r w:rsidRPr="009941F8">
        <w:t xml:space="preserve"> (</w:t>
      </w:r>
      <w:r w:rsidR="005D4540" w:rsidRPr="009941F8">
        <w:t>two specialist visits</w:t>
      </w:r>
      <w:r w:rsidR="00452BBA" w:rsidRPr="009941F8">
        <w:t xml:space="preserve"> MBS item 105</w:t>
      </w:r>
      <w:r w:rsidRPr="009941F8">
        <w:t xml:space="preserve">). No other costs were associated with the </w:t>
      </w:r>
      <w:r w:rsidR="00A665C4" w:rsidRPr="009941F8">
        <w:t>‘</w:t>
      </w:r>
      <w:r w:rsidRPr="009941F8">
        <w:t>LLDAS</w:t>
      </w:r>
      <w:r w:rsidR="00A665C4" w:rsidRPr="009941F8">
        <w:t>’</w:t>
      </w:r>
      <w:r w:rsidRPr="009941F8">
        <w:t xml:space="preserve"> health state</w:t>
      </w:r>
      <w:r w:rsidR="00A665C4" w:rsidRPr="009941F8">
        <w:t>s</w:t>
      </w:r>
      <w:r w:rsidR="00452BBA" w:rsidRPr="009941F8">
        <w:t xml:space="preserve">, which may not be </w:t>
      </w:r>
      <w:r w:rsidR="004C703F" w:rsidRPr="009941F8">
        <w:t>reasonable</w:t>
      </w:r>
      <w:r w:rsidRPr="009941F8">
        <w:t>. Patients accrue</w:t>
      </w:r>
      <w:r w:rsidR="000F49C2" w:rsidRPr="009941F8">
        <w:t>d</w:t>
      </w:r>
      <w:r w:rsidRPr="009941F8">
        <w:t xml:space="preserve"> additional costs if they experienced flares, adverse events or had SDI&gt;0, but the ICER was insensitive to these costs. </w:t>
      </w:r>
    </w:p>
    <w:p w14:paraId="77AAD0C5" w14:textId="64C1D43C" w:rsidR="00AB7860" w:rsidRPr="009941F8" w:rsidRDefault="00AB7860" w:rsidP="00A244E2">
      <w:pPr>
        <w:pStyle w:val="3-BodyText"/>
      </w:pPr>
      <w:r w:rsidRPr="009941F8">
        <w:t xml:space="preserve">The </w:t>
      </w:r>
      <w:r w:rsidR="00A665C4" w:rsidRPr="009941F8">
        <w:t>‘N</w:t>
      </w:r>
      <w:r w:rsidRPr="009941F8">
        <w:t>ot LLDAS</w:t>
      </w:r>
      <w:r w:rsidR="00A665C4" w:rsidRPr="009941F8">
        <w:t>’</w:t>
      </w:r>
      <w:r w:rsidRPr="009941F8">
        <w:t xml:space="preserve"> health state was estimated to cost $</w:t>
      </w:r>
      <w:r w:rsidRPr="00A14BC4">
        <w:t>5,976</w:t>
      </w:r>
      <w:r w:rsidRPr="009941F8">
        <w:t xml:space="preserve"> per cycle based on </w:t>
      </w:r>
      <w:r w:rsidR="000911AA" w:rsidRPr="009941F8">
        <w:t xml:space="preserve">total annual cost for patients in LLDAS&lt;50% of the time in </w:t>
      </w:r>
      <w:r w:rsidRPr="009941F8">
        <w:t xml:space="preserve">Yeo </w:t>
      </w:r>
      <w:r w:rsidR="00D00FFE" w:rsidRPr="009941F8">
        <w:t xml:space="preserve">et al </w:t>
      </w:r>
      <w:r w:rsidRPr="009941F8">
        <w:t>2020</w:t>
      </w:r>
      <w:r w:rsidRPr="009941F8">
        <w:rPr>
          <w:rStyle w:val="FootnoteReference"/>
        </w:rPr>
        <w:footnoteReference w:id="8"/>
      </w:r>
      <w:r w:rsidRPr="009941F8">
        <w:t xml:space="preserve"> . If the incremental </w:t>
      </w:r>
      <w:r w:rsidRPr="009941F8">
        <w:lastRenderedPageBreak/>
        <w:t>cost</w:t>
      </w:r>
      <w:r w:rsidR="00452BBA" w:rsidRPr="009941F8">
        <w:t xml:space="preserve"> from Yeo 2020</w:t>
      </w:r>
      <w:r w:rsidRPr="009941F8">
        <w:t xml:space="preserve"> was used instead</w:t>
      </w:r>
      <w:r w:rsidR="000911AA" w:rsidRPr="009941F8">
        <w:t xml:space="preserve"> of total cost</w:t>
      </w:r>
      <w:r w:rsidRPr="009941F8">
        <w:t xml:space="preserve"> (equal to $</w:t>
      </w:r>
      <w:r w:rsidRPr="006B7597">
        <w:t xml:space="preserve">2,203 </w:t>
      </w:r>
      <w:r w:rsidRPr="009941F8">
        <w:t>per cycle), the ICER increased to $</w:t>
      </w:r>
      <w:r w:rsidR="00C85CDE" w:rsidRPr="00C85CDE">
        <w:t>75,000 to &lt; $95,000</w:t>
      </w:r>
      <w:r w:rsidR="00C71629">
        <w:t xml:space="preserve"> </w:t>
      </w:r>
      <w:r w:rsidRPr="009941F8">
        <w:t>per QALY gained, compare</w:t>
      </w:r>
      <w:r w:rsidR="00452BBA" w:rsidRPr="009941F8">
        <w:t>d</w:t>
      </w:r>
      <w:r w:rsidRPr="009941F8">
        <w:t xml:space="preserve"> to $</w:t>
      </w:r>
      <w:r w:rsidR="00C85CDE" w:rsidRPr="00C85CDE">
        <w:t>55,000 to &lt;</w:t>
      </w:r>
      <w:r w:rsidR="00460084">
        <w:t> </w:t>
      </w:r>
      <w:r w:rsidR="00C85CDE" w:rsidRPr="00C85CDE">
        <w:t xml:space="preserve">$75,000 </w:t>
      </w:r>
      <w:r w:rsidRPr="009941F8">
        <w:t xml:space="preserve">in the base case. As with the </w:t>
      </w:r>
      <w:r w:rsidR="00A665C4" w:rsidRPr="009941F8">
        <w:t>‘</w:t>
      </w:r>
      <w:r w:rsidRPr="009941F8">
        <w:t>LLDAS</w:t>
      </w:r>
      <w:r w:rsidR="00A665C4" w:rsidRPr="009941F8">
        <w:t>’</w:t>
      </w:r>
      <w:r w:rsidRPr="009941F8">
        <w:t xml:space="preserve"> state</w:t>
      </w:r>
      <w:r w:rsidR="00A665C4" w:rsidRPr="009941F8">
        <w:t>s</w:t>
      </w:r>
      <w:r w:rsidRPr="009941F8">
        <w:t>, patients accrued additional costs if they experienced flares, adverse events, or had SDI&gt;0, but the ICER was insensitive to these costs.</w:t>
      </w:r>
    </w:p>
    <w:p w14:paraId="6F18135E" w14:textId="14104A79" w:rsidR="00AB7860" w:rsidRPr="009941F8" w:rsidRDefault="00AB7860" w:rsidP="00A244E2">
      <w:pPr>
        <w:pStyle w:val="3-BodyText"/>
      </w:pPr>
      <w:r w:rsidRPr="009941F8">
        <w:t xml:space="preserve">The resubmission presented a health state allocation figure by LLDAS status. This is presented below along with a health state allocation by SDI score, and a health allocation by treatment plot truncated to 30 years to compare to the health state allocation in the March 2023 </w:t>
      </w:r>
      <w:r w:rsidR="004D3DDB" w:rsidRPr="009941F8">
        <w:t>resubmission</w:t>
      </w:r>
      <w:r w:rsidRPr="009941F8">
        <w:t>.</w:t>
      </w:r>
    </w:p>
    <w:p w14:paraId="09ABFC75" w14:textId="64875EF4" w:rsidR="00AB7860" w:rsidRPr="009941F8" w:rsidRDefault="00AB7860" w:rsidP="00F25AA9">
      <w:pPr>
        <w:pStyle w:val="TableFigureHeading"/>
        <w:keepLines/>
        <w:rPr>
          <w:rStyle w:val="CommentReference"/>
          <w:b/>
          <w:szCs w:val="24"/>
        </w:rPr>
      </w:pPr>
      <w:bookmarkStart w:id="72" w:name="_Ref121668295"/>
      <w:bookmarkStart w:id="73" w:name="_Hlk121582442"/>
      <w:r w:rsidRPr="009941F8">
        <w:t xml:space="preserve">Figure </w:t>
      </w:r>
      <w:r w:rsidR="00CE7EC7">
        <w:fldChar w:fldCharType="begin" w:fldLock="1"/>
      </w:r>
      <w:r w:rsidR="00CE7EC7">
        <w:instrText xml:space="preserve"> SEQ Figure \* ARABIC </w:instrText>
      </w:r>
      <w:r w:rsidR="00CE7EC7">
        <w:fldChar w:fldCharType="separate"/>
      </w:r>
      <w:r w:rsidR="00F07501">
        <w:rPr>
          <w:noProof/>
        </w:rPr>
        <w:t>9</w:t>
      </w:r>
      <w:r w:rsidR="00CE7EC7">
        <w:rPr>
          <w:noProof/>
        </w:rPr>
        <w:fldChar w:fldCharType="end"/>
      </w:r>
      <w:bookmarkEnd w:id="72"/>
      <w:r w:rsidRPr="009941F8">
        <w:t xml:space="preserve">: </w:t>
      </w:r>
      <w:r w:rsidRPr="009941F8">
        <w:rPr>
          <w:rStyle w:val="CommentReference"/>
          <w:b/>
          <w:szCs w:val="24"/>
        </w:rPr>
        <w:t>Health state allocation in the economic evaluation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AB7860" w:rsidRPr="009941F8" w14:paraId="04C5D3B9" w14:textId="77777777" w:rsidTr="00A244E2">
        <w:tc>
          <w:tcPr>
            <w:tcW w:w="9017" w:type="dxa"/>
            <w:gridSpan w:val="2"/>
            <w:shd w:val="clear" w:color="auto" w:fill="auto"/>
          </w:tcPr>
          <w:bookmarkEnd w:id="73"/>
          <w:p w14:paraId="2600B8FF" w14:textId="77777777" w:rsidR="00AB7860" w:rsidRPr="009941F8" w:rsidRDefault="00AB7860" w:rsidP="00F25AA9">
            <w:pPr>
              <w:pStyle w:val="In-tableHeading"/>
              <w:keepLines/>
              <w:jc w:val="center"/>
              <w:rPr>
                <w:iCs/>
                <w:lang w:val="en-AU"/>
              </w:rPr>
            </w:pPr>
            <w:r w:rsidRPr="009941F8">
              <w:rPr>
                <w:iCs/>
                <w:lang w:val="en-AU"/>
              </w:rPr>
              <w:t>By receipt of treatment (to 30 years)</w:t>
            </w:r>
          </w:p>
        </w:tc>
      </w:tr>
      <w:tr w:rsidR="00AB7860" w:rsidRPr="009941F8" w14:paraId="4EA54DD1" w14:textId="77777777" w:rsidTr="00A244E2">
        <w:tc>
          <w:tcPr>
            <w:tcW w:w="4508" w:type="dxa"/>
            <w:shd w:val="clear" w:color="auto" w:fill="auto"/>
          </w:tcPr>
          <w:p w14:paraId="345825D1" w14:textId="77777777" w:rsidR="00AB7860" w:rsidRPr="009941F8" w:rsidRDefault="00AB7860" w:rsidP="00F25AA9">
            <w:pPr>
              <w:pStyle w:val="In-tableHeading"/>
              <w:keepLines/>
              <w:jc w:val="center"/>
              <w:rPr>
                <w:iCs/>
                <w:lang w:val="en-AU"/>
              </w:rPr>
            </w:pPr>
            <w:r w:rsidRPr="009941F8">
              <w:rPr>
                <w:iCs/>
                <w:lang w:val="en-AU"/>
              </w:rPr>
              <w:t>March 2023 resubmission</w:t>
            </w:r>
          </w:p>
        </w:tc>
        <w:tc>
          <w:tcPr>
            <w:tcW w:w="4509" w:type="dxa"/>
            <w:shd w:val="clear" w:color="auto" w:fill="auto"/>
          </w:tcPr>
          <w:p w14:paraId="34AF92F3" w14:textId="77777777" w:rsidR="00AB7860" w:rsidRPr="009941F8" w:rsidRDefault="00AB7860" w:rsidP="00F25AA9">
            <w:pPr>
              <w:pStyle w:val="In-tableHeading"/>
              <w:keepLines/>
              <w:jc w:val="center"/>
              <w:rPr>
                <w:iCs/>
                <w:lang w:val="en-AU"/>
              </w:rPr>
            </w:pPr>
            <w:r w:rsidRPr="009941F8">
              <w:rPr>
                <w:iCs/>
                <w:lang w:val="en-AU"/>
              </w:rPr>
              <w:t>March 2024 resubmission</w:t>
            </w:r>
          </w:p>
        </w:tc>
      </w:tr>
      <w:tr w:rsidR="00AB7860" w:rsidRPr="009941F8" w14:paraId="41F7F160" w14:textId="77777777" w:rsidTr="00A244E2">
        <w:tc>
          <w:tcPr>
            <w:tcW w:w="4508" w:type="dxa"/>
            <w:shd w:val="clear" w:color="auto" w:fill="auto"/>
          </w:tcPr>
          <w:p w14:paraId="36A72717" w14:textId="77777777" w:rsidR="00AB7860" w:rsidRPr="009941F8" w:rsidRDefault="00AB7860" w:rsidP="00F25AA9">
            <w:pPr>
              <w:pStyle w:val="In-tableHeading"/>
              <w:keepLines/>
              <w:rPr>
                <w:iCs/>
                <w:lang w:val="en-AU"/>
              </w:rPr>
            </w:pPr>
            <w:r w:rsidRPr="009941F8">
              <w:rPr>
                <w:iCs/>
                <w:noProof/>
                <w:lang w:val="en-AU"/>
              </w:rPr>
              <w:drawing>
                <wp:inline distT="0" distB="0" distL="0" distR="0" wp14:anchorId="6CC830C3" wp14:editId="169F28A8">
                  <wp:extent cx="2757148" cy="1800000"/>
                  <wp:effectExtent l="0" t="0" r="5715" b="0"/>
                  <wp:docPr id="7" name="Picture 7" descr="Figure 9: Health state allocation in the economic evaluation By receipt of treatment (to 30 years) March 2023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9: Health state allocation in the economic evaluation By receipt of treatment (to 30 years) March 2023 resubmiss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7148" cy="1800000"/>
                          </a:xfrm>
                          <a:prstGeom prst="rect">
                            <a:avLst/>
                          </a:prstGeom>
                          <a:noFill/>
                        </pic:spPr>
                      </pic:pic>
                    </a:graphicData>
                  </a:graphic>
                </wp:inline>
              </w:drawing>
            </w:r>
          </w:p>
        </w:tc>
        <w:tc>
          <w:tcPr>
            <w:tcW w:w="4509" w:type="dxa"/>
            <w:shd w:val="clear" w:color="auto" w:fill="auto"/>
          </w:tcPr>
          <w:p w14:paraId="459360DE" w14:textId="77777777" w:rsidR="00AB7860" w:rsidRPr="009941F8" w:rsidRDefault="00AB7860" w:rsidP="00F25AA9">
            <w:pPr>
              <w:pStyle w:val="In-tableHeading"/>
              <w:keepLines/>
              <w:rPr>
                <w:iCs/>
                <w:lang w:val="en-AU"/>
              </w:rPr>
            </w:pPr>
            <w:r w:rsidRPr="009941F8">
              <w:rPr>
                <w:iCs/>
                <w:noProof/>
                <w:lang w:val="en-AU"/>
              </w:rPr>
              <w:drawing>
                <wp:inline distT="0" distB="0" distL="0" distR="0" wp14:anchorId="3F488179" wp14:editId="42EF26BA">
                  <wp:extent cx="2790000" cy="1824048"/>
                  <wp:effectExtent l="0" t="0" r="0" b="5080"/>
                  <wp:docPr id="48" name="Picture 48" descr="Figure 9: Health state allocation in the economic evaluation By receipt of treatment (to 30 years) March 2024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igure 9: Health state allocation in the economic evaluation By receipt of treatment (to 30 years) March 2024 resubmiss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0000" cy="1824048"/>
                          </a:xfrm>
                          <a:prstGeom prst="rect">
                            <a:avLst/>
                          </a:prstGeom>
                          <a:noFill/>
                        </pic:spPr>
                      </pic:pic>
                    </a:graphicData>
                  </a:graphic>
                </wp:inline>
              </w:drawing>
            </w:r>
          </w:p>
        </w:tc>
      </w:tr>
      <w:tr w:rsidR="00AB7860" w:rsidRPr="009941F8" w14:paraId="3AB3088F" w14:textId="77777777" w:rsidTr="00314767">
        <w:tc>
          <w:tcPr>
            <w:tcW w:w="4508" w:type="dxa"/>
            <w:shd w:val="clear" w:color="auto" w:fill="auto"/>
          </w:tcPr>
          <w:p w14:paraId="5FF3C9B6" w14:textId="77777777" w:rsidR="00AB7860" w:rsidRPr="009941F8" w:rsidRDefault="00AB7860" w:rsidP="00F25AA9">
            <w:pPr>
              <w:pStyle w:val="In-tableHeading"/>
              <w:keepLines/>
              <w:jc w:val="center"/>
              <w:rPr>
                <w:lang w:val="en-AU"/>
              </w:rPr>
            </w:pPr>
            <w:r w:rsidRPr="009941F8">
              <w:rPr>
                <w:lang w:val="en-AU"/>
              </w:rPr>
              <w:t>By LLDAS status (March 2024 resubmission)</w:t>
            </w:r>
          </w:p>
        </w:tc>
        <w:tc>
          <w:tcPr>
            <w:tcW w:w="4509" w:type="dxa"/>
          </w:tcPr>
          <w:p w14:paraId="268E4327" w14:textId="77777777" w:rsidR="00AB7860" w:rsidRPr="009941F8" w:rsidRDefault="00AB7860" w:rsidP="00F25AA9">
            <w:pPr>
              <w:pStyle w:val="In-tableHeading"/>
              <w:keepLines/>
              <w:jc w:val="center"/>
              <w:rPr>
                <w:lang w:val="en-AU"/>
              </w:rPr>
            </w:pPr>
            <w:r w:rsidRPr="009941F8">
              <w:rPr>
                <w:lang w:val="en-AU"/>
              </w:rPr>
              <w:t>By SDI score (March 2024 resubmission)</w:t>
            </w:r>
          </w:p>
        </w:tc>
      </w:tr>
      <w:tr w:rsidR="00AB7860" w:rsidRPr="009941F8" w14:paraId="4B92176C" w14:textId="77777777" w:rsidTr="00314767">
        <w:tc>
          <w:tcPr>
            <w:tcW w:w="4508" w:type="dxa"/>
            <w:shd w:val="clear" w:color="auto" w:fill="auto"/>
          </w:tcPr>
          <w:p w14:paraId="015C242E" w14:textId="77777777" w:rsidR="00AB7860" w:rsidRPr="009941F8" w:rsidRDefault="00AB7860" w:rsidP="00F25AA9">
            <w:pPr>
              <w:pStyle w:val="In-tableHeading"/>
              <w:keepLines/>
              <w:rPr>
                <w:lang w:val="en-AU"/>
              </w:rPr>
            </w:pPr>
            <w:r w:rsidRPr="009941F8">
              <w:rPr>
                <w:noProof/>
                <w:lang w:val="en-AU"/>
              </w:rPr>
              <w:drawing>
                <wp:inline distT="0" distB="0" distL="0" distR="0" wp14:anchorId="02FE9120" wp14:editId="026F4D86">
                  <wp:extent cx="2790000" cy="1824048"/>
                  <wp:effectExtent l="0" t="0" r="0" b="5080"/>
                  <wp:docPr id="49" name="Picture 49" descr="Figure 9: Health state allocation in the economic evaluation By LLDAS status March 2023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Figure 9: Health state allocation in the economic evaluation By LLDAS status March 2023 resubmissio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000" cy="1824048"/>
                          </a:xfrm>
                          <a:prstGeom prst="rect">
                            <a:avLst/>
                          </a:prstGeom>
                          <a:noFill/>
                        </pic:spPr>
                      </pic:pic>
                    </a:graphicData>
                  </a:graphic>
                </wp:inline>
              </w:drawing>
            </w:r>
          </w:p>
        </w:tc>
        <w:tc>
          <w:tcPr>
            <w:tcW w:w="4509" w:type="dxa"/>
          </w:tcPr>
          <w:p w14:paraId="46E49E1A" w14:textId="77777777" w:rsidR="00AB7860" w:rsidRPr="009941F8" w:rsidRDefault="00AB7860" w:rsidP="00F25AA9">
            <w:pPr>
              <w:pStyle w:val="In-tableHeading"/>
              <w:keepLines/>
              <w:rPr>
                <w:lang w:val="en-AU"/>
              </w:rPr>
            </w:pPr>
            <w:r w:rsidRPr="009941F8">
              <w:rPr>
                <w:noProof/>
                <w:lang w:val="en-AU"/>
              </w:rPr>
              <w:drawing>
                <wp:inline distT="0" distB="0" distL="0" distR="0" wp14:anchorId="018C2622" wp14:editId="3CC25E03">
                  <wp:extent cx="2790000" cy="1820898"/>
                  <wp:effectExtent l="0" t="0" r="0" b="8255"/>
                  <wp:docPr id="56" name="Picture 56" descr="Figure 9: Health state allocation in the economic evaluation By SDI score March 2023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Figure 9: Health state allocation in the economic evaluation By SDI score March 2023 resubmissi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0000" cy="1820898"/>
                          </a:xfrm>
                          <a:prstGeom prst="rect">
                            <a:avLst/>
                          </a:prstGeom>
                          <a:noFill/>
                        </pic:spPr>
                      </pic:pic>
                    </a:graphicData>
                  </a:graphic>
                </wp:inline>
              </w:drawing>
            </w:r>
          </w:p>
        </w:tc>
      </w:tr>
    </w:tbl>
    <w:p w14:paraId="2066FEA2" w14:textId="77777777" w:rsidR="00AB7860" w:rsidRPr="009941F8" w:rsidRDefault="00AB7860" w:rsidP="00F25AA9">
      <w:pPr>
        <w:pStyle w:val="TableFigureFooter"/>
        <w:keepNext/>
        <w:keepLines/>
        <w:rPr>
          <w:iCs/>
        </w:rPr>
      </w:pPr>
      <w:r w:rsidRPr="009941F8">
        <w:t xml:space="preserve">Source: adapted from Figure 3-13 of the March 2024 resubmission and </w:t>
      </w:r>
      <w:r w:rsidRPr="009941F8">
        <w:rPr>
          <w:iCs/>
        </w:rPr>
        <w:t>compiled during the evaluation</w:t>
      </w:r>
    </w:p>
    <w:p w14:paraId="2A4351CA" w14:textId="77777777" w:rsidR="00AB7860" w:rsidRPr="009941F8" w:rsidRDefault="00AB7860" w:rsidP="00F25AA9">
      <w:pPr>
        <w:pStyle w:val="TableFigureFooter"/>
        <w:keepNext/>
        <w:keepLines/>
      </w:pPr>
      <w:r w:rsidRPr="009941F8">
        <w:t>Anifrolumab = anifrolumab arm; LLDAS = lupus low disease activity state; SOC = standard of care arm; SDI = SLICC/ACR (Systemic Lupus International Collaborating Clinics/American College of Rheumatology) Damage Index</w:t>
      </w:r>
    </w:p>
    <w:p w14:paraId="73A56A0D" w14:textId="77777777" w:rsidR="00AB7860" w:rsidRPr="009941F8" w:rsidRDefault="00AB7860" w:rsidP="00F25AA9">
      <w:pPr>
        <w:pStyle w:val="TableFigureFooter"/>
        <w:keepNext/>
        <w:keepLines/>
      </w:pPr>
      <w:r w:rsidRPr="009941F8">
        <w:t>Note: On and off treatment only refers to whether patients were receiving anifrolumab. Patients in the anifrolumab arm received treatment with SOC for the entirety of the modelled time horizon.</w:t>
      </w:r>
    </w:p>
    <w:p w14:paraId="2BE2735A" w14:textId="44FEE28F" w:rsidR="00AB7860" w:rsidRPr="009941F8" w:rsidRDefault="00AB7860" w:rsidP="00A244E2">
      <w:pPr>
        <w:pStyle w:val="3-BodyText"/>
        <w:rPr>
          <w:iCs/>
        </w:rPr>
      </w:pPr>
      <w:r w:rsidRPr="009941F8">
        <w:rPr>
          <w:iCs/>
        </w:rPr>
        <w:t>In the anifrolumab arm, the majority of patients were alive and off-treatment by Year</w:t>
      </w:r>
      <w:r w:rsidR="00D31E29">
        <w:rPr>
          <w:iCs/>
        </w:rPr>
        <w:t> </w:t>
      </w:r>
      <w:r w:rsidRPr="009941F8">
        <w:rPr>
          <w:iCs/>
        </w:rPr>
        <w:t xml:space="preserve">1. The health state allocation plots demonstrate the reduced survival in the anifrolumab arm compared to </w:t>
      </w:r>
      <w:r w:rsidR="00393221" w:rsidRPr="009941F8">
        <w:rPr>
          <w:iCs/>
        </w:rPr>
        <w:t xml:space="preserve">the </w:t>
      </w:r>
      <w:r w:rsidRPr="009941F8">
        <w:rPr>
          <w:iCs/>
        </w:rPr>
        <w:t xml:space="preserve">March 2023 resubmission in both arms, plus the </w:t>
      </w:r>
      <w:r w:rsidRPr="009941F8">
        <w:rPr>
          <w:iCs/>
        </w:rPr>
        <w:lastRenderedPageBreak/>
        <w:t xml:space="preserve">reduced survival benefit of anifrolumab over SOC and a much shorter time on treatment. The </w:t>
      </w:r>
      <w:bookmarkStart w:id="74" w:name="_Hlk153883208"/>
      <w:r w:rsidRPr="009941F8">
        <w:rPr>
          <w:iCs/>
        </w:rPr>
        <w:t xml:space="preserve">health state allocation by </w:t>
      </w:r>
      <w:bookmarkEnd w:id="74"/>
      <w:r w:rsidRPr="009941F8">
        <w:rPr>
          <w:iCs/>
        </w:rPr>
        <w:t xml:space="preserve">LLDAS and SDI figures demonstrate that incremental life years gained in LLDAS was the main driver of benefits in the model. SDI health state allocation was near identical across the treatment arms. Most patients spent their time in the </w:t>
      </w:r>
      <w:r w:rsidR="00084A1A" w:rsidRPr="009941F8">
        <w:rPr>
          <w:iCs/>
        </w:rPr>
        <w:t>‘N</w:t>
      </w:r>
      <w:r w:rsidRPr="009941F8">
        <w:rPr>
          <w:iCs/>
        </w:rPr>
        <w:t>o LLDAS</w:t>
      </w:r>
      <w:r w:rsidR="00084A1A" w:rsidRPr="009941F8">
        <w:rPr>
          <w:iCs/>
        </w:rPr>
        <w:t>’</w:t>
      </w:r>
      <w:r w:rsidRPr="009941F8">
        <w:rPr>
          <w:iCs/>
        </w:rPr>
        <w:t xml:space="preserve"> health states for the entire duration of the model. The resubmission considered modelled life expectancy estimates (SOC arm 40</w:t>
      </w:r>
      <w:r w:rsidR="00A91341">
        <w:rPr>
          <w:iCs/>
        </w:rPr>
        <w:t> </w:t>
      </w:r>
      <w:r w:rsidRPr="009941F8">
        <w:rPr>
          <w:iCs/>
        </w:rPr>
        <w:t>years at baseline plus 24.5 years accrued in the model) similar to published estimates. No identified studies specifically reported life expectancy in patients with high disease activity and no survival curves were presented for comparison.</w:t>
      </w:r>
    </w:p>
    <w:p w14:paraId="699846F4" w14:textId="386E37C5" w:rsidR="00AB7860" w:rsidRPr="009941F8" w:rsidRDefault="00AB7860" w:rsidP="00A244E2">
      <w:pPr>
        <w:numPr>
          <w:ilvl w:val="1"/>
          <w:numId w:val="1"/>
        </w:numPr>
        <w:spacing w:after="120"/>
        <w:rPr>
          <w:rStyle w:val="3-BodyTextChar"/>
          <w:iCs/>
        </w:rPr>
      </w:pPr>
      <w:r w:rsidRPr="009941F8">
        <w:rPr>
          <w:rFonts w:asciiTheme="minorHAnsi" w:hAnsiTheme="minorHAnsi"/>
          <w:iCs/>
          <w:snapToGrid w:val="0"/>
        </w:rPr>
        <w:t xml:space="preserve">The key drivers of the model are </w:t>
      </w:r>
      <w:r w:rsidRPr="009941F8">
        <w:rPr>
          <w:rStyle w:val="3-BodyTextChar"/>
          <w:iCs/>
        </w:rPr>
        <w:t xml:space="preserve">summarised in </w:t>
      </w:r>
      <w:r w:rsidRPr="009941F8">
        <w:rPr>
          <w:rStyle w:val="3-BodyTextChar"/>
          <w:iCs/>
        </w:rPr>
        <w:fldChar w:fldCharType="begin" w:fldLock="1"/>
      </w:r>
      <w:r w:rsidRPr="009941F8">
        <w:rPr>
          <w:rStyle w:val="3-BodyTextChar"/>
          <w:iCs/>
        </w:rPr>
        <w:instrText xml:space="preserve"> REF _Ref121669110  \* MERGEFORMAT </w:instrText>
      </w:r>
      <w:r w:rsidRPr="009941F8">
        <w:rPr>
          <w:rStyle w:val="3-BodyTextChar"/>
          <w:iCs/>
        </w:rPr>
        <w:fldChar w:fldCharType="separate"/>
      </w:r>
      <w:r w:rsidR="00F07501" w:rsidRPr="00F07501">
        <w:rPr>
          <w:rStyle w:val="3-BodyTextChar"/>
          <w:rFonts w:eastAsia="SimSun"/>
          <w:iCs/>
        </w:rPr>
        <w:t>Table 12</w:t>
      </w:r>
      <w:r w:rsidRPr="009941F8">
        <w:rPr>
          <w:rStyle w:val="3-BodyTextChar"/>
          <w:iCs/>
        </w:rPr>
        <w:fldChar w:fldCharType="end"/>
      </w:r>
      <w:r w:rsidRPr="009941F8">
        <w:rPr>
          <w:rStyle w:val="3-BodyTextChar"/>
          <w:iCs/>
        </w:rPr>
        <w:t>.</w:t>
      </w:r>
    </w:p>
    <w:p w14:paraId="11E6E359" w14:textId="1CEB89C1" w:rsidR="00AB7860" w:rsidRPr="009941F8" w:rsidRDefault="00AB7860" w:rsidP="00A244E2">
      <w:pPr>
        <w:keepNext/>
        <w:jc w:val="left"/>
        <w:rPr>
          <w:rFonts w:ascii="Arial Narrow" w:eastAsiaTheme="majorEastAsia" w:hAnsi="Arial Narrow" w:cstheme="majorBidi"/>
          <w:b/>
          <w:bCs/>
          <w:sz w:val="20"/>
        </w:rPr>
      </w:pPr>
      <w:bookmarkStart w:id="75" w:name="_Ref121669110"/>
      <w:r w:rsidRPr="009941F8">
        <w:rPr>
          <w:rFonts w:ascii="Arial Narrow" w:eastAsiaTheme="majorEastAsia" w:hAnsi="Arial Narrow" w:cstheme="majorBidi"/>
          <w:b/>
          <w:bCs/>
          <w:sz w:val="20"/>
        </w:rPr>
        <w:t xml:space="preserve">Table </w:t>
      </w:r>
      <w:r w:rsidR="0058598B" w:rsidRPr="009941F8">
        <w:rPr>
          <w:rFonts w:ascii="Arial Narrow" w:eastAsiaTheme="majorEastAsia" w:hAnsi="Arial Narrow" w:cstheme="majorBidi"/>
          <w:b/>
          <w:bCs/>
          <w:sz w:val="20"/>
        </w:rPr>
        <w:fldChar w:fldCharType="begin" w:fldLock="1"/>
      </w:r>
      <w:r w:rsidR="0058598B" w:rsidRPr="009941F8">
        <w:rPr>
          <w:rFonts w:ascii="Arial Narrow" w:eastAsiaTheme="majorEastAsia" w:hAnsi="Arial Narrow" w:cstheme="majorBidi"/>
          <w:b/>
          <w:bCs/>
          <w:sz w:val="20"/>
        </w:rPr>
        <w:instrText xml:space="preserve"> SEQ Table \* ARABIC </w:instrText>
      </w:r>
      <w:r w:rsidR="0058598B" w:rsidRPr="009941F8">
        <w:rPr>
          <w:rFonts w:ascii="Arial Narrow" w:eastAsiaTheme="majorEastAsia" w:hAnsi="Arial Narrow" w:cstheme="majorBidi"/>
          <w:b/>
          <w:bCs/>
          <w:sz w:val="20"/>
        </w:rPr>
        <w:fldChar w:fldCharType="separate"/>
      </w:r>
      <w:r w:rsidR="00F07501">
        <w:rPr>
          <w:rFonts w:ascii="Arial Narrow" w:eastAsiaTheme="majorEastAsia" w:hAnsi="Arial Narrow" w:cstheme="majorBidi"/>
          <w:b/>
          <w:bCs/>
          <w:noProof/>
          <w:sz w:val="20"/>
        </w:rPr>
        <w:t>12</w:t>
      </w:r>
      <w:r w:rsidR="0058598B" w:rsidRPr="009941F8">
        <w:rPr>
          <w:rFonts w:ascii="Arial Narrow" w:eastAsiaTheme="majorEastAsia" w:hAnsi="Arial Narrow" w:cstheme="majorBidi"/>
          <w:b/>
          <w:bCs/>
          <w:sz w:val="20"/>
        </w:rPr>
        <w:fldChar w:fldCharType="end"/>
      </w:r>
      <w:bookmarkEnd w:id="75"/>
      <w:r w:rsidRPr="009941F8">
        <w:rPr>
          <w:rFonts w:ascii="Arial Narrow" w:eastAsiaTheme="majorEastAsia" w:hAnsi="Arial Narrow" w:cstheme="majorBidi"/>
          <w:b/>
          <w:bCs/>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272"/>
        <w:gridCol w:w="3401"/>
        <w:gridCol w:w="4344"/>
      </w:tblGrid>
      <w:tr w:rsidR="00AB7860" w:rsidRPr="009941F8" w14:paraId="5792984F" w14:textId="77777777" w:rsidTr="00CC67E7">
        <w:trPr>
          <w:tblHeader/>
        </w:trPr>
        <w:tc>
          <w:tcPr>
            <w:tcW w:w="705" w:type="pct"/>
            <w:shd w:val="clear" w:color="auto" w:fill="auto"/>
            <w:vAlign w:val="center"/>
          </w:tcPr>
          <w:p w14:paraId="61AC859A" w14:textId="77777777" w:rsidR="00AB7860" w:rsidRPr="009941F8" w:rsidRDefault="00AB7860" w:rsidP="00A244E2">
            <w:pPr>
              <w:keepNext/>
              <w:jc w:val="left"/>
              <w:rPr>
                <w:rFonts w:ascii="Arial Narrow" w:eastAsiaTheme="majorEastAsia" w:hAnsi="Arial Narrow" w:cs="Times New Roman"/>
                <w:b/>
                <w:sz w:val="20"/>
              </w:rPr>
            </w:pPr>
            <w:r w:rsidRPr="009941F8">
              <w:rPr>
                <w:rFonts w:ascii="Arial Narrow" w:eastAsiaTheme="majorEastAsia" w:hAnsi="Arial Narrow" w:cs="Times New Roman"/>
                <w:b/>
                <w:sz w:val="20"/>
              </w:rPr>
              <w:t>Description</w:t>
            </w:r>
          </w:p>
        </w:tc>
        <w:tc>
          <w:tcPr>
            <w:tcW w:w="1886" w:type="pct"/>
            <w:shd w:val="clear" w:color="auto" w:fill="auto"/>
            <w:vAlign w:val="center"/>
          </w:tcPr>
          <w:p w14:paraId="328E4E98" w14:textId="77777777" w:rsidR="00AB7860" w:rsidRPr="009941F8" w:rsidRDefault="00AB7860" w:rsidP="00A244E2">
            <w:pPr>
              <w:keepNext/>
              <w:jc w:val="center"/>
              <w:rPr>
                <w:rFonts w:ascii="Arial Narrow" w:eastAsiaTheme="majorEastAsia" w:hAnsi="Arial Narrow" w:cs="Times New Roman"/>
                <w:b/>
                <w:sz w:val="20"/>
              </w:rPr>
            </w:pPr>
            <w:r w:rsidRPr="009941F8">
              <w:rPr>
                <w:rFonts w:ascii="Arial Narrow" w:eastAsiaTheme="majorEastAsia" w:hAnsi="Arial Narrow" w:cs="Times New Roman"/>
                <w:b/>
                <w:sz w:val="20"/>
              </w:rPr>
              <w:t>Method/Value</w:t>
            </w:r>
          </w:p>
        </w:tc>
        <w:tc>
          <w:tcPr>
            <w:tcW w:w="2409" w:type="pct"/>
            <w:shd w:val="clear" w:color="auto" w:fill="auto"/>
            <w:vAlign w:val="center"/>
          </w:tcPr>
          <w:p w14:paraId="1869FB68" w14:textId="77777777" w:rsidR="00AB7860" w:rsidRPr="009941F8" w:rsidRDefault="00AB7860" w:rsidP="00A244E2">
            <w:pPr>
              <w:keepNext/>
              <w:jc w:val="center"/>
              <w:rPr>
                <w:rFonts w:ascii="Arial Narrow" w:eastAsiaTheme="majorEastAsia" w:hAnsi="Arial Narrow" w:cs="Times New Roman"/>
                <w:b/>
                <w:sz w:val="20"/>
              </w:rPr>
            </w:pPr>
            <w:r w:rsidRPr="009941F8">
              <w:rPr>
                <w:rFonts w:ascii="Arial Narrow" w:eastAsiaTheme="majorEastAsia" w:hAnsi="Arial Narrow" w:cs="Times New Roman"/>
                <w:b/>
                <w:sz w:val="20"/>
              </w:rPr>
              <w:t>Impact</w:t>
            </w:r>
          </w:p>
          <w:p w14:paraId="34DE849F" w14:textId="7A2E3675" w:rsidR="00AB7860" w:rsidRPr="009941F8" w:rsidRDefault="00AB7860" w:rsidP="00A244E2">
            <w:pPr>
              <w:keepNext/>
              <w:jc w:val="center"/>
              <w:rPr>
                <w:rFonts w:ascii="Arial Narrow" w:eastAsiaTheme="majorEastAsia" w:hAnsi="Arial Narrow" w:cs="Times New Roman"/>
                <w:b/>
                <w:sz w:val="20"/>
              </w:rPr>
            </w:pPr>
            <w:r w:rsidRPr="009941F8">
              <w:rPr>
                <w:rFonts w:ascii="Arial Narrow" w:eastAsiaTheme="majorEastAsia" w:hAnsi="Arial Narrow"/>
                <w:b/>
                <w:sz w:val="20"/>
                <w:szCs w:val="20"/>
              </w:rPr>
              <w:t>Base case: $</w:t>
            </w:r>
            <w:r w:rsidR="00640EC9" w:rsidRPr="00640EC9">
              <w:rPr>
                <w:rFonts w:ascii="Arial Narrow" w:eastAsiaTheme="majorEastAsia" w:hAnsi="Arial Narrow"/>
                <w:b/>
                <w:color w:val="000000"/>
                <w:sz w:val="20"/>
                <w:szCs w:val="20"/>
                <w:shd w:val="solid" w:color="000000" w:fill="000000"/>
                <w14:textFill>
                  <w14:solidFill>
                    <w14:srgbClr w14:val="000000">
                      <w14:alpha w14:val="100000"/>
                    </w14:srgbClr>
                  </w14:solidFill>
                </w14:textFill>
              </w:rPr>
              <w:t>|</w:t>
            </w:r>
            <w:r w:rsidR="00C85CDE" w:rsidRPr="00C85CDE">
              <w:rPr>
                <w:rFonts w:ascii="Arial Narrow" w:eastAsiaTheme="majorEastAsia" w:hAnsi="Arial Narrow"/>
                <w:b/>
                <w:sz w:val="20"/>
                <w:szCs w:val="20"/>
                <w:vertAlign w:val="superscript"/>
              </w:rPr>
              <w:t>1</w:t>
            </w:r>
            <w:r w:rsidRPr="009941F8">
              <w:rPr>
                <w:rFonts w:ascii="Arial Narrow" w:eastAsiaTheme="majorEastAsia" w:hAnsi="Arial Narrow"/>
                <w:b/>
                <w:sz w:val="20"/>
                <w:szCs w:val="20"/>
              </w:rPr>
              <w:t>/QALY gained</w:t>
            </w:r>
            <w:r w:rsidRPr="009941F8">
              <w:rPr>
                <w:rFonts w:ascii="Arial Narrow" w:eastAsiaTheme="majorEastAsia" w:hAnsi="Arial Narrow"/>
                <w:b/>
                <w:color w:val="3366FF"/>
                <w:sz w:val="20"/>
                <w:szCs w:val="20"/>
              </w:rPr>
              <w:t>.</w:t>
            </w:r>
          </w:p>
        </w:tc>
      </w:tr>
      <w:tr w:rsidR="00AB7860" w:rsidRPr="009941F8" w14:paraId="5866E1AC" w14:textId="77777777" w:rsidTr="00CC67E7">
        <w:tc>
          <w:tcPr>
            <w:tcW w:w="705" w:type="pct"/>
            <w:shd w:val="clear" w:color="auto" w:fill="auto"/>
            <w:vAlign w:val="center"/>
          </w:tcPr>
          <w:p w14:paraId="2DE9F2A8"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LLDAS transition probabilities</w:t>
            </w:r>
          </w:p>
        </w:tc>
        <w:tc>
          <w:tcPr>
            <w:tcW w:w="1886" w:type="pct"/>
            <w:shd w:val="clear" w:color="auto" w:fill="auto"/>
            <w:vAlign w:val="center"/>
          </w:tcPr>
          <w:p w14:paraId="030ED65A" w14:textId="4DE3B1A2"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Transition probabilities based on pooled TULIP data, including TULIP LTE up to Week 208 (Cycle 8). Anifrolumab arm divided into on anifrolumab, off treatment non-responder and off treatment responder. Patients who discontinue anifrolumab modelled as per SOC </w:t>
            </w:r>
            <w:r w:rsidR="00B4343B" w:rsidRPr="009941F8">
              <w:rPr>
                <w:rFonts w:ascii="Arial Narrow" w:eastAsiaTheme="majorEastAsia" w:hAnsi="Arial Narrow" w:cstheme="majorBidi"/>
                <w:bCs/>
                <w:sz w:val="20"/>
              </w:rPr>
              <w:t xml:space="preserve">responder </w:t>
            </w:r>
            <w:r w:rsidRPr="009941F8">
              <w:rPr>
                <w:rFonts w:ascii="Arial Narrow" w:eastAsiaTheme="majorEastAsia" w:hAnsi="Arial Narrow" w:cstheme="majorBidi"/>
                <w:bCs/>
                <w:sz w:val="20"/>
              </w:rPr>
              <w:t xml:space="preserve">arm. </w:t>
            </w:r>
          </w:p>
        </w:tc>
        <w:tc>
          <w:tcPr>
            <w:tcW w:w="2409" w:type="pct"/>
            <w:shd w:val="clear" w:color="auto" w:fill="auto"/>
            <w:vAlign w:val="center"/>
          </w:tcPr>
          <w:p w14:paraId="6B41DA76" w14:textId="4333E5C3"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High, favoured anifrolumab. If 95%</w:t>
            </w:r>
            <w:r w:rsidR="001728F0" w:rsidRPr="009941F8">
              <w:rPr>
                <w:rFonts w:ascii="Arial Narrow" w:eastAsiaTheme="majorEastAsia" w:hAnsi="Arial Narrow" w:cstheme="majorBidi"/>
                <w:bCs/>
                <w:sz w:val="20"/>
              </w:rPr>
              <w:t xml:space="preserve"> </w:t>
            </w:r>
            <w:r w:rsidRPr="009941F8">
              <w:rPr>
                <w:rFonts w:ascii="Arial Narrow" w:eastAsiaTheme="majorEastAsia" w:hAnsi="Arial Narrow" w:cstheme="majorBidi"/>
                <w:bCs/>
                <w:sz w:val="20"/>
              </w:rPr>
              <w:t>CI for risk differences in LLDAS in first year (at weeks 26 and 52) were implemented the ICER ranged from $</w:t>
            </w:r>
            <w:r w:rsidR="00640EC9" w:rsidRPr="00640EC9">
              <w:rPr>
                <w:rFonts w:ascii="Arial Narrow" w:eastAsiaTheme="majorEastAsia" w:hAnsi="Arial Narrow" w:cstheme="majorBidi"/>
                <w:bCs/>
                <w:color w:val="000000"/>
                <w:spacing w:val="55"/>
                <w:sz w:val="20"/>
                <w:shd w:val="solid" w:color="000000" w:fill="000000"/>
                <w:fitText w:val="336" w:id="-961890046"/>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36" w:id="-961890046"/>
                <w14:textFill>
                  <w14:solidFill>
                    <w14:srgbClr w14:val="000000">
                      <w14:alpha w14:val="100000"/>
                    </w14:srgbClr>
                  </w14:solidFill>
                </w14:textFill>
              </w:rPr>
              <w:t>|</w:t>
            </w:r>
            <w:r w:rsidR="0069446B" w:rsidRPr="00C85CDE">
              <w:rPr>
                <w:rFonts w:ascii="Arial Narrow" w:eastAsiaTheme="majorEastAsia" w:hAnsi="Arial Narrow"/>
                <w:b/>
                <w:sz w:val="20"/>
                <w:szCs w:val="20"/>
                <w:vertAlign w:val="superscript"/>
              </w:rPr>
              <w:t>1</w:t>
            </w:r>
            <w:r w:rsidRPr="009941F8">
              <w:rPr>
                <w:rFonts w:ascii="Arial Narrow" w:eastAsiaTheme="majorEastAsia" w:hAnsi="Arial Narrow" w:cstheme="majorBidi"/>
                <w:bCs/>
                <w:sz w:val="20"/>
              </w:rPr>
              <w:t xml:space="preserve"> to $</w:t>
            </w:r>
            <w:r w:rsidR="00640EC9" w:rsidRPr="00640EC9">
              <w:rPr>
                <w:rFonts w:ascii="Arial Narrow" w:eastAsiaTheme="majorEastAsia" w:hAnsi="Arial Narrow" w:cstheme="majorBidi"/>
                <w:bCs/>
                <w:color w:val="000000"/>
                <w:spacing w:val="51"/>
                <w:sz w:val="20"/>
                <w:shd w:val="solid" w:color="000000" w:fill="000000"/>
                <w:fitText w:val="324" w:id="-961890045"/>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45"/>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2</w:t>
            </w:r>
            <w:r w:rsidR="0069446B">
              <w:rPr>
                <w:rFonts w:ascii="Arial Narrow" w:eastAsiaTheme="majorEastAsia" w:hAnsi="Arial Narrow" w:cstheme="majorBidi"/>
                <w:bCs/>
                <w:sz w:val="20"/>
              </w:rPr>
              <w:t xml:space="preserve"> </w:t>
            </w:r>
            <w:r w:rsidRPr="009941F8">
              <w:rPr>
                <w:rFonts w:ascii="Arial Narrow" w:eastAsiaTheme="majorEastAsia" w:hAnsi="Arial Narrow" w:cstheme="majorBidi"/>
                <w:bCs/>
                <w:sz w:val="20"/>
              </w:rPr>
              <w:t>per QALY gained.</w:t>
            </w:r>
          </w:p>
        </w:tc>
      </w:tr>
      <w:tr w:rsidR="00AB7860" w:rsidRPr="009941F8" w14:paraId="35AB35AC" w14:textId="77777777" w:rsidTr="00CC67E7">
        <w:tc>
          <w:tcPr>
            <w:tcW w:w="705" w:type="pct"/>
            <w:shd w:val="clear" w:color="auto" w:fill="auto"/>
            <w:vAlign w:val="center"/>
          </w:tcPr>
          <w:p w14:paraId="7DEC572D"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Extrapolation of treatment effect</w:t>
            </w:r>
          </w:p>
        </w:tc>
        <w:tc>
          <w:tcPr>
            <w:tcW w:w="1886" w:type="pct"/>
            <w:shd w:val="clear" w:color="auto" w:fill="auto"/>
            <w:vAlign w:val="center"/>
          </w:tcPr>
          <w:p w14:paraId="6ED9556D"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From Cycle 9 onwards, constant probability of maintaining LLDAS applied each cycle based on Weeks 104 to 208 in the TULIP LTE  </w:t>
            </w:r>
          </w:p>
        </w:tc>
        <w:tc>
          <w:tcPr>
            <w:tcW w:w="2409" w:type="pct"/>
            <w:shd w:val="clear" w:color="auto" w:fill="auto"/>
            <w:vAlign w:val="center"/>
          </w:tcPr>
          <w:p w14:paraId="22AF2F02" w14:textId="0F512E6E"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High, favoured anifrolumab. If extrapolation was removed (i.e. no LLDAS patients from Year 4.5), the ICER increased to $</w:t>
            </w:r>
            <w:r w:rsidR="00640EC9" w:rsidRPr="00640EC9">
              <w:rPr>
                <w:rFonts w:ascii="Arial Narrow" w:eastAsiaTheme="majorEastAsia" w:hAnsi="Arial Narrow" w:cstheme="majorBidi"/>
                <w:bCs/>
                <w:color w:val="000000"/>
                <w:spacing w:val="51"/>
                <w:sz w:val="20"/>
                <w:shd w:val="solid" w:color="000000" w:fill="000000"/>
                <w:fitText w:val="324" w:id="-961890044"/>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44"/>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3</w:t>
            </w:r>
            <w:r w:rsidRPr="009941F8">
              <w:rPr>
                <w:rFonts w:ascii="Arial Narrow" w:eastAsiaTheme="majorEastAsia" w:hAnsi="Arial Narrow" w:cstheme="majorBidi"/>
                <w:bCs/>
                <w:sz w:val="20"/>
              </w:rPr>
              <w:t xml:space="preserve"> per QALY gained.</w:t>
            </w:r>
          </w:p>
        </w:tc>
      </w:tr>
      <w:tr w:rsidR="00AB7860" w:rsidRPr="009941F8" w14:paraId="0F3BE5E4" w14:textId="77777777" w:rsidTr="00CC67E7">
        <w:tc>
          <w:tcPr>
            <w:tcW w:w="705" w:type="pct"/>
            <w:shd w:val="clear" w:color="auto" w:fill="auto"/>
            <w:vAlign w:val="center"/>
          </w:tcPr>
          <w:p w14:paraId="0436C814"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Mortality</w:t>
            </w:r>
          </w:p>
        </w:tc>
        <w:tc>
          <w:tcPr>
            <w:tcW w:w="1886" w:type="pct"/>
            <w:shd w:val="clear" w:color="auto" w:fill="auto"/>
            <w:vAlign w:val="center"/>
          </w:tcPr>
          <w:p w14:paraId="44A64A68"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Age adjusted SLE mortality was adjusted by LLDAS status (HR 0.7 LLDAS vs average SLE, HR 3.49 not LLDAS vs average SLE)</w:t>
            </w:r>
          </w:p>
        </w:tc>
        <w:tc>
          <w:tcPr>
            <w:tcW w:w="2409" w:type="pct"/>
            <w:shd w:val="clear" w:color="auto" w:fill="auto"/>
            <w:vAlign w:val="center"/>
          </w:tcPr>
          <w:p w14:paraId="3A8158E4" w14:textId="1C363FB9"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High, favoured anifrolumab. If average SLE survival improved (e.g. equal to general population), ICER increased to $</w:t>
            </w:r>
            <w:r w:rsidR="00640EC9" w:rsidRPr="00640EC9">
              <w:rPr>
                <w:rFonts w:ascii="Arial Narrow" w:eastAsiaTheme="majorEastAsia" w:hAnsi="Arial Narrow" w:cstheme="majorBidi"/>
                <w:bCs/>
                <w:color w:val="000000"/>
                <w:spacing w:val="51"/>
                <w:sz w:val="20"/>
                <w:shd w:val="solid" w:color="000000" w:fill="000000"/>
                <w:fitText w:val="324" w:id="-961890043"/>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43"/>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2</w:t>
            </w:r>
            <w:r w:rsidR="0069446B">
              <w:rPr>
                <w:rFonts w:ascii="Arial Narrow" w:eastAsiaTheme="majorEastAsia" w:hAnsi="Arial Narrow" w:cstheme="majorBidi"/>
                <w:bCs/>
                <w:sz w:val="20"/>
                <w:vertAlign w:val="superscript"/>
              </w:rPr>
              <w:t xml:space="preserve"> </w:t>
            </w:r>
            <w:r w:rsidRPr="009941F8">
              <w:rPr>
                <w:rFonts w:ascii="Arial Narrow" w:eastAsiaTheme="majorEastAsia" w:hAnsi="Arial Narrow" w:cstheme="majorBidi"/>
                <w:bCs/>
                <w:sz w:val="20"/>
              </w:rPr>
              <w:t>per QALY gained. If survival benefit for LLDAS removed, the ICER increased to $</w:t>
            </w:r>
            <w:r w:rsidR="00640EC9" w:rsidRPr="00640EC9">
              <w:rPr>
                <w:rFonts w:ascii="Arial Narrow" w:eastAsiaTheme="majorEastAsia" w:hAnsi="Arial Narrow" w:cstheme="majorBidi"/>
                <w:bCs/>
                <w:color w:val="000000"/>
                <w:spacing w:val="51"/>
                <w:sz w:val="20"/>
                <w:shd w:val="solid" w:color="000000" w:fill="000000"/>
                <w:fitText w:val="324" w:id="-961890042"/>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42"/>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2</w:t>
            </w:r>
            <w:r w:rsidRPr="009941F8">
              <w:rPr>
                <w:rFonts w:ascii="Arial Narrow" w:eastAsiaTheme="majorEastAsia" w:hAnsi="Arial Narrow" w:cstheme="majorBidi"/>
                <w:bCs/>
                <w:sz w:val="20"/>
              </w:rPr>
              <w:t xml:space="preserve"> per QALY gained.</w:t>
            </w:r>
          </w:p>
        </w:tc>
      </w:tr>
      <w:tr w:rsidR="00AB7860" w:rsidRPr="009941F8" w14:paraId="462C75FD" w14:textId="77777777" w:rsidTr="00CC67E7">
        <w:tc>
          <w:tcPr>
            <w:tcW w:w="705" w:type="pct"/>
            <w:shd w:val="clear" w:color="auto" w:fill="auto"/>
            <w:vAlign w:val="center"/>
          </w:tcPr>
          <w:p w14:paraId="07EF251D"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Utility </w:t>
            </w:r>
          </w:p>
        </w:tc>
        <w:tc>
          <w:tcPr>
            <w:tcW w:w="1886" w:type="pct"/>
            <w:shd w:val="clear" w:color="auto" w:fill="auto"/>
            <w:vAlign w:val="center"/>
          </w:tcPr>
          <w:p w14:paraId="7C6F6F5F"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LLDAS status utility based on the anifrolumab arm of the TULIP trials, with additional disutility of 0.03 in the not LLDAS state for extra OCS use, to give 0.89 LLDAS, 0.78 not LLDAS</w:t>
            </w:r>
          </w:p>
          <w:p w14:paraId="5A10854C"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Additional disutility for flares of 0.16 per cycle</w:t>
            </w:r>
          </w:p>
        </w:tc>
        <w:tc>
          <w:tcPr>
            <w:tcW w:w="2409" w:type="pct"/>
            <w:shd w:val="clear" w:color="auto" w:fill="auto"/>
            <w:vAlign w:val="center"/>
          </w:tcPr>
          <w:p w14:paraId="46D6A321" w14:textId="4D05299D"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High, favoured anifrolumab. If utility based on placebo arm and OCS disutility removed (0.88 LLDAS, 0.82 not LLDAS), ICER increased to $</w:t>
            </w:r>
            <w:r w:rsidR="00640EC9" w:rsidRPr="00640EC9">
              <w:rPr>
                <w:rFonts w:ascii="Arial Narrow" w:eastAsiaTheme="majorEastAsia" w:hAnsi="Arial Narrow" w:cstheme="majorBidi"/>
                <w:bCs/>
                <w:color w:val="000000"/>
                <w:spacing w:val="51"/>
                <w:sz w:val="20"/>
                <w:shd w:val="solid" w:color="000000" w:fill="000000"/>
                <w:fitText w:val="324" w:id="-961890041"/>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41"/>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2</w:t>
            </w:r>
            <w:r w:rsidRPr="009941F8">
              <w:rPr>
                <w:rFonts w:ascii="Arial Narrow" w:eastAsiaTheme="majorEastAsia" w:hAnsi="Arial Narrow" w:cstheme="majorBidi"/>
                <w:bCs/>
                <w:sz w:val="20"/>
              </w:rPr>
              <w:t>/QALY gained</w:t>
            </w:r>
            <w:r w:rsidR="00393221" w:rsidRPr="009941F8">
              <w:rPr>
                <w:rFonts w:ascii="Arial Narrow" w:eastAsiaTheme="majorEastAsia" w:hAnsi="Arial Narrow" w:cstheme="majorBidi"/>
                <w:bCs/>
                <w:sz w:val="20"/>
              </w:rPr>
              <w:t>.</w:t>
            </w:r>
          </w:p>
          <w:p w14:paraId="333CFFC2" w14:textId="4814C846"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If flare disutility removed (health state utilities not adjusted for flares), the ICER increased to $</w:t>
            </w:r>
            <w:r w:rsidR="00640EC9" w:rsidRPr="00640EC9">
              <w:rPr>
                <w:rFonts w:ascii="Arial Narrow" w:eastAsiaTheme="majorEastAsia" w:hAnsi="Arial Narrow" w:cstheme="majorBidi"/>
                <w:bCs/>
                <w:color w:val="000000"/>
                <w:spacing w:val="51"/>
                <w:sz w:val="20"/>
                <w:shd w:val="solid" w:color="000000" w:fill="000000"/>
                <w:fitText w:val="324" w:id="-961890040"/>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40"/>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2</w:t>
            </w:r>
            <w:r w:rsidRPr="009941F8">
              <w:rPr>
                <w:rFonts w:ascii="Arial Narrow" w:eastAsiaTheme="majorEastAsia" w:hAnsi="Arial Narrow" w:cstheme="majorBidi"/>
                <w:bCs/>
                <w:sz w:val="20"/>
              </w:rPr>
              <w:t xml:space="preserve">/QALY gained. </w:t>
            </w:r>
          </w:p>
        </w:tc>
      </w:tr>
      <w:tr w:rsidR="00AB7860" w:rsidRPr="009941F8" w14:paraId="42A28C1B" w14:textId="77777777" w:rsidTr="00CC67E7">
        <w:tc>
          <w:tcPr>
            <w:tcW w:w="705" w:type="pct"/>
            <w:shd w:val="clear" w:color="auto" w:fill="auto"/>
            <w:vAlign w:val="center"/>
          </w:tcPr>
          <w:p w14:paraId="32B753D0" w14:textId="77777777"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Anifrolumab stopping rule</w:t>
            </w:r>
          </w:p>
        </w:tc>
        <w:tc>
          <w:tcPr>
            <w:tcW w:w="1886" w:type="pct"/>
            <w:shd w:val="clear" w:color="auto" w:fill="auto"/>
            <w:vAlign w:val="center"/>
          </w:tcPr>
          <w:p w14:paraId="3E17116E" w14:textId="1988C09B"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Patients stop anifrolumab if non-responder at 26 weeks, or if they lose LLDAS beyond 26 weeks. A proportion of patients who discontinued anifrolumab at or after Week 26 achieved LLDAS beyond </w:t>
            </w:r>
            <w:r w:rsidR="00393221" w:rsidRPr="009941F8">
              <w:rPr>
                <w:rFonts w:ascii="Arial Narrow" w:eastAsiaTheme="majorEastAsia" w:hAnsi="Arial Narrow" w:cstheme="majorBidi"/>
                <w:bCs/>
                <w:sz w:val="20"/>
              </w:rPr>
              <w:t xml:space="preserve">Week </w:t>
            </w:r>
            <w:r w:rsidRPr="009941F8">
              <w:rPr>
                <w:rFonts w:ascii="Arial Narrow" w:eastAsiaTheme="majorEastAsia" w:hAnsi="Arial Narrow" w:cstheme="majorBidi"/>
                <w:bCs/>
                <w:sz w:val="20"/>
              </w:rPr>
              <w:t>26.</w:t>
            </w:r>
            <w:r w:rsidR="00B47BF2" w:rsidRPr="009941F8">
              <w:rPr>
                <w:rFonts w:ascii="Arial Narrow" w:eastAsiaTheme="majorEastAsia" w:hAnsi="Arial Narrow" w:cstheme="majorBidi"/>
                <w:bCs/>
                <w:sz w:val="20"/>
              </w:rPr>
              <w:t xml:space="preserve"> </w:t>
            </w:r>
          </w:p>
        </w:tc>
        <w:tc>
          <w:tcPr>
            <w:tcW w:w="2409" w:type="pct"/>
            <w:shd w:val="clear" w:color="auto" w:fill="auto"/>
            <w:vAlign w:val="center"/>
          </w:tcPr>
          <w:p w14:paraId="16046BA6" w14:textId="5BB0D101" w:rsidR="00AB7860" w:rsidRPr="009941F8" w:rsidRDefault="00AB7860" w:rsidP="00A244E2">
            <w:pPr>
              <w:keepNext/>
              <w:jc w:val="left"/>
              <w:rPr>
                <w:rFonts w:ascii="Arial Narrow" w:eastAsiaTheme="majorEastAsia" w:hAnsi="Arial Narrow" w:cstheme="majorBidi"/>
                <w:bCs/>
                <w:sz w:val="20"/>
              </w:rPr>
            </w:pPr>
            <w:r w:rsidRPr="009941F8">
              <w:rPr>
                <w:rFonts w:ascii="Arial Narrow" w:eastAsiaTheme="majorEastAsia" w:hAnsi="Arial Narrow" w:cstheme="majorBidi"/>
                <w:bCs/>
                <w:sz w:val="20"/>
              </w:rPr>
              <w:t xml:space="preserve">High, favoured anifrolumab. If </w:t>
            </w:r>
            <w:r w:rsidR="00B65E03" w:rsidRPr="009941F8">
              <w:rPr>
                <w:rFonts w:ascii="Arial Narrow" w:eastAsiaTheme="majorEastAsia" w:hAnsi="Arial Narrow" w:cstheme="majorBidi"/>
                <w:bCs/>
                <w:sz w:val="20"/>
              </w:rPr>
              <w:t xml:space="preserve">all </w:t>
            </w:r>
            <w:r w:rsidRPr="009941F8">
              <w:rPr>
                <w:rFonts w:ascii="Arial Narrow" w:eastAsiaTheme="majorEastAsia" w:hAnsi="Arial Narrow" w:cstheme="majorBidi"/>
                <w:bCs/>
                <w:sz w:val="20"/>
              </w:rPr>
              <w:t>patients continued treatment to 52 weeks, ICER increased to $</w:t>
            </w:r>
            <w:r w:rsidR="00640EC9" w:rsidRPr="00640EC9">
              <w:rPr>
                <w:rFonts w:ascii="Arial Narrow" w:eastAsiaTheme="majorEastAsia" w:hAnsi="Arial Narrow" w:cstheme="majorBidi"/>
                <w:bCs/>
                <w:color w:val="000000"/>
                <w:spacing w:val="51"/>
                <w:sz w:val="20"/>
                <w:shd w:val="solid" w:color="000000" w:fill="000000"/>
                <w:fitText w:val="324" w:id="-961890039"/>
                <w14:textFill>
                  <w14:solidFill>
                    <w14:srgbClr w14:val="000000">
                      <w14:alpha w14:val="100000"/>
                    </w14:srgbClr>
                  </w14:solidFill>
                </w14:textFill>
              </w:rPr>
              <w:t>|||</w:t>
            </w:r>
            <w:r w:rsidR="00640EC9" w:rsidRPr="00640EC9">
              <w:rPr>
                <w:rFonts w:ascii="Arial Narrow" w:eastAsiaTheme="majorEastAsia" w:hAnsi="Arial Narrow" w:cstheme="majorBidi"/>
                <w:bCs/>
                <w:color w:val="000000"/>
                <w:spacing w:val="1"/>
                <w:sz w:val="20"/>
                <w:shd w:val="solid" w:color="000000" w:fill="000000"/>
                <w:fitText w:val="324" w:id="-961890039"/>
                <w14:textFill>
                  <w14:solidFill>
                    <w14:srgbClr w14:val="000000">
                      <w14:alpha w14:val="100000"/>
                    </w14:srgbClr>
                  </w14:solidFill>
                </w14:textFill>
              </w:rPr>
              <w:t>|</w:t>
            </w:r>
            <w:r w:rsidR="0069446B" w:rsidRPr="0069446B">
              <w:rPr>
                <w:rFonts w:ascii="Arial Narrow" w:eastAsiaTheme="majorEastAsia" w:hAnsi="Arial Narrow" w:cstheme="majorBidi"/>
                <w:bCs/>
                <w:sz w:val="20"/>
                <w:vertAlign w:val="superscript"/>
              </w:rPr>
              <w:t>3</w:t>
            </w:r>
            <w:r w:rsidRPr="009941F8">
              <w:rPr>
                <w:rFonts w:ascii="Arial Narrow" w:eastAsiaTheme="majorEastAsia" w:hAnsi="Arial Narrow" w:cstheme="majorBidi"/>
                <w:bCs/>
                <w:sz w:val="20"/>
              </w:rPr>
              <w:t>/QALY gained.</w:t>
            </w:r>
            <w:r w:rsidR="00B47BF2" w:rsidRPr="009941F8">
              <w:rPr>
                <w:rFonts w:ascii="Arial Narrow" w:eastAsiaTheme="majorEastAsia" w:hAnsi="Arial Narrow" w:cstheme="majorBidi"/>
                <w:bCs/>
                <w:sz w:val="20"/>
              </w:rPr>
              <w:t xml:space="preserve"> The model did not permit LLDAS and treatment discontinuations to be modelled separately beyond the three scenarios presented in the submission (response at 26 weeks [base], response at 52 weeks and anifrolumab never discontinued).</w:t>
            </w:r>
          </w:p>
        </w:tc>
      </w:tr>
    </w:tbl>
    <w:p w14:paraId="70E5C89D" w14:textId="77777777" w:rsidR="00AB7860" w:rsidRPr="009941F8" w:rsidRDefault="00AB7860" w:rsidP="00A244E2">
      <w:pPr>
        <w:spacing w:after="120"/>
        <w:contextualSpacing/>
        <w:rPr>
          <w:rFonts w:ascii="Arial Narrow" w:hAnsi="Arial Narrow"/>
          <w:snapToGrid w:val="0"/>
          <w:sz w:val="18"/>
          <w:szCs w:val="22"/>
        </w:rPr>
      </w:pPr>
      <w:r w:rsidRPr="009941F8">
        <w:rPr>
          <w:rFonts w:ascii="Arial Narrow" w:hAnsi="Arial Narrow"/>
          <w:snapToGrid w:val="0"/>
          <w:sz w:val="18"/>
          <w:szCs w:val="22"/>
        </w:rPr>
        <w:t>Source: compiled during the evaluation</w:t>
      </w:r>
    </w:p>
    <w:p w14:paraId="3A4E22F3" w14:textId="77777777" w:rsidR="00AB7860" w:rsidRDefault="00AB7860" w:rsidP="00A244E2">
      <w:pPr>
        <w:spacing w:after="120"/>
        <w:contextualSpacing/>
        <w:rPr>
          <w:rFonts w:ascii="Arial Narrow" w:hAnsi="Arial Narrow"/>
          <w:snapToGrid w:val="0"/>
          <w:sz w:val="18"/>
          <w:szCs w:val="20"/>
        </w:rPr>
      </w:pPr>
      <w:r w:rsidRPr="009941F8">
        <w:rPr>
          <w:rFonts w:ascii="Arial Narrow" w:hAnsi="Arial Narrow"/>
          <w:snapToGrid w:val="0"/>
          <w:sz w:val="18"/>
          <w:szCs w:val="20"/>
        </w:rPr>
        <w:t>ICER=incremental cost-effectiveness ratio; OCS=oral corticosteroids; QALY=quality adjusted life year; SLE=Systemic Lupus Erythematosus; SOC=standard of care, HR=hazard ratio</w:t>
      </w:r>
    </w:p>
    <w:p w14:paraId="19E4E694" w14:textId="77777777" w:rsidR="0069446B" w:rsidRPr="00F8396F" w:rsidRDefault="0069446B" w:rsidP="0069446B">
      <w:pPr>
        <w:spacing w:after="120"/>
        <w:contextualSpacing/>
        <w:rPr>
          <w:rFonts w:ascii="Arial Narrow" w:hAnsi="Arial Narrow"/>
          <w:i/>
          <w:iCs/>
          <w:snapToGrid w:val="0"/>
          <w:sz w:val="18"/>
          <w:szCs w:val="20"/>
        </w:rPr>
      </w:pPr>
      <w:r w:rsidRPr="00F8396F">
        <w:rPr>
          <w:rFonts w:ascii="Arial Narrow" w:hAnsi="Arial Narrow"/>
          <w:i/>
          <w:iCs/>
          <w:snapToGrid w:val="0"/>
          <w:sz w:val="18"/>
          <w:szCs w:val="20"/>
        </w:rPr>
        <w:t>The redacted values correspond to the following ranges:</w:t>
      </w:r>
    </w:p>
    <w:p w14:paraId="3CECBD23" w14:textId="428CF2AB" w:rsidR="0069446B" w:rsidRPr="00F8396F" w:rsidRDefault="0069446B" w:rsidP="0069446B">
      <w:pPr>
        <w:spacing w:after="120"/>
        <w:contextualSpacing/>
        <w:rPr>
          <w:rFonts w:ascii="Arial Narrow" w:hAnsi="Arial Narrow"/>
          <w:i/>
          <w:iCs/>
          <w:snapToGrid w:val="0"/>
          <w:sz w:val="18"/>
          <w:szCs w:val="20"/>
        </w:rPr>
      </w:pPr>
      <w:r w:rsidRPr="00F8396F">
        <w:rPr>
          <w:rFonts w:ascii="Arial Narrow" w:hAnsi="Arial Narrow"/>
          <w:i/>
          <w:iCs/>
          <w:snapToGrid w:val="0"/>
          <w:sz w:val="18"/>
          <w:szCs w:val="20"/>
          <w:vertAlign w:val="superscript"/>
        </w:rPr>
        <w:t>1</w:t>
      </w:r>
      <w:r w:rsidRPr="00F8396F">
        <w:rPr>
          <w:rFonts w:ascii="Arial Narrow" w:hAnsi="Arial Narrow"/>
          <w:i/>
          <w:iCs/>
          <w:snapToGrid w:val="0"/>
          <w:sz w:val="18"/>
          <w:szCs w:val="20"/>
        </w:rPr>
        <w:t xml:space="preserve"> $55,000 to &lt; $75,000 </w:t>
      </w:r>
    </w:p>
    <w:p w14:paraId="6120A96D" w14:textId="0406ED8F" w:rsidR="0069446B" w:rsidRPr="00F8396F" w:rsidRDefault="0069446B" w:rsidP="0069446B">
      <w:pPr>
        <w:spacing w:after="120"/>
        <w:contextualSpacing/>
        <w:rPr>
          <w:rFonts w:ascii="Arial Narrow" w:hAnsi="Arial Narrow"/>
          <w:i/>
          <w:iCs/>
          <w:snapToGrid w:val="0"/>
          <w:sz w:val="18"/>
          <w:szCs w:val="20"/>
        </w:rPr>
      </w:pPr>
      <w:r w:rsidRPr="00F8396F">
        <w:rPr>
          <w:rFonts w:ascii="Arial Narrow" w:hAnsi="Arial Narrow"/>
          <w:i/>
          <w:iCs/>
          <w:snapToGrid w:val="0"/>
          <w:sz w:val="18"/>
          <w:szCs w:val="20"/>
          <w:vertAlign w:val="superscript"/>
        </w:rPr>
        <w:t>2</w:t>
      </w:r>
      <w:r w:rsidRPr="00F8396F">
        <w:rPr>
          <w:rFonts w:ascii="Arial Narrow" w:hAnsi="Arial Narrow"/>
          <w:i/>
          <w:iCs/>
          <w:snapToGrid w:val="0"/>
          <w:sz w:val="18"/>
          <w:szCs w:val="20"/>
        </w:rPr>
        <w:t xml:space="preserve"> $75,000 to &lt; $95,000</w:t>
      </w:r>
    </w:p>
    <w:p w14:paraId="3D109FE7" w14:textId="49D0409B" w:rsidR="0069446B" w:rsidRPr="00F8396F" w:rsidRDefault="0069446B" w:rsidP="0069446B">
      <w:pPr>
        <w:spacing w:after="120"/>
        <w:contextualSpacing/>
        <w:rPr>
          <w:rFonts w:ascii="Arial Narrow" w:hAnsi="Arial Narrow"/>
          <w:i/>
          <w:iCs/>
          <w:snapToGrid w:val="0"/>
          <w:sz w:val="18"/>
          <w:szCs w:val="20"/>
        </w:rPr>
      </w:pPr>
      <w:r w:rsidRPr="00F8396F">
        <w:rPr>
          <w:rFonts w:ascii="Arial Narrow" w:hAnsi="Arial Narrow"/>
          <w:i/>
          <w:iCs/>
          <w:snapToGrid w:val="0"/>
          <w:sz w:val="18"/>
          <w:szCs w:val="20"/>
          <w:vertAlign w:val="superscript"/>
        </w:rPr>
        <w:t>3</w:t>
      </w:r>
      <w:r w:rsidRPr="00F8396F">
        <w:rPr>
          <w:rFonts w:ascii="Arial Narrow" w:hAnsi="Arial Narrow"/>
          <w:i/>
          <w:iCs/>
          <w:snapToGrid w:val="0"/>
          <w:sz w:val="18"/>
          <w:szCs w:val="20"/>
        </w:rPr>
        <w:t xml:space="preserve"> $95,000 to &lt; $115,000 </w:t>
      </w:r>
    </w:p>
    <w:p w14:paraId="629F9E1D" w14:textId="1E973559" w:rsidR="00AB7860" w:rsidRPr="009941F8" w:rsidRDefault="00CE7EC7" w:rsidP="00A244E2">
      <w:pPr>
        <w:pStyle w:val="3-BodyText"/>
      </w:pPr>
      <w:r>
        <w:fldChar w:fldCharType="begin" w:fldLock="1"/>
      </w:r>
      <w:r>
        <w:instrText xml:space="preserve"> REF _Ref121669141  \* MERGEFORMAT </w:instrText>
      </w:r>
      <w:r>
        <w:fldChar w:fldCharType="separate"/>
      </w:r>
      <w:r w:rsidR="00F07501" w:rsidRPr="009941F8">
        <w:t xml:space="preserve">Table </w:t>
      </w:r>
      <w:r w:rsidR="00F07501">
        <w:t>13</w:t>
      </w:r>
      <w:r>
        <w:fldChar w:fldCharType="end"/>
      </w:r>
      <w:r w:rsidR="00AB7860" w:rsidRPr="009941F8">
        <w:t xml:space="preserve"> summarises the stepped economic evaluation. The base case ICER was $</w:t>
      </w:r>
      <w:r w:rsidR="0069446B" w:rsidRPr="0069446B">
        <w:t xml:space="preserve">55,000 to &lt; $75,000 </w:t>
      </w:r>
      <w:r w:rsidR="00AB7860" w:rsidRPr="009941F8">
        <w:t>per QALY gained compared to $</w:t>
      </w:r>
      <w:r w:rsidR="0069446B" w:rsidRPr="0069446B">
        <w:t>75,000 to &lt;</w:t>
      </w:r>
      <w:r w:rsidR="00C71629">
        <w:t> </w:t>
      </w:r>
      <w:r w:rsidR="0069446B" w:rsidRPr="0069446B">
        <w:t>$95,000</w:t>
      </w:r>
      <w:r w:rsidR="00A91341">
        <w:t xml:space="preserve"> </w:t>
      </w:r>
      <w:r w:rsidR="00AB7860" w:rsidRPr="009941F8">
        <w:t xml:space="preserve">per QALY </w:t>
      </w:r>
      <w:r w:rsidR="00AB7860" w:rsidRPr="009941F8">
        <w:lastRenderedPageBreak/>
        <w:t>gained in the March 2023 resubmission ($</w:t>
      </w:r>
      <w:r w:rsidR="0069446B" w:rsidRPr="0069446B">
        <w:t>55,000 to &lt;</w:t>
      </w:r>
      <w:r w:rsidR="00C71629">
        <w:t> </w:t>
      </w:r>
      <w:r w:rsidR="0069446B" w:rsidRPr="0069446B">
        <w:t xml:space="preserve">$75,000 </w:t>
      </w:r>
      <w:r w:rsidR="00AB7860" w:rsidRPr="009941F8">
        <w:t>per QALY gained with the pre-PBAC response price of $</w:t>
      </w:r>
      <w:r w:rsidR="00640EC9" w:rsidRPr="00CE7EC7">
        <w:rPr>
          <w:color w:val="000000"/>
          <w:w w:val="15"/>
          <w:shd w:val="solid" w:color="000000" w:fill="000000"/>
          <w:fitText w:val="-20" w:id="-961890038"/>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8"/>
          <w14:textFill>
            <w14:solidFill>
              <w14:srgbClr w14:val="000000">
                <w14:alpha w14:val="100000"/>
              </w14:srgbClr>
            </w14:solidFill>
          </w14:textFill>
        </w:rPr>
        <w:t>|</w:t>
      </w:r>
      <w:r w:rsidR="00AB7860" w:rsidRPr="009941F8">
        <w:t>). The steps differed slightly between the current resubmission and the March 2023 resubmission. Compared to the March</w:t>
      </w:r>
      <w:r w:rsidR="00D31E29">
        <w:t> </w:t>
      </w:r>
      <w:r w:rsidR="00AB7860" w:rsidRPr="009941F8">
        <w:t xml:space="preserve">2023 </w:t>
      </w:r>
      <w:r w:rsidR="00BE4815" w:rsidRPr="009941F8">
        <w:t>re</w:t>
      </w:r>
      <w:r w:rsidR="00AB7860" w:rsidRPr="009941F8">
        <w:t xml:space="preserve">submission, Step 3: ‘cost per QALY at 1 year, all costs’ was replaced with ‘cost per QALY at 4 years, drug costs only’. Step 5 was updated to reflect the lifetime time horizon (30 years in the March 2023 </w:t>
      </w:r>
      <w:r w:rsidR="00BE4815" w:rsidRPr="009941F8">
        <w:t>re</w:t>
      </w:r>
      <w:r w:rsidR="00AB7860" w:rsidRPr="009941F8">
        <w:t>submission). Where possible the Steps from both resubmissions have been calculated for completeness. The 1 and 4-year analyses were corrected during the evaluation to represent a 1- and 4-year time horizon, rather than estimating them from the lifetime time horizon. The results showed the majority of the survival benefits for anifrolumab versus SOC were predicted to occur after 4</w:t>
      </w:r>
      <w:r w:rsidR="00A91341">
        <w:t> </w:t>
      </w:r>
      <w:r w:rsidR="00AB7860" w:rsidRPr="009941F8">
        <w:t>years (i.e., beyond available clinical data).</w:t>
      </w:r>
    </w:p>
    <w:p w14:paraId="2081B693" w14:textId="62AAC76C" w:rsidR="00AB7860" w:rsidRPr="009941F8" w:rsidRDefault="00AB7860" w:rsidP="00233562">
      <w:pPr>
        <w:pStyle w:val="TableFigureHeading"/>
        <w:keepNext w:val="0"/>
        <w:rPr>
          <w:rStyle w:val="CommentReference"/>
          <w:rFonts w:cs="Arial"/>
          <w:b/>
          <w:bCs w:val="0"/>
          <w:snapToGrid w:val="0"/>
          <w:szCs w:val="24"/>
        </w:rPr>
      </w:pPr>
      <w:bookmarkStart w:id="76" w:name="_Ref121669141"/>
      <w:r w:rsidRPr="009941F8">
        <w:t xml:space="preserve">Table </w:t>
      </w:r>
      <w:r w:rsidR="00CE7EC7">
        <w:fldChar w:fldCharType="begin" w:fldLock="1"/>
      </w:r>
      <w:r w:rsidR="00CE7EC7">
        <w:instrText xml:space="preserve"> SEQ Table \* ARABIC </w:instrText>
      </w:r>
      <w:r w:rsidR="00CE7EC7">
        <w:fldChar w:fldCharType="separate"/>
      </w:r>
      <w:r w:rsidR="00F07501">
        <w:rPr>
          <w:noProof/>
        </w:rPr>
        <w:t>13</w:t>
      </w:r>
      <w:r w:rsidR="00CE7EC7">
        <w:rPr>
          <w:noProof/>
        </w:rPr>
        <w:fldChar w:fldCharType="end"/>
      </w:r>
      <w:bookmarkEnd w:id="76"/>
      <w:r w:rsidRPr="009941F8">
        <w:t>:</w:t>
      </w:r>
      <w:r w:rsidRPr="009941F8">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w:tblPr>
      <w:tblGrid>
        <w:gridCol w:w="2968"/>
        <w:gridCol w:w="1279"/>
        <w:gridCol w:w="851"/>
        <w:gridCol w:w="1154"/>
        <w:gridCol w:w="1023"/>
        <w:gridCol w:w="772"/>
        <w:gridCol w:w="970"/>
      </w:tblGrid>
      <w:tr w:rsidR="00AB7860" w:rsidRPr="009941F8" w14:paraId="79A35EC6" w14:textId="77777777" w:rsidTr="00A244E2">
        <w:trPr>
          <w:tblHeader/>
        </w:trPr>
        <w:tc>
          <w:tcPr>
            <w:tcW w:w="1646" w:type="pct"/>
            <w:vAlign w:val="center"/>
          </w:tcPr>
          <w:p w14:paraId="2B45D86E" w14:textId="77777777" w:rsidR="00AB7860" w:rsidRPr="009941F8" w:rsidRDefault="00AB7860" w:rsidP="00233562">
            <w:pPr>
              <w:pStyle w:val="In-tableHeading"/>
              <w:keepNext w:val="0"/>
              <w:rPr>
                <w:lang w:val="en-AU"/>
              </w:rPr>
            </w:pPr>
          </w:p>
        </w:tc>
        <w:tc>
          <w:tcPr>
            <w:tcW w:w="1821" w:type="pct"/>
            <w:gridSpan w:val="3"/>
            <w:shd w:val="clear" w:color="auto" w:fill="auto"/>
            <w:vAlign w:val="center"/>
          </w:tcPr>
          <w:p w14:paraId="318CC230" w14:textId="77777777" w:rsidR="00AB7860" w:rsidRPr="009941F8" w:rsidRDefault="00AB7860" w:rsidP="00233562">
            <w:pPr>
              <w:pStyle w:val="In-tableHeading"/>
              <w:keepNext w:val="0"/>
              <w:jc w:val="center"/>
              <w:rPr>
                <w:lang w:val="en-AU"/>
              </w:rPr>
            </w:pPr>
            <w:r w:rsidRPr="009941F8">
              <w:rPr>
                <w:lang w:val="en-AU"/>
              </w:rPr>
              <w:t>March 2023 resubmission</w:t>
            </w:r>
          </w:p>
        </w:tc>
        <w:tc>
          <w:tcPr>
            <w:tcW w:w="1533" w:type="pct"/>
            <w:gridSpan w:val="3"/>
          </w:tcPr>
          <w:p w14:paraId="00027732" w14:textId="77777777" w:rsidR="00AB7860" w:rsidRPr="009941F8" w:rsidRDefault="00AB7860" w:rsidP="00233562">
            <w:pPr>
              <w:pStyle w:val="In-tableHeading"/>
              <w:keepNext w:val="0"/>
              <w:jc w:val="center"/>
              <w:rPr>
                <w:lang w:val="en-AU"/>
              </w:rPr>
            </w:pPr>
            <w:r w:rsidRPr="009941F8">
              <w:rPr>
                <w:lang w:val="en-AU"/>
              </w:rPr>
              <w:t>Resubmission</w:t>
            </w:r>
          </w:p>
        </w:tc>
      </w:tr>
      <w:tr w:rsidR="00AB7860" w:rsidRPr="009941F8" w14:paraId="495D438A" w14:textId="77777777" w:rsidTr="00A244E2">
        <w:trPr>
          <w:tblHeader/>
        </w:trPr>
        <w:tc>
          <w:tcPr>
            <w:tcW w:w="1646" w:type="pct"/>
            <w:tcBorders>
              <w:bottom w:val="single" w:sz="4" w:space="0" w:color="auto"/>
            </w:tcBorders>
            <w:vAlign w:val="center"/>
          </w:tcPr>
          <w:p w14:paraId="0B77D92E" w14:textId="77777777" w:rsidR="00AB7860" w:rsidRPr="009941F8" w:rsidRDefault="00AB7860" w:rsidP="00233562">
            <w:pPr>
              <w:pStyle w:val="In-tableHeading"/>
              <w:keepNext w:val="0"/>
              <w:rPr>
                <w:lang w:val="en-AU"/>
              </w:rPr>
            </w:pPr>
            <w:r w:rsidRPr="009941F8">
              <w:rPr>
                <w:lang w:val="en-AU"/>
              </w:rPr>
              <w:t>Step and component</w:t>
            </w:r>
          </w:p>
        </w:tc>
        <w:tc>
          <w:tcPr>
            <w:tcW w:w="709" w:type="pct"/>
            <w:tcBorders>
              <w:bottom w:val="single" w:sz="4" w:space="0" w:color="auto"/>
            </w:tcBorders>
            <w:shd w:val="clear" w:color="auto" w:fill="auto"/>
            <w:vAlign w:val="center"/>
          </w:tcPr>
          <w:p w14:paraId="0FD375BB" w14:textId="77777777" w:rsidR="00AB7860" w:rsidRPr="009941F8" w:rsidRDefault="00AB7860" w:rsidP="00233562">
            <w:pPr>
              <w:pStyle w:val="In-tableHeading"/>
              <w:keepNext w:val="0"/>
              <w:jc w:val="center"/>
              <w:rPr>
                <w:lang w:val="en-AU"/>
              </w:rPr>
            </w:pPr>
            <w:r w:rsidRPr="009941F8">
              <w:rPr>
                <w:lang w:val="en-AU"/>
              </w:rPr>
              <w:t>Anifrolumab arm</w:t>
            </w:r>
          </w:p>
        </w:tc>
        <w:tc>
          <w:tcPr>
            <w:tcW w:w="472" w:type="pct"/>
            <w:tcBorders>
              <w:bottom w:val="single" w:sz="4" w:space="0" w:color="auto"/>
            </w:tcBorders>
            <w:shd w:val="clear" w:color="auto" w:fill="auto"/>
            <w:vAlign w:val="center"/>
          </w:tcPr>
          <w:p w14:paraId="3E584D5E" w14:textId="77777777" w:rsidR="00AB7860" w:rsidRPr="009941F8" w:rsidRDefault="00AB7860" w:rsidP="00233562">
            <w:pPr>
              <w:pStyle w:val="In-tableHeading"/>
              <w:keepNext w:val="0"/>
              <w:jc w:val="center"/>
              <w:rPr>
                <w:lang w:val="en-AU"/>
              </w:rPr>
            </w:pPr>
            <w:r w:rsidRPr="009941F8">
              <w:rPr>
                <w:lang w:val="en-AU"/>
              </w:rPr>
              <w:t>SOC arm</w:t>
            </w:r>
          </w:p>
        </w:tc>
        <w:tc>
          <w:tcPr>
            <w:tcW w:w="640" w:type="pct"/>
            <w:tcBorders>
              <w:bottom w:val="single" w:sz="4" w:space="0" w:color="auto"/>
            </w:tcBorders>
            <w:shd w:val="clear" w:color="auto" w:fill="auto"/>
            <w:vAlign w:val="center"/>
          </w:tcPr>
          <w:p w14:paraId="5C9CDF18" w14:textId="77777777" w:rsidR="00AB7860" w:rsidRPr="009941F8" w:rsidRDefault="00AB7860" w:rsidP="00233562">
            <w:pPr>
              <w:pStyle w:val="In-tableHeading"/>
              <w:keepNext w:val="0"/>
              <w:jc w:val="center"/>
              <w:rPr>
                <w:lang w:val="en-AU"/>
              </w:rPr>
            </w:pPr>
            <w:r w:rsidRPr="009941F8">
              <w:rPr>
                <w:lang w:val="en-AU"/>
              </w:rPr>
              <w:t>Increment</w:t>
            </w:r>
          </w:p>
        </w:tc>
        <w:tc>
          <w:tcPr>
            <w:tcW w:w="567" w:type="pct"/>
            <w:tcBorders>
              <w:bottom w:val="single" w:sz="4" w:space="0" w:color="auto"/>
            </w:tcBorders>
            <w:vAlign w:val="center"/>
          </w:tcPr>
          <w:p w14:paraId="092794A8" w14:textId="77777777" w:rsidR="00AB7860" w:rsidRPr="009941F8" w:rsidRDefault="00AB7860" w:rsidP="00233562">
            <w:pPr>
              <w:pStyle w:val="In-tableHeading"/>
              <w:keepNext w:val="0"/>
              <w:jc w:val="center"/>
              <w:rPr>
                <w:lang w:val="en-AU"/>
              </w:rPr>
            </w:pPr>
            <w:r w:rsidRPr="009941F8">
              <w:rPr>
                <w:lang w:val="en-AU"/>
              </w:rPr>
              <w:t>Anifrolumab arm</w:t>
            </w:r>
          </w:p>
        </w:tc>
        <w:tc>
          <w:tcPr>
            <w:tcW w:w="428" w:type="pct"/>
            <w:tcBorders>
              <w:bottom w:val="single" w:sz="4" w:space="0" w:color="auto"/>
            </w:tcBorders>
            <w:vAlign w:val="center"/>
          </w:tcPr>
          <w:p w14:paraId="4E7EAAF3" w14:textId="77777777" w:rsidR="00AB7860" w:rsidRPr="009941F8" w:rsidRDefault="00AB7860" w:rsidP="00233562">
            <w:pPr>
              <w:pStyle w:val="In-tableHeading"/>
              <w:keepNext w:val="0"/>
              <w:jc w:val="center"/>
              <w:rPr>
                <w:lang w:val="en-AU"/>
              </w:rPr>
            </w:pPr>
            <w:r w:rsidRPr="009941F8">
              <w:rPr>
                <w:lang w:val="en-AU"/>
              </w:rPr>
              <w:t>SOC arm</w:t>
            </w:r>
          </w:p>
        </w:tc>
        <w:tc>
          <w:tcPr>
            <w:tcW w:w="538" w:type="pct"/>
            <w:tcBorders>
              <w:bottom w:val="single" w:sz="4" w:space="0" w:color="auto"/>
            </w:tcBorders>
            <w:vAlign w:val="center"/>
          </w:tcPr>
          <w:p w14:paraId="6C7115C6" w14:textId="77777777" w:rsidR="00AB7860" w:rsidRPr="009941F8" w:rsidRDefault="00AB7860" w:rsidP="00233562">
            <w:pPr>
              <w:pStyle w:val="In-tableHeading"/>
              <w:keepNext w:val="0"/>
              <w:jc w:val="center"/>
              <w:rPr>
                <w:lang w:val="en-AU"/>
              </w:rPr>
            </w:pPr>
            <w:r w:rsidRPr="009941F8">
              <w:rPr>
                <w:lang w:val="en-AU"/>
              </w:rPr>
              <w:t>Increment</w:t>
            </w:r>
          </w:p>
        </w:tc>
      </w:tr>
      <w:tr w:rsidR="00AB7860" w:rsidRPr="009941F8" w14:paraId="6534246F" w14:textId="77777777" w:rsidTr="00CC67E7">
        <w:tc>
          <w:tcPr>
            <w:tcW w:w="5000" w:type="pct"/>
            <w:gridSpan w:val="7"/>
            <w:tcBorders>
              <w:bottom w:val="nil"/>
            </w:tcBorders>
            <w:shd w:val="clear" w:color="auto" w:fill="auto"/>
            <w:vAlign w:val="center"/>
          </w:tcPr>
          <w:p w14:paraId="19F4F3A8" w14:textId="77777777" w:rsidR="00AB7860" w:rsidRPr="009941F8" w:rsidRDefault="00AB7860" w:rsidP="00233562">
            <w:pPr>
              <w:pStyle w:val="TableText0"/>
              <w:keepNext w:val="0"/>
              <w:rPr>
                <w:b/>
              </w:rPr>
            </w:pPr>
            <w:r w:rsidRPr="009941F8">
              <w:rPr>
                <w:b/>
              </w:rPr>
              <w:t>Step 1: Cost per responder at 24 weeks, no discounting</w:t>
            </w:r>
          </w:p>
        </w:tc>
      </w:tr>
      <w:tr w:rsidR="00AB7860" w:rsidRPr="009941F8" w14:paraId="287E7F79" w14:textId="77777777" w:rsidTr="00A244E2">
        <w:tc>
          <w:tcPr>
            <w:tcW w:w="1646" w:type="pct"/>
            <w:tcBorders>
              <w:top w:val="nil"/>
              <w:bottom w:val="nil"/>
            </w:tcBorders>
            <w:vAlign w:val="center"/>
          </w:tcPr>
          <w:p w14:paraId="1C669D34" w14:textId="77777777" w:rsidR="00AB7860" w:rsidRPr="009941F8" w:rsidRDefault="00AB7860" w:rsidP="00233562">
            <w:pPr>
              <w:pStyle w:val="TableText0"/>
              <w:keepNext w:val="0"/>
              <w:rPr>
                <w:rFonts w:ascii="Times" w:hAnsi="Times"/>
              </w:rPr>
            </w:pPr>
            <w:r w:rsidRPr="009941F8">
              <w:t>Costs (at 6 months)</w:t>
            </w:r>
          </w:p>
        </w:tc>
        <w:tc>
          <w:tcPr>
            <w:tcW w:w="709" w:type="pct"/>
            <w:tcBorders>
              <w:top w:val="nil"/>
              <w:bottom w:val="nil"/>
            </w:tcBorders>
            <w:shd w:val="clear" w:color="auto" w:fill="auto"/>
          </w:tcPr>
          <w:p w14:paraId="27A9966E" w14:textId="0BAA6AF4" w:rsidR="00AB7860" w:rsidRPr="009941F8" w:rsidRDefault="00AB7860" w:rsidP="00233562">
            <w:pPr>
              <w:pStyle w:val="TableText0"/>
              <w:keepNext w:val="0"/>
              <w:jc w:val="center"/>
              <w:rPr>
                <w:rFonts w:ascii="Times" w:hAnsi="Times"/>
              </w:rPr>
            </w:pPr>
            <w:r w:rsidRPr="009941F8">
              <w:t>$</w:t>
            </w:r>
            <w:r w:rsidR="00640EC9" w:rsidRPr="00640EC9">
              <w:rPr>
                <w:color w:val="000000"/>
                <w:shd w:val="solid" w:color="000000" w:fill="000000"/>
                <w14:textFill>
                  <w14:solidFill>
                    <w14:srgbClr w14:val="000000">
                      <w14:alpha w14:val="100000"/>
                    </w14:srgbClr>
                  </w14:solidFill>
                </w14:textFill>
              </w:rPr>
              <w:t>|</w:t>
            </w:r>
          </w:p>
        </w:tc>
        <w:tc>
          <w:tcPr>
            <w:tcW w:w="472" w:type="pct"/>
            <w:tcBorders>
              <w:top w:val="nil"/>
              <w:bottom w:val="nil"/>
            </w:tcBorders>
            <w:shd w:val="clear" w:color="auto" w:fill="auto"/>
          </w:tcPr>
          <w:p w14:paraId="2FFCB8D4" w14:textId="77777777" w:rsidR="00AB7860" w:rsidRPr="009941F8" w:rsidRDefault="00AB7860" w:rsidP="00233562">
            <w:pPr>
              <w:pStyle w:val="TableText0"/>
              <w:keepNext w:val="0"/>
              <w:jc w:val="center"/>
              <w:rPr>
                <w:rFonts w:ascii="Times" w:hAnsi="Times"/>
              </w:rPr>
            </w:pPr>
            <w:r w:rsidRPr="009941F8">
              <w:t xml:space="preserve">$0 </w:t>
            </w:r>
          </w:p>
        </w:tc>
        <w:tc>
          <w:tcPr>
            <w:tcW w:w="640" w:type="pct"/>
            <w:tcBorders>
              <w:top w:val="nil"/>
              <w:bottom w:val="nil"/>
            </w:tcBorders>
            <w:shd w:val="clear" w:color="auto" w:fill="auto"/>
          </w:tcPr>
          <w:p w14:paraId="0D4B5FB5" w14:textId="734969CA" w:rsidR="00AB7860" w:rsidRPr="009941F8" w:rsidRDefault="00AB7860" w:rsidP="00233562">
            <w:pPr>
              <w:pStyle w:val="TableText0"/>
              <w:keepNext w:val="0"/>
              <w:jc w:val="center"/>
              <w:rPr>
                <w:rFonts w:ascii="Times" w:hAnsi="Times"/>
              </w:rPr>
            </w:pPr>
            <w:r w:rsidRPr="009941F8">
              <w:t>$</w:t>
            </w:r>
            <w:r w:rsidR="00640EC9" w:rsidRPr="00640EC9">
              <w:rPr>
                <w:rFonts w:hint="eastAsia"/>
                <w:color w:val="000000"/>
                <w:w w:val="15"/>
                <w:shd w:val="solid" w:color="000000" w:fill="000000"/>
                <w:fitText w:val="48" w:id="-961890037"/>
                <w14:textFill>
                  <w14:solidFill>
                    <w14:srgbClr w14:val="000000">
                      <w14:alpha w14:val="100000"/>
                    </w14:srgbClr>
                  </w14:solidFill>
                </w14:textFill>
              </w:rPr>
              <w:t xml:space="preserve">　</w:t>
            </w:r>
            <w:r w:rsidR="00640EC9" w:rsidRPr="00640EC9">
              <w:rPr>
                <w:color w:val="000000"/>
                <w:w w:val="15"/>
                <w:shd w:val="solid" w:color="000000" w:fill="000000"/>
                <w:fitText w:val="48" w:id="-961890037"/>
                <w14:textFill>
                  <w14:solidFill>
                    <w14:srgbClr w14:val="000000">
                      <w14:alpha w14:val="100000"/>
                    </w14:srgbClr>
                  </w14:solidFill>
                </w14:textFill>
              </w:rPr>
              <w:t>|</w:t>
            </w:r>
            <w:r w:rsidR="00640EC9" w:rsidRPr="00640EC9">
              <w:rPr>
                <w:rFonts w:hint="eastAsia"/>
                <w:color w:val="000000"/>
                <w:spacing w:val="-17"/>
                <w:w w:val="15"/>
                <w:shd w:val="solid" w:color="000000" w:fill="000000"/>
                <w:fitText w:val="48" w:id="-961890037"/>
                <w14:textFill>
                  <w14:solidFill>
                    <w14:srgbClr w14:val="000000">
                      <w14:alpha w14:val="100000"/>
                    </w14:srgbClr>
                  </w14:solidFill>
                </w14:textFill>
              </w:rPr>
              <w:t xml:space="preserve">　</w:t>
            </w:r>
            <w:r w:rsidRPr="009941F8">
              <w:t xml:space="preserve"> </w:t>
            </w:r>
          </w:p>
        </w:tc>
        <w:tc>
          <w:tcPr>
            <w:tcW w:w="567" w:type="pct"/>
            <w:tcBorders>
              <w:top w:val="nil"/>
              <w:bottom w:val="nil"/>
            </w:tcBorders>
          </w:tcPr>
          <w:p w14:paraId="1FA34932" w14:textId="0F7CF55F" w:rsidR="00AB7860" w:rsidRPr="009941F8" w:rsidRDefault="00AB7860" w:rsidP="00233562">
            <w:pPr>
              <w:pStyle w:val="TableText0"/>
              <w:keepNext w:val="0"/>
              <w:jc w:val="center"/>
            </w:pPr>
            <w:r w:rsidRPr="009941F8">
              <w:t>$</w:t>
            </w:r>
            <w:r w:rsidR="00640EC9" w:rsidRPr="00640EC9">
              <w:rPr>
                <w:rFonts w:hint="eastAsia"/>
                <w:color w:val="000000"/>
                <w:w w:val="24"/>
                <w:shd w:val="solid" w:color="000000" w:fill="000000"/>
                <w:fitText w:val="108" w:id="-961890036"/>
                <w14:textFill>
                  <w14:solidFill>
                    <w14:srgbClr w14:val="000000">
                      <w14:alpha w14:val="100000"/>
                    </w14:srgbClr>
                  </w14:solidFill>
                </w14:textFill>
              </w:rPr>
              <w:t xml:space="preserve">　</w:t>
            </w:r>
            <w:r w:rsidR="00640EC9" w:rsidRPr="00640EC9">
              <w:rPr>
                <w:color w:val="000000"/>
                <w:w w:val="24"/>
                <w:shd w:val="solid" w:color="000000" w:fill="000000"/>
                <w:fitText w:val="108" w:id="-961890036"/>
                <w14:textFill>
                  <w14:solidFill>
                    <w14:srgbClr w14:val="000000">
                      <w14:alpha w14:val="100000"/>
                    </w14:srgbClr>
                  </w14:solidFill>
                </w14:textFill>
              </w:rPr>
              <w:t>|</w:t>
            </w:r>
            <w:r w:rsidR="00640EC9" w:rsidRPr="00640EC9">
              <w:rPr>
                <w:rFonts w:hint="eastAsia"/>
                <w:color w:val="000000"/>
                <w:spacing w:val="4"/>
                <w:w w:val="24"/>
                <w:shd w:val="solid" w:color="000000" w:fill="000000"/>
                <w:fitText w:val="108" w:id="-961890036"/>
                <w14:textFill>
                  <w14:solidFill>
                    <w14:srgbClr w14:val="000000">
                      <w14:alpha w14:val="100000"/>
                    </w14:srgbClr>
                  </w14:solidFill>
                </w14:textFill>
              </w:rPr>
              <w:t xml:space="preserve">　</w:t>
            </w:r>
          </w:p>
        </w:tc>
        <w:tc>
          <w:tcPr>
            <w:tcW w:w="428" w:type="pct"/>
            <w:tcBorders>
              <w:top w:val="nil"/>
              <w:bottom w:val="nil"/>
            </w:tcBorders>
          </w:tcPr>
          <w:p w14:paraId="563BBD9B" w14:textId="77777777" w:rsidR="00AB7860" w:rsidRPr="009941F8" w:rsidRDefault="00AB7860" w:rsidP="00233562">
            <w:pPr>
              <w:pStyle w:val="TableText0"/>
              <w:keepNext w:val="0"/>
              <w:jc w:val="center"/>
            </w:pPr>
            <w:r w:rsidRPr="009941F8">
              <w:t>$0</w:t>
            </w:r>
          </w:p>
        </w:tc>
        <w:tc>
          <w:tcPr>
            <w:tcW w:w="538" w:type="pct"/>
            <w:tcBorders>
              <w:top w:val="nil"/>
              <w:bottom w:val="nil"/>
            </w:tcBorders>
          </w:tcPr>
          <w:p w14:paraId="4CE5D739" w14:textId="1790B0DD" w:rsidR="00AB7860" w:rsidRPr="009941F8" w:rsidRDefault="00AB7860" w:rsidP="00233562">
            <w:pPr>
              <w:pStyle w:val="TableText0"/>
              <w:keepNext w:val="0"/>
              <w:jc w:val="center"/>
            </w:pPr>
            <w:r w:rsidRPr="009941F8">
              <w:t>$</w:t>
            </w:r>
            <w:r w:rsidR="00640EC9" w:rsidRPr="00640EC9">
              <w:rPr>
                <w:rFonts w:hint="eastAsia"/>
                <w:color w:val="000000"/>
                <w:w w:val="29"/>
                <w:shd w:val="solid" w:color="000000" w:fill="000000"/>
                <w:fitText w:val="132" w:id="-961890035"/>
                <w14:textFill>
                  <w14:solidFill>
                    <w14:srgbClr w14:val="000000">
                      <w14:alpha w14:val="100000"/>
                    </w14:srgbClr>
                  </w14:solidFill>
                </w14:textFill>
              </w:rPr>
              <w:t xml:space="preserve">　</w:t>
            </w:r>
            <w:r w:rsidR="00640EC9" w:rsidRPr="00640EC9">
              <w:rPr>
                <w:color w:val="000000"/>
                <w:w w:val="29"/>
                <w:shd w:val="solid" w:color="000000" w:fill="000000"/>
                <w:fitText w:val="132" w:id="-961890035"/>
                <w14:textFill>
                  <w14:solidFill>
                    <w14:srgbClr w14:val="000000">
                      <w14:alpha w14:val="100000"/>
                    </w14:srgbClr>
                  </w14:solidFill>
                </w14:textFill>
              </w:rPr>
              <w:t>|</w:t>
            </w:r>
            <w:r w:rsidR="00640EC9" w:rsidRPr="00640EC9">
              <w:rPr>
                <w:rFonts w:hint="eastAsia"/>
                <w:color w:val="000000"/>
                <w:spacing w:val="4"/>
                <w:w w:val="29"/>
                <w:shd w:val="solid" w:color="000000" w:fill="000000"/>
                <w:fitText w:val="132" w:id="-961890035"/>
                <w14:textFill>
                  <w14:solidFill>
                    <w14:srgbClr w14:val="000000">
                      <w14:alpha w14:val="100000"/>
                    </w14:srgbClr>
                  </w14:solidFill>
                </w14:textFill>
              </w:rPr>
              <w:t xml:space="preserve">　</w:t>
            </w:r>
          </w:p>
        </w:tc>
      </w:tr>
      <w:tr w:rsidR="00AB7860" w:rsidRPr="009941F8" w14:paraId="5B270D0A" w14:textId="77777777" w:rsidTr="00A244E2">
        <w:tc>
          <w:tcPr>
            <w:tcW w:w="1646" w:type="pct"/>
            <w:tcBorders>
              <w:top w:val="nil"/>
              <w:bottom w:val="nil"/>
            </w:tcBorders>
            <w:vAlign w:val="center"/>
          </w:tcPr>
          <w:p w14:paraId="17ED0FAA" w14:textId="77777777" w:rsidR="00AB7860" w:rsidRPr="009941F8" w:rsidRDefault="00AB7860" w:rsidP="00233562">
            <w:pPr>
              <w:pStyle w:val="TableText0"/>
              <w:keepNext w:val="0"/>
              <w:rPr>
                <w:rFonts w:ascii="Times" w:hAnsi="Times"/>
              </w:rPr>
            </w:pPr>
            <w:r w:rsidRPr="009941F8">
              <w:t>Responders</w:t>
            </w:r>
            <w:r w:rsidRPr="009941F8">
              <w:rPr>
                <w:vertAlign w:val="superscript"/>
              </w:rPr>
              <w:t>a</w:t>
            </w:r>
          </w:p>
        </w:tc>
        <w:tc>
          <w:tcPr>
            <w:tcW w:w="709" w:type="pct"/>
            <w:tcBorders>
              <w:top w:val="nil"/>
              <w:bottom w:val="nil"/>
            </w:tcBorders>
            <w:shd w:val="clear" w:color="auto" w:fill="auto"/>
          </w:tcPr>
          <w:p w14:paraId="7C7EA3E7" w14:textId="77777777" w:rsidR="00AB7860" w:rsidRPr="009941F8" w:rsidRDefault="00AB7860" w:rsidP="00233562">
            <w:pPr>
              <w:pStyle w:val="TableText0"/>
              <w:keepNext w:val="0"/>
              <w:jc w:val="center"/>
              <w:rPr>
                <w:rFonts w:ascii="Times" w:hAnsi="Times"/>
              </w:rPr>
            </w:pPr>
            <w:r w:rsidRPr="009941F8">
              <w:t>55.4%</w:t>
            </w:r>
          </w:p>
        </w:tc>
        <w:tc>
          <w:tcPr>
            <w:tcW w:w="472" w:type="pct"/>
            <w:tcBorders>
              <w:top w:val="nil"/>
              <w:bottom w:val="nil"/>
            </w:tcBorders>
            <w:shd w:val="clear" w:color="auto" w:fill="auto"/>
          </w:tcPr>
          <w:p w14:paraId="2162C922" w14:textId="77777777" w:rsidR="00AB7860" w:rsidRPr="009941F8" w:rsidRDefault="00AB7860" w:rsidP="00233562">
            <w:pPr>
              <w:pStyle w:val="TableText0"/>
              <w:keepNext w:val="0"/>
              <w:jc w:val="center"/>
              <w:rPr>
                <w:rFonts w:ascii="Times" w:hAnsi="Times"/>
              </w:rPr>
            </w:pPr>
            <w:r w:rsidRPr="009941F8">
              <w:t>47.4%</w:t>
            </w:r>
          </w:p>
        </w:tc>
        <w:tc>
          <w:tcPr>
            <w:tcW w:w="640" w:type="pct"/>
            <w:tcBorders>
              <w:top w:val="nil"/>
              <w:bottom w:val="nil"/>
            </w:tcBorders>
            <w:shd w:val="clear" w:color="auto" w:fill="auto"/>
          </w:tcPr>
          <w:p w14:paraId="65CAECB3" w14:textId="77777777" w:rsidR="00AB7860" w:rsidRPr="009941F8" w:rsidRDefault="00AB7860" w:rsidP="00233562">
            <w:pPr>
              <w:pStyle w:val="TableText0"/>
              <w:keepNext w:val="0"/>
              <w:jc w:val="center"/>
            </w:pPr>
            <w:r w:rsidRPr="009941F8">
              <w:t>8.0%</w:t>
            </w:r>
          </w:p>
        </w:tc>
        <w:tc>
          <w:tcPr>
            <w:tcW w:w="567" w:type="pct"/>
            <w:tcBorders>
              <w:top w:val="nil"/>
              <w:bottom w:val="nil"/>
            </w:tcBorders>
            <w:shd w:val="clear" w:color="auto" w:fill="auto"/>
          </w:tcPr>
          <w:p w14:paraId="34E77694" w14:textId="77777777" w:rsidR="00AB7860" w:rsidRPr="009941F8" w:rsidRDefault="00AB7860" w:rsidP="00233562">
            <w:pPr>
              <w:pStyle w:val="TableText0"/>
              <w:keepNext w:val="0"/>
              <w:jc w:val="center"/>
            </w:pPr>
            <w:r w:rsidRPr="009941F8">
              <w:t>20.9%</w:t>
            </w:r>
          </w:p>
        </w:tc>
        <w:tc>
          <w:tcPr>
            <w:tcW w:w="428" w:type="pct"/>
            <w:tcBorders>
              <w:top w:val="nil"/>
              <w:bottom w:val="nil"/>
            </w:tcBorders>
            <w:shd w:val="clear" w:color="auto" w:fill="auto"/>
          </w:tcPr>
          <w:p w14:paraId="2EBCE6A8" w14:textId="77777777" w:rsidR="00AB7860" w:rsidRPr="009941F8" w:rsidRDefault="00AB7860" w:rsidP="00233562">
            <w:pPr>
              <w:pStyle w:val="TableText0"/>
              <w:keepNext w:val="0"/>
              <w:jc w:val="center"/>
            </w:pPr>
            <w:r w:rsidRPr="009941F8">
              <w:t>9.0%</w:t>
            </w:r>
          </w:p>
        </w:tc>
        <w:tc>
          <w:tcPr>
            <w:tcW w:w="538" w:type="pct"/>
            <w:tcBorders>
              <w:top w:val="nil"/>
              <w:bottom w:val="nil"/>
            </w:tcBorders>
            <w:shd w:val="clear" w:color="auto" w:fill="auto"/>
          </w:tcPr>
          <w:p w14:paraId="1FE97B2C" w14:textId="77777777" w:rsidR="00AB7860" w:rsidRPr="009941F8" w:rsidRDefault="00AB7860" w:rsidP="00233562">
            <w:pPr>
              <w:pStyle w:val="TableText0"/>
              <w:keepNext w:val="0"/>
              <w:jc w:val="center"/>
            </w:pPr>
            <w:r w:rsidRPr="009941F8">
              <w:t>11.9%</w:t>
            </w:r>
          </w:p>
        </w:tc>
      </w:tr>
      <w:tr w:rsidR="00AB7860" w:rsidRPr="009941F8" w14:paraId="339CA804" w14:textId="77777777" w:rsidTr="00A244E2">
        <w:tc>
          <w:tcPr>
            <w:tcW w:w="1646" w:type="pct"/>
            <w:tcBorders>
              <w:top w:val="nil"/>
              <w:bottom w:val="single" w:sz="4" w:space="0" w:color="auto"/>
            </w:tcBorders>
            <w:shd w:val="clear" w:color="auto" w:fill="auto"/>
            <w:vAlign w:val="center"/>
          </w:tcPr>
          <w:p w14:paraId="042C3278" w14:textId="77777777" w:rsidR="00AB7860" w:rsidRPr="009941F8" w:rsidRDefault="00AB7860" w:rsidP="00233562">
            <w:pPr>
              <w:pStyle w:val="TableText0"/>
              <w:keepNext w:val="0"/>
              <w:jc w:val="right"/>
              <w:rPr>
                <w:rFonts w:ascii="Times" w:hAnsi="Times"/>
                <w:b/>
              </w:rPr>
            </w:pPr>
            <w:r w:rsidRPr="009941F8">
              <w:rPr>
                <w:b/>
              </w:rPr>
              <w:t>Incremental cost/extra responder</w:t>
            </w:r>
          </w:p>
        </w:tc>
        <w:tc>
          <w:tcPr>
            <w:tcW w:w="1181" w:type="pct"/>
            <w:gridSpan w:val="2"/>
            <w:tcBorders>
              <w:top w:val="nil"/>
              <w:bottom w:val="single" w:sz="4" w:space="0" w:color="auto"/>
            </w:tcBorders>
            <w:shd w:val="clear" w:color="auto" w:fill="auto"/>
          </w:tcPr>
          <w:p w14:paraId="2E98E668" w14:textId="77777777" w:rsidR="00AB7860" w:rsidRPr="009941F8" w:rsidRDefault="00AB7860" w:rsidP="00233562">
            <w:pPr>
              <w:pStyle w:val="TableText0"/>
              <w:keepNext w:val="0"/>
              <w:rPr>
                <w:rFonts w:ascii="Times" w:hAnsi="Times"/>
                <w:b/>
              </w:rPr>
            </w:pPr>
          </w:p>
        </w:tc>
        <w:tc>
          <w:tcPr>
            <w:tcW w:w="640" w:type="pct"/>
            <w:tcBorders>
              <w:top w:val="nil"/>
              <w:bottom w:val="single" w:sz="4" w:space="0" w:color="auto"/>
            </w:tcBorders>
            <w:shd w:val="clear" w:color="auto" w:fill="auto"/>
          </w:tcPr>
          <w:p w14:paraId="3ACC0231" w14:textId="3E01A71B" w:rsidR="00AB7860" w:rsidRPr="009941F8" w:rsidRDefault="00AB7860" w:rsidP="00233562">
            <w:pPr>
              <w:pStyle w:val="TableText0"/>
              <w:keepNext w:val="0"/>
              <w:jc w:val="center"/>
              <w:rPr>
                <w:rFonts w:ascii="Times" w:hAnsi="Times"/>
                <w:b/>
              </w:rPr>
            </w:pPr>
            <w:r w:rsidRPr="009941F8">
              <w:rPr>
                <w:b/>
              </w:rPr>
              <w:t>$</w:t>
            </w:r>
            <w:r w:rsidR="00640EC9" w:rsidRPr="00640EC9">
              <w:rPr>
                <w:rFonts w:hint="eastAsia"/>
                <w:b/>
                <w:color w:val="000000"/>
                <w:w w:val="26"/>
                <w:shd w:val="solid" w:color="000000" w:fill="000000"/>
                <w:fitText w:val="120" w:id="-961890034"/>
                <w14:textFill>
                  <w14:solidFill>
                    <w14:srgbClr w14:val="000000">
                      <w14:alpha w14:val="100000"/>
                    </w14:srgbClr>
                  </w14:solidFill>
                </w14:textFill>
              </w:rPr>
              <w:t xml:space="preserve">　</w:t>
            </w:r>
            <w:r w:rsidR="00640EC9" w:rsidRPr="00640EC9">
              <w:rPr>
                <w:b/>
                <w:color w:val="000000"/>
                <w:w w:val="26"/>
                <w:shd w:val="solid" w:color="000000" w:fill="000000"/>
                <w:fitText w:val="120" w:id="-961890034"/>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34"/>
                <w14:textFill>
                  <w14:solidFill>
                    <w14:srgbClr w14:val="000000">
                      <w14:alpha w14:val="100000"/>
                    </w14:srgbClr>
                  </w14:solidFill>
                </w14:textFill>
              </w:rPr>
              <w:t xml:space="preserve">　</w:t>
            </w:r>
            <w:r w:rsidR="00686E4D" w:rsidRPr="00686E4D">
              <w:rPr>
                <w:b/>
                <w:vertAlign w:val="superscript"/>
              </w:rPr>
              <w:t>1</w:t>
            </w:r>
          </w:p>
        </w:tc>
        <w:tc>
          <w:tcPr>
            <w:tcW w:w="567" w:type="pct"/>
            <w:tcBorders>
              <w:top w:val="nil"/>
              <w:bottom w:val="single" w:sz="4" w:space="0" w:color="auto"/>
            </w:tcBorders>
          </w:tcPr>
          <w:p w14:paraId="3F7CE68C" w14:textId="77777777" w:rsidR="00AB7860" w:rsidRPr="009941F8" w:rsidRDefault="00AB7860" w:rsidP="00233562">
            <w:pPr>
              <w:pStyle w:val="TableText0"/>
              <w:keepNext w:val="0"/>
              <w:jc w:val="center"/>
              <w:rPr>
                <w:b/>
              </w:rPr>
            </w:pPr>
          </w:p>
        </w:tc>
        <w:tc>
          <w:tcPr>
            <w:tcW w:w="428" w:type="pct"/>
            <w:tcBorders>
              <w:top w:val="nil"/>
              <w:bottom w:val="single" w:sz="4" w:space="0" w:color="auto"/>
            </w:tcBorders>
          </w:tcPr>
          <w:p w14:paraId="35A54D0C" w14:textId="77777777" w:rsidR="00AB7860" w:rsidRPr="009941F8" w:rsidRDefault="00AB7860" w:rsidP="00233562">
            <w:pPr>
              <w:pStyle w:val="TableText0"/>
              <w:keepNext w:val="0"/>
              <w:jc w:val="center"/>
              <w:rPr>
                <w:b/>
              </w:rPr>
            </w:pPr>
          </w:p>
        </w:tc>
        <w:tc>
          <w:tcPr>
            <w:tcW w:w="538" w:type="pct"/>
            <w:tcBorders>
              <w:top w:val="nil"/>
              <w:bottom w:val="single" w:sz="4" w:space="0" w:color="auto"/>
            </w:tcBorders>
          </w:tcPr>
          <w:p w14:paraId="21898414" w14:textId="3CB38719"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33"/>
                <w14:textFill>
                  <w14:solidFill>
                    <w14:srgbClr w14:val="000000">
                      <w14:alpha w14:val="100000"/>
                    </w14:srgbClr>
                  </w14:solidFill>
                </w14:textFill>
              </w:rPr>
              <w:t>|</w:t>
            </w:r>
            <w:r w:rsidR="00640EC9" w:rsidRPr="00640EC9">
              <w:rPr>
                <w:b/>
                <w:color w:val="000000"/>
                <w:spacing w:val="1"/>
                <w:shd w:val="solid" w:color="000000" w:fill="000000"/>
                <w:fitText w:val="204" w:id="-961890033"/>
                <w14:textFill>
                  <w14:solidFill>
                    <w14:srgbClr w14:val="000000">
                      <w14:alpha w14:val="100000"/>
                    </w14:srgbClr>
                  </w14:solidFill>
                </w14:textFill>
              </w:rPr>
              <w:t>|</w:t>
            </w:r>
            <w:r w:rsidR="008D5F3E" w:rsidRPr="008D5F3E">
              <w:rPr>
                <w:b/>
                <w:vertAlign w:val="superscript"/>
              </w:rPr>
              <w:t>2</w:t>
            </w:r>
          </w:p>
        </w:tc>
      </w:tr>
      <w:tr w:rsidR="00AB7860" w:rsidRPr="009941F8" w14:paraId="735CC631" w14:textId="77777777" w:rsidTr="00CC67E7">
        <w:tc>
          <w:tcPr>
            <w:tcW w:w="5000" w:type="pct"/>
            <w:gridSpan w:val="7"/>
            <w:tcBorders>
              <w:bottom w:val="nil"/>
            </w:tcBorders>
            <w:shd w:val="clear" w:color="auto" w:fill="auto"/>
            <w:vAlign w:val="center"/>
          </w:tcPr>
          <w:p w14:paraId="1BE67680" w14:textId="77777777" w:rsidR="00AB7860" w:rsidRPr="009941F8" w:rsidRDefault="00AB7860" w:rsidP="00233562">
            <w:pPr>
              <w:pStyle w:val="In-tableHeading"/>
              <w:keepNext w:val="0"/>
              <w:rPr>
                <w:lang w:val="en-AU"/>
              </w:rPr>
            </w:pPr>
            <w:r w:rsidRPr="009941F8">
              <w:rPr>
                <w:lang w:val="en-AU"/>
              </w:rPr>
              <w:t>Step 2: Cost per QALY at 1 year, anifrolumab costs, no discounting</w:t>
            </w:r>
          </w:p>
        </w:tc>
      </w:tr>
      <w:tr w:rsidR="00AB7860" w:rsidRPr="009941F8" w14:paraId="2277B207" w14:textId="77777777" w:rsidTr="00A244E2">
        <w:tc>
          <w:tcPr>
            <w:tcW w:w="1646" w:type="pct"/>
            <w:tcBorders>
              <w:top w:val="nil"/>
              <w:bottom w:val="nil"/>
            </w:tcBorders>
            <w:vAlign w:val="center"/>
          </w:tcPr>
          <w:p w14:paraId="492C40C2" w14:textId="77777777" w:rsidR="00AB7860" w:rsidRPr="009941F8" w:rsidRDefault="00AB7860" w:rsidP="00233562">
            <w:pPr>
              <w:pStyle w:val="TableText0"/>
              <w:keepNext w:val="0"/>
              <w:rPr>
                <w:rFonts w:ascii="Times" w:hAnsi="Times"/>
              </w:rPr>
            </w:pPr>
            <w:r w:rsidRPr="009941F8">
              <w:t>Costs</w:t>
            </w:r>
          </w:p>
        </w:tc>
        <w:tc>
          <w:tcPr>
            <w:tcW w:w="709" w:type="pct"/>
            <w:tcBorders>
              <w:top w:val="nil"/>
              <w:bottom w:val="nil"/>
            </w:tcBorders>
            <w:shd w:val="clear" w:color="auto" w:fill="auto"/>
          </w:tcPr>
          <w:p w14:paraId="41BD2F2A" w14:textId="53F17B1D" w:rsidR="00AB7860" w:rsidRPr="009941F8" w:rsidRDefault="00AB7860" w:rsidP="00233562">
            <w:pPr>
              <w:pStyle w:val="TableText0"/>
              <w:keepNext w:val="0"/>
              <w:jc w:val="center"/>
              <w:rPr>
                <w:rFonts w:ascii="Times" w:hAnsi="Times"/>
              </w:rPr>
            </w:pPr>
            <w:r w:rsidRPr="009941F8">
              <w:t>$</w:t>
            </w:r>
            <w:r w:rsidR="00640EC9" w:rsidRPr="00640EC9">
              <w:rPr>
                <w:color w:val="000000"/>
                <w:shd w:val="solid" w:color="000000" w:fill="000000"/>
                <w14:textFill>
                  <w14:solidFill>
                    <w14:srgbClr w14:val="000000">
                      <w14:alpha w14:val="100000"/>
                    </w14:srgbClr>
                  </w14:solidFill>
                </w14:textFill>
              </w:rPr>
              <w:t>|</w:t>
            </w:r>
          </w:p>
        </w:tc>
        <w:tc>
          <w:tcPr>
            <w:tcW w:w="472" w:type="pct"/>
            <w:tcBorders>
              <w:top w:val="nil"/>
              <w:bottom w:val="nil"/>
            </w:tcBorders>
            <w:shd w:val="clear" w:color="auto" w:fill="auto"/>
          </w:tcPr>
          <w:p w14:paraId="11C72C30" w14:textId="77777777" w:rsidR="00AB7860" w:rsidRPr="009941F8" w:rsidRDefault="00AB7860" w:rsidP="00233562">
            <w:pPr>
              <w:pStyle w:val="TableText0"/>
              <w:keepNext w:val="0"/>
              <w:jc w:val="center"/>
              <w:rPr>
                <w:rFonts w:ascii="Times" w:hAnsi="Times"/>
              </w:rPr>
            </w:pPr>
            <w:r w:rsidRPr="009941F8">
              <w:t xml:space="preserve">$0 </w:t>
            </w:r>
          </w:p>
        </w:tc>
        <w:tc>
          <w:tcPr>
            <w:tcW w:w="640" w:type="pct"/>
            <w:tcBorders>
              <w:top w:val="nil"/>
              <w:bottom w:val="nil"/>
            </w:tcBorders>
            <w:shd w:val="clear" w:color="auto" w:fill="auto"/>
          </w:tcPr>
          <w:p w14:paraId="20F6DD52" w14:textId="16C98777" w:rsidR="00AB7860" w:rsidRPr="009941F8" w:rsidRDefault="00AB7860" w:rsidP="00233562">
            <w:pPr>
              <w:pStyle w:val="TableText0"/>
              <w:keepNext w:val="0"/>
              <w:jc w:val="center"/>
              <w:rPr>
                <w:rFonts w:ascii="Times" w:hAnsi="Times"/>
              </w:rPr>
            </w:pPr>
            <w:r w:rsidRPr="009941F8">
              <w:t>$</w:t>
            </w:r>
            <w:r w:rsidR="00640EC9" w:rsidRPr="00640EC9">
              <w:rPr>
                <w:rFonts w:hint="eastAsia"/>
                <w:color w:val="000000"/>
                <w:w w:val="15"/>
                <w:shd w:val="solid" w:color="000000" w:fill="000000"/>
                <w:fitText w:val="48" w:id="-961890032"/>
                <w14:textFill>
                  <w14:solidFill>
                    <w14:srgbClr w14:val="000000">
                      <w14:alpha w14:val="100000"/>
                    </w14:srgbClr>
                  </w14:solidFill>
                </w14:textFill>
              </w:rPr>
              <w:t xml:space="preserve">　</w:t>
            </w:r>
            <w:r w:rsidR="00640EC9" w:rsidRPr="00640EC9">
              <w:rPr>
                <w:color w:val="000000"/>
                <w:w w:val="15"/>
                <w:shd w:val="solid" w:color="000000" w:fill="000000"/>
                <w:fitText w:val="48" w:id="-961890032"/>
                <w14:textFill>
                  <w14:solidFill>
                    <w14:srgbClr w14:val="000000">
                      <w14:alpha w14:val="100000"/>
                    </w14:srgbClr>
                  </w14:solidFill>
                </w14:textFill>
              </w:rPr>
              <w:t>|</w:t>
            </w:r>
            <w:r w:rsidR="00640EC9" w:rsidRPr="00640EC9">
              <w:rPr>
                <w:rFonts w:hint="eastAsia"/>
                <w:color w:val="000000"/>
                <w:spacing w:val="-17"/>
                <w:w w:val="15"/>
                <w:shd w:val="solid" w:color="000000" w:fill="000000"/>
                <w:fitText w:val="48" w:id="-961890032"/>
                <w14:textFill>
                  <w14:solidFill>
                    <w14:srgbClr w14:val="000000">
                      <w14:alpha w14:val="100000"/>
                    </w14:srgbClr>
                  </w14:solidFill>
                </w14:textFill>
              </w:rPr>
              <w:t xml:space="preserve">　</w:t>
            </w:r>
            <w:r w:rsidRPr="009941F8">
              <w:t xml:space="preserve"> </w:t>
            </w:r>
          </w:p>
        </w:tc>
        <w:tc>
          <w:tcPr>
            <w:tcW w:w="567" w:type="pct"/>
            <w:tcBorders>
              <w:top w:val="nil"/>
              <w:bottom w:val="nil"/>
            </w:tcBorders>
          </w:tcPr>
          <w:p w14:paraId="399548E3" w14:textId="63F64641" w:rsidR="00AB7860" w:rsidRPr="009941F8" w:rsidRDefault="00AB7860" w:rsidP="00233562">
            <w:pPr>
              <w:pStyle w:val="TableText0"/>
              <w:keepNext w:val="0"/>
              <w:jc w:val="center"/>
            </w:pPr>
            <w:r w:rsidRPr="009941F8">
              <w:t>$</w:t>
            </w:r>
            <w:r w:rsidR="00640EC9" w:rsidRPr="00640EC9">
              <w:rPr>
                <w:rFonts w:hint="eastAsia"/>
                <w:color w:val="000000"/>
                <w:w w:val="24"/>
                <w:shd w:val="solid" w:color="000000" w:fill="000000"/>
                <w:fitText w:val="108" w:id="-961890048"/>
                <w14:textFill>
                  <w14:solidFill>
                    <w14:srgbClr w14:val="000000">
                      <w14:alpha w14:val="100000"/>
                    </w14:srgbClr>
                  </w14:solidFill>
                </w14:textFill>
              </w:rPr>
              <w:t xml:space="preserve">　</w:t>
            </w:r>
            <w:r w:rsidR="00640EC9" w:rsidRPr="00640EC9">
              <w:rPr>
                <w:color w:val="000000"/>
                <w:w w:val="24"/>
                <w:shd w:val="solid" w:color="000000" w:fill="000000"/>
                <w:fitText w:val="108" w:id="-961890048"/>
                <w14:textFill>
                  <w14:solidFill>
                    <w14:srgbClr w14:val="000000">
                      <w14:alpha w14:val="100000"/>
                    </w14:srgbClr>
                  </w14:solidFill>
                </w14:textFill>
              </w:rPr>
              <w:t>|</w:t>
            </w:r>
            <w:r w:rsidR="00640EC9" w:rsidRPr="00640EC9">
              <w:rPr>
                <w:rFonts w:hint="eastAsia"/>
                <w:color w:val="000000"/>
                <w:spacing w:val="4"/>
                <w:w w:val="24"/>
                <w:shd w:val="solid" w:color="000000" w:fill="000000"/>
                <w:fitText w:val="108" w:id="-961890048"/>
                <w14:textFill>
                  <w14:solidFill>
                    <w14:srgbClr w14:val="000000">
                      <w14:alpha w14:val="100000"/>
                    </w14:srgbClr>
                  </w14:solidFill>
                </w14:textFill>
              </w:rPr>
              <w:t xml:space="preserve">　</w:t>
            </w:r>
          </w:p>
        </w:tc>
        <w:tc>
          <w:tcPr>
            <w:tcW w:w="428" w:type="pct"/>
            <w:tcBorders>
              <w:top w:val="nil"/>
              <w:bottom w:val="nil"/>
            </w:tcBorders>
          </w:tcPr>
          <w:p w14:paraId="2F1A0BDA" w14:textId="77777777" w:rsidR="00AB7860" w:rsidRPr="009941F8" w:rsidRDefault="00AB7860" w:rsidP="00233562">
            <w:pPr>
              <w:pStyle w:val="TableText0"/>
              <w:keepNext w:val="0"/>
              <w:jc w:val="center"/>
            </w:pPr>
            <w:r w:rsidRPr="009941F8">
              <w:t>$0</w:t>
            </w:r>
          </w:p>
        </w:tc>
        <w:tc>
          <w:tcPr>
            <w:tcW w:w="538" w:type="pct"/>
            <w:tcBorders>
              <w:top w:val="nil"/>
              <w:bottom w:val="nil"/>
            </w:tcBorders>
          </w:tcPr>
          <w:p w14:paraId="15456671" w14:textId="034EB0A3" w:rsidR="00AB7860" w:rsidRPr="009941F8" w:rsidRDefault="00AB7860" w:rsidP="00233562">
            <w:pPr>
              <w:pStyle w:val="TableText0"/>
              <w:keepNext w:val="0"/>
              <w:jc w:val="center"/>
            </w:pPr>
            <w:r w:rsidRPr="009941F8">
              <w:t>$</w:t>
            </w:r>
            <w:r w:rsidR="00640EC9" w:rsidRPr="00640EC9">
              <w:rPr>
                <w:rFonts w:hint="eastAsia"/>
                <w:color w:val="000000"/>
                <w:w w:val="29"/>
                <w:shd w:val="solid" w:color="000000" w:fill="000000"/>
                <w:fitText w:val="132" w:id="-961890047"/>
                <w14:textFill>
                  <w14:solidFill>
                    <w14:srgbClr w14:val="000000">
                      <w14:alpha w14:val="100000"/>
                    </w14:srgbClr>
                  </w14:solidFill>
                </w14:textFill>
              </w:rPr>
              <w:t xml:space="preserve">　</w:t>
            </w:r>
            <w:r w:rsidR="00640EC9" w:rsidRPr="00640EC9">
              <w:rPr>
                <w:color w:val="000000"/>
                <w:w w:val="29"/>
                <w:shd w:val="solid" w:color="000000" w:fill="000000"/>
                <w:fitText w:val="132" w:id="-961890047"/>
                <w14:textFill>
                  <w14:solidFill>
                    <w14:srgbClr w14:val="000000">
                      <w14:alpha w14:val="100000"/>
                    </w14:srgbClr>
                  </w14:solidFill>
                </w14:textFill>
              </w:rPr>
              <w:t>|</w:t>
            </w:r>
            <w:r w:rsidR="00640EC9" w:rsidRPr="00640EC9">
              <w:rPr>
                <w:rFonts w:hint="eastAsia"/>
                <w:color w:val="000000"/>
                <w:spacing w:val="4"/>
                <w:w w:val="29"/>
                <w:shd w:val="solid" w:color="000000" w:fill="000000"/>
                <w:fitText w:val="132" w:id="-961890047"/>
                <w14:textFill>
                  <w14:solidFill>
                    <w14:srgbClr w14:val="000000">
                      <w14:alpha w14:val="100000"/>
                    </w14:srgbClr>
                  </w14:solidFill>
                </w14:textFill>
              </w:rPr>
              <w:t xml:space="preserve">　</w:t>
            </w:r>
          </w:p>
        </w:tc>
      </w:tr>
      <w:tr w:rsidR="00AB7860" w:rsidRPr="009941F8" w14:paraId="14007911" w14:textId="77777777" w:rsidTr="00A244E2">
        <w:tc>
          <w:tcPr>
            <w:tcW w:w="1646" w:type="pct"/>
            <w:tcBorders>
              <w:top w:val="nil"/>
              <w:bottom w:val="nil"/>
            </w:tcBorders>
            <w:vAlign w:val="center"/>
          </w:tcPr>
          <w:p w14:paraId="64F57A20" w14:textId="77777777" w:rsidR="00AB7860" w:rsidRPr="009941F8" w:rsidRDefault="00AB7860" w:rsidP="00233562">
            <w:pPr>
              <w:pStyle w:val="TableText0"/>
              <w:keepNext w:val="0"/>
              <w:rPr>
                <w:rFonts w:ascii="Times" w:hAnsi="Times"/>
              </w:rPr>
            </w:pPr>
            <w:r w:rsidRPr="009941F8">
              <w:t>QALYs gained</w:t>
            </w:r>
          </w:p>
        </w:tc>
        <w:tc>
          <w:tcPr>
            <w:tcW w:w="709" w:type="pct"/>
            <w:tcBorders>
              <w:top w:val="nil"/>
              <w:bottom w:val="nil"/>
            </w:tcBorders>
            <w:shd w:val="clear" w:color="auto" w:fill="auto"/>
          </w:tcPr>
          <w:p w14:paraId="385B17AF" w14:textId="77777777" w:rsidR="00AB7860" w:rsidRPr="009941F8" w:rsidRDefault="00AB7860" w:rsidP="00233562">
            <w:pPr>
              <w:pStyle w:val="TableText0"/>
              <w:keepNext w:val="0"/>
              <w:jc w:val="center"/>
              <w:rPr>
                <w:rFonts w:ascii="Times" w:hAnsi="Times"/>
              </w:rPr>
            </w:pPr>
            <w:r w:rsidRPr="009941F8">
              <w:t>0.597</w:t>
            </w:r>
          </w:p>
        </w:tc>
        <w:tc>
          <w:tcPr>
            <w:tcW w:w="472" w:type="pct"/>
            <w:tcBorders>
              <w:top w:val="nil"/>
              <w:bottom w:val="nil"/>
            </w:tcBorders>
            <w:shd w:val="clear" w:color="auto" w:fill="auto"/>
          </w:tcPr>
          <w:p w14:paraId="19A86A4B" w14:textId="77777777" w:rsidR="00AB7860" w:rsidRPr="009941F8" w:rsidRDefault="00AB7860" w:rsidP="00233562">
            <w:pPr>
              <w:pStyle w:val="TableText0"/>
              <w:keepNext w:val="0"/>
              <w:jc w:val="center"/>
              <w:rPr>
                <w:rFonts w:ascii="Times" w:hAnsi="Times"/>
              </w:rPr>
            </w:pPr>
            <w:r w:rsidRPr="009941F8">
              <w:t>0.564</w:t>
            </w:r>
          </w:p>
        </w:tc>
        <w:tc>
          <w:tcPr>
            <w:tcW w:w="640" w:type="pct"/>
            <w:tcBorders>
              <w:top w:val="nil"/>
              <w:bottom w:val="nil"/>
            </w:tcBorders>
            <w:shd w:val="clear" w:color="auto" w:fill="auto"/>
          </w:tcPr>
          <w:p w14:paraId="6D02914A" w14:textId="77777777" w:rsidR="00AB7860" w:rsidRPr="009941F8" w:rsidRDefault="00AB7860" w:rsidP="00233562">
            <w:pPr>
              <w:pStyle w:val="TableText0"/>
              <w:keepNext w:val="0"/>
              <w:jc w:val="center"/>
            </w:pPr>
            <w:r w:rsidRPr="009941F8">
              <w:t>0.033</w:t>
            </w:r>
          </w:p>
        </w:tc>
        <w:tc>
          <w:tcPr>
            <w:tcW w:w="567" w:type="pct"/>
            <w:tcBorders>
              <w:top w:val="nil"/>
              <w:bottom w:val="nil"/>
            </w:tcBorders>
          </w:tcPr>
          <w:p w14:paraId="168CC01E" w14:textId="77777777" w:rsidR="00AB7860" w:rsidRPr="009941F8" w:rsidRDefault="00AB7860" w:rsidP="00233562">
            <w:pPr>
              <w:pStyle w:val="TableText0"/>
              <w:keepNext w:val="0"/>
              <w:jc w:val="center"/>
            </w:pPr>
            <w:r w:rsidRPr="009941F8">
              <w:t>0.696</w:t>
            </w:r>
            <w:r w:rsidRPr="009941F8">
              <w:rPr>
                <w:vertAlign w:val="superscript"/>
              </w:rPr>
              <w:t>b</w:t>
            </w:r>
          </w:p>
        </w:tc>
        <w:tc>
          <w:tcPr>
            <w:tcW w:w="428" w:type="pct"/>
            <w:tcBorders>
              <w:top w:val="nil"/>
              <w:bottom w:val="nil"/>
            </w:tcBorders>
          </w:tcPr>
          <w:p w14:paraId="30B2F8AB" w14:textId="77777777" w:rsidR="00AB7860" w:rsidRPr="009941F8" w:rsidRDefault="00AB7860" w:rsidP="00233562">
            <w:pPr>
              <w:pStyle w:val="TableText0"/>
              <w:keepNext w:val="0"/>
              <w:jc w:val="center"/>
            </w:pPr>
            <w:r w:rsidRPr="009941F8">
              <w:t>0.685</w:t>
            </w:r>
            <w:r w:rsidRPr="009941F8">
              <w:rPr>
                <w:vertAlign w:val="superscript"/>
              </w:rPr>
              <w:t xml:space="preserve"> b</w:t>
            </w:r>
          </w:p>
        </w:tc>
        <w:tc>
          <w:tcPr>
            <w:tcW w:w="538" w:type="pct"/>
            <w:tcBorders>
              <w:top w:val="nil"/>
              <w:bottom w:val="nil"/>
            </w:tcBorders>
          </w:tcPr>
          <w:p w14:paraId="5CFA93AF" w14:textId="77777777" w:rsidR="00AB7860" w:rsidRPr="009941F8" w:rsidRDefault="00AB7860" w:rsidP="00233562">
            <w:pPr>
              <w:pStyle w:val="TableText0"/>
              <w:keepNext w:val="0"/>
              <w:jc w:val="center"/>
            </w:pPr>
            <w:r w:rsidRPr="009941F8">
              <w:t>0.011</w:t>
            </w:r>
            <w:r w:rsidRPr="009941F8">
              <w:rPr>
                <w:vertAlign w:val="superscript"/>
              </w:rPr>
              <w:t xml:space="preserve"> b</w:t>
            </w:r>
          </w:p>
        </w:tc>
      </w:tr>
      <w:tr w:rsidR="00AB7860" w:rsidRPr="009941F8" w14:paraId="12479CDB" w14:textId="77777777" w:rsidTr="00A244E2">
        <w:tc>
          <w:tcPr>
            <w:tcW w:w="1646" w:type="pct"/>
            <w:tcBorders>
              <w:top w:val="nil"/>
              <w:bottom w:val="single" w:sz="4" w:space="0" w:color="auto"/>
            </w:tcBorders>
            <w:vAlign w:val="center"/>
          </w:tcPr>
          <w:p w14:paraId="71314881" w14:textId="77777777" w:rsidR="00AB7860" w:rsidRPr="009941F8" w:rsidRDefault="00AB7860" w:rsidP="00233562">
            <w:pPr>
              <w:pStyle w:val="TableText0"/>
              <w:keepNext w:val="0"/>
              <w:jc w:val="right"/>
              <w:rPr>
                <w:rFonts w:ascii="Times" w:hAnsi="Times"/>
                <w:b/>
              </w:rPr>
            </w:pPr>
            <w:r w:rsidRPr="009941F8">
              <w:rPr>
                <w:b/>
              </w:rPr>
              <w:t>Incremental cost/extra QALY gained</w:t>
            </w:r>
          </w:p>
        </w:tc>
        <w:tc>
          <w:tcPr>
            <w:tcW w:w="1181" w:type="pct"/>
            <w:gridSpan w:val="2"/>
            <w:tcBorders>
              <w:top w:val="nil"/>
              <w:bottom w:val="single" w:sz="4" w:space="0" w:color="auto"/>
            </w:tcBorders>
            <w:shd w:val="clear" w:color="auto" w:fill="auto"/>
            <w:vAlign w:val="center"/>
          </w:tcPr>
          <w:p w14:paraId="0AB77A12" w14:textId="77777777" w:rsidR="00AB7860" w:rsidRPr="009941F8" w:rsidRDefault="00AB7860" w:rsidP="00233562">
            <w:pPr>
              <w:pStyle w:val="TableText0"/>
              <w:keepNext w:val="0"/>
              <w:rPr>
                <w:rFonts w:ascii="Times" w:hAnsi="Times"/>
                <w:b/>
              </w:rPr>
            </w:pPr>
          </w:p>
        </w:tc>
        <w:tc>
          <w:tcPr>
            <w:tcW w:w="640" w:type="pct"/>
            <w:tcBorders>
              <w:top w:val="nil"/>
              <w:bottom w:val="single" w:sz="4" w:space="0" w:color="auto"/>
            </w:tcBorders>
            <w:shd w:val="clear" w:color="auto" w:fill="auto"/>
            <w:vAlign w:val="center"/>
          </w:tcPr>
          <w:p w14:paraId="3BD2CC19" w14:textId="0325D06C" w:rsidR="00AB7860" w:rsidRPr="009941F8" w:rsidRDefault="00AB7860" w:rsidP="00233562">
            <w:pPr>
              <w:pStyle w:val="TableText0"/>
              <w:keepNext w:val="0"/>
              <w:jc w:val="center"/>
              <w:rPr>
                <w:rFonts w:ascii="Times" w:hAnsi="Times"/>
                <w:b/>
              </w:rPr>
            </w:pPr>
            <w:r w:rsidRPr="009941F8">
              <w:rPr>
                <w:b/>
              </w:rPr>
              <w:t>$</w:t>
            </w:r>
            <w:r w:rsidR="00640EC9" w:rsidRPr="00640EC9">
              <w:rPr>
                <w:rFonts w:hint="eastAsia"/>
                <w:b/>
                <w:color w:val="000000"/>
                <w:w w:val="26"/>
                <w:shd w:val="solid" w:color="000000" w:fill="000000"/>
                <w:fitText w:val="120" w:id="-961890046"/>
                <w14:textFill>
                  <w14:solidFill>
                    <w14:srgbClr w14:val="000000">
                      <w14:alpha w14:val="100000"/>
                    </w14:srgbClr>
                  </w14:solidFill>
                </w14:textFill>
              </w:rPr>
              <w:t xml:space="preserve">　</w:t>
            </w:r>
            <w:r w:rsidR="00640EC9" w:rsidRPr="00640EC9">
              <w:rPr>
                <w:b/>
                <w:color w:val="000000"/>
                <w:w w:val="26"/>
                <w:shd w:val="solid" w:color="000000" w:fill="000000"/>
                <w:fitText w:val="120" w:id="-961890046"/>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46"/>
                <w14:textFill>
                  <w14:solidFill>
                    <w14:srgbClr w14:val="000000">
                      <w14:alpha w14:val="100000"/>
                    </w14:srgbClr>
                  </w14:solidFill>
                </w14:textFill>
              </w:rPr>
              <w:t xml:space="preserve">　</w:t>
            </w:r>
            <w:r w:rsidR="008D5F3E" w:rsidRPr="008D5F3E">
              <w:rPr>
                <w:b/>
                <w:vertAlign w:val="superscript"/>
              </w:rPr>
              <w:t>3</w:t>
            </w:r>
          </w:p>
        </w:tc>
        <w:tc>
          <w:tcPr>
            <w:tcW w:w="567" w:type="pct"/>
            <w:tcBorders>
              <w:top w:val="nil"/>
              <w:bottom w:val="single" w:sz="4" w:space="0" w:color="auto"/>
            </w:tcBorders>
          </w:tcPr>
          <w:p w14:paraId="20ECA078" w14:textId="77777777" w:rsidR="00AB7860" w:rsidRPr="009941F8" w:rsidRDefault="00AB7860" w:rsidP="00233562">
            <w:pPr>
              <w:pStyle w:val="TableText0"/>
              <w:keepNext w:val="0"/>
              <w:jc w:val="center"/>
              <w:rPr>
                <w:b/>
              </w:rPr>
            </w:pPr>
          </w:p>
        </w:tc>
        <w:tc>
          <w:tcPr>
            <w:tcW w:w="428" w:type="pct"/>
            <w:tcBorders>
              <w:top w:val="nil"/>
              <w:bottom w:val="single" w:sz="4" w:space="0" w:color="auto"/>
            </w:tcBorders>
          </w:tcPr>
          <w:p w14:paraId="30D4D6B7" w14:textId="77777777" w:rsidR="00AB7860" w:rsidRPr="009941F8" w:rsidRDefault="00AB7860" w:rsidP="00233562">
            <w:pPr>
              <w:pStyle w:val="TableText0"/>
              <w:keepNext w:val="0"/>
              <w:jc w:val="center"/>
              <w:rPr>
                <w:b/>
              </w:rPr>
            </w:pPr>
          </w:p>
        </w:tc>
        <w:tc>
          <w:tcPr>
            <w:tcW w:w="538" w:type="pct"/>
            <w:tcBorders>
              <w:top w:val="nil"/>
              <w:bottom w:val="single" w:sz="4" w:space="0" w:color="auto"/>
            </w:tcBorders>
          </w:tcPr>
          <w:p w14:paraId="703DEA04" w14:textId="57EF9244"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45"/>
                <w14:textFill>
                  <w14:solidFill>
                    <w14:srgbClr w14:val="000000">
                      <w14:alpha w14:val="100000"/>
                    </w14:srgbClr>
                  </w14:solidFill>
                </w14:textFill>
              </w:rPr>
              <w:t>|</w:t>
            </w:r>
            <w:r w:rsidR="00640EC9" w:rsidRPr="00640EC9">
              <w:rPr>
                <w:b/>
                <w:color w:val="000000"/>
                <w:spacing w:val="1"/>
                <w:shd w:val="solid" w:color="000000" w:fill="000000"/>
                <w:fitText w:val="204" w:id="-961890045"/>
                <w14:textFill>
                  <w14:solidFill>
                    <w14:srgbClr w14:val="000000">
                      <w14:alpha w14:val="100000"/>
                    </w14:srgbClr>
                  </w14:solidFill>
                </w14:textFill>
              </w:rPr>
              <w:t>|</w:t>
            </w:r>
            <w:r w:rsidR="008D5F3E" w:rsidRPr="008D5F3E">
              <w:rPr>
                <w:b/>
                <w:vertAlign w:val="superscript"/>
              </w:rPr>
              <w:t>4</w:t>
            </w:r>
          </w:p>
        </w:tc>
      </w:tr>
      <w:tr w:rsidR="00AB7860" w:rsidRPr="009941F8" w14:paraId="5CBA49E6" w14:textId="77777777" w:rsidTr="00CC67E7">
        <w:tc>
          <w:tcPr>
            <w:tcW w:w="5000" w:type="pct"/>
            <w:gridSpan w:val="7"/>
            <w:tcBorders>
              <w:bottom w:val="nil"/>
            </w:tcBorders>
            <w:shd w:val="clear" w:color="auto" w:fill="auto"/>
            <w:vAlign w:val="center"/>
          </w:tcPr>
          <w:p w14:paraId="60594BB5" w14:textId="77777777" w:rsidR="00AB7860" w:rsidRPr="009941F8" w:rsidRDefault="00AB7860" w:rsidP="00233562">
            <w:pPr>
              <w:pStyle w:val="In-tableHeading"/>
              <w:keepNext w:val="0"/>
              <w:rPr>
                <w:lang w:val="en-AU"/>
              </w:rPr>
            </w:pPr>
            <w:r w:rsidRPr="009941F8">
              <w:rPr>
                <w:lang w:val="en-AU"/>
              </w:rPr>
              <w:t>Step 3 (March 2023): ICER at 1 year, all costs, no discounting</w:t>
            </w:r>
          </w:p>
        </w:tc>
      </w:tr>
      <w:tr w:rsidR="00AB7860" w:rsidRPr="009941F8" w14:paraId="6F93F750" w14:textId="77777777" w:rsidTr="00A244E2">
        <w:trPr>
          <w:trHeight w:val="85"/>
        </w:trPr>
        <w:tc>
          <w:tcPr>
            <w:tcW w:w="1646" w:type="pct"/>
            <w:tcBorders>
              <w:top w:val="nil"/>
              <w:bottom w:val="nil"/>
            </w:tcBorders>
            <w:vAlign w:val="center"/>
          </w:tcPr>
          <w:p w14:paraId="71B1F303" w14:textId="77777777" w:rsidR="00AB7860" w:rsidRPr="009941F8" w:rsidRDefault="00AB7860" w:rsidP="00233562">
            <w:pPr>
              <w:pStyle w:val="TableText0"/>
              <w:keepNext w:val="0"/>
              <w:rPr>
                <w:rFonts w:ascii="Times" w:hAnsi="Times"/>
              </w:rPr>
            </w:pPr>
            <w:r w:rsidRPr="009941F8">
              <w:t>Costs</w:t>
            </w:r>
            <w:r w:rsidRPr="009941F8">
              <w:rPr>
                <w:vertAlign w:val="superscript"/>
              </w:rPr>
              <w:t>b,c</w:t>
            </w:r>
          </w:p>
        </w:tc>
        <w:tc>
          <w:tcPr>
            <w:tcW w:w="709" w:type="pct"/>
            <w:tcBorders>
              <w:top w:val="nil"/>
              <w:bottom w:val="nil"/>
            </w:tcBorders>
            <w:shd w:val="clear" w:color="auto" w:fill="auto"/>
          </w:tcPr>
          <w:p w14:paraId="52C4C0F6" w14:textId="72B241E3" w:rsidR="00AB7860" w:rsidRPr="009941F8" w:rsidRDefault="00AB7860" w:rsidP="00233562">
            <w:pPr>
              <w:pStyle w:val="TableText0"/>
              <w:keepNext w:val="0"/>
              <w:jc w:val="center"/>
              <w:rPr>
                <w:rFonts w:ascii="Times" w:hAnsi="Times"/>
              </w:rPr>
            </w:pPr>
            <w:r w:rsidRPr="009941F8">
              <w:t>$</w:t>
            </w:r>
            <w:r w:rsidR="00640EC9" w:rsidRPr="00640EC9">
              <w:rPr>
                <w:color w:val="000000"/>
                <w:shd w:val="solid" w:color="000000" w:fill="000000"/>
                <w14:textFill>
                  <w14:solidFill>
                    <w14:srgbClr w14:val="000000">
                      <w14:alpha w14:val="100000"/>
                    </w14:srgbClr>
                  </w14:solidFill>
                </w14:textFill>
              </w:rPr>
              <w:t>|</w:t>
            </w:r>
            <w:r w:rsidRPr="009941F8">
              <w:t xml:space="preserve"> </w:t>
            </w:r>
          </w:p>
        </w:tc>
        <w:tc>
          <w:tcPr>
            <w:tcW w:w="472" w:type="pct"/>
            <w:tcBorders>
              <w:top w:val="nil"/>
              <w:bottom w:val="nil"/>
            </w:tcBorders>
            <w:shd w:val="clear" w:color="auto" w:fill="auto"/>
          </w:tcPr>
          <w:p w14:paraId="612B7568" w14:textId="77777777" w:rsidR="00AB7860" w:rsidRPr="009941F8" w:rsidRDefault="00AB7860" w:rsidP="00233562">
            <w:pPr>
              <w:pStyle w:val="TableText0"/>
              <w:keepNext w:val="0"/>
              <w:jc w:val="center"/>
              <w:rPr>
                <w:rFonts w:ascii="Times" w:hAnsi="Times"/>
              </w:rPr>
            </w:pPr>
            <w:r w:rsidRPr="009941F8">
              <w:t xml:space="preserve">$3,907 </w:t>
            </w:r>
          </w:p>
        </w:tc>
        <w:tc>
          <w:tcPr>
            <w:tcW w:w="640" w:type="pct"/>
            <w:tcBorders>
              <w:top w:val="nil"/>
              <w:bottom w:val="nil"/>
            </w:tcBorders>
            <w:shd w:val="clear" w:color="auto" w:fill="auto"/>
          </w:tcPr>
          <w:p w14:paraId="5B440107" w14:textId="780727A7" w:rsidR="00AB7860" w:rsidRPr="009941F8" w:rsidRDefault="00AB7860" w:rsidP="00233562">
            <w:pPr>
              <w:pStyle w:val="TableText0"/>
              <w:keepNext w:val="0"/>
              <w:jc w:val="center"/>
              <w:rPr>
                <w:rFonts w:ascii="Times" w:hAnsi="Times"/>
              </w:rPr>
            </w:pPr>
            <w:r w:rsidRPr="009941F8">
              <w:t>$</w:t>
            </w:r>
            <w:r w:rsidR="00640EC9" w:rsidRPr="00640EC9">
              <w:rPr>
                <w:rFonts w:hint="eastAsia"/>
                <w:color w:val="000000"/>
                <w:w w:val="15"/>
                <w:shd w:val="solid" w:color="000000" w:fill="000000"/>
                <w:fitText w:val="48" w:id="-961890044"/>
                <w14:textFill>
                  <w14:solidFill>
                    <w14:srgbClr w14:val="000000">
                      <w14:alpha w14:val="100000"/>
                    </w14:srgbClr>
                  </w14:solidFill>
                </w14:textFill>
              </w:rPr>
              <w:t xml:space="preserve">　</w:t>
            </w:r>
            <w:r w:rsidR="00640EC9" w:rsidRPr="00640EC9">
              <w:rPr>
                <w:color w:val="000000"/>
                <w:w w:val="15"/>
                <w:shd w:val="solid" w:color="000000" w:fill="000000"/>
                <w:fitText w:val="48" w:id="-961890044"/>
                <w14:textFill>
                  <w14:solidFill>
                    <w14:srgbClr w14:val="000000">
                      <w14:alpha w14:val="100000"/>
                    </w14:srgbClr>
                  </w14:solidFill>
                </w14:textFill>
              </w:rPr>
              <w:t>|</w:t>
            </w:r>
            <w:r w:rsidR="00640EC9" w:rsidRPr="00640EC9">
              <w:rPr>
                <w:rFonts w:hint="eastAsia"/>
                <w:color w:val="000000"/>
                <w:spacing w:val="-17"/>
                <w:w w:val="15"/>
                <w:shd w:val="solid" w:color="000000" w:fill="000000"/>
                <w:fitText w:val="48" w:id="-961890044"/>
                <w14:textFill>
                  <w14:solidFill>
                    <w14:srgbClr w14:val="000000">
                      <w14:alpha w14:val="100000"/>
                    </w14:srgbClr>
                  </w14:solidFill>
                </w14:textFill>
              </w:rPr>
              <w:t xml:space="preserve">　</w:t>
            </w:r>
            <w:r w:rsidRPr="009941F8">
              <w:t xml:space="preserve"> </w:t>
            </w:r>
          </w:p>
        </w:tc>
        <w:tc>
          <w:tcPr>
            <w:tcW w:w="567" w:type="pct"/>
            <w:tcBorders>
              <w:top w:val="nil"/>
              <w:bottom w:val="nil"/>
            </w:tcBorders>
          </w:tcPr>
          <w:p w14:paraId="5AE8591C" w14:textId="7B0FDFB3" w:rsidR="00AB7860" w:rsidRPr="009941F8" w:rsidRDefault="00AB7860" w:rsidP="00233562">
            <w:pPr>
              <w:pStyle w:val="TableText0"/>
              <w:keepNext w:val="0"/>
              <w:jc w:val="center"/>
            </w:pPr>
            <w:r w:rsidRPr="009941F8">
              <w:t>$</w:t>
            </w:r>
            <w:r w:rsidR="00640EC9" w:rsidRPr="00640EC9">
              <w:rPr>
                <w:rFonts w:hint="eastAsia"/>
                <w:color w:val="000000"/>
                <w:w w:val="24"/>
                <w:shd w:val="solid" w:color="000000" w:fill="000000"/>
                <w:fitText w:val="108" w:id="-961890043"/>
                <w14:textFill>
                  <w14:solidFill>
                    <w14:srgbClr w14:val="000000">
                      <w14:alpha w14:val="100000"/>
                    </w14:srgbClr>
                  </w14:solidFill>
                </w14:textFill>
              </w:rPr>
              <w:t xml:space="preserve">　</w:t>
            </w:r>
            <w:r w:rsidR="00640EC9" w:rsidRPr="00640EC9">
              <w:rPr>
                <w:color w:val="000000"/>
                <w:w w:val="24"/>
                <w:shd w:val="solid" w:color="000000" w:fill="000000"/>
                <w:fitText w:val="108" w:id="-961890043"/>
                <w14:textFill>
                  <w14:solidFill>
                    <w14:srgbClr w14:val="000000">
                      <w14:alpha w14:val="100000"/>
                    </w14:srgbClr>
                  </w14:solidFill>
                </w14:textFill>
              </w:rPr>
              <w:t>|</w:t>
            </w:r>
            <w:r w:rsidR="00640EC9" w:rsidRPr="00640EC9">
              <w:rPr>
                <w:rFonts w:hint="eastAsia"/>
                <w:color w:val="000000"/>
                <w:spacing w:val="4"/>
                <w:w w:val="24"/>
                <w:shd w:val="solid" w:color="000000" w:fill="000000"/>
                <w:fitText w:val="108" w:id="-961890043"/>
                <w14:textFill>
                  <w14:solidFill>
                    <w14:srgbClr w14:val="000000">
                      <w14:alpha w14:val="100000"/>
                    </w14:srgbClr>
                  </w14:solidFill>
                </w14:textFill>
              </w:rPr>
              <w:t xml:space="preserve">　</w:t>
            </w:r>
          </w:p>
        </w:tc>
        <w:tc>
          <w:tcPr>
            <w:tcW w:w="428" w:type="pct"/>
            <w:tcBorders>
              <w:top w:val="nil"/>
              <w:bottom w:val="nil"/>
            </w:tcBorders>
          </w:tcPr>
          <w:p w14:paraId="1EAF72C5" w14:textId="77777777" w:rsidR="00AB7860" w:rsidRPr="009941F8" w:rsidRDefault="00AB7860" w:rsidP="00233562">
            <w:pPr>
              <w:pStyle w:val="TableText0"/>
              <w:keepNext w:val="0"/>
              <w:jc w:val="center"/>
            </w:pPr>
            <w:r w:rsidRPr="009941F8">
              <w:t>$14,431</w:t>
            </w:r>
          </w:p>
        </w:tc>
        <w:tc>
          <w:tcPr>
            <w:tcW w:w="538" w:type="pct"/>
            <w:tcBorders>
              <w:top w:val="nil"/>
              <w:bottom w:val="nil"/>
            </w:tcBorders>
          </w:tcPr>
          <w:p w14:paraId="4BD2C31C" w14:textId="611B6E78" w:rsidR="00AB7860" w:rsidRPr="009941F8" w:rsidRDefault="00AB7860" w:rsidP="00233562">
            <w:pPr>
              <w:pStyle w:val="TableText0"/>
              <w:keepNext w:val="0"/>
              <w:jc w:val="center"/>
            </w:pPr>
            <w:r w:rsidRPr="009941F8">
              <w:t>$</w:t>
            </w:r>
            <w:r w:rsidR="00640EC9" w:rsidRPr="00640EC9">
              <w:rPr>
                <w:rFonts w:hint="eastAsia"/>
                <w:color w:val="000000"/>
                <w:w w:val="29"/>
                <w:shd w:val="solid" w:color="000000" w:fill="000000"/>
                <w:fitText w:val="132" w:id="-961890042"/>
                <w14:textFill>
                  <w14:solidFill>
                    <w14:srgbClr w14:val="000000">
                      <w14:alpha w14:val="100000"/>
                    </w14:srgbClr>
                  </w14:solidFill>
                </w14:textFill>
              </w:rPr>
              <w:t xml:space="preserve">　</w:t>
            </w:r>
            <w:r w:rsidR="00640EC9" w:rsidRPr="00640EC9">
              <w:rPr>
                <w:color w:val="000000"/>
                <w:w w:val="29"/>
                <w:shd w:val="solid" w:color="000000" w:fill="000000"/>
                <w:fitText w:val="132" w:id="-961890042"/>
                <w14:textFill>
                  <w14:solidFill>
                    <w14:srgbClr w14:val="000000">
                      <w14:alpha w14:val="100000"/>
                    </w14:srgbClr>
                  </w14:solidFill>
                </w14:textFill>
              </w:rPr>
              <w:t>|</w:t>
            </w:r>
            <w:r w:rsidR="00640EC9" w:rsidRPr="00640EC9">
              <w:rPr>
                <w:rFonts w:hint="eastAsia"/>
                <w:color w:val="000000"/>
                <w:spacing w:val="4"/>
                <w:w w:val="29"/>
                <w:shd w:val="solid" w:color="000000" w:fill="000000"/>
                <w:fitText w:val="132" w:id="-961890042"/>
                <w14:textFill>
                  <w14:solidFill>
                    <w14:srgbClr w14:val="000000">
                      <w14:alpha w14:val="100000"/>
                    </w14:srgbClr>
                  </w14:solidFill>
                </w14:textFill>
              </w:rPr>
              <w:t xml:space="preserve">　</w:t>
            </w:r>
          </w:p>
        </w:tc>
      </w:tr>
      <w:tr w:rsidR="00AB7860" w:rsidRPr="009941F8" w14:paraId="7010F48C" w14:textId="77777777" w:rsidTr="00A244E2">
        <w:tc>
          <w:tcPr>
            <w:tcW w:w="1646" w:type="pct"/>
            <w:tcBorders>
              <w:top w:val="nil"/>
              <w:bottom w:val="nil"/>
            </w:tcBorders>
            <w:vAlign w:val="center"/>
          </w:tcPr>
          <w:p w14:paraId="1A83B8B8" w14:textId="77777777" w:rsidR="00AB7860" w:rsidRPr="009941F8" w:rsidRDefault="00AB7860" w:rsidP="00233562">
            <w:pPr>
              <w:pStyle w:val="TableText0"/>
              <w:keepNext w:val="0"/>
            </w:pPr>
            <w:r w:rsidRPr="009941F8">
              <w:t>LYG</w:t>
            </w:r>
          </w:p>
        </w:tc>
        <w:tc>
          <w:tcPr>
            <w:tcW w:w="709" w:type="pct"/>
            <w:tcBorders>
              <w:top w:val="nil"/>
              <w:bottom w:val="nil"/>
            </w:tcBorders>
            <w:shd w:val="clear" w:color="auto" w:fill="auto"/>
          </w:tcPr>
          <w:p w14:paraId="4A5219AC" w14:textId="77777777" w:rsidR="00AB7860" w:rsidRPr="009941F8" w:rsidRDefault="00AB7860" w:rsidP="00233562">
            <w:pPr>
              <w:pStyle w:val="TableText0"/>
              <w:keepNext w:val="0"/>
              <w:jc w:val="center"/>
            </w:pPr>
            <w:r w:rsidRPr="009941F8">
              <w:t>0.983</w:t>
            </w:r>
          </w:p>
        </w:tc>
        <w:tc>
          <w:tcPr>
            <w:tcW w:w="472" w:type="pct"/>
            <w:tcBorders>
              <w:top w:val="nil"/>
              <w:bottom w:val="nil"/>
            </w:tcBorders>
            <w:shd w:val="clear" w:color="auto" w:fill="auto"/>
          </w:tcPr>
          <w:p w14:paraId="4AAFC97B" w14:textId="77777777" w:rsidR="00AB7860" w:rsidRPr="009941F8" w:rsidRDefault="00AB7860" w:rsidP="00233562">
            <w:pPr>
              <w:pStyle w:val="TableText0"/>
              <w:keepNext w:val="0"/>
              <w:jc w:val="center"/>
            </w:pPr>
            <w:r w:rsidRPr="009941F8">
              <w:t>0.983</w:t>
            </w:r>
          </w:p>
        </w:tc>
        <w:tc>
          <w:tcPr>
            <w:tcW w:w="640" w:type="pct"/>
            <w:tcBorders>
              <w:top w:val="nil"/>
              <w:bottom w:val="nil"/>
            </w:tcBorders>
            <w:shd w:val="clear" w:color="auto" w:fill="auto"/>
          </w:tcPr>
          <w:p w14:paraId="54D14009" w14:textId="77777777" w:rsidR="00AB7860" w:rsidRPr="009941F8" w:rsidRDefault="00AB7860" w:rsidP="00233562">
            <w:pPr>
              <w:pStyle w:val="TableText0"/>
              <w:keepNext w:val="0"/>
              <w:jc w:val="center"/>
            </w:pPr>
            <w:r w:rsidRPr="009941F8">
              <w:t>0.0003</w:t>
            </w:r>
          </w:p>
        </w:tc>
        <w:tc>
          <w:tcPr>
            <w:tcW w:w="567" w:type="pct"/>
            <w:tcBorders>
              <w:top w:val="nil"/>
              <w:bottom w:val="nil"/>
            </w:tcBorders>
          </w:tcPr>
          <w:p w14:paraId="7A9276A0" w14:textId="77777777" w:rsidR="00AB7860" w:rsidRPr="009941F8" w:rsidRDefault="00AB7860" w:rsidP="00233562">
            <w:pPr>
              <w:pStyle w:val="TableText0"/>
              <w:keepNext w:val="0"/>
              <w:jc w:val="center"/>
            </w:pPr>
            <w:r w:rsidRPr="009941F8">
              <w:t>0.993</w:t>
            </w:r>
          </w:p>
        </w:tc>
        <w:tc>
          <w:tcPr>
            <w:tcW w:w="428" w:type="pct"/>
            <w:tcBorders>
              <w:top w:val="nil"/>
              <w:bottom w:val="nil"/>
            </w:tcBorders>
          </w:tcPr>
          <w:p w14:paraId="5FDDE4C4" w14:textId="77777777" w:rsidR="00AB7860" w:rsidRPr="009941F8" w:rsidRDefault="00AB7860" w:rsidP="00233562">
            <w:pPr>
              <w:pStyle w:val="TableText0"/>
              <w:keepNext w:val="0"/>
              <w:jc w:val="center"/>
            </w:pPr>
            <w:r w:rsidRPr="009941F8">
              <w:t>0.992</w:t>
            </w:r>
          </w:p>
        </w:tc>
        <w:tc>
          <w:tcPr>
            <w:tcW w:w="538" w:type="pct"/>
            <w:tcBorders>
              <w:top w:val="nil"/>
              <w:bottom w:val="nil"/>
            </w:tcBorders>
          </w:tcPr>
          <w:p w14:paraId="5E9E0ACB" w14:textId="77777777" w:rsidR="00AB7860" w:rsidRPr="009941F8" w:rsidRDefault="00AB7860" w:rsidP="00233562">
            <w:pPr>
              <w:pStyle w:val="TableText0"/>
              <w:keepNext w:val="0"/>
              <w:jc w:val="center"/>
            </w:pPr>
            <w:r w:rsidRPr="009941F8">
              <w:t>0.0002</w:t>
            </w:r>
          </w:p>
        </w:tc>
      </w:tr>
      <w:tr w:rsidR="00AB7860" w:rsidRPr="009941F8" w14:paraId="15C89564" w14:textId="77777777" w:rsidTr="00A244E2">
        <w:tc>
          <w:tcPr>
            <w:tcW w:w="1646" w:type="pct"/>
            <w:tcBorders>
              <w:top w:val="nil"/>
              <w:bottom w:val="nil"/>
            </w:tcBorders>
            <w:vAlign w:val="center"/>
          </w:tcPr>
          <w:p w14:paraId="558280CA" w14:textId="77777777" w:rsidR="00AB7860" w:rsidRPr="009941F8" w:rsidRDefault="00AB7860" w:rsidP="00233562">
            <w:pPr>
              <w:pStyle w:val="TableText0"/>
              <w:keepNext w:val="0"/>
              <w:jc w:val="right"/>
              <w:rPr>
                <w:b/>
              </w:rPr>
            </w:pPr>
            <w:r w:rsidRPr="009941F8">
              <w:rPr>
                <w:b/>
              </w:rPr>
              <w:t>Incremental cost/LYG</w:t>
            </w:r>
          </w:p>
        </w:tc>
        <w:tc>
          <w:tcPr>
            <w:tcW w:w="1181" w:type="pct"/>
            <w:gridSpan w:val="2"/>
            <w:tcBorders>
              <w:top w:val="nil"/>
              <w:bottom w:val="nil"/>
            </w:tcBorders>
            <w:shd w:val="clear" w:color="auto" w:fill="auto"/>
            <w:vAlign w:val="center"/>
          </w:tcPr>
          <w:p w14:paraId="0A93AECF" w14:textId="77777777" w:rsidR="00AB7860" w:rsidRPr="009941F8" w:rsidRDefault="00AB7860" w:rsidP="00233562">
            <w:pPr>
              <w:pStyle w:val="TableText0"/>
              <w:keepNext w:val="0"/>
              <w:rPr>
                <w:b/>
              </w:rPr>
            </w:pPr>
          </w:p>
        </w:tc>
        <w:tc>
          <w:tcPr>
            <w:tcW w:w="640" w:type="pct"/>
            <w:tcBorders>
              <w:top w:val="nil"/>
              <w:bottom w:val="nil"/>
            </w:tcBorders>
            <w:shd w:val="clear" w:color="auto" w:fill="auto"/>
          </w:tcPr>
          <w:p w14:paraId="5EA6047A" w14:textId="0DEAE723" w:rsidR="00AB7860" w:rsidRPr="009941F8" w:rsidRDefault="00AB7860" w:rsidP="00233562">
            <w:pPr>
              <w:pStyle w:val="TableText0"/>
              <w:keepNext w:val="0"/>
              <w:jc w:val="center"/>
              <w:rPr>
                <w:b/>
              </w:rPr>
            </w:pPr>
            <w:r w:rsidRPr="009941F8">
              <w:rPr>
                <w:b/>
              </w:rPr>
              <w:t>$</w:t>
            </w:r>
            <w:r w:rsidR="00640EC9" w:rsidRPr="00640EC9">
              <w:rPr>
                <w:rFonts w:hint="eastAsia"/>
                <w:b/>
                <w:color w:val="000000"/>
                <w:w w:val="26"/>
                <w:shd w:val="solid" w:color="000000" w:fill="000000"/>
                <w:fitText w:val="120" w:id="-961890041"/>
                <w14:textFill>
                  <w14:solidFill>
                    <w14:srgbClr w14:val="000000">
                      <w14:alpha w14:val="100000"/>
                    </w14:srgbClr>
                  </w14:solidFill>
                </w14:textFill>
              </w:rPr>
              <w:t xml:space="preserve">　</w:t>
            </w:r>
            <w:r w:rsidR="00640EC9" w:rsidRPr="00640EC9">
              <w:rPr>
                <w:b/>
                <w:color w:val="000000"/>
                <w:w w:val="26"/>
                <w:shd w:val="solid" w:color="000000" w:fill="000000"/>
                <w:fitText w:val="120" w:id="-961890041"/>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41"/>
                <w14:textFill>
                  <w14:solidFill>
                    <w14:srgbClr w14:val="000000">
                      <w14:alpha w14:val="100000"/>
                    </w14:srgbClr>
                  </w14:solidFill>
                </w14:textFill>
              </w:rPr>
              <w:t xml:space="preserve">　</w:t>
            </w:r>
            <w:r w:rsidR="008D5F3E" w:rsidRPr="008D5F3E">
              <w:rPr>
                <w:b/>
                <w:vertAlign w:val="superscript"/>
              </w:rPr>
              <w:t>5</w:t>
            </w:r>
          </w:p>
        </w:tc>
        <w:tc>
          <w:tcPr>
            <w:tcW w:w="567" w:type="pct"/>
            <w:tcBorders>
              <w:top w:val="nil"/>
              <w:bottom w:val="nil"/>
            </w:tcBorders>
          </w:tcPr>
          <w:p w14:paraId="2206AEE3" w14:textId="77777777" w:rsidR="00AB7860" w:rsidRPr="009941F8" w:rsidRDefault="00AB7860" w:rsidP="00233562">
            <w:pPr>
              <w:pStyle w:val="TableText0"/>
              <w:keepNext w:val="0"/>
              <w:jc w:val="center"/>
              <w:rPr>
                <w:b/>
              </w:rPr>
            </w:pPr>
          </w:p>
        </w:tc>
        <w:tc>
          <w:tcPr>
            <w:tcW w:w="428" w:type="pct"/>
            <w:tcBorders>
              <w:top w:val="nil"/>
              <w:bottom w:val="nil"/>
            </w:tcBorders>
          </w:tcPr>
          <w:p w14:paraId="757009E3" w14:textId="77777777" w:rsidR="00AB7860" w:rsidRPr="009941F8" w:rsidRDefault="00AB7860" w:rsidP="00233562">
            <w:pPr>
              <w:pStyle w:val="TableText0"/>
              <w:keepNext w:val="0"/>
              <w:jc w:val="center"/>
              <w:rPr>
                <w:b/>
              </w:rPr>
            </w:pPr>
          </w:p>
        </w:tc>
        <w:tc>
          <w:tcPr>
            <w:tcW w:w="538" w:type="pct"/>
            <w:tcBorders>
              <w:top w:val="nil"/>
              <w:bottom w:val="nil"/>
            </w:tcBorders>
          </w:tcPr>
          <w:p w14:paraId="663837FB" w14:textId="12E10297"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40"/>
                <w14:textFill>
                  <w14:solidFill>
                    <w14:srgbClr w14:val="000000">
                      <w14:alpha w14:val="100000"/>
                    </w14:srgbClr>
                  </w14:solidFill>
                </w14:textFill>
              </w:rPr>
              <w:t>|</w:t>
            </w:r>
            <w:r w:rsidR="00640EC9" w:rsidRPr="00640EC9">
              <w:rPr>
                <w:b/>
                <w:color w:val="000000"/>
                <w:spacing w:val="1"/>
                <w:shd w:val="solid" w:color="000000" w:fill="000000"/>
                <w:fitText w:val="204" w:id="-961890040"/>
                <w14:textFill>
                  <w14:solidFill>
                    <w14:srgbClr w14:val="000000">
                      <w14:alpha w14:val="100000"/>
                    </w14:srgbClr>
                  </w14:solidFill>
                </w14:textFill>
              </w:rPr>
              <w:t>|</w:t>
            </w:r>
            <w:r w:rsidR="008D5F3E" w:rsidRPr="008D5F3E">
              <w:rPr>
                <w:b/>
                <w:vertAlign w:val="superscript"/>
              </w:rPr>
              <w:t>5</w:t>
            </w:r>
          </w:p>
        </w:tc>
      </w:tr>
      <w:tr w:rsidR="00AB7860" w:rsidRPr="009941F8" w14:paraId="0AAD3AC7" w14:textId="77777777" w:rsidTr="00A244E2">
        <w:tc>
          <w:tcPr>
            <w:tcW w:w="1646" w:type="pct"/>
            <w:tcBorders>
              <w:top w:val="nil"/>
              <w:bottom w:val="nil"/>
            </w:tcBorders>
            <w:vAlign w:val="center"/>
          </w:tcPr>
          <w:p w14:paraId="4B17E4CF" w14:textId="77777777" w:rsidR="00AB7860" w:rsidRPr="009941F8" w:rsidRDefault="00AB7860" w:rsidP="00233562">
            <w:pPr>
              <w:pStyle w:val="TableText0"/>
              <w:keepNext w:val="0"/>
              <w:rPr>
                <w:rFonts w:ascii="Times" w:hAnsi="Times"/>
              </w:rPr>
            </w:pPr>
            <w:r w:rsidRPr="009941F8">
              <w:t>QALYs gained</w:t>
            </w:r>
          </w:p>
        </w:tc>
        <w:tc>
          <w:tcPr>
            <w:tcW w:w="709" w:type="pct"/>
            <w:tcBorders>
              <w:top w:val="nil"/>
              <w:bottom w:val="nil"/>
            </w:tcBorders>
            <w:shd w:val="clear" w:color="auto" w:fill="auto"/>
          </w:tcPr>
          <w:p w14:paraId="6EB1BDFA" w14:textId="77777777" w:rsidR="00AB7860" w:rsidRPr="009941F8" w:rsidRDefault="00AB7860" w:rsidP="00233562">
            <w:pPr>
              <w:pStyle w:val="TableText0"/>
              <w:keepNext w:val="0"/>
              <w:jc w:val="center"/>
              <w:rPr>
                <w:rFonts w:ascii="Times" w:hAnsi="Times"/>
              </w:rPr>
            </w:pPr>
            <w:r w:rsidRPr="009941F8">
              <w:t>0.597</w:t>
            </w:r>
          </w:p>
        </w:tc>
        <w:tc>
          <w:tcPr>
            <w:tcW w:w="472" w:type="pct"/>
            <w:tcBorders>
              <w:top w:val="nil"/>
              <w:bottom w:val="nil"/>
            </w:tcBorders>
            <w:shd w:val="clear" w:color="auto" w:fill="auto"/>
          </w:tcPr>
          <w:p w14:paraId="33D2056D" w14:textId="77777777" w:rsidR="00AB7860" w:rsidRPr="009941F8" w:rsidRDefault="00AB7860" w:rsidP="00233562">
            <w:pPr>
              <w:pStyle w:val="TableText0"/>
              <w:keepNext w:val="0"/>
              <w:jc w:val="center"/>
              <w:rPr>
                <w:rFonts w:ascii="Times" w:hAnsi="Times"/>
              </w:rPr>
            </w:pPr>
            <w:r w:rsidRPr="009941F8">
              <w:t>0.564</w:t>
            </w:r>
          </w:p>
        </w:tc>
        <w:tc>
          <w:tcPr>
            <w:tcW w:w="640" w:type="pct"/>
            <w:tcBorders>
              <w:top w:val="nil"/>
              <w:bottom w:val="nil"/>
            </w:tcBorders>
            <w:shd w:val="clear" w:color="auto" w:fill="auto"/>
          </w:tcPr>
          <w:p w14:paraId="1B26E5C4" w14:textId="77777777" w:rsidR="00AB7860" w:rsidRPr="009941F8" w:rsidRDefault="00AB7860" w:rsidP="00233562">
            <w:pPr>
              <w:pStyle w:val="TableText0"/>
              <w:keepNext w:val="0"/>
              <w:jc w:val="center"/>
            </w:pPr>
            <w:r w:rsidRPr="009941F8">
              <w:t>0.033</w:t>
            </w:r>
          </w:p>
        </w:tc>
        <w:tc>
          <w:tcPr>
            <w:tcW w:w="567" w:type="pct"/>
            <w:tcBorders>
              <w:top w:val="nil"/>
              <w:bottom w:val="nil"/>
            </w:tcBorders>
          </w:tcPr>
          <w:p w14:paraId="3E494866" w14:textId="77777777" w:rsidR="00AB7860" w:rsidRPr="009941F8" w:rsidRDefault="00AB7860" w:rsidP="00233562">
            <w:pPr>
              <w:pStyle w:val="TableText0"/>
              <w:keepNext w:val="0"/>
              <w:jc w:val="center"/>
            </w:pPr>
            <w:r w:rsidRPr="009941F8">
              <w:t>0.696</w:t>
            </w:r>
          </w:p>
        </w:tc>
        <w:tc>
          <w:tcPr>
            <w:tcW w:w="428" w:type="pct"/>
            <w:tcBorders>
              <w:top w:val="nil"/>
              <w:bottom w:val="nil"/>
            </w:tcBorders>
          </w:tcPr>
          <w:p w14:paraId="1C6B53BD" w14:textId="77777777" w:rsidR="00AB7860" w:rsidRPr="009941F8" w:rsidRDefault="00AB7860" w:rsidP="00233562">
            <w:pPr>
              <w:pStyle w:val="TableText0"/>
              <w:keepNext w:val="0"/>
              <w:jc w:val="center"/>
            </w:pPr>
            <w:r w:rsidRPr="009941F8">
              <w:t>0.685</w:t>
            </w:r>
          </w:p>
        </w:tc>
        <w:tc>
          <w:tcPr>
            <w:tcW w:w="538" w:type="pct"/>
            <w:tcBorders>
              <w:top w:val="nil"/>
              <w:bottom w:val="nil"/>
            </w:tcBorders>
          </w:tcPr>
          <w:p w14:paraId="5C78359A" w14:textId="77777777" w:rsidR="00AB7860" w:rsidRPr="009941F8" w:rsidRDefault="00AB7860" w:rsidP="00233562">
            <w:pPr>
              <w:pStyle w:val="TableText0"/>
              <w:keepNext w:val="0"/>
              <w:jc w:val="center"/>
            </w:pPr>
            <w:r w:rsidRPr="009941F8">
              <w:t>0.011</w:t>
            </w:r>
          </w:p>
        </w:tc>
      </w:tr>
      <w:tr w:rsidR="00AB7860" w:rsidRPr="009941F8" w14:paraId="2AE11E98" w14:textId="77777777" w:rsidTr="00A244E2">
        <w:tc>
          <w:tcPr>
            <w:tcW w:w="1646" w:type="pct"/>
            <w:tcBorders>
              <w:top w:val="nil"/>
              <w:bottom w:val="single" w:sz="4" w:space="0" w:color="auto"/>
            </w:tcBorders>
            <w:vAlign w:val="center"/>
          </w:tcPr>
          <w:p w14:paraId="32B49200" w14:textId="77777777" w:rsidR="00AB7860" w:rsidRPr="009941F8" w:rsidRDefault="00AB7860" w:rsidP="00233562">
            <w:pPr>
              <w:pStyle w:val="TableText0"/>
              <w:keepNext w:val="0"/>
              <w:jc w:val="right"/>
              <w:rPr>
                <w:rFonts w:ascii="Times" w:hAnsi="Times"/>
                <w:b/>
              </w:rPr>
            </w:pPr>
            <w:r w:rsidRPr="009941F8">
              <w:rPr>
                <w:b/>
              </w:rPr>
              <w:t>Incremental cost/extra QALY gained</w:t>
            </w:r>
          </w:p>
        </w:tc>
        <w:tc>
          <w:tcPr>
            <w:tcW w:w="1181" w:type="pct"/>
            <w:gridSpan w:val="2"/>
            <w:tcBorders>
              <w:top w:val="nil"/>
              <w:bottom w:val="single" w:sz="4" w:space="0" w:color="auto"/>
            </w:tcBorders>
            <w:shd w:val="clear" w:color="auto" w:fill="auto"/>
            <w:vAlign w:val="center"/>
          </w:tcPr>
          <w:p w14:paraId="5451DC32" w14:textId="77777777" w:rsidR="00AB7860" w:rsidRPr="009941F8" w:rsidRDefault="00AB7860" w:rsidP="00233562">
            <w:pPr>
              <w:pStyle w:val="TableText0"/>
              <w:keepNext w:val="0"/>
              <w:rPr>
                <w:rFonts w:ascii="Times" w:hAnsi="Times"/>
                <w:b/>
              </w:rPr>
            </w:pPr>
          </w:p>
        </w:tc>
        <w:tc>
          <w:tcPr>
            <w:tcW w:w="640" w:type="pct"/>
            <w:tcBorders>
              <w:top w:val="nil"/>
              <w:bottom w:val="single" w:sz="4" w:space="0" w:color="auto"/>
            </w:tcBorders>
            <w:shd w:val="clear" w:color="auto" w:fill="auto"/>
            <w:vAlign w:val="center"/>
          </w:tcPr>
          <w:p w14:paraId="63794DF7" w14:textId="5CA5DF44" w:rsidR="00AB7860" w:rsidRPr="009941F8" w:rsidRDefault="00AB7860" w:rsidP="00233562">
            <w:pPr>
              <w:pStyle w:val="TableText0"/>
              <w:keepNext w:val="0"/>
              <w:jc w:val="center"/>
              <w:rPr>
                <w:rFonts w:ascii="Times" w:hAnsi="Times"/>
                <w:b/>
              </w:rPr>
            </w:pPr>
            <w:r w:rsidRPr="009941F8">
              <w:rPr>
                <w:b/>
              </w:rPr>
              <w:t>$</w:t>
            </w:r>
            <w:r w:rsidR="00640EC9" w:rsidRPr="00640EC9">
              <w:rPr>
                <w:rFonts w:hint="eastAsia"/>
                <w:b/>
                <w:color w:val="000000"/>
                <w:w w:val="26"/>
                <w:shd w:val="solid" w:color="000000" w:fill="000000"/>
                <w:fitText w:val="120" w:id="-961890039"/>
                <w14:textFill>
                  <w14:solidFill>
                    <w14:srgbClr w14:val="000000">
                      <w14:alpha w14:val="100000"/>
                    </w14:srgbClr>
                  </w14:solidFill>
                </w14:textFill>
              </w:rPr>
              <w:t xml:space="preserve">　</w:t>
            </w:r>
            <w:r w:rsidR="00640EC9" w:rsidRPr="00640EC9">
              <w:rPr>
                <w:b/>
                <w:color w:val="000000"/>
                <w:w w:val="26"/>
                <w:shd w:val="solid" w:color="000000" w:fill="000000"/>
                <w:fitText w:val="120" w:id="-961890039"/>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39"/>
                <w14:textFill>
                  <w14:solidFill>
                    <w14:srgbClr w14:val="000000">
                      <w14:alpha w14:val="100000"/>
                    </w14:srgbClr>
                  </w14:solidFill>
                </w14:textFill>
              </w:rPr>
              <w:t xml:space="preserve">　</w:t>
            </w:r>
            <w:r w:rsidR="008D5F3E" w:rsidRPr="008D5F3E">
              <w:rPr>
                <w:b/>
                <w:vertAlign w:val="superscript"/>
              </w:rPr>
              <w:t>3</w:t>
            </w:r>
          </w:p>
        </w:tc>
        <w:tc>
          <w:tcPr>
            <w:tcW w:w="567" w:type="pct"/>
            <w:tcBorders>
              <w:top w:val="nil"/>
              <w:bottom w:val="single" w:sz="4" w:space="0" w:color="auto"/>
            </w:tcBorders>
          </w:tcPr>
          <w:p w14:paraId="3FB0FAD6" w14:textId="77777777" w:rsidR="00AB7860" w:rsidRPr="009941F8" w:rsidRDefault="00AB7860" w:rsidP="00233562">
            <w:pPr>
              <w:pStyle w:val="TableText0"/>
              <w:keepNext w:val="0"/>
              <w:jc w:val="center"/>
              <w:rPr>
                <w:b/>
              </w:rPr>
            </w:pPr>
          </w:p>
        </w:tc>
        <w:tc>
          <w:tcPr>
            <w:tcW w:w="428" w:type="pct"/>
            <w:tcBorders>
              <w:top w:val="nil"/>
              <w:bottom w:val="single" w:sz="4" w:space="0" w:color="auto"/>
            </w:tcBorders>
          </w:tcPr>
          <w:p w14:paraId="0393B21F" w14:textId="77777777" w:rsidR="00AB7860" w:rsidRPr="009941F8" w:rsidRDefault="00AB7860" w:rsidP="00233562">
            <w:pPr>
              <w:pStyle w:val="TableText0"/>
              <w:keepNext w:val="0"/>
              <w:jc w:val="center"/>
              <w:rPr>
                <w:b/>
              </w:rPr>
            </w:pPr>
          </w:p>
        </w:tc>
        <w:tc>
          <w:tcPr>
            <w:tcW w:w="538" w:type="pct"/>
            <w:tcBorders>
              <w:top w:val="nil"/>
              <w:bottom w:val="single" w:sz="4" w:space="0" w:color="auto"/>
            </w:tcBorders>
          </w:tcPr>
          <w:p w14:paraId="54250296" w14:textId="541AB720"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38"/>
                <w14:textFill>
                  <w14:solidFill>
                    <w14:srgbClr w14:val="000000">
                      <w14:alpha w14:val="100000"/>
                    </w14:srgbClr>
                  </w14:solidFill>
                </w14:textFill>
              </w:rPr>
              <w:t>|</w:t>
            </w:r>
            <w:r w:rsidR="00640EC9" w:rsidRPr="00640EC9">
              <w:rPr>
                <w:b/>
                <w:color w:val="000000"/>
                <w:spacing w:val="1"/>
                <w:shd w:val="solid" w:color="000000" w:fill="000000"/>
                <w:fitText w:val="204" w:id="-961890038"/>
                <w14:textFill>
                  <w14:solidFill>
                    <w14:srgbClr w14:val="000000">
                      <w14:alpha w14:val="100000"/>
                    </w14:srgbClr>
                  </w14:solidFill>
                </w14:textFill>
              </w:rPr>
              <w:t>|</w:t>
            </w:r>
            <w:r w:rsidR="008D5F3E" w:rsidRPr="008D5F3E">
              <w:rPr>
                <w:b/>
                <w:vertAlign w:val="superscript"/>
              </w:rPr>
              <w:t>6</w:t>
            </w:r>
          </w:p>
        </w:tc>
      </w:tr>
      <w:tr w:rsidR="00AB7860" w:rsidRPr="009941F8" w14:paraId="7C3850E2" w14:textId="77777777" w:rsidTr="00CC67E7">
        <w:tc>
          <w:tcPr>
            <w:tcW w:w="5000" w:type="pct"/>
            <w:gridSpan w:val="7"/>
            <w:tcBorders>
              <w:bottom w:val="nil"/>
            </w:tcBorders>
            <w:shd w:val="clear" w:color="auto" w:fill="auto"/>
            <w:vAlign w:val="center"/>
          </w:tcPr>
          <w:p w14:paraId="195F687D" w14:textId="77777777" w:rsidR="00AB7860" w:rsidRPr="009941F8" w:rsidRDefault="00AB7860" w:rsidP="00233562">
            <w:pPr>
              <w:pStyle w:val="In-tableHeading"/>
              <w:keepNext w:val="0"/>
              <w:rPr>
                <w:lang w:val="en-AU"/>
              </w:rPr>
            </w:pPr>
            <w:r w:rsidRPr="009941F8">
              <w:rPr>
                <w:lang w:val="en-AU"/>
              </w:rPr>
              <w:t>Step 3 (March 2024): ICER at 4 year, anifrolumab costs, 5% discounting for costs and benefits</w:t>
            </w:r>
          </w:p>
        </w:tc>
      </w:tr>
      <w:tr w:rsidR="00AB7860" w:rsidRPr="009941F8" w14:paraId="0EA00D31" w14:textId="77777777" w:rsidTr="00A244E2">
        <w:trPr>
          <w:trHeight w:val="85"/>
        </w:trPr>
        <w:tc>
          <w:tcPr>
            <w:tcW w:w="1646" w:type="pct"/>
            <w:tcBorders>
              <w:top w:val="nil"/>
              <w:bottom w:val="nil"/>
            </w:tcBorders>
            <w:vAlign w:val="center"/>
          </w:tcPr>
          <w:p w14:paraId="1783E743" w14:textId="77777777" w:rsidR="00AB7860" w:rsidRPr="009941F8" w:rsidRDefault="00AB7860" w:rsidP="00233562">
            <w:pPr>
              <w:pStyle w:val="TableText0"/>
              <w:keepNext w:val="0"/>
              <w:rPr>
                <w:rFonts w:ascii="Times" w:hAnsi="Times"/>
              </w:rPr>
            </w:pPr>
            <w:r w:rsidRPr="009941F8">
              <w:t>Costs</w:t>
            </w:r>
            <w:r w:rsidRPr="009941F8">
              <w:rPr>
                <w:vertAlign w:val="superscript"/>
              </w:rPr>
              <w:t>b,c</w:t>
            </w:r>
          </w:p>
        </w:tc>
        <w:tc>
          <w:tcPr>
            <w:tcW w:w="709" w:type="pct"/>
            <w:tcBorders>
              <w:top w:val="nil"/>
              <w:bottom w:val="nil"/>
            </w:tcBorders>
            <w:shd w:val="clear" w:color="auto" w:fill="auto"/>
          </w:tcPr>
          <w:p w14:paraId="3A4BC43D" w14:textId="77777777" w:rsidR="00AB7860" w:rsidRPr="009941F8" w:rsidRDefault="00AB7860" w:rsidP="00233562">
            <w:pPr>
              <w:pStyle w:val="TableText0"/>
              <w:keepNext w:val="0"/>
              <w:jc w:val="center"/>
              <w:rPr>
                <w:rFonts w:ascii="Times" w:hAnsi="Times"/>
              </w:rPr>
            </w:pPr>
            <w:r w:rsidRPr="009941F8">
              <w:rPr>
                <w:rFonts w:ascii="Times" w:hAnsi="Times"/>
              </w:rPr>
              <w:t>-</w:t>
            </w:r>
          </w:p>
        </w:tc>
        <w:tc>
          <w:tcPr>
            <w:tcW w:w="472" w:type="pct"/>
            <w:tcBorders>
              <w:top w:val="nil"/>
              <w:bottom w:val="nil"/>
            </w:tcBorders>
            <w:shd w:val="clear" w:color="auto" w:fill="auto"/>
          </w:tcPr>
          <w:p w14:paraId="07B43C45" w14:textId="77777777" w:rsidR="00AB7860" w:rsidRPr="009941F8" w:rsidRDefault="00AB7860" w:rsidP="00233562">
            <w:pPr>
              <w:pStyle w:val="TableText0"/>
              <w:keepNext w:val="0"/>
              <w:jc w:val="center"/>
              <w:rPr>
                <w:rFonts w:ascii="Times" w:hAnsi="Times"/>
              </w:rPr>
            </w:pPr>
            <w:r w:rsidRPr="009941F8">
              <w:rPr>
                <w:rFonts w:ascii="Times" w:hAnsi="Times"/>
              </w:rPr>
              <w:t>-</w:t>
            </w:r>
          </w:p>
        </w:tc>
        <w:tc>
          <w:tcPr>
            <w:tcW w:w="640" w:type="pct"/>
            <w:tcBorders>
              <w:top w:val="nil"/>
              <w:bottom w:val="nil"/>
            </w:tcBorders>
            <w:shd w:val="clear" w:color="auto" w:fill="auto"/>
          </w:tcPr>
          <w:p w14:paraId="2878C9F5" w14:textId="77777777" w:rsidR="00AB7860" w:rsidRPr="009941F8" w:rsidRDefault="00AB7860" w:rsidP="00233562">
            <w:pPr>
              <w:pStyle w:val="TableText0"/>
              <w:keepNext w:val="0"/>
              <w:jc w:val="center"/>
              <w:rPr>
                <w:rFonts w:ascii="Times" w:hAnsi="Times"/>
              </w:rPr>
            </w:pPr>
            <w:r w:rsidRPr="009941F8">
              <w:rPr>
                <w:rFonts w:ascii="Times" w:hAnsi="Times"/>
              </w:rPr>
              <w:t>-</w:t>
            </w:r>
          </w:p>
        </w:tc>
        <w:tc>
          <w:tcPr>
            <w:tcW w:w="567" w:type="pct"/>
            <w:tcBorders>
              <w:top w:val="nil"/>
              <w:bottom w:val="nil"/>
            </w:tcBorders>
          </w:tcPr>
          <w:p w14:paraId="3CE879E5" w14:textId="1217E33F" w:rsidR="00AB7860" w:rsidRPr="009941F8" w:rsidRDefault="00AB7860" w:rsidP="00233562">
            <w:pPr>
              <w:pStyle w:val="TableText0"/>
              <w:keepNext w:val="0"/>
              <w:jc w:val="center"/>
            </w:pPr>
            <w:r w:rsidRPr="009941F8">
              <w:t>$</w:t>
            </w:r>
            <w:r w:rsidR="00640EC9" w:rsidRPr="00640EC9">
              <w:rPr>
                <w:rFonts w:hint="eastAsia"/>
                <w:color w:val="000000"/>
                <w:w w:val="24"/>
                <w:shd w:val="solid" w:color="000000" w:fill="000000"/>
                <w:fitText w:val="108" w:id="-961890037"/>
                <w14:textFill>
                  <w14:solidFill>
                    <w14:srgbClr w14:val="000000">
                      <w14:alpha w14:val="100000"/>
                    </w14:srgbClr>
                  </w14:solidFill>
                </w14:textFill>
              </w:rPr>
              <w:t xml:space="preserve">　</w:t>
            </w:r>
            <w:r w:rsidR="00640EC9" w:rsidRPr="00640EC9">
              <w:rPr>
                <w:color w:val="000000"/>
                <w:w w:val="24"/>
                <w:shd w:val="solid" w:color="000000" w:fill="000000"/>
                <w:fitText w:val="108" w:id="-961890037"/>
                <w14:textFill>
                  <w14:solidFill>
                    <w14:srgbClr w14:val="000000">
                      <w14:alpha w14:val="100000"/>
                    </w14:srgbClr>
                  </w14:solidFill>
                </w14:textFill>
              </w:rPr>
              <w:t>|</w:t>
            </w:r>
            <w:r w:rsidR="00640EC9" w:rsidRPr="00640EC9">
              <w:rPr>
                <w:rFonts w:hint="eastAsia"/>
                <w:color w:val="000000"/>
                <w:spacing w:val="4"/>
                <w:w w:val="24"/>
                <w:shd w:val="solid" w:color="000000" w:fill="000000"/>
                <w:fitText w:val="108" w:id="-961890037"/>
                <w14:textFill>
                  <w14:solidFill>
                    <w14:srgbClr w14:val="000000">
                      <w14:alpha w14:val="100000"/>
                    </w14:srgbClr>
                  </w14:solidFill>
                </w14:textFill>
              </w:rPr>
              <w:t xml:space="preserve">　</w:t>
            </w:r>
          </w:p>
        </w:tc>
        <w:tc>
          <w:tcPr>
            <w:tcW w:w="428" w:type="pct"/>
            <w:tcBorders>
              <w:top w:val="nil"/>
              <w:bottom w:val="nil"/>
            </w:tcBorders>
          </w:tcPr>
          <w:p w14:paraId="3D992161" w14:textId="77777777" w:rsidR="00AB7860" w:rsidRPr="009941F8" w:rsidRDefault="00AB7860" w:rsidP="00233562">
            <w:pPr>
              <w:pStyle w:val="TableText0"/>
              <w:keepNext w:val="0"/>
              <w:jc w:val="center"/>
            </w:pPr>
            <w:r w:rsidRPr="009941F8">
              <w:t>$0</w:t>
            </w:r>
          </w:p>
        </w:tc>
        <w:tc>
          <w:tcPr>
            <w:tcW w:w="538" w:type="pct"/>
            <w:tcBorders>
              <w:top w:val="nil"/>
              <w:bottom w:val="nil"/>
            </w:tcBorders>
          </w:tcPr>
          <w:p w14:paraId="36A26240" w14:textId="6E17E359" w:rsidR="00AB7860" w:rsidRPr="009941F8" w:rsidRDefault="00AB7860" w:rsidP="00233562">
            <w:pPr>
              <w:pStyle w:val="TableText0"/>
              <w:keepNext w:val="0"/>
              <w:jc w:val="center"/>
            </w:pPr>
            <w:r w:rsidRPr="009941F8">
              <w:t>$</w:t>
            </w:r>
            <w:r w:rsidR="00640EC9" w:rsidRPr="00640EC9">
              <w:rPr>
                <w:rFonts w:hint="eastAsia"/>
                <w:color w:val="000000"/>
                <w:w w:val="29"/>
                <w:shd w:val="solid" w:color="000000" w:fill="000000"/>
                <w:fitText w:val="132" w:id="-961890036"/>
                <w14:textFill>
                  <w14:solidFill>
                    <w14:srgbClr w14:val="000000">
                      <w14:alpha w14:val="100000"/>
                    </w14:srgbClr>
                  </w14:solidFill>
                </w14:textFill>
              </w:rPr>
              <w:t xml:space="preserve">　</w:t>
            </w:r>
            <w:r w:rsidR="00640EC9" w:rsidRPr="00640EC9">
              <w:rPr>
                <w:color w:val="000000"/>
                <w:w w:val="29"/>
                <w:shd w:val="solid" w:color="000000" w:fill="000000"/>
                <w:fitText w:val="132" w:id="-961890036"/>
                <w14:textFill>
                  <w14:solidFill>
                    <w14:srgbClr w14:val="000000">
                      <w14:alpha w14:val="100000"/>
                    </w14:srgbClr>
                  </w14:solidFill>
                </w14:textFill>
              </w:rPr>
              <w:t>|</w:t>
            </w:r>
            <w:r w:rsidR="00640EC9" w:rsidRPr="00640EC9">
              <w:rPr>
                <w:rFonts w:hint="eastAsia"/>
                <w:color w:val="000000"/>
                <w:spacing w:val="4"/>
                <w:w w:val="29"/>
                <w:shd w:val="solid" w:color="000000" w:fill="000000"/>
                <w:fitText w:val="132" w:id="-961890036"/>
                <w14:textFill>
                  <w14:solidFill>
                    <w14:srgbClr w14:val="000000">
                      <w14:alpha w14:val="100000"/>
                    </w14:srgbClr>
                  </w14:solidFill>
                </w14:textFill>
              </w:rPr>
              <w:t xml:space="preserve">　</w:t>
            </w:r>
          </w:p>
        </w:tc>
      </w:tr>
      <w:tr w:rsidR="00AB7860" w:rsidRPr="009941F8" w14:paraId="7835483A" w14:textId="77777777" w:rsidTr="00A244E2">
        <w:tc>
          <w:tcPr>
            <w:tcW w:w="1646" w:type="pct"/>
            <w:tcBorders>
              <w:top w:val="nil"/>
              <w:bottom w:val="nil"/>
            </w:tcBorders>
            <w:vAlign w:val="center"/>
          </w:tcPr>
          <w:p w14:paraId="2D26BF68" w14:textId="77777777" w:rsidR="00AB7860" w:rsidRPr="009941F8" w:rsidRDefault="00AB7860" w:rsidP="00233562">
            <w:pPr>
              <w:pStyle w:val="TableText0"/>
              <w:keepNext w:val="0"/>
            </w:pPr>
            <w:r w:rsidRPr="009941F8">
              <w:t>LYG</w:t>
            </w:r>
          </w:p>
        </w:tc>
        <w:tc>
          <w:tcPr>
            <w:tcW w:w="709" w:type="pct"/>
            <w:tcBorders>
              <w:top w:val="nil"/>
              <w:bottom w:val="nil"/>
            </w:tcBorders>
            <w:shd w:val="clear" w:color="auto" w:fill="auto"/>
          </w:tcPr>
          <w:p w14:paraId="4289D1DF" w14:textId="77777777" w:rsidR="00AB7860" w:rsidRPr="009941F8" w:rsidRDefault="00AB7860" w:rsidP="00233562">
            <w:pPr>
              <w:pStyle w:val="TableText0"/>
              <w:keepNext w:val="0"/>
              <w:jc w:val="center"/>
            </w:pPr>
            <w:r w:rsidRPr="009941F8">
              <w:rPr>
                <w:rFonts w:ascii="Times" w:hAnsi="Times"/>
              </w:rPr>
              <w:t>-</w:t>
            </w:r>
          </w:p>
        </w:tc>
        <w:tc>
          <w:tcPr>
            <w:tcW w:w="472" w:type="pct"/>
            <w:tcBorders>
              <w:top w:val="nil"/>
              <w:bottom w:val="nil"/>
            </w:tcBorders>
            <w:shd w:val="clear" w:color="auto" w:fill="auto"/>
          </w:tcPr>
          <w:p w14:paraId="3C4530BA" w14:textId="77777777" w:rsidR="00AB7860" w:rsidRPr="009941F8" w:rsidRDefault="00AB7860" w:rsidP="00233562">
            <w:pPr>
              <w:pStyle w:val="TableText0"/>
              <w:keepNext w:val="0"/>
              <w:jc w:val="center"/>
            </w:pPr>
            <w:r w:rsidRPr="009941F8">
              <w:rPr>
                <w:rFonts w:ascii="Times" w:hAnsi="Times"/>
              </w:rPr>
              <w:t>-</w:t>
            </w:r>
          </w:p>
        </w:tc>
        <w:tc>
          <w:tcPr>
            <w:tcW w:w="640" w:type="pct"/>
            <w:tcBorders>
              <w:top w:val="nil"/>
              <w:bottom w:val="nil"/>
            </w:tcBorders>
            <w:shd w:val="clear" w:color="auto" w:fill="auto"/>
          </w:tcPr>
          <w:p w14:paraId="456B2BCF" w14:textId="77777777" w:rsidR="00AB7860" w:rsidRPr="009941F8" w:rsidRDefault="00AB7860" w:rsidP="00233562">
            <w:pPr>
              <w:pStyle w:val="TableText0"/>
              <w:keepNext w:val="0"/>
              <w:jc w:val="center"/>
            </w:pPr>
            <w:r w:rsidRPr="009941F8">
              <w:rPr>
                <w:rFonts w:ascii="Times" w:hAnsi="Times"/>
              </w:rPr>
              <w:t>-</w:t>
            </w:r>
          </w:p>
        </w:tc>
        <w:tc>
          <w:tcPr>
            <w:tcW w:w="567" w:type="pct"/>
            <w:tcBorders>
              <w:top w:val="nil"/>
              <w:bottom w:val="nil"/>
            </w:tcBorders>
          </w:tcPr>
          <w:p w14:paraId="3B7C6EAE" w14:textId="77777777" w:rsidR="00AB7860" w:rsidRPr="009941F8" w:rsidRDefault="00AB7860" w:rsidP="00233562">
            <w:pPr>
              <w:pStyle w:val="TableText0"/>
              <w:keepNext w:val="0"/>
              <w:jc w:val="center"/>
            </w:pPr>
            <w:r w:rsidRPr="009941F8">
              <w:t>3.582</w:t>
            </w:r>
          </w:p>
        </w:tc>
        <w:tc>
          <w:tcPr>
            <w:tcW w:w="428" w:type="pct"/>
            <w:tcBorders>
              <w:top w:val="nil"/>
              <w:bottom w:val="nil"/>
            </w:tcBorders>
          </w:tcPr>
          <w:p w14:paraId="2FAED1D1" w14:textId="77777777" w:rsidR="00AB7860" w:rsidRPr="009941F8" w:rsidRDefault="00AB7860" w:rsidP="00233562">
            <w:pPr>
              <w:pStyle w:val="TableText0"/>
              <w:keepNext w:val="0"/>
              <w:jc w:val="center"/>
            </w:pPr>
            <w:r w:rsidRPr="009941F8">
              <w:t>3.575</w:t>
            </w:r>
          </w:p>
        </w:tc>
        <w:tc>
          <w:tcPr>
            <w:tcW w:w="538" w:type="pct"/>
            <w:tcBorders>
              <w:top w:val="nil"/>
              <w:bottom w:val="nil"/>
            </w:tcBorders>
          </w:tcPr>
          <w:p w14:paraId="60B41923" w14:textId="77777777" w:rsidR="00AB7860" w:rsidRPr="009941F8" w:rsidRDefault="00AB7860" w:rsidP="00233562">
            <w:pPr>
              <w:pStyle w:val="TableText0"/>
              <w:keepNext w:val="0"/>
              <w:jc w:val="center"/>
            </w:pPr>
            <w:r w:rsidRPr="009941F8">
              <w:t>0.006</w:t>
            </w:r>
          </w:p>
        </w:tc>
      </w:tr>
      <w:tr w:rsidR="00AB7860" w:rsidRPr="009941F8" w14:paraId="16F4BA92" w14:textId="77777777" w:rsidTr="00A244E2">
        <w:tc>
          <w:tcPr>
            <w:tcW w:w="1646" w:type="pct"/>
            <w:tcBorders>
              <w:top w:val="nil"/>
              <w:bottom w:val="nil"/>
            </w:tcBorders>
            <w:vAlign w:val="center"/>
          </w:tcPr>
          <w:p w14:paraId="2F20C438" w14:textId="77777777" w:rsidR="00AB7860" w:rsidRPr="009941F8" w:rsidRDefault="00AB7860" w:rsidP="00233562">
            <w:pPr>
              <w:pStyle w:val="TableText0"/>
              <w:keepNext w:val="0"/>
              <w:jc w:val="right"/>
              <w:rPr>
                <w:b/>
              </w:rPr>
            </w:pPr>
            <w:r w:rsidRPr="009941F8">
              <w:rPr>
                <w:b/>
              </w:rPr>
              <w:t>Incremental cost/LYG</w:t>
            </w:r>
          </w:p>
        </w:tc>
        <w:tc>
          <w:tcPr>
            <w:tcW w:w="1181" w:type="pct"/>
            <w:gridSpan w:val="2"/>
            <w:tcBorders>
              <w:top w:val="nil"/>
              <w:bottom w:val="nil"/>
            </w:tcBorders>
            <w:shd w:val="clear" w:color="auto" w:fill="auto"/>
            <w:vAlign w:val="center"/>
          </w:tcPr>
          <w:p w14:paraId="17146898" w14:textId="77777777" w:rsidR="00AB7860" w:rsidRPr="009941F8" w:rsidRDefault="00AB7860" w:rsidP="00233562">
            <w:pPr>
              <w:pStyle w:val="TableText0"/>
              <w:keepNext w:val="0"/>
              <w:rPr>
                <w:b/>
              </w:rPr>
            </w:pPr>
          </w:p>
        </w:tc>
        <w:tc>
          <w:tcPr>
            <w:tcW w:w="640" w:type="pct"/>
            <w:tcBorders>
              <w:top w:val="nil"/>
              <w:bottom w:val="nil"/>
            </w:tcBorders>
            <w:shd w:val="clear" w:color="auto" w:fill="auto"/>
          </w:tcPr>
          <w:p w14:paraId="04FD574E" w14:textId="77777777" w:rsidR="00AB7860" w:rsidRPr="009941F8" w:rsidRDefault="00AB7860" w:rsidP="00233562">
            <w:pPr>
              <w:pStyle w:val="TableText0"/>
              <w:keepNext w:val="0"/>
              <w:jc w:val="center"/>
              <w:rPr>
                <w:b/>
              </w:rPr>
            </w:pPr>
            <w:r w:rsidRPr="009941F8">
              <w:rPr>
                <w:rFonts w:ascii="Times" w:hAnsi="Times"/>
                <w:b/>
              </w:rPr>
              <w:t>-</w:t>
            </w:r>
          </w:p>
        </w:tc>
        <w:tc>
          <w:tcPr>
            <w:tcW w:w="567" w:type="pct"/>
            <w:tcBorders>
              <w:top w:val="nil"/>
              <w:bottom w:val="nil"/>
            </w:tcBorders>
          </w:tcPr>
          <w:p w14:paraId="060AF4C6" w14:textId="77777777" w:rsidR="00AB7860" w:rsidRPr="009941F8" w:rsidRDefault="00AB7860" w:rsidP="00233562">
            <w:pPr>
              <w:pStyle w:val="TableText0"/>
              <w:keepNext w:val="0"/>
              <w:jc w:val="center"/>
              <w:rPr>
                <w:b/>
              </w:rPr>
            </w:pPr>
          </w:p>
        </w:tc>
        <w:tc>
          <w:tcPr>
            <w:tcW w:w="428" w:type="pct"/>
            <w:tcBorders>
              <w:top w:val="nil"/>
              <w:bottom w:val="nil"/>
            </w:tcBorders>
          </w:tcPr>
          <w:p w14:paraId="6D5D1490" w14:textId="77777777" w:rsidR="00AB7860" w:rsidRPr="009941F8" w:rsidRDefault="00AB7860" w:rsidP="00233562">
            <w:pPr>
              <w:pStyle w:val="TableText0"/>
              <w:keepNext w:val="0"/>
              <w:jc w:val="center"/>
              <w:rPr>
                <w:b/>
              </w:rPr>
            </w:pPr>
          </w:p>
        </w:tc>
        <w:tc>
          <w:tcPr>
            <w:tcW w:w="538" w:type="pct"/>
            <w:tcBorders>
              <w:top w:val="nil"/>
              <w:bottom w:val="nil"/>
            </w:tcBorders>
          </w:tcPr>
          <w:p w14:paraId="26EAC0D7" w14:textId="3E80B0AC"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35"/>
                <w14:textFill>
                  <w14:solidFill>
                    <w14:srgbClr w14:val="000000">
                      <w14:alpha w14:val="100000"/>
                    </w14:srgbClr>
                  </w14:solidFill>
                </w14:textFill>
              </w:rPr>
              <w:t>|</w:t>
            </w:r>
            <w:r w:rsidR="00640EC9" w:rsidRPr="00640EC9">
              <w:rPr>
                <w:b/>
                <w:color w:val="000000"/>
                <w:spacing w:val="1"/>
                <w:shd w:val="solid" w:color="000000" w:fill="000000"/>
                <w:fitText w:val="204" w:id="-961890035"/>
                <w14:textFill>
                  <w14:solidFill>
                    <w14:srgbClr w14:val="000000">
                      <w14:alpha w14:val="100000"/>
                    </w14:srgbClr>
                  </w14:solidFill>
                </w14:textFill>
              </w:rPr>
              <w:t>|</w:t>
            </w:r>
            <w:r w:rsidR="008D5F3E" w:rsidRPr="008D5F3E">
              <w:rPr>
                <w:b/>
                <w:vertAlign w:val="superscript"/>
              </w:rPr>
              <w:t>5</w:t>
            </w:r>
          </w:p>
        </w:tc>
      </w:tr>
      <w:tr w:rsidR="00AB7860" w:rsidRPr="009941F8" w14:paraId="0910ECB3" w14:textId="77777777" w:rsidTr="00A244E2">
        <w:tc>
          <w:tcPr>
            <w:tcW w:w="1646" w:type="pct"/>
            <w:tcBorders>
              <w:top w:val="nil"/>
              <w:bottom w:val="nil"/>
            </w:tcBorders>
            <w:vAlign w:val="center"/>
          </w:tcPr>
          <w:p w14:paraId="45A62AF0" w14:textId="77777777" w:rsidR="00AB7860" w:rsidRPr="009941F8" w:rsidRDefault="00AB7860" w:rsidP="00233562">
            <w:pPr>
              <w:pStyle w:val="TableText0"/>
              <w:keepNext w:val="0"/>
              <w:rPr>
                <w:rFonts w:ascii="Times" w:hAnsi="Times"/>
              </w:rPr>
            </w:pPr>
            <w:r w:rsidRPr="009941F8">
              <w:t>QALYs gained</w:t>
            </w:r>
          </w:p>
        </w:tc>
        <w:tc>
          <w:tcPr>
            <w:tcW w:w="709" w:type="pct"/>
            <w:tcBorders>
              <w:top w:val="nil"/>
              <w:bottom w:val="nil"/>
            </w:tcBorders>
            <w:shd w:val="clear" w:color="auto" w:fill="auto"/>
          </w:tcPr>
          <w:p w14:paraId="12C9FFFF" w14:textId="77777777" w:rsidR="00AB7860" w:rsidRPr="009941F8" w:rsidRDefault="00AB7860" w:rsidP="00233562">
            <w:pPr>
              <w:pStyle w:val="TableText0"/>
              <w:keepNext w:val="0"/>
              <w:jc w:val="center"/>
              <w:rPr>
                <w:rFonts w:ascii="Times" w:hAnsi="Times"/>
              </w:rPr>
            </w:pPr>
            <w:r w:rsidRPr="009941F8">
              <w:rPr>
                <w:rFonts w:ascii="Times" w:hAnsi="Times"/>
              </w:rPr>
              <w:t>-</w:t>
            </w:r>
          </w:p>
        </w:tc>
        <w:tc>
          <w:tcPr>
            <w:tcW w:w="472" w:type="pct"/>
            <w:tcBorders>
              <w:top w:val="nil"/>
              <w:bottom w:val="nil"/>
            </w:tcBorders>
            <w:shd w:val="clear" w:color="auto" w:fill="auto"/>
          </w:tcPr>
          <w:p w14:paraId="6A6EA610" w14:textId="77777777" w:rsidR="00AB7860" w:rsidRPr="009941F8" w:rsidRDefault="00AB7860" w:rsidP="00233562">
            <w:pPr>
              <w:pStyle w:val="TableText0"/>
              <w:keepNext w:val="0"/>
              <w:jc w:val="center"/>
              <w:rPr>
                <w:rFonts w:ascii="Times" w:hAnsi="Times"/>
              </w:rPr>
            </w:pPr>
            <w:r w:rsidRPr="009941F8">
              <w:rPr>
                <w:rFonts w:ascii="Times" w:hAnsi="Times"/>
              </w:rPr>
              <w:t>-</w:t>
            </w:r>
          </w:p>
        </w:tc>
        <w:tc>
          <w:tcPr>
            <w:tcW w:w="640" w:type="pct"/>
            <w:tcBorders>
              <w:top w:val="nil"/>
              <w:bottom w:val="nil"/>
            </w:tcBorders>
            <w:shd w:val="clear" w:color="auto" w:fill="auto"/>
          </w:tcPr>
          <w:p w14:paraId="31E59825" w14:textId="77777777" w:rsidR="00AB7860" w:rsidRPr="009941F8" w:rsidRDefault="00AB7860" w:rsidP="00233562">
            <w:pPr>
              <w:pStyle w:val="TableText0"/>
              <w:keepNext w:val="0"/>
              <w:jc w:val="center"/>
            </w:pPr>
            <w:r w:rsidRPr="009941F8">
              <w:t>-</w:t>
            </w:r>
          </w:p>
        </w:tc>
        <w:tc>
          <w:tcPr>
            <w:tcW w:w="567" w:type="pct"/>
            <w:tcBorders>
              <w:top w:val="nil"/>
              <w:bottom w:val="nil"/>
            </w:tcBorders>
          </w:tcPr>
          <w:p w14:paraId="500A7F3C" w14:textId="77777777" w:rsidR="00AB7860" w:rsidRPr="009941F8" w:rsidRDefault="00AB7860" w:rsidP="00233562">
            <w:pPr>
              <w:pStyle w:val="TableText0"/>
              <w:keepNext w:val="0"/>
              <w:jc w:val="center"/>
            </w:pPr>
            <w:r w:rsidRPr="009941F8">
              <w:t>2.531</w:t>
            </w:r>
            <w:r w:rsidRPr="009941F8">
              <w:rPr>
                <w:vertAlign w:val="superscript"/>
              </w:rPr>
              <w:t>b</w:t>
            </w:r>
          </w:p>
        </w:tc>
        <w:tc>
          <w:tcPr>
            <w:tcW w:w="428" w:type="pct"/>
            <w:tcBorders>
              <w:top w:val="nil"/>
              <w:bottom w:val="nil"/>
            </w:tcBorders>
          </w:tcPr>
          <w:p w14:paraId="3DBFF8B0" w14:textId="77777777" w:rsidR="00AB7860" w:rsidRPr="009941F8" w:rsidRDefault="00AB7860" w:rsidP="00233562">
            <w:pPr>
              <w:pStyle w:val="TableText0"/>
              <w:keepNext w:val="0"/>
              <w:jc w:val="center"/>
            </w:pPr>
            <w:r w:rsidRPr="009941F8">
              <w:t>2.482</w:t>
            </w:r>
            <w:r w:rsidRPr="009941F8">
              <w:rPr>
                <w:vertAlign w:val="superscript"/>
              </w:rPr>
              <w:t>b</w:t>
            </w:r>
          </w:p>
        </w:tc>
        <w:tc>
          <w:tcPr>
            <w:tcW w:w="538" w:type="pct"/>
            <w:tcBorders>
              <w:top w:val="nil"/>
              <w:bottom w:val="nil"/>
            </w:tcBorders>
          </w:tcPr>
          <w:p w14:paraId="08B45441" w14:textId="77777777" w:rsidR="00AB7860" w:rsidRPr="009941F8" w:rsidRDefault="00AB7860" w:rsidP="00233562">
            <w:pPr>
              <w:pStyle w:val="TableText0"/>
              <w:keepNext w:val="0"/>
              <w:jc w:val="center"/>
            </w:pPr>
            <w:r w:rsidRPr="009941F8">
              <w:t>0.049</w:t>
            </w:r>
            <w:r w:rsidRPr="009941F8">
              <w:rPr>
                <w:vertAlign w:val="superscript"/>
              </w:rPr>
              <w:t>b</w:t>
            </w:r>
          </w:p>
        </w:tc>
      </w:tr>
      <w:tr w:rsidR="00AB7860" w:rsidRPr="009941F8" w14:paraId="379AB9FB" w14:textId="77777777" w:rsidTr="00A244E2">
        <w:tc>
          <w:tcPr>
            <w:tcW w:w="1646" w:type="pct"/>
            <w:tcBorders>
              <w:top w:val="nil"/>
              <w:bottom w:val="single" w:sz="4" w:space="0" w:color="auto"/>
            </w:tcBorders>
            <w:vAlign w:val="center"/>
          </w:tcPr>
          <w:p w14:paraId="69555382" w14:textId="77777777" w:rsidR="00AB7860" w:rsidRPr="009941F8" w:rsidRDefault="00AB7860" w:rsidP="00233562">
            <w:pPr>
              <w:pStyle w:val="TableText0"/>
              <w:keepNext w:val="0"/>
              <w:jc w:val="right"/>
              <w:rPr>
                <w:rFonts w:ascii="Times" w:hAnsi="Times"/>
                <w:b/>
              </w:rPr>
            </w:pPr>
            <w:r w:rsidRPr="009941F8">
              <w:rPr>
                <w:b/>
              </w:rPr>
              <w:t>Incremental cost/extra QALY gained</w:t>
            </w:r>
          </w:p>
        </w:tc>
        <w:tc>
          <w:tcPr>
            <w:tcW w:w="1181" w:type="pct"/>
            <w:gridSpan w:val="2"/>
            <w:tcBorders>
              <w:top w:val="nil"/>
              <w:bottom w:val="single" w:sz="4" w:space="0" w:color="auto"/>
            </w:tcBorders>
            <w:shd w:val="clear" w:color="auto" w:fill="auto"/>
            <w:vAlign w:val="center"/>
          </w:tcPr>
          <w:p w14:paraId="0971A32F" w14:textId="77777777" w:rsidR="00AB7860" w:rsidRPr="009941F8" w:rsidRDefault="00AB7860" w:rsidP="00233562">
            <w:pPr>
              <w:pStyle w:val="TableText0"/>
              <w:keepNext w:val="0"/>
              <w:rPr>
                <w:rFonts w:ascii="Times" w:hAnsi="Times"/>
                <w:b/>
              </w:rPr>
            </w:pPr>
          </w:p>
        </w:tc>
        <w:tc>
          <w:tcPr>
            <w:tcW w:w="640" w:type="pct"/>
            <w:tcBorders>
              <w:top w:val="nil"/>
              <w:bottom w:val="single" w:sz="4" w:space="0" w:color="auto"/>
            </w:tcBorders>
            <w:shd w:val="clear" w:color="auto" w:fill="auto"/>
            <w:vAlign w:val="center"/>
          </w:tcPr>
          <w:p w14:paraId="678DE656" w14:textId="77777777" w:rsidR="00AB7860" w:rsidRPr="009941F8" w:rsidRDefault="00AB7860" w:rsidP="00233562">
            <w:pPr>
              <w:pStyle w:val="TableText0"/>
              <w:keepNext w:val="0"/>
              <w:jc w:val="center"/>
              <w:rPr>
                <w:rFonts w:ascii="Times" w:hAnsi="Times"/>
                <w:b/>
              </w:rPr>
            </w:pPr>
            <w:r w:rsidRPr="009941F8">
              <w:rPr>
                <w:b/>
              </w:rPr>
              <w:t>-</w:t>
            </w:r>
          </w:p>
        </w:tc>
        <w:tc>
          <w:tcPr>
            <w:tcW w:w="567" w:type="pct"/>
            <w:tcBorders>
              <w:top w:val="nil"/>
              <w:bottom w:val="single" w:sz="4" w:space="0" w:color="auto"/>
            </w:tcBorders>
          </w:tcPr>
          <w:p w14:paraId="49CA6E26" w14:textId="77777777" w:rsidR="00AB7860" w:rsidRPr="009941F8" w:rsidRDefault="00AB7860" w:rsidP="00233562">
            <w:pPr>
              <w:pStyle w:val="TableText0"/>
              <w:keepNext w:val="0"/>
              <w:jc w:val="center"/>
              <w:rPr>
                <w:b/>
              </w:rPr>
            </w:pPr>
          </w:p>
        </w:tc>
        <w:tc>
          <w:tcPr>
            <w:tcW w:w="428" w:type="pct"/>
            <w:tcBorders>
              <w:top w:val="nil"/>
              <w:bottom w:val="single" w:sz="4" w:space="0" w:color="auto"/>
            </w:tcBorders>
          </w:tcPr>
          <w:p w14:paraId="75F079C6" w14:textId="77777777" w:rsidR="00AB7860" w:rsidRPr="009941F8" w:rsidRDefault="00AB7860" w:rsidP="00233562">
            <w:pPr>
              <w:pStyle w:val="TableText0"/>
              <w:keepNext w:val="0"/>
              <w:jc w:val="center"/>
              <w:rPr>
                <w:b/>
              </w:rPr>
            </w:pPr>
          </w:p>
        </w:tc>
        <w:tc>
          <w:tcPr>
            <w:tcW w:w="538" w:type="pct"/>
            <w:tcBorders>
              <w:top w:val="nil"/>
              <w:bottom w:val="single" w:sz="4" w:space="0" w:color="auto"/>
            </w:tcBorders>
          </w:tcPr>
          <w:p w14:paraId="257C9632" w14:textId="6E05D739"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34"/>
                <w14:textFill>
                  <w14:solidFill>
                    <w14:srgbClr w14:val="000000">
                      <w14:alpha w14:val="100000"/>
                    </w14:srgbClr>
                  </w14:solidFill>
                </w14:textFill>
              </w:rPr>
              <w:t>|</w:t>
            </w:r>
            <w:r w:rsidR="00640EC9" w:rsidRPr="00640EC9">
              <w:rPr>
                <w:b/>
                <w:color w:val="000000"/>
                <w:spacing w:val="1"/>
                <w:shd w:val="solid" w:color="000000" w:fill="000000"/>
                <w:fitText w:val="204" w:id="-961890034"/>
                <w14:textFill>
                  <w14:solidFill>
                    <w14:srgbClr w14:val="000000">
                      <w14:alpha w14:val="100000"/>
                    </w14:srgbClr>
                  </w14:solidFill>
                </w14:textFill>
              </w:rPr>
              <w:t>|</w:t>
            </w:r>
            <w:r w:rsidR="00201F07" w:rsidRPr="00201F07">
              <w:rPr>
                <w:b/>
                <w:vertAlign w:val="superscript"/>
              </w:rPr>
              <w:t>7</w:t>
            </w:r>
          </w:p>
        </w:tc>
      </w:tr>
      <w:tr w:rsidR="00AB7860" w:rsidRPr="009941F8" w14:paraId="63459D8D" w14:textId="77777777" w:rsidTr="00A244E2">
        <w:tc>
          <w:tcPr>
            <w:tcW w:w="5000" w:type="pct"/>
            <w:gridSpan w:val="7"/>
            <w:tcBorders>
              <w:bottom w:val="nil"/>
            </w:tcBorders>
            <w:shd w:val="clear" w:color="auto" w:fill="auto"/>
            <w:vAlign w:val="center"/>
          </w:tcPr>
          <w:p w14:paraId="45DDA667" w14:textId="77777777" w:rsidR="00AB7860" w:rsidRPr="009941F8" w:rsidRDefault="00AB7860" w:rsidP="00233562">
            <w:pPr>
              <w:pStyle w:val="In-tableHeading"/>
              <w:keepNext w:val="0"/>
              <w:rPr>
                <w:lang w:val="en-AU"/>
              </w:rPr>
            </w:pPr>
            <w:r w:rsidRPr="009941F8">
              <w:rPr>
                <w:lang w:val="en-AU"/>
              </w:rPr>
              <w:t>Step 4: ICER at 4 years, all costs, 5% discounting for costs and benefits</w:t>
            </w:r>
          </w:p>
        </w:tc>
      </w:tr>
      <w:tr w:rsidR="00AB7860" w:rsidRPr="009941F8" w14:paraId="26E9DAFB" w14:textId="77777777" w:rsidTr="00A244E2">
        <w:tc>
          <w:tcPr>
            <w:tcW w:w="1646" w:type="pct"/>
            <w:tcBorders>
              <w:top w:val="nil"/>
              <w:bottom w:val="nil"/>
            </w:tcBorders>
            <w:vAlign w:val="center"/>
          </w:tcPr>
          <w:p w14:paraId="00BA05CA" w14:textId="77777777" w:rsidR="00AB7860" w:rsidRPr="009941F8" w:rsidRDefault="00AB7860" w:rsidP="00233562">
            <w:pPr>
              <w:pStyle w:val="TableText0"/>
              <w:keepNext w:val="0"/>
              <w:rPr>
                <w:rFonts w:ascii="Times" w:hAnsi="Times"/>
              </w:rPr>
            </w:pPr>
            <w:r w:rsidRPr="009941F8">
              <w:t>Costs</w:t>
            </w:r>
          </w:p>
        </w:tc>
        <w:tc>
          <w:tcPr>
            <w:tcW w:w="709" w:type="pct"/>
            <w:tcBorders>
              <w:top w:val="nil"/>
              <w:bottom w:val="nil"/>
            </w:tcBorders>
            <w:shd w:val="clear" w:color="auto" w:fill="auto"/>
          </w:tcPr>
          <w:p w14:paraId="7B7CC882" w14:textId="03FDB4CE" w:rsidR="00AB7860" w:rsidRPr="009941F8" w:rsidRDefault="00AB7860" w:rsidP="00233562">
            <w:pPr>
              <w:pStyle w:val="TableText0"/>
              <w:keepNext w:val="0"/>
              <w:jc w:val="center"/>
              <w:rPr>
                <w:rFonts w:ascii="Times" w:hAnsi="Times"/>
              </w:rPr>
            </w:pPr>
            <w:r w:rsidRPr="009941F8">
              <w:t>$</w:t>
            </w:r>
            <w:r w:rsidR="00640EC9" w:rsidRPr="00640EC9">
              <w:rPr>
                <w:color w:val="000000"/>
                <w:shd w:val="solid" w:color="000000" w:fill="000000"/>
                <w14:textFill>
                  <w14:solidFill>
                    <w14:srgbClr w14:val="000000">
                      <w14:alpha w14:val="100000"/>
                    </w14:srgbClr>
                  </w14:solidFill>
                </w14:textFill>
              </w:rPr>
              <w:t>|</w:t>
            </w:r>
            <w:r w:rsidRPr="009941F8">
              <w:t xml:space="preserve"> </w:t>
            </w:r>
          </w:p>
        </w:tc>
        <w:tc>
          <w:tcPr>
            <w:tcW w:w="472" w:type="pct"/>
            <w:tcBorders>
              <w:top w:val="nil"/>
              <w:bottom w:val="nil"/>
            </w:tcBorders>
            <w:shd w:val="clear" w:color="auto" w:fill="auto"/>
          </w:tcPr>
          <w:p w14:paraId="7D2510EB" w14:textId="77777777" w:rsidR="00AB7860" w:rsidRPr="009941F8" w:rsidRDefault="00AB7860" w:rsidP="00233562">
            <w:pPr>
              <w:pStyle w:val="TableText0"/>
              <w:keepNext w:val="0"/>
              <w:jc w:val="center"/>
              <w:rPr>
                <w:rFonts w:ascii="Times" w:hAnsi="Times"/>
              </w:rPr>
            </w:pPr>
            <w:r w:rsidRPr="009941F8">
              <w:t>$15,103c</w:t>
            </w:r>
          </w:p>
        </w:tc>
        <w:tc>
          <w:tcPr>
            <w:tcW w:w="640" w:type="pct"/>
            <w:tcBorders>
              <w:top w:val="nil"/>
              <w:bottom w:val="nil"/>
            </w:tcBorders>
            <w:shd w:val="clear" w:color="auto" w:fill="auto"/>
          </w:tcPr>
          <w:p w14:paraId="1207101E" w14:textId="51423334" w:rsidR="00AB7860" w:rsidRPr="009941F8" w:rsidRDefault="00AB7860" w:rsidP="00233562">
            <w:pPr>
              <w:pStyle w:val="TableText0"/>
              <w:keepNext w:val="0"/>
              <w:jc w:val="center"/>
              <w:rPr>
                <w:rFonts w:ascii="Times" w:hAnsi="Times"/>
              </w:rPr>
            </w:pPr>
            <w:r w:rsidRPr="009941F8">
              <w:t>$</w:t>
            </w:r>
            <w:r w:rsidR="00640EC9" w:rsidRPr="00640EC9">
              <w:rPr>
                <w:rFonts w:hint="eastAsia"/>
                <w:color w:val="000000"/>
                <w:w w:val="15"/>
                <w:shd w:val="solid" w:color="000000" w:fill="000000"/>
                <w:fitText w:val="48" w:id="-961890033"/>
                <w14:textFill>
                  <w14:solidFill>
                    <w14:srgbClr w14:val="000000">
                      <w14:alpha w14:val="100000"/>
                    </w14:srgbClr>
                  </w14:solidFill>
                </w14:textFill>
              </w:rPr>
              <w:t xml:space="preserve">　</w:t>
            </w:r>
            <w:r w:rsidR="00640EC9" w:rsidRPr="00640EC9">
              <w:rPr>
                <w:color w:val="000000"/>
                <w:w w:val="15"/>
                <w:shd w:val="solid" w:color="000000" w:fill="000000"/>
                <w:fitText w:val="48" w:id="-961890033"/>
                <w14:textFill>
                  <w14:solidFill>
                    <w14:srgbClr w14:val="000000">
                      <w14:alpha w14:val="100000"/>
                    </w14:srgbClr>
                  </w14:solidFill>
                </w14:textFill>
              </w:rPr>
              <w:t>|</w:t>
            </w:r>
            <w:r w:rsidR="00640EC9" w:rsidRPr="00640EC9">
              <w:rPr>
                <w:rFonts w:hint="eastAsia"/>
                <w:color w:val="000000"/>
                <w:spacing w:val="-17"/>
                <w:w w:val="15"/>
                <w:shd w:val="solid" w:color="000000" w:fill="000000"/>
                <w:fitText w:val="48" w:id="-961890033"/>
                <w14:textFill>
                  <w14:solidFill>
                    <w14:srgbClr w14:val="000000">
                      <w14:alpha w14:val="100000"/>
                    </w14:srgbClr>
                  </w14:solidFill>
                </w14:textFill>
              </w:rPr>
              <w:t xml:space="preserve">　</w:t>
            </w:r>
            <w:r w:rsidRPr="009941F8">
              <w:t xml:space="preserve"> </w:t>
            </w:r>
          </w:p>
        </w:tc>
        <w:tc>
          <w:tcPr>
            <w:tcW w:w="567" w:type="pct"/>
            <w:tcBorders>
              <w:top w:val="nil"/>
              <w:bottom w:val="nil"/>
            </w:tcBorders>
          </w:tcPr>
          <w:p w14:paraId="34021568" w14:textId="1886520A" w:rsidR="00AB7860" w:rsidRPr="009941F8" w:rsidRDefault="00AB7860" w:rsidP="00233562">
            <w:pPr>
              <w:pStyle w:val="TableText0"/>
              <w:keepNext w:val="0"/>
              <w:jc w:val="center"/>
            </w:pPr>
            <w:r w:rsidRPr="009941F8">
              <w:t>$</w:t>
            </w:r>
            <w:r w:rsidR="00640EC9" w:rsidRPr="00640EC9">
              <w:rPr>
                <w:rFonts w:hint="eastAsia"/>
                <w:color w:val="000000"/>
                <w:w w:val="24"/>
                <w:shd w:val="solid" w:color="000000" w:fill="000000"/>
                <w:fitText w:val="108" w:id="-961890032"/>
                <w14:textFill>
                  <w14:solidFill>
                    <w14:srgbClr w14:val="000000">
                      <w14:alpha w14:val="100000"/>
                    </w14:srgbClr>
                  </w14:solidFill>
                </w14:textFill>
              </w:rPr>
              <w:t xml:space="preserve">　</w:t>
            </w:r>
            <w:r w:rsidR="00640EC9" w:rsidRPr="00640EC9">
              <w:rPr>
                <w:color w:val="000000"/>
                <w:w w:val="24"/>
                <w:shd w:val="solid" w:color="000000" w:fill="000000"/>
                <w:fitText w:val="108" w:id="-961890032"/>
                <w14:textFill>
                  <w14:solidFill>
                    <w14:srgbClr w14:val="000000">
                      <w14:alpha w14:val="100000"/>
                    </w14:srgbClr>
                  </w14:solidFill>
                </w14:textFill>
              </w:rPr>
              <w:t>|</w:t>
            </w:r>
            <w:r w:rsidR="00640EC9" w:rsidRPr="00640EC9">
              <w:rPr>
                <w:rFonts w:hint="eastAsia"/>
                <w:color w:val="000000"/>
                <w:spacing w:val="4"/>
                <w:w w:val="24"/>
                <w:shd w:val="solid" w:color="000000" w:fill="000000"/>
                <w:fitText w:val="108" w:id="-961890032"/>
                <w14:textFill>
                  <w14:solidFill>
                    <w14:srgbClr w14:val="000000">
                      <w14:alpha w14:val="100000"/>
                    </w14:srgbClr>
                  </w14:solidFill>
                </w14:textFill>
              </w:rPr>
              <w:t xml:space="preserve">　</w:t>
            </w:r>
          </w:p>
        </w:tc>
        <w:tc>
          <w:tcPr>
            <w:tcW w:w="428" w:type="pct"/>
            <w:tcBorders>
              <w:top w:val="nil"/>
              <w:bottom w:val="nil"/>
            </w:tcBorders>
          </w:tcPr>
          <w:p w14:paraId="4EFC0DB3" w14:textId="77777777" w:rsidR="00AB7860" w:rsidRPr="009941F8" w:rsidRDefault="00AB7860" w:rsidP="00233562">
            <w:pPr>
              <w:pStyle w:val="TableText0"/>
              <w:keepNext w:val="0"/>
              <w:jc w:val="center"/>
            </w:pPr>
            <w:r w:rsidRPr="009941F8">
              <w:t>$0</w:t>
            </w:r>
          </w:p>
        </w:tc>
        <w:tc>
          <w:tcPr>
            <w:tcW w:w="538" w:type="pct"/>
            <w:tcBorders>
              <w:top w:val="nil"/>
              <w:bottom w:val="nil"/>
            </w:tcBorders>
          </w:tcPr>
          <w:p w14:paraId="36A65A7A" w14:textId="5DDDA4C8" w:rsidR="00AB7860" w:rsidRPr="009941F8" w:rsidRDefault="00AB7860" w:rsidP="00233562">
            <w:pPr>
              <w:pStyle w:val="TableText0"/>
              <w:keepNext w:val="0"/>
              <w:jc w:val="center"/>
            </w:pPr>
            <w:r w:rsidRPr="009941F8">
              <w:t>$</w:t>
            </w:r>
            <w:r w:rsidR="00640EC9" w:rsidRPr="00640EC9">
              <w:rPr>
                <w:rFonts w:hint="eastAsia"/>
                <w:color w:val="000000"/>
                <w:w w:val="29"/>
                <w:shd w:val="solid" w:color="000000" w:fill="000000"/>
                <w:fitText w:val="132" w:id="-961890048"/>
                <w14:textFill>
                  <w14:solidFill>
                    <w14:srgbClr w14:val="000000">
                      <w14:alpha w14:val="100000"/>
                    </w14:srgbClr>
                  </w14:solidFill>
                </w14:textFill>
              </w:rPr>
              <w:t xml:space="preserve">　</w:t>
            </w:r>
            <w:r w:rsidR="00640EC9" w:rsidRPr="00640EC9">
              <w:rPr>
                <w:color w:val="000000"/>
                <w:w w:val="29"/>
                <w:shd w:val="solid" w:color="000000" w:fill="000000"/>
                <w:fitText w:val="132" w:id="-961890048"/>
                <w14:textFill>
                  <w14:solidFill>
                    <w14:srgbClr w14:val="000000">
                      <w14:alpha w14:val="100000"/>
                    </w14:srgbClr>
                  </w14:solidFill>
                </w14:textFill>
              </w:rPr>
              <w:t>|</w:t>
            </w:r>
            <w:r w:rsidR="00640EC9" w:rsidRPr="00640EC9">
              <w:rPr>
                <w:rFonts w:hint="eastAsia"/>
                <w:color w:val="000000"/>
                <w:spacing w:val="4"/>
                <w:w w:val="29"/>
                <w:shd w:val="solid" w:color="000000" w:fill="000000"/>
                <w:fitText w:val="132" w:id="-961890048"/>
                <w14:textFill>
                  <w14:solidFill>
                    <w14:srgbClr w14:val="000000">
                      <w14:alpha w14:val="100000"/>
                    </w14:srgbClr>
                  </w14:solidFill>
                </w14:textFill>
              </w:rPr>
              <w:t xml:space="preserve">　</w:t>
            </w:r>
          </w:p>
        </w:tc>
      </w:tr>
      <w:tr w:rsidR="00AB7860" w:rsidRPr="009941F8" w14:paraId="146279D1" w14:textId="77777777" w:rsidTr="00A244E2">
        <w:tc>
          <w:tcPr>
            <w:tcW w:w="1646" w:type="pct"/>
            <w:tcBorders>
              <w:top w:val="nil"/>
              <w:bottom w:val="nil"/>
            </w:tcBorders>
            <w:vAlign w:val="center"/>
          </w:tcPr>
          <w:p w14:paraId="74828ECB" w14:textId="77777777" w:rsidR="00AB7860" w:rsidRPr="009941F8" w:rsidRDefault="00AB7860" w:rsidP="00233562">
            <w:pPr>
              <w:pStyle w:val="TableText0"/>
              <w:keepNext w:val="0"/>
            </w:pPr>
            <w:r w:rsidRPr="009941F8">
              <w:t>LYG</w:t>
            </w:r>
          </w:p>
        </w:tc>
        <w:tc>
          <w:tcPr>
            <w:tcW w:w="709" w:type="pct"/>
            <w:tcBorders>
              <w:top w:val="nil"/>
              <w:bottom w:val="nil"/>
            </w:tcBorders>
            <w:shd w:val="clear" w:color="auto" w:fill="auto"/>
          </w:tcPr>
          <w:p w14:paraId="4FAD0A1D" w14:textId="77777777" w:rsidR="00AB7860" w:rsidRPr="009941F8" w:rsidRDefault="00AB7860" w:rsidP="00233562">
            <w:pPr>
              <w:pStyle w:val="TableText0"/>
              <w:keepNext w:val="0"/>
              <w:jc w:val="center"/>
              <w:rPr>
                <w:rFonts w:ascii="Times" w:hAnsi="Times"/>
              </w:rPr>
            </w:pPr>
            <w:r w:rsidRPr="009941F8">
              <w:t>3.474</w:t>
            </w:r>
          </w:p>
        </w:tc>
        <w:tc>
          <w:tcPr>
            <w:tcW w:w="472" w:type="pct"/>
            <w:tcBorders>
              <w:top w:val="nil"/>
              <w:bottom w:val="nil"/>
            </w:tcBorders>
            <w:shd w:val="clear" w:color="auto" w:fill="auto"/>
          </w:tcPr>
          <w:p w14:paraId="3C69EADA" w14:textId="77777777" w:rsidR="00AB7860" w:rsidRPr="009941F8" w:rsidRDefault="00AB7860" w:rsidP="00233562">
            <w:pPr>
              <w:pStyle w:val="TableText0"/>
              <w:keepNext w:val="0"/>
              <w:jc w:val="center"/>
              <w:rPr>
                <w:rFonts w:ascii="Times" w:hAnsi="Times"/>
              </w:rPr>
            </w:pPr>
            <w:r w:rsidRPr="009941F8">
              <w:t>3.463</w:t>
            </w:r>
          </w:p>
        </w:tc>
        <w:tc>
          <w:tcPr>
            <w:tcW w:w="640" w:type="pct"/>
            <w:tcBorders>
              <w:top w:val="nil"/>
              <w:bottom w:val="nil"/>
            </w:tcBorders>
            <w:shd w:val="clear" w:color="auto" w:fill="auto"/>
          </w:tcPr>
          <w:p w14:paraId="466391C0" w14:textId="77777777" w:rsidR="00AB7860" w:rsidRPr="009941F8" w:rsidRDefault="00AB7860" w:rsidP="00233562">
            <w:pPr>
              <w:pStyle w:val="TableText0"/>
              <w:keepNext w:val="0"/>
              <w:jc w:val="center"/>
              <w:rPr>
                <w:rFonts w:ascii="Times" w:hAnsi="Times"/>
              </w:rPr>
            </w:pPr>
            <w:r w:rsidRPr="009941F8">
              <w:t>0.011</w:t>
            </w:r>
          </w:p>
        </w:tc>
        <w:tc>
          <w:tcPr>
            <w:tcW w:w="567" w:type="pct"/>
            <w:tcBorders>
              <w:top w:val="nil"/>
              <w:bottom w:val="nil"/>
            </w:tcBorders>
          </w:tcPr>
          <w:p w14:paraId="74DB4372" w14:textId="77777777" w:rsidR="00AB7860" w:rsidRPr="009941F8" w:rsidRDefault="00AB7860" w:rsidP="00233562">
            <w:pPr>
              <w:pStyle w:val="TableText0"/>
              <w:keepNext w:val="0"/>
              <w:jc w:val="center"/>
            </w:pPr>
            <w:r w:rsidRPr="009941F8">
              <w:t>3.582</w:t>
            </w:r>
          </w:p>
        </w:tc>
        <w:tc>
          <w:tcPr>
            <w:tcW w:w="428" w:type="pct"/>
            <w:tcBorders>
              <w:top w:val="nil"/>
              <w:bottom w:val="nil"/>
            </w:tcBorders>
          </w:tcPr>
          <w:p w14:paraId="1AB75E4F" w14:textId="77777777" w:rsidR="00AB7860" w:rsidRPr="009941F8" w:rsidRDefault="00AB7860" w:rsidP="00233562">
            <w:pPr>
              <w:pStyle w:val="TableText0"/>
              <w:keepNext w:val="0"/>
              <w:jc w:val="center"/>
            </w:pPr>
            <w:r w:rsidRPr="009941F8">
              <w:t>3.575</w:t>
            </w:r>
          </w:p>
        </w:tc>
        <w:tc>
          <w:tcPr>
            <w:tcW w:w="538" w:type="pct"/>
            <w:tcBorders>
              <w:top w:val="nil"/>
              <w:bottom w:val="nil"/>
            </w:tcBorders>
          </w:tcPr>
          <w:p w14:paraId="07A9B3C6" w14:textId="77777777" w:rsidR="00AB7860" w:rsidRPr="009941F8" w:rsidRDefault="00AB7860" w:rsidP="00233562">
            <w:pPr>
              <w:pStyle w:val="TableText0"/>
              <w:keepNext w:val="0"/>
              <w:jc w:val="center"/>
            </w:pPr>
            <w:r w:rsidRPr="009941F8">
              <w:t>0.006</w:t>
            </w:r>
          </w:p>
        </w:tc>
      </w:tr>
      <w:tr w:rsidR="00AB7860" w:rsidRPr="009941F8" w14:paraId="33C4EF3A" w14:textId="77777777" w:rsidTr="00A244E2">
        <w:tc>
          <w:tcPr>
            <w:tcW w:w="1646" w:type="pct"/>
            <w:tcBorders>
              <w:top w:val="nil"/>
              <w:bottom w:val="nil"/>
            </w:tcBorders>
            <w:vAlign w:val="center"/>
          </w:tcPr>
          <w:p w14:paraId="20E7F3F6" w14:textId="77777777" w:rsidR="00AB7860" w:rsidRPr="009941F8" w:rsidRDefault="00AB7860" w:rsidP="00233562">
            <w:pPr>
              <w:pStyle w:val="TableText0"/>
              <w:keepNext w:val="0"/>
              <w:jc w:val="right"/>
              <w:rPr>
                <w:rFonts w:ascii="Times" w:hAnsi="Times"/>
                <w:b/>
              </w:rPr>
            </w:pPr>
            <w:r w:rsidRPr="009941F8">
              <w:rPr>
                <w:b/>
              </w:rPr>
              <w:t>Incremental cost/LYG</w:t>
            </w:r>
          </w:p>
        </w:tc>
        <w:tc>
          <w:tcPr>
            <w:tcW w:w="1181" w:type="pct"/>
            <w:gridSpan w:val="2"/>
            <w:tcBorders>
              <w:top w:val="nil"/>
              <w:bottom w:val="nil"/>
            </w:tcBorders>
            <w:shd w:val="clear" w:color="auto" w:fill="auto"/>
            <w:vAlign w:val="center"/>
          </w:tcPr>
          <w:p w14:paraId="7D86DE35" w14:textId="77777777" w:rsidR="00AB7860" w:rsidRPr="009941F8" w:rsidRDefault="00AB7860" w:rsidP="00233562">
            <w:pPr>
              <w:pStyle w:val="TableText0"/>
              <w:keepNext w:val="0"/>
              <w:rPr>
                <w:rFonts w:ascii="Times" w:hAnsi="Times"/>
                <w:b/>
              </w:rPr>
            </w:pPr>
          </w:p>
        </w:tc>
        <w:tc>
          <w:tcPr>
            <w:tcW w:w="640" w:type="pct"/>
            <w:tcBorders>
              <w:top w:val="nil"/>
              <w:bottom w:val="nil"/>
            </w:tcBorders>
            <w:shd w:val="clear" w:color="auto" w:fill="auto"/>
          </w:tcPr>
          <w:p w14:paraId="3A07A026" w14:textId="2A301011" w:rsidR="00AB7860" w:rsidRPr="009941F8" w:rsidRDefault="00AB7860" w:rsidP="00233562">
            <w:pPr>
              <w:pStyle w:val="TableText0"/>
              <w:keepNext w:val="0"/>
              <w:jc w:val="center"/>
              <w:rPr>
                <w:rFonts w:ascii="Times" w:hAnsi="Times"/>
                <w:b/>
              </w:rPr>
            </w:pPr>
            <w:r w:rsidRPr="009941F8">
              <w:rPr>
                <w:b/>
              </w:rPr>
              <w:t>$</w:t>
            </w:r>
            <w:r w:rsidR="00640EC9" w:rsidRPr="00640EC9">
              <w:rPr>
                <w:rFonts w:hint="eastAsia"/>
                <w:b/>
                <w:color w:val="000000"/>
                <w:w w:val="26"/>
                <w:shd w:val="solid" w:color="000000" w:fill="000000"/>
                <w:fitText w:val="120" w:id="-961890047"/>
                <w14:textFill>
                  <w14:solidFill>
                    <w14:srgbClr w14:val="000000">
                      <w14:alpha w14:val="100000"/>
                    </w14:srgbClr>
                  </w14:solidFill>
                </w14:textFill>
              </w:rPr>
              <w:t xml:space="preserve">　</w:t>
            </w:r>
            <w:r w:rsidR="00640EC9" w:rsidRPr="00640EC9">
              <w:rPr>
                <w:b/>
                <w:color w:val="000000"/>
                <w:w w:val="26"/>
                <w:shd w:val="solid" w:color="000000" w:fill="000000"/>
                <w:fitText w:val="120" w:id="-961890047"/>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47"/>
                <w14:textFill>
                  <w14:solidFill>
                    <w14:srgbClr w14:val="000000">
                      <w14:alpha w14:val="100000"/>
                    </w14:srgbClr>
                  </w14:solidFill>
                </w14:textFill>
              </w:rPr>
              <w:t xml:space="preserve">　</w:t>
            </w:r>
            <w:r w:rsidR="008D5F3E" w:rsidRPr="008D5F3E">
              <w:rPr>
                <w:b/>
                <w:vertAlign w:val="superscript"/>
              </w:rPr>
              <w:t>5</w:t>
            </w:r>
          </w:p>
        </w:tc>
        <w:tc>
          <w:tcPr>
            <w:tcW w:w="567" w:type="pct"/>
            <w:tcBorders>
              <w:top w:val="nil"/>
              <w:bottom w:val="nil"/>
            </w:tcBorders>
          </w:tcPr>
          <w:p w14:paraId="5197A640" w14:textId="77777777" w:rsidR="00AB7860" w:rsidRPr="009941F8" w:rsidRDefault="00AB7860" w:rsidP="00233562">
            <w:pPr>
              <w:pStyle w:val="TableText0"/>
              <w:keepNext w:val="0"/>
              <w:jc w:val="center"/>
              <w:rPr>
                <w:b/>
              </w:rPr>
            </w:pPr>
          </w:p>
        </w:tc>
        <w:tc>
          <w:tcPr>
            <w:tcW w:w="428" w:type="pct"/>
            <w:tcBorders>
              <w:top w:val="nil"/>
              <w:bottom w:val="nil"/>
            </w:tcBorders>
          </w:tcPr>
          <w:p w14:paraId="41D1B3ED" w14:textId="77777777" w:rsidR="00AB7860" w:rsidRPr="009941F8" w:rsidRDefault="00AB7860" w:rsidP="00233562">
            <w:pPr>
              <w:pStyle w:val="TableText0"/>
              <w:keepNext w:val="0"/>
              <w:jc w:val="center"/>
              <w:rPr>
                <w:b/>
              </w:rPr>
            </w:pPr>
          </w:p>
        </w:tc>
        <w:tc>
          <w:tcPr>
            <w:tcW w:w="538" w:type="pct"/>
            <w:tcBorders>
              <w:top w:val="nil"/>
              <w:bottom w:val="nil"/>
            </w:tcBorders>
          </w:tcPr>
          <w:p w14:paraId="24F05A4D" w14:textId="6AF53079"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46"/>
                <w14:textFill>
                  <w14:solidFill>
                    <w14:srgbClr w14:val="000000">
                      <w14:alpha w14:val="100000"/>
                    </w14:srgbClr>
                  </w14:solidFill>
                </w14:textFill>
              </w:rPr>
              <w:t>|</w:t>
            </w:r>
            <w:r w:rsidR="00640EC9" w:rsidRPr="00640EC9">
              <w:rPr>
                <w:b/>
                <w:color w:val="000000"/>
                <w:spacing w:val="1"/>
                <w:shd w:val="solid" w:color="000000" w:fill="000000"/>
                <w:fitText w:val="204" w:id="-961890046"/>
                <w14:textFill>
                  <w14:solidFill>
                    <w14:srgbClr w14:val="000000">
                      <w14:alpha w14:val="100000"/>
                    </w14:srgbClr>
                  </w14:solidFill>
                </w14:textFill>
              </w:rPr>
              <w:t>|</w:t>
            </w:r>
            <w:r w:rsidR="008D5F3E" w:rsidRPr="008D5F3E">
              <w:rPr>
                <w:b/>
                <w:vertAlign w:val="superscript"/>
              </w:rPr>
              <w:t>5</w:t>
            </w:r>
          </w:p>
        </w:tc>
      </w:tr>
      <w:tr w:rsidR="00AB7860" w:rsidRPr="009941F8" w14:paraId="107389BA" w14:textId="77777777" w:rsidTr="00A244E2">
        <w:trPr>
          <w:trHeight w:val="129"/>
        </w:trPr>
        <w:tc>
          <w:tcPr>
            <w:tcW w:w="1646" w:type="pct"/>
            <w:tcBorders>
              <w:top w:val="nil"/>
              <w:bottom w:val="nil"/>
            </w:tcBorders>
            <w:vAlign w:val="center"/>
          </w:tcPr>
          <w:p w14:paraId="251A40D7" w14:textId="77777777" w:rsidR="00AB7860" w:rsidRPr="009941F8" w:rsidRDefault="00AB7860" w:rsidP="00233562">
            <w:pPr>
              <w:pStyle w:val="TableText0"/>
              <w:keepNext w:val="0"/>
              <w:rPr>
                <w:rFonts w:ascii="Times" w:hAnsi="Times"/>
              </w:rPr>
            </w:pPr>
            <w:r w:rsidRPr="009941F8">
              <w:t>QALYs gained</w:t>
            </w:r>
          </w:p>
        </w:tc>
        <w:tc>
          <w:tcPr>
            <w:tcW w:w="709" w:type="pct"/>
            <w:tcBorders>
              <w:top w:val="nil"/>
              <w:bottom w:val="nil"/>
            </w:tcBorders>
            <w:shd w:val="clear" w:color="auto" w:fill="auto"/>
          </w:tcPr>
          <w:p w14:paraId="7B36377E" w14:textId="77777777" w:rsidR="00AB7860" w:rsidRPr="009941F8" w:rsidRDefault="00AB7860" w:rsidP="00233562">
            <w:pPr>
              <w:pStyle w:val="TableText0"/>
              <w:keepNext w:val="0"/>
              <w:jc w:val="center"/>
              <w:rPr>
                <w:rFonts w:ascii="Times" w:hAnsi="Times"/>
              </w:rPr>
            </w:pPr>
            <w:r w:rsidRPr="009941F8">
              <w:t>1.694</w:t>
            </w:r>
          </w:p>
        </w:tc>
        <w:tc>
          <w:tcPr>
            <w:tcW w:w="472" w:type="pct"/>
            <w:tcBorders>
              <w:top w:val="nil"/>
              <w:bottom w:val="nil"/>
            </w:tcBorders>
            <w:shd w:val="clear" w:color="auto" w:fill="auto"/>
          </w:tcPr>
          <w:p w14:paraId="69FBD03C" w14:textId="77777777" w:rsidR="00AB7860" w:rsidRPr="009941F8" w:rsidRDefault="00AB7860" w:rsidP="00233562">
            <w:pPr>
              <w:pStyle w:val="TableText0"/>
              <w:keepNext w:val="0"/>
              <w:jc w:val="center"/>
              <w:rPr>
                <w:rFonts w:ascii="Times" w:hAnsi="Times"/>
              </w:rPr>
            </w:pPr>
            <w:r w:rsidRPr="009941F8">
              <w:t>1.481</w:t>
            </w:r>
          </w:p>
        </w:tc>
        <w:tc>
          <w:tcPr>
            <w:tcW w:w="640" w:type="pct"/>
            <w:tcBorders>
              <w:top w:val="nil"/>
              <w:bottom w:val="nil"/>
            </w:tcBorders>
            <w:shd w:val="clear" w:color="auto" w:fill="auto"/>
          </w:tcPr>
          <w:p w14:paraId="7C708A8D" w14:textId="77777777" w:rsidR="00AB7860" w:rsidRPr="009941F8" w:rsidRDefault="00AB7860" w:rsidP="00233562">
            <w:pPr>
              <w:pStyle w:val="TableText0"/>
              <w:keepNext w:val="0"/>
              <w:jc w:val="center"/>
            </w:pPr>
            <w:r w:rsidRPr="009941F8">
              <w:t>0.213</w:t>
            </w:r>
          </w:p>
        </w:tc>
        <w:tc>
          <w:tcPr>
            <w:tcW w:w="567" w:type="pct"/>
            <w:tcBorders>
              <w:top w:val="nil"/>
              <w:bottom w:val="nil"/>
            </w:tcBorders>
          </w:tcPr>
          <w:p w14:paraId="04802DA0" w14:textId="77777777" w:rsidR="00AB7860" w:rsidRPr="009941F8" w:rsidRDefault="00AB7860" w:rsidP="00233562">
            <w:pPr>
              <w:pStyle w:val="TableText0"/>
              <w:keepNext w:val="0"/>
              <w:jc w:val="center"/>
            </w:pPr>
            <w:r w:rsidRPr="009941F8">
              <w:t>2.531</w:t>
            </w:r>
            <w:r w:rsidRPr="009941F8">
              <w:rPr>
                <w:vertAlign w:val="superscript"/>
              </w:rPr>
              <w:t>b</w:t>
            </w:r>
          </w:p>
        </w:tc>
        <w:tc>
          <w:tcPr>
            <w:tcW w:w="428" w:type="pct"/>
            <w:tcBorders>
              <w:top w:val="nil"/>
              <w:bottom w:val="nil"/>
            </w:tcBorders>
          </w:tcPr>
          <w:p w14:paraId="446303E7" w14:textId="77777777" w:rsidR="00AB7860" w:rsidRPr="009941F8" w:rsidRDefault="00AB7860" w:rsidP="00233562">
            <w:pPr>
              <w:pStyle w:val="TableText0"/>
              <w:keepNext w:val="0"/>
              <w:jc w:val="center"/>
            </w:pPr>
            <w:r w:rsidRPr="009941F8">
              <w:t>2.482</w:t>
            </w:r>
            <w:r w:rsidRPr="009941F8">
              <w:rPr>
                <w:vertAlign w:val="superscript"/>
              </w:rPr>
              <w:t>b</w:t>
            </w:r>
          </w:p>
        </w:tc>
        <w:tc>
          <w:tcPr>
            <w:tcW w:w="538" w:type="pct"/>
            <w:tcBorders>
              <w:top w:val="nil"/>
              <w:bottom w:val="nil"/>
            </w:tcBorders>
          </w:tcPr>
          <w:p w14:paraId="25999846" w14:textId="77777777" w:rsidR="00AB7860" w:rsidRPr="009941F8" w:rsidRDefault="00AB7860" w:rsidP="00233562">
            <w:pPr>
              <w:pStyle w:val="TableText0"/>
              <w:keepNext w:val="0"/>
              <w:jc w:val="center"/>
            </w:pPr>
            <w:r w:rsidRPr="009941F8">
              <w:t>0.049</w:t>
            </w:r>
            <w:r w:rsidRPr="009941F8">
              <w:rPr>
                <w:vertAlign w:val="superscript"/>
              </w:rPr>
              <w:t>b</w:t>
            </w:r>
          </w:p>
        </w:tc>
      </w:tr>
      <w:tr w:rsidR="00AB7860" w:rsidRPr="009941F8" w14:paraId="6031DD3C" w14:textId="77777777" w:rsidTr="00A244E2">
        <w:trPr>
          <w:trHeight w:val="63"/>
        </w:trPr>
        <w:tc>
          <w:tcPr>
            <w:tcW w:w="1646" w:type="pct"/>
            <w:tcBorders>
              <w:top w:val="nil"/>
              <w:bottom w:val="single" w:sz="4" w:space="0" w:color="auto"/>
            </w:tcBorders>
            <w:vAlign w:val="center"/>
          </w:tcPr>
          <w:p w14:paraId="3B77654F" w14:textId="77777777" w:rsidR="00AB7860" w:rsidRPr="009941F8" w:rsidRDefault="00AB7860" w:rsidP="00233562">
            <w:pPr>
              <w:pStyle w:val="TableText0"/>
              <w:keepNext w:val="0"/>
              <w:jc w:val="right"/>
              <w:rPr>
                <w:rFonts w:ascii="Times" w:hAnsi="Times"/>
                <w:b/>
              </w:rPr>
            </w:pPr>
            <w:r w:rsidRPr="009941F8">
              <w:rPr>
                <w:b/>
              </w:rPr>
              <w:t>Incremental cost/extra QALY gained</w:t>
            </w:r>
          </w:p>
        </w:tc>
        <w:tc>
          <w:tcPr>
            <w:tcW w:w="1181" w:type="pct"/>
            <w:gridSpan w:val="2"/>
            <w:tcBorders>
              <w:top w:val="nil"/>
              <w:bottom w:val="single" w:sz="4" w:space="0" w:color="auto"/>
            </w:tcBorders>
            <w:shd w:val="clear" w:color="auto" w:fill="auto"/>
            <w:vAlign w:val="center"/>
          </w:tcPr>
          <w:p w14:paraId="6E765F23" w14:textId="77777777" w:rsidR="00AB7860" w:rsidRPr="009941F8" w:rsidRDefault="00AB7860" w:rsidP="00233562">
            <w:pPr>
              <w:pStyle w:val="TableText0"/>
              <w:keepNext w:val="0"/>
              <w:rPr>
                <w:rFonts w:ascii="Times" w:hAnsi="Times"/>
                <w:b/>
              </w:rPr>
            </w:pPr>
          </w:p>
        </w:tc>
        <w:tc>
          <w:tcPr>
            <w:tcW w:w="640" w:type="pct"/>
            <w:tcBorders>
              <w:top w:val="nil"/>
              <w:bottom w:val="single" w:sz="4" w:space="0" w:color="auto"/>
            </w:tcBorders>
            <w:shd w:val="clear" w:color="auto" w:fill="auto"/>
            <w:vAlign w:val="center"/>
          </w:tcPr>
          <w:p w14:paraId="4E2CC0F1" w14:textId="480CCB00" w:rsidR="00AB7860" w:rsidRPr="009941F8" w:rsidRDefault="00AB7860" w:rsidP="00233562">
            <w:pPr>
              <w:pStyle w:val="TableText0"/>
              <w:keepNext w:val="0"/>
              <w:jc w:val="center"/>
              <w:rPr>
                <w:rFonts w:ascii="Times" w:hAnsi="Times"/>
                <w:b/>
              </w:rPr>
            </w:pPr>
            <w:r w:rsidRPr="009941F8">
              <w:rPr>
                <w:b/>
              </w:rPr>
              <w:t>$</w:t>
            </w:r>
            <w:r w:rsidR="00640EC9" w:rsidRPr="00640EC9">
              <w:rPr>
                <w:rFonts w:hint="eastAsia"/>
                <w:b/>
                <w:color w:val="000000"/>
                <w:w w:val="26"/>
                <w:shd w:val="solid" w:color="000000" w:fill="000000"/>
                <w:fitText w:val="120" w:id="-961890045"/>
                <w14:textFill>
                  <w14:solidFill>
                    <w14:srgbClr w14:val="000000">
                      <w14:alpha w14:val="100000"/>
                    </w14:srgbClr>
                  </w14:solidFill>
                </w14:textFill>
              </w:rPr>
              <w:t xml:space="preserve">　</w:t>
            </w:r>
            <w:r w:rsidR="00640EC9" w:rsidRPr="00640EC9">
              <w:rPr>
                <w:b/>
                <w:color w:val="000000"/>
                <w:w w:val="26"/>
                <w:shd w:val="solid" w:color="000000" w:fill="000000"/>
                <w:fitText w:val="120" w:id="-961890045"/>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45"/>
                <w14:textFill>
                  <w14:solidFill>
                    <w14:srgbClr w14:val="000000">
                      <w14:alpha w14:val="100000"/>
                    </w14:srgbClr>
                  </w14:solidFill>
                </w14:textFill>
              </w:rPr>
              <w:t xml:space="preserve">　</w:t>
            </w:r>
            <w:r w:rsidR="00201F07" w:rsidRPr="00201F07">
              <w:rPr>
                <w:b/>
                <w:vertAlign w:val="superscript"/>
              </w:rPr>
              <w:t>8</w:t>
            </w:r>
          </w:p>
        </w:tc>
        <w:tc>
          <w:tcPr>
            <w:tcW w:w="567" w:type="pct"/>
            <w:tcBorders>
              <w:top w:val="nil"/>
              <w:bottom w:val="single" w:sz="4" w:space="0" w:color="auto"/>
            </w:tcBorders>
          </w:tcPr>
          <w:p w14:paraId="25F2C7E0" w14:textId="77777777" w:rsidR="00AB7860" w:rsidRPr="009941F8" w:rsidRDefault="00AB7860" w:rsidP="00233562">
            <w:pPr>
              <w:pStyle w:val="TableText0"/>
              <w:keepNext w:val="0"/>
              <w:jc w:val="center"/>
              <w:rPr>
                <w:b/>
              </w:rPr>
            </w:pPr>
          </w:p>
        </w:tc>
        <w:tc>
          <w:tcPr>
            <w:tcW w:w="428" w:type="pct"/>
            <w:tcBorders>
              <w:top w:val="nil"/>
              <w:bottom w:val="single" w:sz="4" w:space="0" w:color="auto"/>
            </w:tcBorders>
          </w:tcPr>
          <w:p w14:paraId="6DEAAC8C" w14:textId="77777777" w:rsidR="00AB7860" w:rsidRPr="009941F8" w:rsidRDefault="00AB7860" w:rsidP="00233562">
            <w:pPr>
              <w:pStyle w:val="TableText0"/>
              <w:keepNext w:val="0"/>
              <w:jc w:val="center"/>
              <w:rPr>
                <w:b/>
              </w:rPr>
            </w:pPr>
          </w:p>
        </w:tc>
        <w:tc>
          <w:tcPr>
            <w:tcW w:w="538" w:type="pct"/>
            <w:tcBorders>
              <w:top w:val="nil"/>
              <w:bottom w:val="single" w:sz="4" w:space="0" w:color="auto"/>
            </w:tcBorders>
          </w:tcPr>
          <w:p w14:paraId="5EEA5E55" w14:textId="41C44993"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44"/>
                <w14:textFill>
                  <w14:solidFill>
                    <w14:srgbClr w14:val="000000">
                      <w14:alpha w14:val="100000"/>
                    </w14:srgbClr>
                  </w14:solidFill>
                </w14:textFill>
              </w:rPr>
              <w:t>|</w:t>
            </w:r>
            <w:r w:rsidR="00640EC9" w:rsidRPr="00640EC9">
              <w:rPr>
                <w:b/>
                <w:color w:val="000000"/>
                <w:spacing w:val="1"/>
                <w:shd w:val="solid" w:color="000000" w:fill="000000"/>
                <w:fitText w:val="204" w:id="-961890044"/>
                <w14:textFill>
                  <w14:solidFill>
                    <w14:srgbClr w14:val="000000">
                      <w14:alpha w14:val="100000"/>
                    </w14:srgbClr>
                  </w14:solidFill>
                </w14:textFill>
              </w:rPr>
              <w:t>|</w:t>
            </w:r>
            <w:r w:rsidR="00201F07" w:rsidRPr="00201F07">
              <w:rPr>
                <w:b/>
                <w:vertAlign w:val="superscript"/>
              </w:rPr>
              <w:t>7</w:t>
            </w:r>
          </w:p>
        </w:tc>
      </w:tr>
      <w:tr w:rsidR="00AB7860" w:rsidRPr="009941F8" w14:paraId="6DDD15E3" w14:textId="77777777" w:rsidTr="00CC67E7">
        <w:tc>
          <w:tcPr>
            <w:tcW w:w="5000" w:type="pct"/>
            <w:gridSpan w:val="7"/>
            <w:tcBorders>
              <w:bottom w:val="nil"/>
            </w:tcBorders>
            <w:shd w:val="clear" w:color="auto" w:fill="auto"/>
            <w:vAlign w:val="center"/>
          </w:tcPr>
          <w:p w14:paraId="74013863" w14:textId="77777777" w:rsidR="00AB7860" w:rsidRPr="009941F8" w:rsidRDefault="00AB7860" w:rsidP="00233562">
            <w:pPr>
              <w:pStyle w:val="In-tableHeading"/>
              <w:keepNext w:val="0"/>
              <w:rPr>
                <w:lang w:val="en-AU"/>
              </w:rPr>
            </w:pPr>
            <w:r w:rsidRPr="009941F8">
              <w:rPr>
                <w:lang w:val="en-AU"/>
              </w:rPr>
              <w:t>Step 5: ICER at 30 years (March 2023), 59 years (March 2024), 5% discounting for costs and benefits (base case)</w:t>
            </w:r>
          </w:p>
        </w:tc>
      </w:tr>
      <w:tr w:rsidR="00AB7860" w:rsidRPr="009941F8" w14:paraId="579DAC0C" w14:textId="77777777" w:rsidTr="00A244E2">
        <w:tc>
          <w:tcPr>
            <w:tcW w:w="1646" w:type="pct"/>
            <w:tcBorders>
              <w:top w:val="nil"/>
              <w:bottom w:val="nil"/>
            </w:tcBorders>
            <w:vAlign w:val="center"/>
          </w:tcPr>
          <w:p w14:paraId="559DA345" w14:textId="77777777" w:rsidR="00AB7860" w:rsidRPr="009941F8" w:rsidRDefault="00AB7860" w:rsidP="00233562">
            <w:pPr>
              <w:pStyle w:val="TableText0"/>
              <w:keepNext w:val="0"/>
              <w:rPr>
                <w:rFonts w:ascii="Times" w:hAnsi="Times"/>
              </w:rPr>
            </w:pPr>
            <w:r w:rsidRPr="009941F8">
              <w:t>Costs</w:t>
            </w:r>
          </w:p>
        </w:tc>
        <w:tc>
          <w:tcPr>
            <w:tcW w:w="709" w:type="pct"/>
            <w:tcBorders>
              <w:top w:val="nil"/>
              <w:bottom w:val="nil"/>
            </w:tcBorders>
            <w:shd w:val="clear" w:color="auto" w:fill="auto"/>
          </w:tcPr>
          <w:p w14:paraId="1B8D6702" w14:textId="411F1BDC" w:rsidR="00AB7860" w:rsidRPr="009941F8" w:rsidRDefault="00AB7860" w:rsidP="00233562">
            <w:pPr>
              <w:pStyle w:val="TableText0"/>
              <w:keepNext w:val="0"/>
              <w:jc w:val="center"/>
              <w:rPr>
                <w:rFonts w:ascii="Times" w:hAnsi="Times"/>
              </w:rPr>
            </w:pPr>
            <w:r w:rsidRPr="009941F8">
              <w:t>$</w:t>
            </w:r>
            <w:r w:rsidR="00640EC9" w:rsidRPr="00640EC9">
              <w:rPr>
                <w:color w:val="000000"/>
                <w:shd w:val="solid" w:color="000000" w:fill="000000"/>
                <w14:textFill>
                  <w14:solidFill>
                    <w14:srgbClr w14:val="000000">
                      <w14:alpha w14:val="100000"/>
                    </w14:srgbClr>
                  </w14:solidFill>
                </w14:textFill>
              </w:rPr>
              <w:t>|</w:t>
            </w:r>
            <w:r w:rsidRPr="009941F8">
              <w:t xml:space="preserve"> </w:t>
            </w:r>
          </w:p>
        </w:tc>
        <w:tc>
          <w:tcPr>
            <w:tcW w:w="472" w:type="pct"/>
            <w:tcBorders>
              <w:top w:val="nil"/>
              <w:bottom w:val="nil"/>
            </w:tcBorders>
            <w:shd w:val="clear" w:color="auto" w:fill="auto"/>
          </w:tcPr>
          <w:p w14:paraId="1AB58282" w14:textId="77777777" w:rsidR="00AB7860" w:rsidRPr="009941F8" w:rsidRDefault="00AB7860" w:rsidP="00233562">
            <w:pPr>
              <w:pStyle w:val="TableText0"/>
              <w:keepNext w:val="0"/>
              <w:jc w:val="center"/>
              <w:rPr>
                <w:rFonts w:ascii="Times" w:hAnsi="Times"/>
              </w:rPr>
            </w:pPr>
            <w:r w:rsidRPr="009941F8">
              <w:t xml:space="preserve">$90,363 </w:t>
            </w:r>
          </w:p>
        </w:tc>
        <w:tc>
          <w:tcPr>
            <w:tcW w:w="640" w:type="pct"/>
            <w:tcBorders>
              <w:top w:val="nil"/>
              <w:bottom w:val="nil"/>
            </w:tcBorders>
            <w:shd w:val="clear" w:color="auto" w:fill="auto"/>
          </w:tcPr>
          <w:p w14:paraId="405C7358" w14:textId="10745EB6" w:rsidR="00AB7860" w:rsidRPr="009941F8" w:rsidRDefault="00AB7860" w:rsidP="00233562">
            <w:pPr>
              <w:pStyle w:val="TableText0"/>
              <w:keepNext w:val="0"/>
              <w:jc w:val="center"/>
              <w:rPr>
                <w:rFonts w:ascii="Times" w:hAnsi="Times"/>
              </w:rPr>
            </w:pPr>
            <w:r w:rsidRPr="009941F8">
              <w:t>$</w:t>
            </w:r>
            <w:r w:rsidR="00640EC9" w:rsidRPr="00640EC9">
              <w:rPr>
                <w:rFonts w:hint="eastAsia"/>
                <w:color w:val="000000"/>
                <w:w w:val="15"/>
                <w:shd w:val="solid" w:color="000000" w:fill="000000"/>
                <w:fitText w:val="48" w:id="-961890043"/>
                <w14:textFill>
                  <w14:solidFill>
                    <w14:srgbClr w14:val="000000">
                      <w14:alpha w14:val="100000"/>
                    </w14:srgbClr>
                  </w14:solidFill>
                </w14:textFill>
              </w:rPr>
              <w:t xml:space="preserve">　</w:t>
            </w:r>
            <w:r w:rsidR="00640EC9" w:rsidRPr="00640EC9">
              <w:rPr>
                <w:color w:val="000000"/>
                <w:w w:val="15"/>
                <w:shd w:val="solid" w:color="000000" w:fill="000000"/>
                <w:fitText w:val="48" w:id="-961890043"/>
                <w14:textFill>
                  <w14:solidFill>
                    <w14:srgbClr w14:val="000000">
                      <w14:alpha w14:val="100000"/>
                    </w14:srgbClr>
                  </w14:solidFill>
                </w14:textFill>
              </w:rPr>
              <w:t>|</w:t>
            </w:r>
            <w:r w:rsidR="00640EC9" w:rsidRPr="00640EC9">
              <w:rPr>
                <w:rFonts w:hint="eastAsia"/>
                <w:color w:val="000000"/>
                <w:spacing w:val="-17"/>
                <w:w w:val="15"/>
                <w:shd w:val="solid" w:color="000000" w:fill="000000"/>
                <w:fitText w:val="48" w:id="-961890043"/>
                <w14:textFill>
                  <w14:solidFill>
                    <w14:srgbClr w14:val="000000">
                      <w14:alpha w14:val="100000"/>
                    </w14:srgbClr>
                  </w14:solidFill>
                </w14:textFill>
              </w:rPr>
              <w:t xml:space="preserve">　</w:t>
            </w:r>
            <w:r w:rsidRPr="009941F8">
              <w:t xml:space="preserve"> </w:t>
            </w:r>
          </w:p>
        </w:tc>
        <w:tc>
          <w:tcPr>
            <w:tcW w:w="567" w:type="pct"/>
            <w:tcBorders>
              <w:top w:val="nil"/>
              <w:bottom w:val="nil"/>
            </w:tcBorders>
          </w:tcPr>
          <w:p w14:paraId="35C1C0B3" w14:textId="6B961162" w:rsidR="00AB7860" w:rsidRPr="009941F8" w:rsidRDefault="00AB7860" w:rsidP="00233562">
            <w:pPr>
              <w:pStyle w:val="TableText0"/>
              <w:keepNext w:val="0"/>
              <w:jc w:val="center"/>
            </w:pPr>
            <w:r w:rsidRPr="009941F8">
              <w:t>$</w:t>
            </w:r>
            <w:r w:rsidR="00640EC9" w:rsidRPr="00640EC9">
              <w:rPr>
                <w:rFonts w:hint="eastAsia"/>
                <w:color w:val="000000"/>
                <w:w w:val="24"/>
                <w:shd w:val="solid" w:color="000000" w:fill="000000"/>
                <w:fitText w:val="108" w:id="-961890042"/>
                <w14:textFill>
                  <w14:solidFill>
                    <w14:srgbClr w14:val="000000">
                      <w14:alpha w14:val="100000"/>
                    </w14:srgbClr>
                  </w14:solidFill>
                </w14:textFill>
              </w:rPr>
              <w:t xml:space="preserve">　</w:t>
            </w:r>
            <w:r w:rsidR="00640EC9" w:rsidRPr="00640EC9">
              <w:rPr>
                <w:color w:val="000000"/>
                <w:w w:val="24"/>
                <w:shd w:val="solid" w:color="000000" w:fill="000000"/>
                <w:fitText w:val="108" w:id="-961890042"/>
                <w14:textFill>
                  <w14:solidFill>
                    <w14:srgbClr w14:val="000000">
                      <w14:alpha w14:val="100000"/>
                    </w14:srgbClr>
                  </w14:solidFill>
                </w14:textFill>
              </w:rPr>
              <w:t>|</w:t>
            </w:r>
            <w:r w:rsidR="00640EC9" w:rsidRPr="00640EC9">
              <w:rPr>
                <w:rFonts w:hint="eastAsia"/>
                <w:color w:val="000000"/>
                <w:spacing w:val="4"/>
                <w:w w:val="24"/>
                <w:shd w:val="solid" w:color="000000" w:fill="000000"/>
                <w:fitText w:val="108" w:id="-961890042"/>
                <w14:textFill>
                  <w14:solidFill>
                    <w14:srgbClr w14:val="000000">
                      <w14:alpha w14:val="100000"/>
                    </w14:srgbClr>
                  </w14:solidFill>
                </w14:textFill>
              </w:rPr>
              <w:t xml:space="preserve">　</w:t>
            </w:r>
          </w:p>
        </w:tc>
        <w:tc>
          <w:tcPr>
            <w:tcW w:w="428" w:type="pct"/>
            <w:tcBorders>
              <w:top w:val="nil"/>
              <w:bottom w:val="nil"/>
            </w:tcBorders>
          </w:tcPr>
          <w:p w14:paraId="650A62AD" w14:textId="77777777" w:rsidR="00AB7860" w:rsidRPr="009941F8" w:rsidRDefault="00AB7860" w:rsidP="00233562">
            <w:pPr>
              <w:pStyle w:val="TableText0"/>
              <w:keepNext w:val="0"/>
              <w:jc w:val="center"/>
            </w:pPr>
            <w:r w:rsidRPr="009941F8">
              <w:t>$224,630</w:t>
            </w:r>
          </w:p>
        </w:tc>
        <w:tc>
          <w:tcPr>
            <w:tcW w:w="538" w:type="pct"/>
            <w:tcBorders>
              <w:top w:val="nil"/>
              <w:bottom w:val="nil"/>
            </w:tcBorders>
          </w:tcPr>
          <w:p w14:paraId="5A7863E8" w14:textId="3AA656DF" w:rsidR="00AB7860" w:rsidRPr="009941F8" w:rsidRDefault="00AB7860" w:rsidP="00233562">
            <w:pPr>
              <w:pStyle w:val="TableText0"/>
              <w:keepNext w:val="0"/>
              <w:jc w:val="center"/>
            </w:pPr>
            <w:r w:rsidRPr="009941F8">
              <w:t>$</w:t>
            </w:r>
            <w:r w:rsidR="00640EC9" w:rsidRPr="00640EC9">
              <w:rPr>
                <w:rFonts w:hint="eastAsia"/>
                <w:color w:val="000000"/>
                <w:w w:val="29"/>
                <w:shd w:val="solid" w:color="000000" w:fill="000000"/>
                <w:fitText w:val="132" w:id="-961890041"/>
                <w14:textFill>
                  <w14:solidFill>
                    <w14:srgbClr w14:val="000000">
                      <w14:alpha w14:val="100000"/>
                    </w14:srgbClr>
                  </w14:solidFill>
                </w14:textFill>
              </w:rPr>
              <w:t xml:space="preserve">　</w:t>
            </w:r>
            <w:r w:rsidR="00640EC9" w:rsidRPr="00640EC9">
              <w:rPr>
                <w:color w:val="000000"/>
                <w:w w:val="29"/>
                <w:shd w:val="solid" w:color="000000" w:fill="000000"/>
                <w:fitText w:val="132" w:id="-961890041"/>
                <w14:textFill>
                  <w14:solidFill>
                    <w14:srgbClr w14:val="000000">
                      <w14:alpha w14:val="100000"/>
                    </w14:srgbClr>
                  </w14:solidFill>
                </w14:textFill>
              </w:rPr>
              <w:t>|</w:t>
            </w:r>
            <w:r w:rsidR="00640EC9" w:rsidRPr="00640EC9">
              <w:rPr>
                <w:rFonts w:hint="eastAsia"/>
                <w:color w:val="000000"/>
                <w:spacing w:val="4"/>
                <w:w w:val="29"/>
                <w:shd w:val="solid" w:color="000000" w:fill="000000"/>
                <w:fitText w:val="132" w:id="-961890041"/>
                <w14:textFill>
                  <w14:solidFill>
                    <w14:srgbClr w14:val="000000">
                      <w14:alpha w14:val="100000"/>
                    </w14:srgbClr>
                  </w14:solidFill>
                </w14:textFill>
              </w:rPr>
              <w:t xml:space="preserve">　</w:t>
            </w:r>
          </w:p>
        </w:tc>
      </w:tr>
      <w:tr w:rsidR="00AB7860" w:rsidRPr="009941F8" w14:paraId="3915B342" w14:textId="77777777" w:rsidTr="00A244E2">
        <w:tc>
          <w:tcPr>
            <w:tcW w:w="1646" w:type="pct"/>
            <w:tcBorders>
              <w:top w:val="nil"/>
              <w:bottom w:val="nil"/>
            </w:tcBorders>
            <w:vAlign w:val="center"/>
          </w:tcPr>
          <w:p w14:paraId="56DE305C" w14:textId="77777777" w:rsidR="00AB7860" w:rsidRPr="009941F8" w:rsidRDefault="00AB7860" w:rsidP="00233562">
            <w:pPr>
              <w:pStyle w:val="TableText0"/>
              <w:keepNext w:val="0"/>
            </w:pPr>
            <w:r w:rsidRPr="009941F8">
              <w:t>LYG</w:t>
            </w:r>
          </w:p>
        </w:tc>
        <w:tc>
          <w:tcPr>
            <w:tcW w:w="709" w:type="pct"/>
            <w:tcBorders>
              <w:top w:val="nil"/>
              <w:bottom w:val="nil"/>
            </w:tcBorders>
            <w:shd w:val="clear" w:color="auto" w:fill="auto"/>
          </w:tcPr>
          <w:p w14:paraId="24F217C2" w14:textId="77777777" w:rsidR="00AB7860" w:rsidRPr="009941F8" w:rsidRDefault="00AB7860" w:rsidP="00233562">
            <w:pPr>
              <w:pStyle w:val="TableText0"/>
              <w:keepNext w:val="0"/>
              <w:jc w:val="center"/>
            </w:pPr>
            <w:r w:rsidRPr="009941F8">
              <w:t>12.667</w:t>
            </w:r>
          </w:p>
        </w:tc>
        <w:tc>
          <w:tcPr>
            <w:tcW w:w="472" w:type="pct"/>
            <w:tcBorders>
              <w:top w:val="nil"/>
              <w:bottom w:val="nil"/>
            </w:tcBorders>
            <w:shd w:val="clear" w:color="auto" w:fill="auto"/>
          </w:tcPr>
          <w:p w14:paraId="76863B40" w14:textId="77777777" w:rsidR="00AB7860" w:rsidRPr="009941F8" w:rsidRDefault="00AB7860" w:rsidP="00233562">
            <w:pPr>
              <w:pStyle w:val="TableText0"/>
              <w:keepNext w:val="0"/>
              <w:jc w:val="center"/>
            </w:pPr>
            <w:r w:rsidRPr="009941F8">
              <w:t>12.082</w:t>
            </w:r>
          </w:p>
        </w:tc>
        <w:tc>
          <w:tcPr>
            <w:tcW w:w="640" w:type="pct"/>
            <w:tcBorders>
              <w:top w:val="nil"/>
              <w:bottom w:val="nil"/>
            </w:tcBorders>
            <w:shd w:val="clear" w:color="auto" w:fill="auto"/>
          </w:tcPr>
          <w:p w14:paraId="169BF4EC" w14:textId="77777777" w:rsidR="00AB7860" w:rsidRPr="009941F8" w:rsidRDefault="00AB7860" w:rsidP="00233562">
            <w:pPr>
              <w:pStyle w:val="TableText0"/>
              <w:keepNext w:val="0"/>
              <w:jc w:val="center"/>
            </w:pPr>
            <w:r w:rsidRPr="009941F8">
              <w:t>0.585</w:t>
            </w:r>
          </w:p>
        </w:tc>
        <w:tc>
          <w:tcPr>
            <w:tcW w:w="567" w:type="pct"/>
            <w:tcBorders>
              <w:top w:val="nil"/>
              <w:bottom w:val="nil"/>
            </w:tcBorders>
          </w:tcPr>
          <w:p w14:paraId="780FC026" w14:textId="77777777" w:rsidR="00AB7860" w:rsidRPr="009941F8" w:rsidRDefault="00AB7860" w:rsidP="00233562">
            <w:pPr>
              <w:pStyle w:val="TableText0"/>
              <w:keepNext w:val="0"/>
              <w:jc w:val="center"/>
            </w:pPr>
            <w:r w:rsidRPr="009941F8">
              <w:t>13.169</w:t>
            </w:r>
          </w:p>
        </w:tc>
        <w:tc>
          <w:tcPr>
            <w:tcW w:w="428" w:type="pct"/>
            <w:tcBorders>
              <w:top w:val="nil"/>
              <w:bottom w:val="nil"/>
            </w:tcBorders>
          </w:tcPr>
          <w:p w14:paraId="0F4B5769" w14:textId="77777777" w:rsidR="00AB7860" w:rsidRPr="009941F8" w:rsidRDefault="00AB7860" w:rsidP="00233562">
            <w:pPr>
              <w:pStyle w:val="TableText0"/>
              <w:keepNext w:val="0"/>
              <w:jc w:val="center"/>
            </w:pPr>
            <w:r w:rsidRPr="009941F8">
              <w:t>13.088</w:t>
            </w:r>
          </w:p>
        </w:tc>
        <w:tc>
          <w:tcPr>
            <w:tcW w:w="538" w:type="pct"/>
            <w:tcBorders>
              <w:top w:val="nil"/>
              <w:bottom w:val="nil"/>
            </w:tcBorders>
          </w:tcPr>
          <w:p w14:paraId="5865164F" w14:textId="77777777" w:rsidR="00AB7860" w:rsidRPr="009941F8" w:rsidRDefault="00AB7860" w:rsidP="00233562">
            <w:pPr>
              <w:pStyle w:val="TableText0"/>
              <w:keepNext w:val="0"/>
              <w:jc w:val="center"/>
            </w:pPr>
            <w:r w:rsidRPr="009941F8">
              <w:t>0.081</w:t>
            </w:r>
          </w:p>
        </w:tc>
      </w:tr>
      <w:tr w:rsidR="00AB7860" w:rsidRPr="009941F8" w14:paraId="116FA2E3" w14:textId="77777777" w:rsidTr="00A244E2">
        <w:tc>
          <w:tcPr>
            <w:tcW w:w="1646" w:type="pct"/>
            <w:tcBorders>
              <w:top w:val="nil"/>
              <w:bottom w:val="nil"/>
            </w:tcBorders>
            <w:vAlign w:val="center"/>
          </w:tcPr>
          <w:p w14:paraId="108ACDA9" w14:textId="77777777" w:rsidR="00AB7860" w:rsidRPr="009941F8" w:rsidRDefault="00AB7860" w:rsidP="00233562">
            <w:pPr>
              <w:pStyle w:val="TableText0"/>
              <w:keepNext w:val="0"/>
              <w:jc w:val="right"/>
              <w:rPr>
                <w:b/>
              </w:rPr>
            </w:pPr>
            <w:r w:rsidRPr="009941F8">
              <w:rPr>
                <w:b/>
              </w:rPr>
              <w:t>Incremental cost/LYG</w:t>
            </w:r>
          </w:p>
        </w:tc>
        <w:tc>
          <w:tcPr>
            <w:tcW w:w="1181" w:type="pct"/>
            <w:gridSpan w:val="2"/>
            <w:tcBorders>
              <w:top w:val="nil"/>
              <w:bottom w:val="nil"/>
            </w:tcBorders>
            <w:shd w:val="clear" w:color="auto" w:fill="auto"/>
            <w:vAlign w:val="center"/>
          </w:tcPr>
          <w:p w14:paraId="38008857" w14:textId="77777777" w:rsidR="00AB7860" w:rsidRPr="009941F8" w:rsidRDefault="00AB7860" w:rsidP="00233562">
            <w:pPr>
              <w:pStyle w:val="TableText0"/>
              <w:keepNext w:val="0"/>
              <w:rPr>
                <w:b/>
              </w:rPr>
            </w:pPr>
          </w:p>
        </w:tc>
        <w:tc>
          <w:tcPr>
            <w:tcW w:w="640" w:type="pct"/>
            <w:tcBorders>
              <w:top w:val="nil"/>
              <w:bottom w:val="nil"/>
            </w:tcBorders>
            <w:shd w:val="clear" w:color="auto" w:fill="auto"/>
            <w:vAlign w:val="center"/>
          </w:tcPr>
          <w:p w14:paraId="077B3113" w14:textId="150CA1BF" w:rsidR="00AB7860" w:rsidRPr="009941F8" w:rsidRDefault="00AB7860" w:rsidP="00233562">
            <w:pPr>
              <w:pStyle w:val="TableText0"/>
              <w:keepNext w:val="0"/>
              <w:jc w:val="center"/>
              <w:rPr>
                <w:b/>
              </w:rPr>
            </w:pPr>
            <w:r w:rsidRPr="009941F8">
              <w:rPr>
                <w:b/>
              </w:rPr>
              <w:t>$</w:t>
            </w:r>
            <w:r w:rsidR="00640EC9" w:rsidRPr="00640EC9">
              <w:rPr>
                <w:rFonts w:hint="eastAsia"/>
                <w:b/>
                <w:color w:val="000000"/>
                <w:w w:val="26"/>
                <w:shd w:val="solid" w:color="000000" w:fill="000000"/>
                <w:fitText w:val="120" w:id="-961890040"/>
                <w14:textFill>
                  <w14:solidFill>
                    <w14:srgbClr w14:val="000000">
                      <w14:alpha w14:val="100000"/>
                    </w14:srgbClr>
                  </w14:solidFill>
                </w14:textFill>
              </w:rPr>
              <w:t xml:space="preserve">　</w:t>
            </w:r>
            <w:r w:rsidR="00640EC9" w:rsidRPr="00640EC9">
              <w:rPr>
                <w:b/>
                <w:color w:val="000000"/>
                <w:w w:val="26"/>
                <w:shd w:val="solid" w:color="000000" w:fill="000000"/>
                <w:fitText w:val="120" w:id="-961890040"/>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40"/>
                <w14:textFill>
                  <w14:solidFill>
                    <w14:srgbClr w14:val="000000">
                      <w14:alpha w14:val="100000"/>
                    </w14:srgbClr>
                  </w14:solidFill>
                </w14:textFill>
              </w:rPr>
              <w:t xml:space="preserve">　</w:t>
            </w:r>
            <w:r w:rsidR="00201F07" w:rsidRPr="00201F07">
              <w:rPr>
                <w:b/>
                <w:vertAlign w:val="superscript"/>
              </w:rPr>
              <w:t>9</w:t>
            </w:r>
          </w:p>
        </w:tc>
        <w:tc>
          <w:tcPr>
            <w:tcW w:w="567" w:type="pct"/>
            <w:tcBorders>
              <w:top w:val="nil"/>
              <w:bottom w:val="nil"/>
            </w:tcBorders>
          </w:tcPr>
          <w:p w14:paraId="1C16539C" w14:textId="77777777" w:rsidR="00AB7860" w:rsidRPr="009941F8" w:rsidRDefault="00AB7860" w:rsidP="00233562">
            <w:pPr>
              <w:pStyle w:val="TableText0"/>
              <w:keepNext w:val="0"/>
              <w:jc w:val="center"/>
              <w:rPr>
                <w:b/>
              </w:rPr>
            </w:pPr>
          </w:p>
        </w:tc>
        <w:tc>
          <w:tcPr>
            <w:tcW w:w="428" w:type="pct"/>
            <w:tcBorders>
              <w:top w:val="nil"/>
              <w:bottom w:val="nil"/>
            </w:tcBorders>
          </w:tcPr>
          <w:p w14:paraId="1F9259DF" w14:textId="77777777" w:rsidR="00AB7860" w:rsidRPr="009941F8" w:rsidRDefault="00AB7860" w:rsidP="00233562">
            <w:pPr>
              <w:pStyle w:val="TableText0"/>
              <w:keepNext w:val="0"/>
              <w:jc w:val="center"/>
              <w:rPr>
                <w:b/>
              </w:rPr>
            </w:pPr>
          </w:p>
        </w:tc>
        <w:tc>
          <w:tcPr>
            <w:tcW w:w="538" w:type="pct"/>
            <w:tcBorders>
              <w:top w:val="nil"/>
              <w:bottom w:val="nil"/>
            </w:tcBorders>
          </w:tcPr>
          <w:p w14:paraId="4C8E7D74" w14:textId="4AF5A9F9" w:rsidR="00AB7860" w:rsidRPr="009941F8" w:rsidRDefault="00AB7860" w:rsidP="00233562">
            <w:pPr>
              <w:pStyle w:val="TableText0"/>
              <w:keepNext w:val="0"/>
              <w:jc w:val="center"/>
              <w:rPr>
                <w:b/>
              </w:rPr>
            </w:pPr>
            <w:r w:rsidRPr="009941F8">
              <w:rPr>
                <w:b/>
              </w:rPr>
              <w:t>$</w:t>
            </w:r>
            <w:r w:rsidR="00640EC9" w:rsidRPr="00640EC9">
              <w:rPr>
                <w:b/>
                <w:color w:val="000000"/>
                <w:spacing w:val="112"/>
                <w:shd w:val="solid" w:color="000000" w:fill="000000"/>
                <w:fitText w:val="204" w:id="-961890039"/>
                <w14:textFill>
                  <w14:solidFill>
                    <w14:srgbClr w14:val="000000">
                      <w14:alpha w14:val="100000"/>
                    </w14:srgbClr>
                  </w14:solidFill>
                </w14:textFill>
              </w:rPr>
              <w:t>|</w:t>
            </w:r>
            <w:r w:rsidR="00640EC9" w:rsidRPr="00640EC9">
              <w:rPr>
                <w:b/>
                <w:color w:val="000000"/>
                <w:spacing w:val="1"/>
                <w:shd w:val="solid" w:color="000000" w:fill="000000"/>
                <w:fitText w:val="204" w:id="-961890039"/>
                <w14:textFill>
                  <w14:solidFill>
                    <w14:srgbClr w14:val="000000">
                      <w14:alpha w14:val="100000"/>
                    </w14:srgbClr>
                  </w14:solidFill>
                </w14:textFill>
              </w:rPr>
              <w:t>|</w:t>
            </w:r>
            <w:r w:rsidR="008D5F3E" w:rsidRPr="008D5F3E">
              <w:rPr>
                <w:b/>
                <w:vertAlign w:val="superscript"/>
              </w:rPr>
              <w:t>1</w:t>
            </w:r>
          </w:p>
        </w:tc>
      </w:tr>
      <w:tr w:rsidR="00AB7860" w:rsidRPr="009941F8" w14:paraId="21717239" w14:textId="77777777" w:rsidTr="00A244E2">
        <w:tc>
          <w:tcPr>
            <w:tcW w:w="1646" w:type="pct"/>
            <w:tcBorders>
              <w:top w:val="nil"/>
              <w:bottom w:val="single" w:sz="12" w:space="0" w:color="auto"/>
            </w:tcBorders>
            <w:vAlign w:val="center"/>
          </w:tcPr>
          <w:p w14:paraId="02C8867B" w14:textId="77777777" w:rsidR="00AB7860" w:rsidRPr="009941F8" w:rsidRDefault="00AB7860" w:rsidP="00233562">
            <w:pPr>
              <w:pStyle w:val="TableText0"/>
              <w:keepNext w:val="0"/>
              <w:rPr>
                <w:rFonts w:ascii="Times" w:hAnsi="Times"/>
              </w:rPr>
            </w:pPr>
            <w:r w:rsidRPr="009941F8">
              <w:t>QALYs gained</w:t>
            </w:r>
          </w:p>
        </w:tc>
        <w:tc>
          <w:tcPr>
            <w:tcW w:w="709" w:type="pct"/>
            <w:tcBorders>
              <w:top w:val="nil"/>
              <w:bottom w:val="single" w:sz="12" w:space="0" w:color="auto"/>
            </w:tcBorders>
            <w:shd w:val="clear" w:color="auto" w:fill="auto"/>
          </w:tcPr>
          <w:p w14:paraId="61DBD002" w14:textId="77777777" w:rsidR="00AB7860" w:rsidRPr="009941F8" w:rsidRDefault="00AB7860" w:rsidP="00233562">
            <w:pPr>
              <w:pStyle w:val="TableText0"/>
              <w:keepNext w:val="0"/>
              <w:jc w:val="center"/>
              <w:rPr>
                <w:rFonts w:ascii="Times" w:hAnsi="Times"/>
              </w:rPr>
            </w:pPr>
            <w:r w:rsidRPr="009941F8">
              <w:t>3.853</w:t>
            </w:r>
          </w:p>
        </w:tc>
        <w:tc>
          <w:tcPr>
            <w:tcW w:w="472" w:type="pct"/>
            <w:tcBorders>
              <w:top w:val="nil"/>
              <w:bottom w:val="single" w:sz="12" w:space="0" w:color="auto"/>
            </w:tcBorders>
            <w:shd w:val="clear" w:color="auto" w:fill="auto"/>
          </w:tcPr>
          <w:p w14:paraId="48C7C6D4" w14:textId="77777777" w:rsidR="00AB7860" w:rsidRPr="009941F8" w:rsidRDefault="00AB7860" w:rsidP="00233562">
            <w:pPr>
              <w:pStyle w:val="TableText0"/>
              <w:keepNext w:val="0"/>
              <w:jc w:val="center"/>
              <w:rPr>
                <w:rFonts w:ascii="Times" w:hAnsi="Times"/>
              </w:rPr>
            </w:pPr>
            <w:r w:rsidRPr="009941F8">
              <w:t>3.189</w:t>
            </w:r>
          </w:p>
        </w:tc>
        <w:tc>
          <w:tcPr>
            <w:tcW w:w="640" w:type="pct"/>
            <w:tcBorders>
              <w:top w:val="nil"/>
              <w:bottom w:val="single" w:sz="12" w:space="0" w:color="auto"/>
            </w:tcBorders>
            <w:shd w:val="clear" w:color="auto" w:fill="auto"/>
          </w:tcPr>
          <w:p w14:paraId="3323854A" w14:textId="77777777" w:rsidR="00AB7860" w:rsidRPr="009941F8" w:rsidRDefault="00AB7860" w:rsidP="00233562">
            <w:pPr>
              <w:pStyle w:val="TableText0"/>
              <w:keepNext w:val="0"/>
              <w:jc w:val="center"/>
            </w:pPr>
            <w:r w:rsidRPr="009941F8">
              <w:t>0.664</w:t>
            </w:r>
          </w:p>
        </w:tc>
        <w:tc>
          <w:tcPr>
            <w:tcW w:w="567" w:type="pct"/>
            <w:tcBorders>
              <w:top w:val="nil"/>
              <w:bottom w:val="single" w:sz="12" w:space="0" w:color="auto"/>
            </w:tcBorders>
          </w:tcPr>
          <w:p w14:paraId="74BD2C4A" w14:textId="77777777" w:rsidR="00AB7860" w:rsidRPr="009941F8" w:rsidRDefault="00AB7860" w:rsidP="00233562">
            <w:pPr>
              <w:pStyle w:val="TableText0"/>
              <w:keepNext w:val="0"/>
              <w:jc w:val="center"/>
            </w:pPr>
            <w:r w:rsidRPr="009941F8">
              <w:t>8.934</w:t>
            </w:r>
          </w:p>
        </w:tc>
        <w:tc>
          <w:tcPr>
            <w:tcW w:w="428" w:type="pct"/>
            <w:tcBorders>
              <w:top w:val="nil"/>
              <w:bottom w:val="single" w:sz="12" w:space="0" w:color="auto"/>
            </w:tcBorders>
          </w:tcPr>
          <w:p w14:paraId="18590CDE" w14:textId="77777777" w:rsidR="00AB7860" w:rsidRPr="009941F8" w:rsidRDefault="00AB7860" w:rsidP="00233562">
            <w:pPr>
              <w:pStyle w:val="TableText0"/>
              <w:keepNext w:val="0"/>
              <w:jc w:val="center"/>
            </w:pPr>
            <w:r w:rsidRPr="009941F8">
              <w:t>8.805</w:t>
            </w:r>
          </w:p>
        </w:tc>
        <w:tc>
          <w:tcPr>
            <w:tcW w:w="538" w:type="pct"/>
            <w:tcBorders>
              <w:top w:val="nil"/>
              <w:bottom w:val="single" w:sz="12" w:space="0" w:color="auto"/>
            </w:tcBorders>
          </w:tcPr>
          <w:p w14:paraId="2B4F6F66" w14:textId="77777777" w:rsidR="00AB7860" w:rsidRPr="009941F8" w:rsidRDefault="00AB7860" w:rsidP="00233562">
            <w:pPr>
              <w:pStyle w:val="TableText0"/>
              <w:keepNext w:val="0"/>
              <w:jc w:val="center"/>
            </w:pPr>
            <w:r w:rsidRPr="009941F8">
              <w:t>0.129</w:t>
            </w:r>
          </w:p>
        </w:tc>
      </w:tr>
      <w:tr w:rsidR="00AB7860" w:rsidRPr="009941F8" w14:paraId="4CB1D41D" w14:textId="77777777" w:rsidTr="00A244E2">
        <w:tc>
          <w:tcPr>
            <w:tcW w:w="2827" w:type="pct"/>
            <w:gridSpan w:val="3"/>
            <w:tcBorders>
              <w:top w:val="single" w:sz="12" w:space="0" w:color="auto"/>
              <w:left w:val="single" w:sz="12" w:space="0" w:color="auto"/>
              <w:bottom w:val="single" w:sz="12" w:space="0" w:color="auto"/>
            </w:tcBorders>
            <w:shd w:val="clear" w:color="auto" w:fill="auto"/>
            <w:vAlign w:val="center"/>
          </w:tcPr>
          <w:p w14:paraId="1837CA34" w14:textId="77777777" w:rsidR="00AB7860" w:rsidRPr="009941F8" w:rsidRDefault="00AB7860" w:rsidP="00233562">
            <w:pPr>
              <w:pStyle w:val="TableText0"/>
              <w:keepNext w:val="0"/>
              <w:jc w:val="right"/>
              <w:rPr>
                <w:rFonts w:ascii="Times" w:hAnsi="Times"/>
                <w:b/>
              </w:rPr>
            </w:pPr>
            <w:r w:rsidRPr="009941F8">
              <w:rPr>
                <w:b/>
              </w:rPr>
              <w:t xml:space="preserve">Incremental cost/extra QALY gained (base case) </w:t>
            </w:r>
          </w:p>
        </w:tc>
        <w:tc>
          <w:tcPr>
            <w:tcW w:w="640" w:type="pct"/>
            <w:tcBorders>
              <w:top w:val="single" w:sz="12" w:space="0" w:color="auto"/>
              <w:bottom w:val="single" w:sz="12" w:space="0" w:color="auto"/>
            </w:tcBorders>
            <w:shd w:val="clear" w:color="auto" w:fill="auto"/>
            <w:vAlign w:val="center"/>
          </w:tcPr>
          <w:p w14:paraId="2F54EA09" w14:textId="4064079C" w:rsidR="00AB7860" w:rsidRPr="009941F8" w:rsidRDefault="00AB7860" w:rsidP="00233562">
            <w:pPr>
              <w:pStyle w:val="TableText0"/>
              <w:keepNext w:val="0"/>
              <w:jc w:val="center"/>
              <w:rPr>
                <w:rFonts w:ascii="Times" w:hAnsi="Times"/>
                <w:b/>
              </w:rPr>
            </w:pPr>
            <w:r w:rsidRPr="009941F8">
              <w:rPr>
                <w:b/>
              </w:rPr>
              <w:t>$</w:t>
            </w:r>
            <w:r w:rsidR="00640EC9" w:rsidRPr="00640EC9">
              <w:rPr>
                <w:rFonts w:hint="eastAsia"/>
                <w:b/>
                <w:color w:val="000000"/>
                <w:w w:val="26"/>
                <w:shd w:val="solid" w:color="000000" w:fill="000000"/>
                <w:fitText w:val="120" w:id="-961890038"/>
                <w14:textFill>
                  <w14:solidFill>
                    <w14:srgbClr w14:val="000000">
                      <w14:alpha w14:val="100000"/>
                    </w14:srgbClr>
                  </w14:solidFill>
                </w14:textFill>
              </w:rPr>
              <w:t xml:space="preserve">　</w:t>
            </w:r>
            <w:r w:rsidR="00640EC9" w:rsidRPr="00640EC9">
              <w:rPr>
                <w:b/>
                <w:color w:val="000000"/>
                <w:w w:val="26"/>
                <w:shd w:val="solid" w:color="000000" w:fill="000000"/>
                <w:fitText w:val="120" w:id="-961890038"/>
                <w14:textFill>
                  <w14:solidFill>
                    <w14:srgbClr w14:val="000000">
                      <w14:alpha w14:val="100000"/>
                    </w14:srgbClr>
                  </w14:solidFill>
                </w14:textFill>
              </w:rPr>
              <w:t>|</w:t>
            </w:r>
            <w:r w:rsidR="00640EC9" w:rsidRPr="00640EC9">
              <w:rPr>
                <w:rFonts w:hint="eastAsia"/>
                <w:b/>
                <w:color w:val="000000"/>
                <w:spacing w:val="4"/>
                <w:w w:val="26"/>
                <w:shd w:val="solid" w:color="000000" w:fill="000000"/>
                <w:fitText w:val="120" w:id="-961890038"/>
                <w14:textFill>
                  <w14:solidFill>
                    <w14:srgbClr w14:val="000000">
                      <w14:alpha w14:val="100000"/>
                    </w14:srgbClr>
                  </w14:solidFill>
                </w14:textFill>
              </w:rPr>
              <w:t xml:space="preserve">　</w:t>
            </w:r>
            <w:r w:rsidR="00201F07" w:rsidRPr="00201F07">
              <w:rPr>
                <w:b/>
                <w:vertAlign w:val="superscript"/>
              </w:rPr>
              <w:t>9</w:t>
            </w:r>
          </w:p>
        </w:tc>
        <w:tc>
          <w:tcPr>
            <w:tcW w:w="567" w:type="pct"/>
            <w:tcBorders>
              <w:top w:val="single" w:sz="12" w:space="0" w:color="auto"/>
              <w:bottom w:val="single" w:sz="12" w:space="0" w:color="auto"/>
              <w:right w:val="nil"/>
            </w:tcBorders>
          </w:tcPr>
          <w:p w14:paraId="67A31723" w14:textId="77777777" w:rsidR="00AB7860" w:rsidRPr="009941F8" w:rsidRDefault="00AB7860" w:rsidP="00233562">
            <w:pPr>
              <w:pStyle w:val="TableText0"/>
              <w:keepNext w:val="0"/>
              <w:jc w:val="center"/>
              <w:rPr>
                <w:b/>
              </w:rPr>
            </w:pPr>
          </w:p>
        </w:tc>
        <w:tc>
          <w:tcPr>
            <w:tcW w:w="428" w:type="pct"/>
            <w:tcBorders>
              <w:top w:val="single" w:sz="12" w:space="0" w:color="auto"/>
              <w:left w:val="nil"/>
              <w:bottom w:val="single" w:sz="12" w:space="0" w:color="auto"/>
            </w:tcBorders>
          </w:tcPr>
          <w:p w14:paraId="76BB7892" w14:textId="77777777" w:rsidR="00AB7860" w:rsidRPr="009941F8" w:rsidRDefault="00AB7860" w:rsidP="00233562">
            <w:pPr>
              <w:pStyle w:val="TableText0"/>
              <w:keepNext w:val="0"/>
              <w:jc w:val="center"/>
              <w:rPr>
                <w:b/>
              </w:rPr>
            </w:pPr>
          </w:p>
        </w:tc>
        <w:tc>
          <w:tcPr>
            <w:tcW w:w="538" w:type="pct"/>
            <w:tcBorders>
              <w:top w:val="single" w:sz="12" w:space="0" w:color="auto"/>
              <w:bottom w:val="single" w:sz="12" w:space="0" w:color="auto"/>
              <w:right w:val="single" w:sz="12" w:space="0" w:color="auto"/>
            </w:tcBorders>
          </w:tcPr>
          <w:p w14:paraId="110D7799" w14:textId="5D1B3CD8" w:rsidR="00AB7860" w:rsidRPr="009941F8" w:rsidRDefault="00AB7860" w:rsidP="00233562">
            <w:pPr>
              <w:pStyle w:val="TableText0"/>
              <w:keepNext w:val="0"/>
              <w:jc w:val="center"/>
              <w:rPr>
                <w:b/>
              </w:rPr>
            </w:pPr>
            <w:r w:rsidRPr="009941F8">
              <w:rPr>
                <w:b/>
              </w:rPr>
              <w:t>$</w:t>
            </w:r>
            <w:r w:rsidR="00640EC9" w:rsidRPr="00640EC9">
              <w:rPr>
                <w:b/>
                <w:color w:val="000000"/>
                <w:spacing w:val="148"/>
                <w:shd w:val="solid" w:color="000000" w:fill="000000"/>
                <w:fitText w:val="240" w:id="-961890037"/>
                <w14:textFill>
                  <w14:solidFill>
                    <w14:srgbClr w14:val="000000">
                      <w14:alpha w14:val="100000"/>
                    </w14:srgbClr>
                  </w14:solidFill>
                </w14:textFill>
              </w:rPr>
              <w:t>|</w:t>
            </w:r>
            <w:r w:rsidR="00640EC9" w:rsidRPr="00640EC9">
              <w:rPr>
                <w:b/>
                <w:color w:val="000000"/>
                <w:spacing w:val="1"/>
                <w:shd w:val="solid" w:color="000000" w:fill="000000"/>
                <w:fitText w:val="240" w:id="-961890037"/>
                <w14:textFill>
                  <w14:solidFill>
                    <w14:srgbClr w14:val="000000">
                      <w14:alpha w14:val="100000"/>
                    </w14:srgbClr>
                  </w14:solidFill>
                </w14:textFill>
              </w:rPr>
              <w:t>|</w:t>
            </w:r>
            <w:r w:rsidR="00201F07" w:rsidRPr="00201F07">
              <w:rPr>
                <w:b/>
                <w:vertAlign w:val="superscript"/>
              </w:rPr>
              <w:t>10</w:t>
            </w:r>
          </w:p>
        </w:tc>
      </w:tr>
    </w:tbl>
    <w:p w14:paraId="2DFA8F3E" w14:textId="77777777" w:rsidR="00AB7860" w:rsidRPr="009941F8" w:rsidRDefault="00AB7860" w:rsidP="00233562">
      <w:pPr>
        <w:pStyle w:val="TableFigureFooter"/>
        <w:rPr>
          <w:iCs/>
        </w:rPr>
      </w:pPr>
      <w:r w:rsidRPr="009941F8">
        <w:t xml:space="preserve">Source: Table 3.8-1 of the March 2023 resubmission, Table 3-34 of the March 2024 resubmission and </w:t>
      </w:r>
      <w:r w:rsidRPr="009941F8">
        <w:rPr>
          <w:iCs/>
        </w:rPr>
        <w:t>compiled during the evaluation. LYG have been included in Steps 3-5.</w:t>
      </w:r>
    </w:p>
    <w:p w14:paraId="00560A67" w14:textId="77777777" w:rsidR="00AB7860" w:rsidRPr="009941F8" w:rsidRDefault="00AB7860" w:rsidP="00233562">
      <w:pPr>
        <w:pStyle w:val="TableFigureFooter"/>
      </w:pPr>
      <w:r w:rsidRPr="009941F8">
        <w:t>ICER=incremental cost-effectiveness ratio, QALY=quality adjusted life year, LYG=life years gained, SOC=standard of care</w:t>
      </w:r>
    </w:p>
    <w:p w14:paraId="7FD9D2D4" w14:textId="77777777" w:rsidR="00AB7860" w:rsidRPr="009941F8" w:rsidRDefault="00AB7860" w:rsidP="00233562">
      <w:pPr>
        <w:pStyle w:val="TableFigureFooter"/>
        <w:ind w:left="165" w:hanging="165"/>
      </w:pPr>
      <w:r w:rsidRPr="009941F8">
        <w:rPr>
          <w:vertAlign w:val="superscript"/>
        </w:rPr>
        <w:lastRenderedPageBreak/>
        <w:t>a</w:t>
      </w:r>
      <w:r w:rsidRPr="009941F8">
        <w:tab/>
        <w:t>Responders were hard coded into the model based on trial results. Response in the SOC arm was not modelled. Costs were based on 6 month estimates in the model. In the March 2023 resubmission response referred to patients reducing their SLEDAI-2K score by at least 4. In the March 2024 resubmission response referred to achieving LLDAS.</w:t>
      </w:r>
    </w:p>
    <w:p w14:paraId="6279FECF" w14:textId="77777777" w:rsidR="00AB7860" w:rsidRPr="009941F8" w:rsidRDefault="00AB7860" w:rsidP="00233562">
      <w:pPr>
        <w:pStyle w:val="TableFigureFooter"/>
        <w:ind w:left="165" w:hanging="165"/>
      </w:pPr>
      <w:r w:rsidRPr="009941F8">
        <w:rPr>
          <w:vertAlign w:val="superscript"/>
        </w:rPr>
        <w:t>b</w:t>
      </w:r>
      <w:r w:rsidRPr="009941F8">
        <w:tab/>
        <w:t>Table 3-34 read off results at 1 and 4 years from the lifetime horizon model. Results presented here restrict the time horizon to 1 and 4 years, incorporating the modelled half cycle correction for life years and QALYs</w:t>
      </w:r>
    </w:p>
    <w:p w14:paraId="7D3133B9" w14:textId="77777777" w:rsidR="00AB7860" w:rsidRPr="009941F8" w:rsidRDefault="00AB7860" w:rsidP="00233562">
      <w:pPr>
        <w:pStyle w:val="TableFigureFooter"/>
      </w:pPr>
      <w:r w:rsidRPr="009941F8">
        <w:rPr>
          <w:vertAlign w:val="superscript"/>
        </w:rPr>
        <w:t>c</w:t>
      </w:r>
      <w:r w:rsidRPr="009941F8">
        <w:tab/>
        <w:t>SOC costs were reported at 1 year in the March 2023 resubmission, corrected to 4 years here.</w:t>
      </w:r>
    </w:p>
    <w:p w14:paraId="639A28F4" w14:textId="77777777" w:rsidR="00AB7860" w:rsidRPr="009941F8" w:rsidRDefault="00AB7860" w:rsidP="00233562">
      <w:pPr>
        <w:pStyle w:val="TableFigureFooter"/>
      </w:pPr>
      <w:r w:rsidRPr="009941F8">
        <w:t>c</w:t>
      </w:r>
      <w:r w:rsidRPr="009941F8">
        <w:tab/>
        <w:t>OCS costs corrected from those reported in Table 3.8-1 of the July 2022 submission</w:t>
      </w:r>
    </w:p>
    <w:p w14:paraId="2C221672" w14:textId="77777777" w:rsidR="00AB7860" w:rsidRDefault="00AB7860" w:rsidP="00233562">
      <w:pPr>
        <w:pStyle w:val="TableFigureFooter"/>
      </w:pPr>
      <w:r w:rsidRPr="009941F8">
        <w:t>d</w:t>
      </w:r>
      <w:r w:rsidRPr="009941F8">
        <w:tab/>
        <w:t>SOC costs were reported at 1 year in the resubmission, corrected to 4 years here.</w:t>
      </w:r>
    </w:p>
    <w:p w14:paraId="3E9AD19A" w14:textId="77777777" w:rsidR="00686E4D" w:rsidRPr="00F8396F" w:rsidRDefault="00686E4D" w:rsidP="00233562">
      <w:pPr>
        <w:pStyle w:val="TableFigureFooter"/>
        <w:rPr>
          <w:i/>
          <w:iCs/>
        </w:rPr>
      </w:pPr>
      <w:r w:rsidRPr="00F8396F">
        <w:rPr>
          <w:i/>
          <w:iCs/>
        </w:rPr>
        <w:t>The redacted values correspond to the following ranges:</w:t>
      </w:r>
    </w:p>
    <w:p w14:paraId="5B2F53A9" w14:textId="2E98E579" w:rsidR="00686E4D" w:rsidRPr="00F8396F" w:rsidRDefault="00686E4D" w:rsidP="00233562">
      <w:pPr>
        <w:pStyle w:val="TableFigureFooter"/>
        <w:rPr>
          <w:i/>
          <w:iCs/>
        </w:rPr>
      </w:pPr>
      <w:r w:rsidRPr="00F8396F">
        <w:rPr>
          <w:i/>
          <w:iCs/>
          <w:vertAlign w:val="superscript"/>
        </w:rPr>
        <w:t>1</w:t>
      </w:r>
      <w:r w:rsidRPr="00F8396F">
        <w:rPr>
          <w:i/>
          <w:iCs/>
        </w:rPr>
        <w:t xml:space="preserve"> $95,000 to &lt; $115,000</w:t>
      </w:r>
    </w:p>
    <w:p w14:paraId="5C836C1A" w14:textId="5F04AC98" w:rsidR="008D5F3E" w:rsidRPr="00F8396F" w:rsidRDefault="008D5F3E" w:rsidP="00233562">
      <w:pPr>
        <w:pStyle w:val="TableFigureFooter"/>
        <w:rPr>
          <w:i/>
          <w:iCs/>
        </w:rPr>
      </w:pPr>
      <w:r w:rsidRPr="00F8396F">
        <w:rPr>
          <w:i/>
          <w:iCs/>
          <w:vertAlign w:val="superscript"/>
        </w:rPr>
        <w:t>2</w:t>
      </w:r>
      <w:r w:rsidRPr="00F8396F">
        <w:rPr>
          <w:i/>
          <w:iCs/>
        </w:rPr>
        <w:t xml:space="preserve"> $45,000 to &lt; $55,000</w:t>
      </w:r>
    </w:p>
    <w:p w14:paraId="5154577A" w14:textId="65DC55E2" w:rsidR="008D5F3E" w:rsidRPr="00F8396F" w:rsidRDefault="008D5F3E" w:rsidP="00233562">
      <w:pPr>
        <w:pStyle w:val="TableFigureFooter"/>
        <w:rPr>
          <w:i/>
          <w:iCs/>
        </w:rPr>
      </w:pPr>
      <w:r w:rsidRPr="00F8396F">
        <w:rPr>
          <w:i/>
          <w:iCs/>
          <w:vertAlign w:val="superscript"/>
        </w:rPr>
        <w:t>3</w:t>
      </w:r>
      <w:r w:rsidRPr="00F8396F">
        <w:rPr>
          <w:i/>
          <w:iCs/>
        </w:rPr>
        <w:t xml:space="preserve"> $355,000 to &lt; $455,000</w:t>
      </w:r>
    </w:p>
    <w:p w14:paraId="760862C9" w14:textId="22DDBD28" w:rsidR="008D5F3E" w:rsidRPr="00F8396F" w:rsidRDefault="008D5F3E" w:rsidP="00233562">
      <w:pPr>
        <w:pStyle w:val="TableFigureFooter"/>
        <w:rPr>
          <w:i/>
          <w:iCs/>
        </w:rPr>
      </w:pPr>
      <w:r w:rsidRPr="00F8396F">
        <w:rPr>
          <w:i/>
          <w:iCs/>
          <w:vertAlign w:val="superscript"/>
        </w:rPr>
        <w:t>4</w:t>
      </w:r>
      <w:r w:rsidRPr="00F8396F">
        <w:rPr>
          <w:i/>
          <w:iCs/>
        </w:rPr>
        <w:t xml:space="preserve"> $655,000 to &lt; $755,000</w:t>
      </w:r>
    </w:p>
    <w:p w14:paraId="0467B1DD" w14:textId="37E665AE" w:rsidR="008D5F3E" w:rsidRPr="00F8396F" w:rsidRDefault="008D5F3E" w:rsidP="00233562">
      <w:pPr>
        <w:pStyle w:val="TableFigureFooter"/>
        <w:rPr>
          <w:i/>
          <w:iCs/>
        </w:rPr>
      </w:pPr>
      <w:r w:rsidRPr="00F8396F">
        <w:rPr>
          <w:i/>
          <w:iCs/>
          <w:vertAlign w:val="superscript"/>
        </w:rPr>
        <w:t>5</w:t>
      </w:r>
      <w:r w:rsidRPr="00F8396F">
        <w:rPr>
          <w:i/>
          <w:iCs/>
        </w:rPr>
        <w:t xml:space="preserve"> &gt; $1,055,000</w:t>
      </w:r>
    </w:p>
    <w:p w14:paraId="6D2E855E" w14:textId="37AD85E7" w:rsidR="008D5F3E" w:rsidRPr="00F8396F" w:rsidRDefault="008D5F3E" w:rsidP="00233562">
      <w:pPr>
        <w:pStyle w:val="TableFigureFooter"/>
        <w:rPr>
          <w:i/>
          <w:iCs/>
        </w:rPr>
      </w:pPr>
      <w:r w:rsidRPr="00F8396F">
        <w:rPr>
          <w:i/>
          <w:iCs/>
          <w:vertAlign w:val="superscript"/>
        </w:rPr>
        <w:t>6</w:t>
      </w:r>
      <w:r w:rsidRPr="00F8396F">
        <w:rPr>
          <w:i/>
          <w:iCs/>
        </w:rPr>
        <w:t xml:space="preserve"> $555,000 to &lt; $655,000</w:t>
      </w:r>
    </w:p>
    <w:p w14:paraId="46042A2C" w14:textId="7B4EF27C" w:rsidR="00201F07" w:rsidRPr="00F8396F" w:rsidRDefault="00201F07" w:rsidP="00233562">
      <w:pPr>
        <w:pStyle w:val="TableFigureFooter"/>
        <w:rPr>
          <w:i/>
          <w:iCs/>
        </w:rPr>
      </w:pPr>
      <w:r w:rsidRPr="00F8396F">
        <w:rPr>
          <w:i/>
          <w:iCs/>
          <w:vertAlign w:val="superscript"/>
        </w:rPr>
        <w:t>7</w:t>
      </w:r>
      <w:r w:rsidRPr="00F8396F">
        <w:rPr>
          <w:i/>
          <w:iCs/>
        </w:rPr>
        <w:t xml:space="preserve"> $155,000 to &lt; $255,000</w:t>
      </w:r>
    </w:p>
    <w:p w14:paraId="0C34D033" w14:textId="68B818E5" w:rsidR="00201F07" w:rsidRPr="00F8396F" w:rsidRDefault="00201F07" w:rsidP="00233562">
      <w:pPr>
        <w:pStyle w:val="TableFigureFooter"/>
        <w:rPr>
          <w:i/>
          <w:iCs/>
        </w:rPr>
      </w:pPr>
      <w:r w:rsidRPr="00F8396F">
        <w:rPr>
          <w:i/>
          <w:iCs/>
          <w:vertAlign w:val="superscript"/>
        </w:rPr>
        <w:t xml:space="preserve">8 </w:t>
      </w:r>
      <w:r w:rsidRPr="00F8396F">
        <w:rPr>
          <w:i/>
          <w:iCs/>
        </w:rPr>
        <w:t>$135,000 to &lt; $155,000</w:t>
      </w:r>
    </w:p>
    <w:p w14:paraId="7264CA76" w14:textId="27604D4E" w:rsidR="00201F07" w:rsidRPr="00F8396F" w:rsidRDefault="00201F07" w:rsidP="00233562">
      <w:pPr>
        <w:pStyle w:val="TableFigureFooter"/>
        <w:rPr>
          <w:i/>
          <w:iCs/>
        </w:rPr>
      </w:pPr>
      <w:r w:rsidRPr="00F8396F">
        <w:rPr>
          <w:i/>
          <w:iCs/>
          <w:vertAlign w:val="superscript"/>
        </w:rPr>
        <w:t xml:space="preserve">9 </w:t>
      </w:r>
      <w:r w:rsidRPr="00F8396F">
        <w:rPr>
          <w:i/>
          <w:iCs/>
        </w:rPr>
        <w:t>$75,000 to &lt; $95,000</w:t>
      </w:r>
    </w:p>
    <w:p w14:paraId="0AADA745" w14:textId="78DBE973" w:rsidR="00686E4D" w:rsidRPr="009941F8" w:rsidRDefault="00201F07" w:rsidP="00686E4D">
      <w:pPr>
        <w:pStyle w:val="TableFigureFooter"/>
      </w:pPr>
      <w:r w:rsidRPr="00F8396F">
        <w:rPr>
          <w:i/>
          <w:iCs/>
          <w:vertAlign w:val="superscript"/>
        </w:rPr>
        <w:t>10</w:t>
      </w:r>
      <w:r w:rsidRPr="00F8396F">
        <w:rPr>
          <w:i/>
          <w:iCs/>
        </w:rPr>
        <w:t xml:space="preserve"> $55,000 to &lt; $75,000</w:t>
      </w:r>
    </w:p>
    <w:p w14:paraId="2DE150C9" w14:textId="22134FA9" w:rsidR="00DB1E81" w:rsidRPr="009941F8" w:rsidRDefault="00AB7860" w:rsidP="00A244E2">
      <w:pPr>
        <w:pStyle w:val="3-BodyText"/>
        <w:rPr>
          <w:i/>
          <w:iCs/>
        </w:rPr>
      </w:pPr>
      <w:r w:rsidRPr="009941F8">
        <w:t xml:space="preserve">The main driver of costs </w:t>
      </w:r>
      <w:r w:rsidR="00393221" w:rsidRPr="009941F8">
        <w:t xml:space="preserve">was </w:t>
      </w:r>
      <w:r w:rsidRPr="009941F8">
        <w:t>the cost of anifrolumab ($</w:t>
      </w:r>
      <w:r w:rsidR="00640EC9" w:rsidRPr="00640EC9">
        <w:rPr>
          <w:color w:val="000000"/>
          <w:w w:val="59"/>
          <w:shd w:val="solid" w:color="000000" w:fill="000000"/>
          <w:fitText w:val="460" w:id="-961890036"/>
          <w14:textFill>
            <w14:solidFill>
              <w14:srgbClr w14:val="000000">
                <w14:alpha w14:val="100000"/>
              </w14:srgbClr>
            </w14:solidFill>
          </w14:textFill>
        </w:rPr>
        <w:t>|||  ||</w:t>
      </w:r>
      <w:r w:rsidR="00640EC9" w:rsidRPr="00640EC9">
        <w:rPr>
          <w:color w:val="000000"/>
          <w:spacing w:val="5"/>
          <w:w w:val="59"/>
          <w:shd w:val="solid" w:color="000000" w:fill="000000"/>
          <w:fitText w:val="460" w:id="-961890036"/>
          <w14:textFill>
            <w14:solidFill>
              <w14:srgbClr w14:val="000000">
                <w14:alpha w14:val="100000"/>
              </w14:srgbClr>
            </w14:solidFill>
          </w14:textFill>
        </w:rPr>
        <w:t>|</w:t>
      </w:r>
      <w:r w:rsidRPr="009941F8">
        <w:t xml:space="preserve"> for a course of treatment plus administration, equivalent to </w:t>
      </w:r>
      <w:r w:rsidR="00640EC9" w:rsidRPr="00CE7EC7">
        <w:rPr>
          <w:color w:val="000000"/>
          <w:w w:val="15"/>
          <w:shd w:val="solid" w:color="000000" w:fill="000000"/>
          <w:fitText w:val="-20" w:id="-961890035"/>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5"/>
          <w14:textFill>
            <w14:solidFill>
              <w14:srgbClr w14:val="000000">
                <w14:alpha w14:val="100000"/>
              </w14:srgbClr>
            </w14:solidFill>
          </w14:textFill>
        </w:rPr>
        <w:t>|</w:t>
      </w:r>
      <w:r w:rsidRPr="009941F8">
        <w:t>% of the incremental costs). However, this cost was greatly reduced compared to the March 2023 resubmission of $</w:t>
      </w:r>
      <w:r w:rsidR="00640EC9" w:rsidRPr="00CE7EC7">
        <w:rPr>
          <w:color w:val="000000"/>
          <w:w w:val="15"/>
          <w:shd w:val="solid" w:color="000000" w:fill="000000"/>
          <w:fitText w:val="-20" w:id="-961890034"/>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4"/>
          <w14:textFill>
            <w14:solidFill>
              <w14:srgbClr w14:val="000000">
                <w14:alpha w14:val="100000"/>
              </w14:srgbClr>
            </w14:solidFill>
          </w14:textFill>
        </w:rPr>
        <w:t>|</w:t>
      </w:r>
      <w:r w:rsidRPr="009941F8">
        <w:t xml:space="preserve"> for a course of treatment plus administration, due to shorter time on treatment (1.11 years versus 4.88 years in the March 2023 resubmission) and reduced unit cost ($</w:t>
      </w:r>
      <w:r w:rsidR="00640EC9" w:rsidRPr="00CE7EC7">
        <w:rPr>
          <w:color w:val="000000"/>
          <w:w w:val="15"/>
          <w:shd w:val="solid" w:color="000000" w:fill="000000"/>
          <w:fitText w:val="-20" w:id="-961890033"/>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3"/>
          <w14:textFill>
            <w14:solidFill>
              <w14:srgbClr w14:val="000000">
                <w14:alpha w14:val="100000"/>
              </w14:srgbClr>
            </w14:solidFill>
          </w14:textFill>
        </w:rPr>
        <w:t>|</w:t>
      </w:r>
      <w:r w:rsidRPr="009941F8">
        <w:t xml:space="preserve"> per 300</w:t>
      </w:r>
      <w:r w:rsidR="00BA75EB">
        <w:t xml:space="preserve"> </w:t>
      </w:r>
      <w:r w:rsidRPr="009941F8">
        <w:t>mg vial compared to $</w:t>
      </w:r>
      <w:r w:rsidR="00640EC9" w:rsidRPr="00CE7EC7">
        <w:rPr>
          <w:color w:val="000000"/>
          <w:w w:val="15"/>
          <w:shd w:val="solid" w:color="000000" w:fill="000000"/>
          <w:fitText w:val="-20" w:id="-961890032"/>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32"/>
          <w14:textFill>
            <w14:solidFill>
              <w14:srgbClr w14:val="000000">
                <w14:alpha w14:val="100000"/>
              </w14:srgbClr>
            </w14:solidFill>
          </w14:textFill>
        </w:rPr>
        <w:t>|</w:t>
      </w:r>
      <w:r w:rsidRPr="009941F8">
        <w:t xml:space="preserve"> in the March 2023 resubmission)</w:t>
      </w:r>
      <w:r w:rsidR="009941F8">
        <w:t xml:space="preserve">. </w:t>
      </w:r>
      <w:r w:rsidR="00DB1E81" w:rsidRPr="009941F8">
        <w:t>The PSCR stated that average treatment duration is much lower in the resubmission because the continuation criteria is both harder to achieve (response rates decreased from 55.4% to 20.9%) and to maintain. The duration of treatment for a responder was reported to be 3.41</w:t>
      </w:r>
      <w:r w:rsidR="00D31E29">
        <w:t> </w:t>
      </w:r>
      <w:r w:rsidR="00DB1E81" w:rsidRPr="009941F8">
        <w:t xml:space="preserve">years in the current model vs. 8.32 years in the previous model. </w:t>
      </w:r>
    </w:p>
    <w:p w14:paraId="214C49F8" w14:textId="3AF556B0" w:rsidR="00AB7860" w:rsidRPr="009941F8" w:rsidRDefault="00AB7860" w:rsidP="00A244E2">
      <w:pPr>
        <w:pStyle w:val="3-BodyText"/>
      </w:pPr>
      <w:r w:rsidRPr="009941F8">
        <w:t>The main cost offset</w:t>
      </w:r>
      <w:r w:rsidR="00393221" w:rsidRPr="009941F8">
        <w:t xml:space="preserve"> was</w:t>
      </w:r>
      <w:r w:rsidRPr="009941F8">
        <w:t xml:space="preserve"> avoiding costs in the </w:t>
      </w:r>
      <w:r w:rsidR="00BE4815" w:rsidRPr="009941F8">
        <w:t>‘N</w:t>
      </w:r>
      <w:r w:rsidRPr="009941F8">
        <w:t>ot LLDAS</w:t>
      </w:r>
      <w:r w:rsidR="00BE4815" w:rsidRPr="009941F8">
        <w:t>’</w:t>
      </w:r>
      <w:r w:rsidRPr="009941F8">
        <w:t xml:space="preserve"> health states (saving of $4,547, equivalent </w:t>
      </w:r>
      <w:r w:rsidRPr="00A14BC4">
        <w:t xml:space="preserve">to </w:t>
      </w:r>
      <w:r w:rsidR="00393221" w:rsidRPr="00A14BC4">
        <w:t>-</w:t>
      </w:r>
      <w:r w:rsidR="00640EC9" w:rsidRPr="00CE7EC7">
        <w:rPr>
          <w:color w:val="000000"/>
          <w:w w:val="15"/>
          <w:shd w:val="solid" w:color="000000" w:fill="000000"/>
          <w:fitText w:val="-20" w:id="-961890048"/>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90048"/>
          <w14:textFill>
            <w14:solidFill>
              <w14:srgbClr w14:val="000000">
                <w14:alpha w14:val="100000"/>
              </w14:srgbClr>
            </w14:solidFill>
          </w14:textFill>
        </w:rPr>
        <w:t>|</w:t>
      </w:r>
      <w:r w:rsidRPr="00A14BC4">
        <w:t>% of</w:t>
      </w:r>
      <w:r w:rsidRPr="009941F8">
        <w:t xml:space="preserve"> total incremental costs). Incremental organ damage costs changed compared the March 2023 </w:t>
      </w:r>
      <w:r w:rsidR="00BE4815" w:rsidRPr="009941F8">
        <w:t>re</w:t>
      </w:r>
      <w:r w:rsidRPr="009941F8">
        <w:t>submission, with a cost-offset of $</w:t>
      </w:r>
      <w:r w:rsidRPr="00A86529">
        <w:t>13</w:t>
      </w:r>
      <w:r w:rsidRPr="009941F8">
        <w:t xml:space="preserve"> compared to $</w:t>
      </w:r>
      <w:r w:rsidRPr="00A86529">
        <w:t>9,092</w:t>
      </w:r>
      <w:r w:rsidRPr="009941F8">
        <w:t xml:space="preserve"> in the March 2023 resubmission. This change was driven by the similarity of time in the SDI heath states across the treatment arms.</w:t>
      </w:r>
    </w:p>
    <w:p w14:paraId="06BE7156" w14:textId="0A45CF06" w:rsidR="00AB7860" w:rsidRPr="009941F8" w:rsidRDefault="00AB7860" w:rsidP="00A244E2">
      <w:pPr>
        <w:pStyle w:val="3-BodyText"/>
      </w:pPr>
      <w:r w:rsidRPr="009941F8">
        <w:t xml:space="preserve">Compared the March 2023 resubmission, absolute QALYs in each arm were greatly increased (e.g., anifrolumab arm was expected to accrue 5.8 </w:t>
      </w:r>
      <w:bookmarkStart w:id="77" w:name="_Hlk153812278"/>
      <w:r w:rsidRPr="009941F8">
        <w:t xml:space="preserve">undiscounted QALYs </w:t>
      </w:r>
      <w:bookmarkEnd w:id="77"/>
      <w:r w:rsidRPr="009941F8">
        <w:t>in the March 2023 resubmission, but 16.4 undiscounted QALYs in the current resubmission). This was not driven by the longer time horizon,</w:t>
      </w:r>
      <w:r w:rsidR="008B7208" w:rsidRPr="009941F8">
        <w:t xml:space="preserve"> but by the higher mean utilities (average 0.670 for the anifrolumab arm, 0.667 for the SOC arm across the time horizon compared to 0.281 and 0.252 in the absence of organ damage in the March</w:t>
      </w:r>
      <w:r w:rsidR="00D31E29">
        <w:t> </w:t>
      </w:r>
      <w:r w:rsidR="008B7208" w:rsidRPr="009941F8">
        <w:t>2023 resubmission)</w:t>
      </w:r>
      <w:r w:rsidR="009941F8">
        <w:t xml:space="preserve">. </w:t>
      </w:r>
      <w:r w:rsidR="008B7208" w:rsidRPr="009941F8">
        <w:t>I</w:t>
      </w:r>
      <w:r w:rsidRPr="009941F8">
        <w:t>f the time horizon was set to 30 years as per the March</w:t>
      </w:r>
      <w:r w:rsidR="00D31E29">
        <w:t> </w:t>
      </w:r>
      <w:r w:rsidRPr="009941F8">
        <w:t>2023 resubmission the anifrolumab arm of the current resubmission was expected to accrue 14.5</w:t>
      </w:r>
      <w:r w:rsidRPr="009941F8">
        <w:rPr>
          <w:rFonts w:ascii="Calibri" w:hAnsi="Calibri"/>
          <w:snapToGrid/>
        </w:rPr>
        <w:t xml:space="preserve"> </w:t>
      </w:r>
      <w:r w:rsidRPr="009941F8">
        <w:t>undiscounted QALYs.</w:t>
      </w:r>
    </w:p>
    <w:p w14:paraId="54F6F065" w14:textId="7398607A" w:rsidR="00AB7860" w:rsidRPr="009941F8" w:rsidRDefault="00AB7860" w:rsidP="00A244E2">
      <w:pPr>
        <w:pStyle w:val="3-BodyText"/>
      </w:pPr>
      <w:r w:rsidRPr="009941F8">
        <w:t>In the previous belimumab submission (Table 14, belimumab PSD, July</w:t>
      </w:r>
      <w:r w:rsidR="00D31E29">
        <w:t> </w:t>
      </w:r>
      <w:r w:rsidRPr="009941F8">
        <w:t>2020) discounted LYs were estimated as 15.60 for belimumab, 15.39 for SOC (0.20</w:t>
      </w:r>
      <w:r w:rsidR="00D31E29">
        <w:t> </w:t>
      </w:r>
      <w:r w:rsidRPr="009941F8">
        <w:t xml:space="preserve">incremental LYG) and discounted QALYs were estimated as 10.49 in the belimumab arm and 9.95 in the SOC arm (0.54 incremental QALYs gained) were </w:t>
      </w:r>
      <w:r w:rsidRPr="009941F8">
        <w:lastRenderedPageBreak/>
        <w:t>accrued across a 60-year time horizon. The PBAC considered that the resulting ICER was likely underestimated, and the model assumptions likely favoured belimumab (paragraph 7.6, belimumab PSD, July 2020). In comparison to the March</w:t>
      </w:r>
      <w:r w:rsidR="00D31E29">
        <w:t> </w:t>
      </w:r>
      <w:r w:rsidRPr="009941F8">
        <w:t xml:space="preserve">2023 resubmission, the incremental life years and QALYs presented in the current resubmission did not exceed those seen in the belimumab submission. </w:t>
      </w:r>
    </w:p>
    <w:p w14:paraId="207141AA" w14:textId="19E5B4B2" w:rsidR="00AB7860" w:rsidRPr="009941F8" w:rsidRDefault="00AB7860" w:rsidP="00A244E2">
      <w:pPr>
        <w:pStyle w:val="3-BodyText"/>
      </w:pPr>
      <w:r w:rsidRPr="009941F8">
        <w:t>Given the uncertainty of the ICER across a lifetime time horizon, Step 4 of the stepped economic evaluation which results in an ICER of $</w:t>
      </w:r>
      <w:r w:rsidR="002E5249" w:rsidRPr="002E5249">
        <w:t>155,000 to &lt;</w:t>
      </w:r>
      <w:r w:rsidR="00C71629">
        <w:t> </w:t>
      </w:r>
      <w:r w:rsidR="002E5249" w:rsidRPr="002E5249">
        <w:t>$255,000</w:t>
      </w:r>
      <w:r w:rsidR="00A91341">
        <w:t xml:space="preserve"> </w:t>
      </w:r>
      <w:r w:rsidRPr="009941F8">
        <w:t xml:space="preserve">per QALY gained </w:t>
      </w:r>
      <w:r w:rsidR="00CA3733" w:rsidRPr="009941F8">
        <w:t>wa</w:t>
      </w:r>
      <w:r w:rsidRPr="009941F8">
        <w:t xml:space="preserve">s particularly informative as it </w:t>
      </w:r>
      <w:r w:rsidR="00CA3733" w:rsidRPr="009941F8">
        <w:t>wa</w:t>
      </w:r>
      <w:r w:rsidRPr="009941F8">
        <w:t xml:space="preserve">s based on the duration of the trial follow up (i.e. 4 years). </w:t>
      </w:r>
      <w:r w:rsidR="00CA3733" w:rsidRPr="009941F8">
        <w:t>However</w:t>
      </w:r>
      <w:r w:rsidRPr="009941F8">
        <w:t>, as the 4 year analysis did not use data directly from the trial (</w:t>
      </w:r>
      <w:bookmarkStart w:id="78" w:name="_Hlk153883686"/>
      <w:r w:rsidRPr="009941F8">
        <w:t>particularly for patients in the anifrolumab arm discontinuing treatment</w:t>
      </w:r>
      <w:bookmarkEnd w:id="78"/>
      <w:r w:rsidRPr="009941F8">
        <w:t>), a trial-based cost-effectiveness analysis, using the individual patient data directly from the TULIP trials and TULIP LTE may be more robust.</w:t>
      </w:r>
    </w:p>
    <w:p w14:paraId="2A88945E" w14:textId="2797CF39" w:rsidR="004D3DDB" w:rsidRPr="009941F8" w:rsidRDefault="004D3DDB" w:rsidP="00A244E2">
      <w:pPr>
        <w:pStyle w:val="3-BodyText"/>
      </w:pPr>
      <w:r w:rsidRPr="009941F8">
        <w:t>The PSCR stated that the PBAC had previously accepted SOC data to inform event rates for patients that discontinued active treatment, i.e</w:t>
      </w:r>
      <w:r w:rsidR="00F25AA9">
        <w:t>.</w:t>
      </w:r>
      <w:r w:rsidRPr="009941F8">
        <w:t xml:space="preserve"> non-responders (paragraph 6.50, belimumab July 2020, </w:t>
      </w:r>
      <w:r w:rsidR="00A91341">
        <w:t>PSD</w:t>
      </w:r>
      <w:r w:rsidRPr="009941F8">
        <w:t>). However</w:t>
      </w:r>
      <w:r w:rsidR="001728F0" w:rsidRPr="009941F8">
        <w:t>,</w:t>
      </w:r>
      <w:r w:rsidRPr="009941F8">
        <w:t xml:space="preserve"> the belimumab submission</w:t>
      </w:r>
      <w:r w:rsidR="00D10666" w:rsidRPr="009941F8">
        <w:t>s</w:t>
      </w:r>
      <w:r w:rsidRPr="009941F8">
        <w:t xml:space="preserve"> and anifrolumab resubmission differ both in how response was measured, (≥4-point reduction in SLEDAI-2K in the belimumab submissions, LLDAS in the current anifrolumab resubmission) and what data drove disease progression in the SOC arm (SDI transitions modelled based on SLICC cohort data</w:t>
      </w:r>
      <w:r w:rsidRPr="009941F8">
        <w:rPr>
          <w:rStyle w:val="FootnoteReference"/>
        </w:rPr>
        <w:footnoteReference w:id="9"/>
      </w:r>
      <w:r w:rsidRPr="009941F8">
        <w:t xml:space="preserve"> in the belimumab submission, LLDAS transitions from the TULIP trials in the anifrolumab resubmission). Given the differences between these submissions</w:t>
      </w:r>
      <w:r w:rsidR="001728F0" w:rsidRPr="009941F8">
        <w:t xml:space="preserve">, the ESC considered that </w:t>
      </w:r>
      <w:r w:rsidRPr="009941F8">
        <w:t xml:space="preserve">it </w:t>
      </w:r>
      <w:r w:rsidR="001728F0" w:rsidRPr="009941F8">
        <w:t>wa</w:t>
      </w:r>
      <w:r w:rsidRPr="009941F8">
        <w:t>s appropriate to consider the uncertainty of modelling patients who discontinue anifrolumab using the SOC arm of the TULIP trials.</w:t>
      </w:r>
    </w:p>
    <w:p w14:paraId="3D7747DE" w14:textId="113B2D9A" w:rsidR="00D47C3C" w:rsidRPr="009941F8" w:rsidRDefault="004D3DDB" w:rsidP="00A244E2">
      <w:pPr>
        <w:pStyle w:val="3-BodyText"/>
      </w:pPr>
      <w:bookmarkStart w:id="79" w:name="_Ref162261035"/>
      <w:r w:rsidRPr="009941F8">
        <w:t>The ESC noted that the current model was more transparent in comparison with the March 2023 model</w:t>
      </w:r>
      <w:r w:rsidR="001728F0" w:rsidRPr="009941F8">
        <w:t>;</w:t>
      </w:r>
      <w:r w:rsidRPr="009941F8">
        <w:t xml:space="preserve"> however</w:t>
      </w:r>
      <w:r w:rsidR="001728F0" w:rsidRPr="009941F8">
        <w:t>,</w:t>
      </w:r>
      <w:r w:rsidRPr="009941F8">
        <w:t xml:space="preserve"> </w:t>
      </w:r>
      <w:r w:rsidR="008D01AA" w:rsidRPr="009941F8">
        <w:t xml:space="preserve">some </w:t>
      </w:r>
      <w:r w:rsidRPr="009941F8">
        <w:t>of the economic issues were not adequately addressed by the resubmission</w:t>
      </w:r>
      <w:r w:rsidR="001728F0" w:rsidRPr="009941F8">
        <w:t xml:space="preserve"> and t</w:t>
      </w:r>
      <w:r w:rsidRPr="009941F8">
        <w:t>he modelling of LLDAS was unlikely to reflect true disease trajectory</w:t>
      </w:r>
      <w:r w:rsidR="009941F8">
        <w:t xml:space="preserve">. </w:t>
      </w:r>
      <w:r w:rsidR="001728F0" w:rsidRPr="009941F8">
        <w:t>Further</w:t>
      </w:r>
      <w:r w:rsidRPr="009941F8">
        <w:t xml:space="preserve">, the way that rates of LLDAS in non-responders in the SOC arm were applied to the anifrolumab arm, resulted in a large proportion of the benefit of the anifrolumab arm occurring in non-responders. In other words, benefits continued to accrue over the time horizon in the anifrolumab arm without ongoing treatment costs (see paragraph </w:t>
      </w:r>
      <w:r w:rsidRPr="009941F8">
        <w:fldChar w:fldCharType="begin" w:fldLock="1"/>
      </w:r>
      <w:r w:rsidRPr="009941F8">
        <w:instrText xml:space="preserve"> REF _Ref159442342 \r \h </w:instrText>
      </w:r>
      <w:r w:rsidR="00D47C3C" w:rsidRPr="009941F8">
        <w:instrText xml:space="preserve"> \* MERGEFORMAT </w:instrText>
      </w:r>
      <w:r w:rsidRPr="009941F8">
        <w:fldChar w:fldCharType="separate"/>
      </w:r>
      <w:r w:rsidR="00F07501">
        <w:t>6.45</w:t>
      </w:r>
      <w:r w:rsidRPr="009941F8">
        <w:fldChar w:fldCharType="end"/>
      </w:r>
      <w:r w:rsidRPr="009941F8">
        <w:t>)</w:t>
      </w:r>
      <w:r w:rsidR="009941F8">
        <w:t xml:space="preserve">. </w:t>
      </w:r>
      <w:r w:rsidRPr="009941F8">
        <w:t>The ESC noted that the extrapolations for both treatment arms were not evidence based, and they had not been validated against external data</w:t>
      </w:r>
      <w:bookmarkEnd w:id="79"/>
      <w:r w:rsidR="009941F8">
        <w:t xml:space="preserve">. </w:t>
      </w:r>
    </w:p>
    <w:p w14:paraId="33F0CA9C" w14:textId="6334748A" w:rsidR="00AB7860" w:rsidRPr="009941F8" w:rsidRDefault="00AB7860" w:rsidP="00A244E2">
      <w:pPr>
        <w:pStyle w:val="3-BodyText"/>
      </w:pPr>
      <w:r w:rsidRPr="009941F8">
        <w:t xml:space="preserve">A summary of sensitivity analyses is presented in </w:t>
      </w:r>
      <w:r w:rsidR="00CE7EC7">
        <w:fldChar w:fldCharType="begin" w:fldLock="1"/>
      </w:r>
      <w:r w:rsidR="00CE7EC7">
        <w:instrText xml:space="preserve"> REF _Ref121669214  \* MERGEFORMAT </w:instrText>
      </w:r>
      <w:r w:rsidR="00CE7EC7">
        <w:fldChar w:fldCharType="separate"/>
      </w:r>
      <w:r w:rsidR="00F07501" w:rsidRPr="009941F8">
        <w:t xml:space="preserve">Table </w:t>
      </w:r>
      <w:r w:rsidR="00F07501">
        <w:t>14</w:t>
      </w:r>
      <w:r w:rsidR="00CE7EC7">
        <w:fldChar w:fldCharType="end"/>
      </w:r>
      <w:r w:rsidRPr="009941F8">
        <w:t xml:space="preserve">. The ICER was most sensitive to: treatment effect on LLDAS, inclusion of LLDAS extrapolation, inclusion of flares (and effect of LLDAS upon flares, anifrolumab costs, LLDAS health state costs and utilities, mortality adjustments. </w:t>
      </w:r>
    </w:p>
    <w:p w14:paraId="379990D3" w14:textId="597D26A1" w:rsidR="00AB7860" w:rsidRPr="009941F8" w:rsidRDefault="00AB7860" w:rsidP="00FA3EC9">
      <w:pPr>
        <w:pStyle w:val="TableFigureHeading"/>
        <w:rPr>
          <w:rStyle w:val="CommentReference"/>
          <w:b/>
          <w:szCs w:val="24"/>
        </w:rPr>
      </w:pPr>
      <w:bookmarkStart w:id="80" w:name="_Ref121669214"/>
      <w:bookmarkStart w:id="81" w:name="_Hlk159413687"/>
      <w:r w:rsidRPr="009941F8">
        <w:lastRenderedPageBreak/>
        <w:t xml:space="preserve">Table </w:t>
      </w:r>
      <w:r w:rsidR="00CE7EC7">
        <w:fldChar w:fldCharType="begin" w:fldLock="1"/>
      </w:r>
      <w:r w:rsidR="00CE7EC7">
        <w:instrText xml:space="preserve"> SEQ Table \* AR</w:instrText>
      </w:r>
      <w:r w:rsidR="00CE7EC7">
        <w:instrText xml:space="preserve">ABIC </w:instrText>
      </w:r>
      <w:r w:rsidR="00CE7EC7">
        <w:fldChar w:fldCharType="separate"/>
      </w:r>
      <w:r w:rsidR="00F07501">
        <w:rPr>
          <w:noProof/>
        </w:rPr>
        <w:t>14</w:t>
      </w:r>
      <w:r w:rsidR="00CE7EC7">
        <w:rPr>
          <w:noProof/>
        </w:rPr>
        <w:fldChar w:fldCharType="end"/>
      </w:r>
      <w:bookmarkEnd w:id="80"/>
      <w:r w:rsidRPr="009941F8">
        <w:t>:</w:t>
      </w:r>
      <w:r w:rsidRPr="009941F8">
        <w:rPr>
          <w:rStyle w:val="CommentReference"/>
          <w:b/>
          <w:szCs w:val="24"/>
        </w:rPr>
        <w:t xml:space="preserve"> </w:t>
      </w:r>
      <w:bookmarkEnd w:id="81"/>
      <w:r w:rsidRPr="009941F8">
        <w:rPr>
          <w:rStyle w:val="CommentReference"/>
          <w:b/>
          <w:szCs w:val="24"/>
        </w:rPr>
        <w:t>Results of sensitivity analyses</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14: Results of sensitivity analyses"/>
      </w:tblPr>
      <w:tblGrid>
        <w:gridCol w:w="5098"/>
        <w:gridCol w:w="1134"/>
        <w:gridCol w:w="1134"/>
        <w:gridCol w:w="851"/>
        <w:gridCol w:w="873"/>
      </w:tblGrid>
      <w:tr w:rsidR="00AB7860" w:rsidRPr="009941F8" w14:paraId="1C67A8F2" w14:textId="77777777" w:rsidTr="00640EC9">
        <w:trPr>
          <w:tblHeader/>
        </w:trPr>
        <w:tc>
          <w:tcPr>
            <w:tcW w:w="5098" w:type="dxa"/>
          </w:tcPr>
          <w:p w14:paraId="1955B370" w14:textId="77777777" w:rsidR="00AB7860" w:rsidRPr="009941F8" w:rsidRDefault="00AB7860" w:rsidP="00FA3EC9">
            <w:pPr>
              <w:pStyle w:val="In-tableHeading"/>
              <w:rPr>
                <w:lang w:val="en-AU"/>
              </w:rPr>
            </w:pPr>
            <w:r w:rsidRPr="009941F8">
              <w:rPr>
                <w:lang w:val="en-AU"/>
              </w:rPr>
              <w:t>Analyses</w:t>
            </w:r>
          </w:p>
        </w:tc>
        <w:tc>
          <w:tcPr>
            <w:tcW w:w="1134" w:type="dxa"/>
            <w:tcBorders>
              <w:bottom w:val="single" w:sz="4" w:space="0" w:color="auto"/>
            </w:tcBorders>
            <w:vAlign w:val="center"/>
          </w:tcPr>
          <w:p w14:paraId="07D19FCA" w14:textId="7FE07601" w:rsidR="00AB7860" w:rsidRPr="009941F8" w:rsidRDefault="00AB7860" w:rsidP="00FA3EC9">
            <w:pPr>
              <w:pStyle w:val="In-tableHeading"/>
              <w:jc w:val="center"/>
              <w:rPr>
                <w:lang w:val="en-AU"/>
              </w:rPr>
            </w:pPr>
            <w:r w:rsidRPr="009941F8">
              <w:rPr>
                <w:lang w:val="en-AU"/>
              </w:rPr>
              <w:t>Incremental cost</w:t>
            </w:r>
            <w:r w:rsidR="002E5249">
              <w:rPr>
                <w:lang w:val="en-AU"/>
              </w:rPr>
              <w:t xml:space="preserve"> ($)</w:t>
            </w:r>
          </w:p>
        </w:tc>
        <w:tc>
          <w:tcPr>
            <w:tcW w:w="1134" w:type="dxa"/>
            <w:vAlign w:val="center"/>
          </w:tcPr>
          <w:p w14:paraId="0FEBC288" w14:textId="77777777" w:rsidR="00AB7860" w:rsidRPr="009941F8" w:rsidRDefault="00AB7860" w:rsidP="00FA3EC9">
            <w:pPr>
              <w:pStyle w:val="In-tableHeading"/>
              <w:jc w:val="center"/>
              <w:rPr>
                <w:lang w:val="en-AU"/>
              </w:rPr>
            </w:pPr>
            <w:r w:rsidRPr="009941F8">
              <w:rPr>
                <w:lang w:val="en-AU"/>
              </w:rPr>
              <w:t>Incremental QALY</w:t>
            </w:r>
          </w:p>
        </w:tc>
        <w:tc>
          <w:tcPr>
            <w:tcW w:w="851" w:type="dxa"/>
            <w:vAlign w:val="center"/>
          </w:tcPr>
          <w:p w14:paraId="62928D15" w14:textId="77777777" w:rsidR="00AB7860" w:rsidRPr="009941F8" w:rsidRDefault="00AB7860" w:rsidP="00FA3EC9">
            <w:pPr>
              <w:pStyle w:val="In-tableHeading"/>
              <w:jc w:val="center"/>
              <w:rPr>
                <w:lang w:val="en-AU"/>
              </w:rPr>
            </w:pPr>
            <w:r w:rsidRPr="009941F8">
              <w:rPr>
                <w:lang w:val="en-AU"/>
              </w:rPr>
              <w:t>ICER</w:t>
            </w:r>
          </w:p>
        </w:tc>
        <w:tc>
          <w:tcPr>
            <w:tcW w:w="873" w:type="dxa"/>
            <w:vAlign w:val="center"/>
          </w:tcPr>
          <w:p w14:paraId="2B3B48E1" w14:textId="77777777" w:rsidR="00AB7860" w:rsidRPr="009941F8" w:rsidRDefault="00AB7860" w:rsidP="00FA3EC9">
            <w:pPr>
              <w:pStyle w:val="In-tableHeading"/>
              <w:jc w:val="center"/>
              <w:rPr>
                <w:lang w:val="en-AU"/>
              </w:rPr>
            </w:pPr>
            <w:r w:rsidRPr="009941F8">
              <w:rPr>
                <w:lang w:val="en-AU"/>
              </w:rPr>
              <w:t>%change</w:t>
            </w:r>
          </w:p>
        </w:tc>
      </w:tr>
      <w:tr w:rsidR="00AB7860" w:rsidRPr="009941F8" w14:paraId="33317910" w14:textId="77777777" w:rsidTr="00233562">
        <w:trPr>
          <w:tblHeader/>
        </w:trPr>
        <w:tc>
          <w:tcPr>
            <w:tcW w:w="5098" w:type="dxa"/>
          </w:tcPr>
          <w:p w14:paraId="4FC91126" w14:textId="77777777" w:rsidR="00AB7860" w:rsidRPr="009941F8" w:rsidRDefault="00AB7860" w:rsidP="00FA3EC9">
            <w:pPr>
              <w:pStyle w:val="TableText0"/>
              <w:rPr>
                <w:b/>
              </w:rPr>
            </w:pPr>
            <w:r w:rsidRPr="009941F8">
              <w:rPr>
                <w:b/>
              </w:rPr>
              <w:t>Submitted base case</w:t>
            </w:r>
          </w:p>
        </w:tc>
        <w:tc>
          <w:tcPr>
            <w:tcW w:w="1134" w:type="dxa"/>
            <w:shd w:val="clear" w:color="auto" w:fill="auto"/>
          </w:tcPr>
          <w:p w14:paraId="6FA3B259" w14:textId="393703DE" w:rsidR="00AB7860" w:rsidRPr="00AB3F41" w:rsidRDefault="00A91341" w:rsidP="00FA3EC9">
            <w:pPr>
              <w:pStyle w:val="TableText0"/>
              <w:jc w:val="center"/>
              <w:rPr>
                <w:b/>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233562">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r w:rsidR="00640EC9" w:rsidRPr="00A91341">
              <w:rPr>
                <w:rFonts w:hint="eastAsia"/>
                <w:color w:val="000000"/>
                <w:w w:val="15"/>
                <w:fitText w:val="48" w:id="-961890047"/>
                <w14:textFill>
                  <w14:solidFill>
                    <w14:srgbClr w14:val="000000">
                      <w14:alpha w14:val="100000"/>
                    </w14:srgbClr>
                  </w14:solidFill>
                </w14:textFill>
              </w:rPr>
              <w:t xml:space="preserve">　</w:t>
            </w:r>
            <w:r w:rsidR="00640EC9" w:rsidRPr="00A91341">
              <w:rPr>
                <w:color w:val="000000"/>
                <w:w w:val="15"/>
                <w:fitText w:val="48" w:id="-961890047"/>
                <w14:textFill>
                  <w14:solidFill>
                    <w14:srgbClr w14:val="000000">
                      <w14:alpha w14:val="100000"/>
                    </w14:srgbClr>
                  </w14:solidFill>
                </w14:textFill>
              </w:rPr>
              <w:t>|</w:t>
            </w:r>
            <w:r w:rsidR="00640EC9" w:rsidRPr="00A91341">
              <w:rPr>
                <w:rFonts w:hint="eastAsia"/>
                <w:color w:val="000000"/>
                <w:spacing w:val="-17"/>
                <w:w w:val="15"/>
                <w:fitText w:val="48" w:id="-961890047"/>
                <w14:textFill>
                  <w14:solidFill>
                    <w14:srgbClr w14:val="000000">
                      <w14:alpha w14:val="100000"/>
                    </w14:srgbClr>
                  </w14:solidFill>
                </w14:textFill>
              </w:rPr>
              <w:t xml:space="preserve">　</w:t>
            </w:r>
          </w:p>
        </w:tc>
        <w:tc>
          <w:tcPr>
            <w:tcW w:w="1134" w:type="dxa"/>
          </w:tcPr>
          <w:p w14:paraId="75FDEE79" w14:textId="77777777" w:rsidR="00AB7860" w:rsidRPr="009941F8" w:rsidRDefault="00AB7860" w:rsidP="00FA3EC9">
            <w:pPr>
              <w:pStyle w:val="TableText0"/>
              <w:jc w:val="center"/>
              <w:rPr>
                <w:b/>
              </w:rPr>
            </w:pPr>
            <w:r w:rsidRPr="009941F8">
              <w:t>0.129</w:t>
            </w:r>
          </w:p>
        </w:tc>
        <w:tc>
          <w:tcPr>
            <w:tcW w:w="851" w:type="dxa"/>
          </w:tcPr>
          <w:p w14:paraId="29B298C3" w14:textId="5F3FA061" w:rsidR="00AB7860" w:rsidRPr="00AB3F41" w:rsidRDefault="00640EC9" w:rsidP="00FA3EC9">
            <w:pPr>
              <w:pStyle w:val="TableText0"/>
              <w:jc w:val="center"/>
              <w:rPr>
                <w:b/>
                <w:highlight w:val="lightGray"/>
              </w:rPr>
            </w:pPr>
            <w:r w:rsidRPr="00640EC9">
              <w:rPr>
                <w:color w:val="000000"/>
                <w:spacing w:val="118"/>
                <w:shd w:val="solid" w:color="000000" w:fill="000000"/>
                <w:fitText w:val="204" w:id="-961890046"/>
                <w14:textFill>
                  <w14:solidFill>
                    <w14:srgbClr w14:val="000000">
                      <w14:alpha w14:val="100000"/>
                    </w14:srgbClr>
                  </w14:solidFill>
                </w14:textFill>
              </w:rPr>
              <w:t>|</w:t>
            </w:r>
            <w:r w:rsidRPr="00640EC9">
              <w:rPr>
                <w:color w:val="000000"/>
                <w:spacing w:val="1"/>
                <w:shd w:val="solid" w:color="000000" w:fill="000000"/>
                <w:fitText w:val="204" w:id="-961890046"/>
                <w14:textFill>
                  <w14:solidFill>
                    <w14:srgbClr w14:val="000000">
                      <w14:alpha w14:val="100000"/>
                    </w14:srgbClr>
                  </w14:solidFill>
                </w14:textFill>
              </w:rPr>
              <w:t>|</w:t>
            </w:r>
            <w:r w:rsidR="0068000F" w:rsidRPr="0068000F">
              <w:rPr>
                <w:vertAlign w:val="superscript"/>
              </w:rPr>
              <w:t>1</w:t>
            </w:r>
          </w:p>
        </w:tc>
        <w:tc>
          <w:tcPr>
            <w:tcW w:w="873" w:type="dxa"/>
          </w:tcPr>
          <w:p w14:paraId="439B2D9B" w14:textId="77777777" w:rsidR="00AB7860" w:rsidRPr="009941F8" w:rsidRDefault="00AB7860" w:rsidP="00FA3EC9">
            <w:pPr>
              <w:pStyle w:val="TableText0"/>
              <w:jc w:val="center"/>
            </w:pPr>
            <w:r w:rsidRPr="009941F8">
              <w:t>-</w:t>
            </w:r>
          </w:p>
        </w:tc>
      </w:tr>
      <w:tr w:rsidR="00AB7860" w:rsidRPr="009941F8" w14:paraId="65A5BD8C" w14:textId="77777777" w:rsidTr="00B4343B">
        <w:tc>
          <w:tcPr>
            <w:tcW w:w="5098" w:type="dxa"/>
            <w:tcBorders>
              <w:bottom w:val="single" w:sz="4" w:space="0" w:color="auto"/>
            </w:tcBorders>
          </w:tcPr>
          <w:p w14:paraId="0BFE27EB" w14:textId="77777777" w:rsidR="00AB7860" w:rsidRPr="009941F8" w:rsidRDefault="00AB7860" w:rsidP="00FA3EC9">
            <w:pPr>
              <w:pStyle w:val="TableText0"/>
            </w:pPr>
            <w:r w:rsidRPr="009941F8">
              <w:t>Discount rate (base case 5% costs and outcomes)</w:t>
            </w:r>
          </w:p>
          <w:p w14:paraId="304E1254" w14:textId="77777777" w:rsidR="00AB7860" w:rsidRPr="009941F8" w:rsidRDefault="00AB7860" w:rsidP="00FA3EC9">
            <w:pPr>
              <w:pStyle w:val="TableText0"/>
              <w:numPr>
                <w:ilvl w:val="0"/>
                <w:numId w:val="6"/>
              </w:numPr>
              <w:ind w:left="0" w:firstLine="22"/>
            </w:pPr>
            <w:r w:rsidRPr="009941F8">
              <w:t>0% costs and outcomes</w:t>
            </w:r>
          </w:p>
          <w:p w14:paraId="3E21DD95" w14:textId="77777777" w:rsidR="00AB7860" w:rsidRPr="009941F8" w:rsidRDefault="00AB7860" w:rsidP="00FA3EC9">
            <w:pPr>
              <w:pStyle w:val="TableText0"/>
              <w:numPr>
                <w:ilvl w:val="0"/>
                <w:numId w:val="6"/>
              </w:numPr>
              <w:ind w:left="22" w:hanging="22"/>
            </w:pPr>
            <w:r w:rsidRPr="009941F8">
              <w:t>3.5% costs and outcomes</w:t>
            </w:r>
          </w:p>
        </w:tc>
        <w:tc>
          <w:tcPr>
            <w:tcW w:w="1134" w:type="dxa"/>
            <w:tcBorders>
              <w:bottom w:val="single" w:sz="4" w:space="0" w:color="auto"/>
            </w:tcBorders>
          </w:tcPr>
          <w:p w14:paraId="6DF97461" w14:textId="77777777" w:rsidR="00357D22" w:rsidRPr="00357D22" w:rsidRDefault="00357D22" w:rsidP="00FA3EC9">
            <w:pPr>
              <w:pStyle w:val="TableText0"/>
              <w:jc w:val="center"/>
            </w:pPr>
          </w:p>
          <w:p w14:paraId="18792ADF" w14:textId="72ECB1D9" w:rsidR="00357D22" w:rsidRPr="00357D22" w:rsidRDefault="00640EC9" w:rsidP="00FA3EC9">
            <w:pPr>
              <w:pStyle w:val="TableText0"/>
              <w:jc w:val="center"/>
            </w:pPr>
            <w:r w:rsidRPr="00640EC9">
              <w:rPr>
                <w:rFonts w:hint="eastAsia"/>
                <w:color w:val="000000"/>
                <w:w w:val="15"/>
                <w:shd w:val="solid" w:color="000000" w:fill="000000"/>
                <w:fitText w:val="48" w:id="-961890045"/>
                <w14:textFill>
                  <w14:solidFill>
                    <w14:srgbClr w14:val="000000">
                      <w14:alpha w14:val="100000"/>
                    </w14:srgbClr>
                  </w14:solidFill>
                </w14:textFill>
              </w:rPr>
              <w:t xml:space="preserve">　</w:t>
            </w:r>
            <w:r w:rsidRPr="00640EC9">
              <w:rPr>
                <w:color w:val="000000"/>
                <w:w w:val="15"/>
                <w:shd w:val="solid" w:color="000000" w:fill="000000"/>
                <w:fitText w:val="48" w:id="-961890045"/>
                <w14:textFill>
                  <w14:solidFill>
                    <w14:srgbClr w14:val="000000">
                      <w14:alpha w14:val="100000"/>
                    </w14:srgbClr>
                  </w14:solidFill>
                </w14:textFill>
              </w:rPr>
              <w:t>|</w:t>
            </w:r>
            <w:r w:rsidRPr="00640EC9">
              <w:rPr>
                <w:rFonts w:hint="eastAsia"/>
                <w:color w:val="000000"/>
                <w:spacing w:val="-17"/>
                <w:w w:val="15"/>
                <w:shd w:val="solid" w:color="000000" w:fill="000000"/>
                <w:fitText w:val="48" w:id="-961890045"/>
                <w14:textFill>
                  <w14:solidFill>
                    <w14:srgbClr w14:val="000000">
                      <w14:alpha w14:val="100000"/>
                    </w14:srgbClr>
                  </w14:solidFill>
                </w14:textFill>
              </w:rPr>
              <w:t xml:space="preserve">　</w:t>
            </w:r>
          </w:p>
          <w:p w14:paraId="42F6E984" w14:textId="6A2B4D58" w:rsidR="00AB7860" w:rsidRPr="00AB3F41" w:rsidRDefault="00640EC9" w:rsidP="00FA3EC9">
            <w:pPr>
              <w:pStyle w:val="TableText0"/>
              <w:jc w:val="center"/>
              <w:rPr>
                <w:highlight w:val="lightGray"/>
              </w:rPr>
            </w:pPr>
            <w:r w:rsidRPr="00640EC9">
              <w:rPr>
                <w:rFonts w:hint="eastAsia"/>
                <w:color w:val="000000"/>
                <w:w w:val="15"/>
                <w:shd w:val="solid" w:color="000000" w:fill="000000"/>
                <w:fitText w:val="48" w:id="-961890044"/>
                <w14:textFill>
                  <w14:solidFill>
                    <w14:srgbClr w14:val="000000">
                      <w14:alpha w14:val="100000"/>
                    </w14:srgbClr>
                  </w14:solidFill>
                </w14:textFill>
              </w:rPr>
              <w:t xml:space="preserve">　</w:t>
            </w:r>
            <w:r w:rsidRPr="00640EC9">
              <w:rPr>
                <w:color w:val="000000"/>
                <w:w w:val="15"/>
                <w:shd w:val="solid" w:color="000000" w:fill="000000"/>
                <w:fitText w:val="48" w:id="-961890044"/>
                <w14:textFill>
                  <w14:solidFill>
                    <w14:srgbClr w14:val="000000">
                      <w14:alpha w14:val="100000"/>
                    </w14:srgbClr>
                  </w14:solidFill>
                </w14:textFill>
              </w:rPr>
              <w:t>|</w:t>
            </w:r>
            <w:r w:rsidRPr="00640EC9">
              <w:rPr>
                <w:rFonts w:hint="eastAsia"/>
                <w:color w:val="000000"/>
                <w:spacing w:val="-17"/>
                <w:w w:val="15"/>
                <w:shd w:val="solid" w:color="000000" w:fill="000000"/>
                <w:fitText w:val="48" w:id="-961890044"/>
                <w14:textFill>
                  <w14:solidFill>
                    <w14:srgbClr w14:val="000000">
                      <w14:alpha w14:val="100000"/>
                    </w14:srgbClr>
                  </w14:solidFill>
                </w14:textFill>
              </w:rPr>
              <w:t xml:space="preserve">　</w:t>
            </w:r>
          </w:p>
        </w:tc>
        <w:tc>
          <w:tcPr>
            <w:tcW w:w="1134" w:type="dxa"/>
            <w:tcBorders>
              <w:bottom w:val="single" w:sz="4" w:space="0" w:color="auto"/>
            </w:tcBorders>
          </w:tcPr>
          <w:p w14:paraId="1569424D" w14:textId="77777777" w:rsidR="00AB7860" w:rsidRPr="009941F8" w:rsidRDefault="00AB7860" w:rsidP="00FA3EC9">
            <w:pPr>
              <w:pStyle w:val="TableText0"/>
              <w:jc w:val="center"/>
            </w:pPr>
          </w:p>
          <w:p w14:paraId="0221332E" w14:textId="77777777" w:rsidR="00AB7860" w:rsidRPr="009941F8" w:rsidRDefault="00AB7860" w:rsidP="00FA3EC9">
            <w:pPr>
              <w:pStyle w:val="TableText0"/>
              <w:jc w:val="center"/>
            </w:pPr>
            <w:r w:rsidRPr="009941F8">
              <w:t>0.210</w:t>
            </w:r>
          </w:p>
          <w:p w14:paraId="4EB52FD2" w14:textId="77777777" w:rsidR="00AB7860" w:rsidRPr="009941F8" w:rsidRDefault="00AB7860" w:rsidP="00FA3EC9">
            <w:pPr>
              <w:pStyle w:val="TableText0"/>
              <w:jc w:val="center"/>
            </w:pPr>
            <w:r w:rsidRPr="009941F8">
              <w:t>0.146</w:t>
            </w:r>
          </w:p>
        </w:tc>
        <w:tc>
          <w:tcPr>
            <w:tcW w:w="851" w:type="dxa"/>
            <w:tcBorders>
              <w:bottom w:val="single" w:sz="4" w:space="0" w:color="auto"/>
            </w:tcBorders>
          </w:tcPr>
          <w:p w14:paraId="7B6E6DE5" w14:textId="77777777" w:rsidR="00357D22" w:rsidRPr="00357D22" w:rsidRDefault="00357D22" w:rsidP="00FA3EC9">
            <w:pPr>
              <w:pStyle w:val="TableText0"/>
              <w:jc w:val="center"/>
            </w:pPr>
          </w:p>
          <w:p w14:paraId="4639A286" w14:textId="1297D1AB" w:rsidR="00357D22" w:rsidRPr="00357D22" w:rsidRDefault="00640EC9" w:rsidP="00FA3EC9">
            <w:pPr>
              <w:pStyle w:val="TableText0"/>
              <w:jc w:val="center"/>
            </w:pPr>
            <w:r w:rsidRPr="00640EC9">
              <w:rPr>
                <w:color w:val="000000"/>
                <w:spacing w:val="118"/>
                <w:shd w:val="solid" w:color="000000" w:fill="000000"/>
                <w:fitText w:val="204" w:id="-961890043"/>
                <w14:textFill>
                  <w14:solidFill>
                    <w14:srgbClr w14:val="000000">
                      <w14:alpha w14:val="100000"/>
                    </w14:srgbClr>
                  </w14:solidFill>
                </w14:textFill>
              </w:rPr>
              <w:t>|</w:t>
            </w:r>
            <w:r w:rsidRPr="00640EC9">
              <w:rPr>
                <w:color w:val="000000"/>
                <w:spacing w:val="1"/>
                <w:shd w:val="solid" w:color="000000" w:fill="000000"/>
                <w:fitText w:val="204" w:id="-961890043"/>
                <w14:textFill>
                  <w14:solidFill>
                    <w14:srgbClr w14:val="000000">
                      <w14:alpha w14:val="100000"/>
                    </w14:srgbClr>
                  </w14:solidFill>
                </w14:textFill>
              </w:rPr>
              <w:t>|</w:t>
            </w:r>
            <w:r w:rsidR="0068000F" w:rsidRPr="0068000F">
              <w:rPr>
                <w:vertAlign w:val="superscript"/>
              </w:rPr>
              <w:t>2</w:t>
            </w:r>
          </w:p>
          <w:p w14:paraId="34445CDA" w14:textId="1614EF37" w:rsidR="00AB7860" w:rsidRPr="00AB3F41" w:rsidRDefault="00640EC9" w:rsidP="00FA3EC9">
            <w:pPr>
              <w:pStyle w:val="TableText0"/>
              <w:jc w:val="center"/>
              <w:rPr>
                <w:highlight w:val="lightGray"/>
              </w:rPr>
            </w:pPr>
            <w:r w:rsidRPr="00640EC9">
              <w:rPr>
                <w:color w:val="000000"/>
                <w:spacing w:val="118"/>
                <w:shd w:val="solid" w:color="000000" w:fill="000000"/>
                <w:fitText w:val="204" w:id="-961890042"/>
                <w14:textFill>
                  <w14:solidFill>
                    <w14:srgbClr w14:val="000000">
                      <w14:alpha w14:val="100000"/>
                    </w14:srgbClr>
                  </w14:solidFill>
                </w14:textFill>
              </w:rPr>
              <w:t>|</w:t>
            </w:r>
            <w:r w:rsidRPr="00640EC9">
              <w:rPr>
                <w:color w:val="000000"/>
                <w:spacing w:val="1"/>
                <w:shd w:val="solid" w:color="000000" w:fill="000000"/>
                <w:fitText w:val="204" w:id="-961890042"/>
                <w14:textFill>
                  <w14:solidFill>
                    <w14:srgbClr w14:val="000000">
                      <w14:alpha w14:val="100000"/>
                    </w14:srgbClr>
                  </w14:solidFill>
                </w14:textFill>
              </w:rPr>
              <w:t>|</w:t>
            </w:r>
            <w:r w:rsidR="0068000F" w:rsidRPr="0068000F">
              <w:rPr>
                <w:vertAlign w:val="superscript"/>
              </w:rPr>
              <w:t>1</w:t>
            </w:r>
          </w:p>
        </w:tc>
        <w:tc>
          <w:tcPr>
            <w:tcW w:w="873" w:type="dxa"/>
            <w:tcBorders>
              <w:bottom w:val="single" w:sz="4" w:space="0" w:color="auto"/>
            </w:tcBorders>
          </w:tcPr>
          <w:p w14:paraId="3DAAD53D" w14:textId="77777777" w:rsidR="00AB7860" w:rsidRPr="0068000F" w:rsidRDefault="00AB7860" w:rsidP="00FA3EC9">
            <w:pPr>
              <w:pStyle w:val="TableText0"/>
              <w:jc w:val="center"/>
            </w:pPr>
          </w:p>
          <w:p w14:paraId="5DC347EB" w14:textId="6175AF24" w:rsidR="00AB7860" w:rsidRPr="0068000F" w:rsidRDefault="00AB7860" w:rsidP="00FA3EC9">
            <w:pPr>
              <w:pStyle w:val="TableText0"/>
              <w:jc w:val="center"/>
            </w:pPr>
            <w:r w:rsidRPr="0068000F">
              <w:t>-</w:t>
            </w:r>
            <w:r w:rsidR="00640EC9" w:rsidRPr="00640EC9">
              <w:rPr>
                <w:color w:val="000000"/>
                <w:spacing w:val="106"/>
                <w:shd w:val="solid" w:color="000000" w:fill="000000"/>
                <w:fitText w:val="192" w:id="-961890041"/>
                <w14:textFill>
                  <w14:solidFill>
                    <w14:srgbClr w14:val="000000">
                      <w14:alpha w14:val="100000"/>
                    </w14:srgbClr>
                  </w14:solidFill>
                </w14:textFill>
              </w:rPr>
              <w:t>|</w:t>
            </w:r>
            <w:r w:rsidR="00640EC9" w:rsidRPr="00640EC9">
              <w:rPr>
                <w:color w:val="000000"/>
                <w:spacing w:val="1"/>
                <w:shd w:val="solid" w:color="000000" w:fill="000000"/>
                <w:fitText w:val="192" w:id="-961890041"/>
                <w14:textFill>
                  <w14:solidFill>
                    <w14:srgbClr w14:val="000000">
                      <w14:alpha w14:val="100000"/>
                    </w14:srgbClr>
                  </w14:solidFill>
                </w14:textFill>
              </w:rPr>
              <w:t>|</w:t>
            </w:r>
          </w:p>
          <w:p w14:paraId="27AAFC82" w14:textId="71EE156E" w:rsidR="00AB7860" w:rsidRPr="0068000F" w:rsidRDefault="00AB7860" w:rsidP="00FA3EC9">
            <w:pPr>
              <w:pStyle w:val="TableText0"/>
              <w:jc w:val="center"/>
            </w:pPr>
            <w:r w:rsidRPr="0068000F">
              <w:t>-</w:t>
            </w:r>
            <w:r w:rsidR="00640EC9" w:rsidRPr="00640EC9">
              <w:rPr>
                <w:color w:val="000000"/>
                <w:spacing w:val="106"/>
                <w:shd w:val="solid" w:color="000000" w:fill="000000"/>
                <w:fitText w:val="192" w:id="-961890040"/>
                <w14:textFill>
                  <w14:solidFill>
                    <w14:srgbClr w14:val="000000">
                      <w14:alpha w14:val="100000"/>
                    </w14:srgbClr>
                  </w14:solidFill>
                </w14:textFill>
              </w:rPr>
              <w:t>|</w:t>
            </w:r>
            <w:r w:rsidR="00640EC9" w:rsidRPr="00640EC9">
              <w:rPr>
                <w:color w:val="000000"/>
                <w:spacing w:val="1"/>
                <w:shd w:val="solid" w:color="000000" w:fill="000000"/>
                <w:fitText w:val="192" w:id="-961890040"/>
                <w14:textFill>
                  <w14:solidFill>
                    <w14:srgbClr w14:val="000000">
                      <w14:alpha w14:val="100000"/>
                    </w14:srgbClr>
                  </w14:solidFill>
                </w14:textFill>
              </w:rPr>
              <w:t>|</w:t>
            </w:r>
          </w:p>
        </w:tc>
      </w:tr>
      <w:tr w:rsidR="00B4343B" w:rsidRPr="009941F8" w14:paraId="00862EBD" w14:textId="77777777" w:rsidTr="00640EC9">
        <w:tc>
          <w:tcPr>
            <w:tcW w:w="5098" w:type="dxa"/>
            <w:tcBorders>
              <w:bottom w:val="nil"/>
            </w:tcBorders>
          </w:tcPr>
          <w:p w14:paraId="7E06CF0C" w14:textId="2BFD46D2" w:rsidR="00B4343B" w:rsidRPr="009941F8" w:rsidRDefault="00B4343B" w:rsidP="00FA3EC9">
            <w:pPr>
              <w:pStyle w:val="TableText0"/>
            </w:pPr>
            <w:r w:rsidRPr="009941F8">
              <w:t>Time horizon (base case 59 years)</w:t>
            </w:r>
          </w:p>
        </w:tc>
        <w:tc>
          <w:tcPr>
            <w:tcW w:w="1134" w:type="dxa"/>
            <w:tcBorders>
              <w:bottom w:val="nil"/>
            </w:tcBorders>
          </w:tcPr>
          <w:p w14:paraId="6641F2D2" w14:textId="77777777" w:rsidR="00B4343B" w:rsidRPr="00AB3F41" w:rsidRDefault="00B4343B" w:rsidP="00FA3EC9">
            <w:pPr>
              <w:pStyle w:val="TableText0"/>
              <w:jc w:val="center"/>
              <w:rPr>
                <w:highlight w:val="lightGray"/>
              </w:rPr>
            </w:pPr>
          </w:p>
        </w:tc>
        <w:tc>
          <w:tcPr>
            <w:tcW w:w="1134" w:type="dxa"/>
            <w:tcBorders>
              <w:bottom w:val="nil"/>
            </w:tcBorders>
          </w:tcPr>
          <w:p w14:paraId="0B0D5F0C" w14:textId="77777777" w:rsidR="00B4343B" w:rsidRPr="009941F8" w:rsidRDefault="00B4343B" w:rsidP="00FA3EC9">
            <w:pPr>
              <w:pStyle w:val="TableText0"/>
              <w:jc w:val="center"/>
            </w:pPr>
          </w:p>
        </w:tc>
        <w:tc>
          <w:tcPr>
            <w:tcW w:w="851" w:type="dxa"/>
            <w:tcBorders>
              <w:bottom w:val="nil"/>
            </w:tcBorders>
          </w:tcPr>
          <w:p w14:paraId="1B041366" w14:textId="77777777" w:rsidR="00B4343B" w:rsidRPr="00AB3F41" w:rsidRDefault="00B4343B" w:rsidP="00FA3EC9">
            <w:pPr>
              <w:pStyle w:val="TableText0"/>
              <w:jc w:val="center"/>
              <w:rPr>
                <w:highlight w:val="lightGray"/>
              </w:rPr>
            </w:pPr>
          </w:p>
        </w:tc>
        <w:tc>
          <w:tcPr>
            <w:tcW w:w="873" w:type="dxa"/>
            <w:tcBorders>
              <w:bottom w:val="nil"/>
            </w:tcBorders>
          </w:tcPr>
          <w:p w14:paraId="0668E0D6" w14:textId="77777777" w:rsidR="00B4343B" w:rsidRPr="0068000F" w:rsidRDefault="00B4343B" w:rsidP="00FA3EC9">
            <w:pPr>
              <w:pStyle w:val="TableText0"/>
              <w:jc w:val="center"/>
            </w:pPr>
          </w:p>
        </w:tc>
      </w:tr>
      <w:tr w:rsidR="00B4343B" w:rsidRPr="009941F8" w14:paraId="30D39045" w14:textId="77777777" w:rsidTr="00233562">
        <w:tc>
          <w:tcPr>
            <w:tcW w:w="5098" w:type="dxa"/>
            <w:tcBorders>
              <w:top w:val="nil"/>
              <w:bottom w:val="nil"/>
            </w:tcBorders>
          </w:tcPr>
          <w:p w14:paraId="18BEE361" w14:textId="77777777" w:rsidR="00B4343B" w:rsidRPr="009941F8" w:rsidRDefault="00B4343B" w:rsidP="00FA3EC9">
            <w:pPr>
              <w:pStyle w:val="ListParagraph"/>
              <w:keepNext/>
              <w:numPr>
                <w:ilvl w:val="0"/>
                <w:numId w:val="30"/>
              </w:numPr>
              <w:spacing w:after="0"/>
              <w:ind w:left="22" w:hanging="22"/>
              <w:rPr>
                <w:rFonts w:ascii="Arial Narrow" w:eastAsia="MS Gothic" w:hAnsi="Arial Narrow" w:cs="Times New Roman"/>
                <w:bCs/>
                <w:sz w:val="20"/>
                <w:szCs w:val="20"/>
              </w:rPr>
            </w:pPr>
            <w:r w:rsidRPr="009941F8">
              <w:rPr>
                <w:rFonts w:ascii="Arial Narrow" w:eastAsia="MS Gothic" w:hAnsi="Arial Narrow" w:cs="Times New Roman"/>
                <w:bCs/>
                <w:sz w:val="20"/>
                <w:szCs w:val="20"/>
              </w:rPr>
              <w:t>10 years</w:t>
            </w:r>
          </w:p>
        </w:tc>
        <w:tc>
          <w:tcPr>
            <w:tcW w:w="1134" w:type="dxa"/>
            <w:tcBorders>
              <w:top w:val="nil"/>
              <w:bottom w:val="nil"/>
            </w:tcBorders>
            <w:shd w:val="clear" w:color="auto" w:fill="auto"/>
          </w:tcPr>
          <w:p w14:paraId="6E25B6C9" w14:textId="05F58DA9" w:rsidR="00B4343B" w:rsidRPr="00AB3F41" w:rsidRDefault="00A91341" w:rsidP="00FA3EC9">
            <w:pPr>
              <w:keepNext/>
              <w:jc w:val="center"/>
              <w:rPr>
                <w:rFonts w:ascii="Arial Narrow" w:eastAsia="MS Gothic" w:hAnsi="Arial Narrow" w:cs="Times New Roman"/>
                <w:bCs/>
                <w:sz w:val="20"/>
                <w:szCs w:val="20"/>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233562">
              <w:rPr>
                <w:rFonts w:hint="eastAsia"/>
                <w:color w:val="000000"/>
                <w:spacing w:val="-39"/>
                <w:w w:val="15"/>
                <w:shd w:val="solid" w:color="000000" w:fill="000000"/>
                <w:fitText w:val="48" w:id="-961890035"/>
                <w14:textFill>
                  <w14:solidFill>
                    <w14:srgbClr w14:val="000000">
                      <w14:alpha w14:val="100000"/>
                    </w14:srgbClr>
                  </w14:solidFill>
                </w14:textFill>
              </w:rPr>
              <w:t xml:space="preserve">　</w:t>
            </w:r>
            <w:r w:rsidR="00640EC9" w:rsidRPr="00233562">
              <w:rPr>
                <w:rFonts w:ascii="Arial Narrow" w:hAnsi="Arial Narrow"/>
                <w:color w:val="000000"/>
                <w:spacing w:val="11"/>
                <w:w w:val="15"/>
                <w:sz w:val="20"/>
                <w:szCs w:val="20"/>
                <w:fitText w:val="48" w:id="-961890039"/>
                <w14:textFill>
                  <w14:solidFill>
                    <w14:srgbClr w14:val="000000">
                      <w14:alpha w14:val="100000"/>
                    </w14:srgbClr>
                  </w14:solidFill>
                </w14:textFill>
              </w:rPr>
              <w:t>|</w:t>
            </w:r>
            <w:r w:rsidR="00640EC9" w:rsidRPr="00233562">
              <w:rPr>
                <w:rFonts w:ascii="Arial Narrow" w:hAnsi="Arial Narrow" w:hint="eastAsia"/>
                <w:color w:val="000000"/>
                <w:spacing w:val="1"/>
                <w:w w:val="15"/>
                <w:sz w:val="20"/>
                <w:szCs w:val="20"/>
                <w:fitText w:val="48" w:id="-961890039"/>
                <w14:textFill>
                  <w14:solidFill>
                    <w14:srgbClr w14:val="000000">
                      <w14:alpha w14:val="100000"/>
                    </w14:srgbClr>
                  </w14:solidFill>
                </w14:textFill>
              </w:rPr>
              <w:t xml:space="preserve">　</w:t>
            </w:r>
          </w:p>
        </w:tc>
        <w:tc>
          <w:tcPr>
            <w:tcW w:w="1134" w:type="dxa"/>
            <w:tcBorders>
              <w:top w:val="nil"/>
              <w:bottom w:val="nil"/>
            </w:tcBorders>
          </w:tcPr>
          <w:p w14:paraId="37E21FDA" w14:textId="77777777" w:rsidR="00B4343B" w:rsidRPr="009941F8" w:rsidRDefault="00B4343B" w:rsidP="00FA3EC9">
            <w:pPr>
              <w:keepNext/>
              <w:jc w:val="center"/>
              <w:rPr>
                <w:rFonts w:ascii="Arial Narrow" w:eastAsia="MS Gothic" w:hAnsi="Arial Narrow" w:cs="Times New Roman"/>
                <w:bCs/>
                <w:sz w:val="20"/>
                <w:szCs w:val="20"/>
              </w:rPr>
            </w:pPr>
            <w:r w:rsidRPr="009941F8">
              <w:rPr>
                <w:rFonts w:ascii="Arial Narrow" w:hAnsi="Arial Narrow"/>
                <w:sz w:val="20"/>
                <w:szCs w:val="20"/>
              </w:rPr>
              <w:t>0.090</w:t>
            </w:r>
          </w:p>
        </w:tc>
        <w:tc>
          <w:tcPr>
            <w:tcW w:w="851" w:type="dxa"/>
            <w:tcBorders>
              <w:top w:val="nil"/>
              <w:bottom w:val="nil"/>
            </w:tcBorders>
          </w:tcPr>
          <w:p w14:paraId="78ECB825" w14:textId="2624B0B6" w:rsidR="00B4343B" w:rsidRPr="00AB3F41" w:rsidRDefault="00640EC9" w:rsidP="00FA3EC9">
            <w:pPr>
              <w:keepNext/>
              <w:jc w:val="center"/>
              <w:rPr>
                <w:rFonts w:ascii="Arial Narrow" w:eastAsia="MS Gothic" w:hAnsi="Arial Narrow" w:cs="Times New Roman"/>
                <w:bCs/>
                <w:sz w:val="20"/>
                <w:szCs w:val="20"/>
                <w:highlight w:val="lightGray"/>
              </w:rPr>
            </w:pPr>
            <w:r w:rsidRPr="00640EC9">
              <w:rPr>
                <w:rFonts w:ascii="Arial Narrow" w:hAnsi="Arial Narrow"/>
                <w:color w:val="000000"/>
                <w:spacing w:val="118"/>
                <w:sz w:val="20"/>
                <w:szCs w:val="20"/>
                <w:shd w:val="solid" w:color="000000" w:fill="000000"/>
                <w:fitText w:val="204" w:id="-961890038"/>
                <w14:textFill>
                  <w14:solidFill>
                    <w14:srgbClr w14:val="000000">
                      <w14:alpha w14:val="100000"/>
                    </w14:srgbClr>
                  </w14:solidFill>
                </w14:textFill>
              </w:rPr>
              <w:t>|</w:t>
            </w:r>
            <w:r w:rsidRPr="00640EC9">
              <w:rPr>
                <w:rFonts w:ascii="Arial Narrow" w:hAnsi="Arial Narrow"/>
                <w:color w:val="000000"/>
                <w:spacing w:val="1"/>
                <w:sz w:val="20"/>
                <w:szCs w:val="20"/>
                <w:shd w:val="solid" w:color="000000" w:fill="000000"/>
                <w:fitText w:val="204" w:id="-961890038"/>
                <w14:textFill>
                  <w14:solidFill>
                    <w14:srgbClr w14:val="000000">
                      <w14:alpha w14:val="100000"/>
                    </w14:srgbClr>
                  </w14:solidFill>
                </w14:textFill>
              </w:rPr>
              <w:t>|</w:t>
            </w:r>
            <w:r w:rsidR="0068000F" w:rsidRPr="0068000F">
              <w:rPr>
                <w:rFonts w:ascii="Arial Narrow" w:hAnsi="Arial Narrow"/>
                <w:sz w:val="20"/>
                <w:szCs w:val="20"/>
                <w:vertAlign w:val="superscript"/>
              </w:rPr>
              <w:t>3</w:t>
            </w:r>
          </w:p>
        </w:tc>
        <w:tc>
          <w:tcPr>
            <w:tcW w:w="873" w:type="dxa"/>
            <w:tcBorders>
              <w:top w:val="nil"/>
              <w:bottom w:val="nil"/>
            </w:tcBorders>
            <w:shd w:val="clear" w:color="auto" w:fill="auto"/>
          </w:tcPr>
          <w:p w14:paraId="2C616E5C" w14:textId="45B04C3A" w:rsidR="00B4343B" w:rsidRPr="00233562" w:rsidRDefault="00A91341" w:rsidP="00233562">
            <w:pPr>
              <w:pStyle w:val="TableText0"/>
              <w:jc w:val="center"/>
              <w:rPr>
                <w:bCs w:val="0"/>
              </w:rPr>
            </w:pPr>
            <w:r w:rsidRPr="00A91341">
              <w:rPr>
                <w:color w:val="000000"/>
                <w:spacing w:val="82"/>
                <w:shd w:val="solid" w:color="000000" w:fill="000000"/>
                <w:fitText w:val="168" w:id="-961890032"/>
                <w14:textFill>
                  <w14:solidFill>
                    <w14:srgbClr w14:val="000000">
                      <w14:alpha w14:val="100000"/>
                    </w14:srgbClr>
                  </w14:solidFill>
                </w14:textFill>
              </w:rPr>
              <w:t>|</w:t>
            </w:r>
            <w:r w:rsidRPr="00C40C15">
              <w:rPr>
                <w:color w:val="000000"/>
                <w:shd w:val="solid" w:color="000000" w:fill="000000"/>
                <w:fitText w:val="168" w:id="-961890032"/>
                <w14:textFill>
                  <w14:solidFill>
                    <w14:srgbClr w14:val="000000">
                      <w14:alpha w14:val="100000"/>
                    </w14:srgbClr>
                  </w14:solidFill>
                </w14:textFill>
              </w:rPr>
              <w:t>|</w:t>
            </w:r>
          </w:p>
        </w:tc>
      </w:tr>
      <w:tr w:rsidR="00AB7860" w:rsidRPr="009941F8" w14:paraId="3BF123C9" w14:textId="77777777" w:rsidTr="00B4343B">
        <w:tc>
          <w:tcPr>
            <w:tcW w:w="5098" w:type="dxa"/>
            <w:tcBorders>
              <w:top w:val="nil"/>
            </w:tcBorders>
            <w:shd w:val="clear" w:color="auto" w:fill="auto"/>
          </w:tcPr>
          <w:p w14:paraId="2E8AC00C" w14:textId="77777777" w:rsidR="00AB7860" w:rsidRPr="009941F8" w:rsidRDefault="00AB7860" w:rsidP="00FA3EC9">
            <w:pPr>
              <w:pStyle w:val="TableText0"/>
              <w:numPr>
                <w:ilvl w:val="0"/>
                <w:numId w:val="7"/>
              </w:numPr>
              <w:ind w:left="22" w:hanging="22"/>
            </w:pPr>
            <w:r w:rsidRPr="009941F8">
              <w:t>20 years</w:t>
            </w:r>
          </w:p>
          <w:p w14:paraId="1BF668D3" w14:textId="77777777" w:rsidR="00AB7860" w:rsidRPr="009941F8" w:rsidRDefault="00AB7860" w:rsidP="00FA3EC9">
            <w:pPr>
              <w:pStyle w:val="TableText0"/>
              <w:numPr>
                <w:ilvl w:val="0"/>
                <w:numId w:val="7"/>
              </w:numPr>
              <w:ind w:left="22" w:hanging="22"/>
            </w:pPr>
            <w:r w:rsidRPr="009941F8">
              <w:t>30 years</w:t>
            </w:r>
          </w:p>
        </w:tc>
        <w:tc>
          <w:tcPr>
            <w:tcW w:w="1134" w:type="dxa"/>
            <w:tcBorders>
              <w:top w:val="nil"/>
            </w:tcBorders>
            <w:shd w:val="clear" w:color="auto" w:fill="auto"/>
          </w:tcPr>
          <w:p w14:paraId="652060B0" w14:textId="47C7D4DC" w:rsidR="00357D22" w:rsidRPr="00357D22" w:rsidRDefault="00640EC9" w:rsidP="00FA3EC9">
            <w:pPr>
              <w:pStyle w:val="TableText0"/>
              <w:jc w:val="center"/>
            </w:pPr>
            <w:r w:rsidRPr="00640EC9">
              <w:rPr>
                <w:rFonts w:hint="eastAsia"/>
                <w:color w:val="000000"/>
                <w:w w:val="15"/>
                <w:shd w:val="solid" w:color="000000" w:fill="000000"/>
                <w:fitText w:val="48" w:id="-961890036"/>
                <w14:textFill>
                  <w14:solidFill>
                    <w14:srgbClr w14:val="000000">
                      <w14:alpha w14:val="100000"/>
                    </w14:srgbClr>
                  </w14:solidFill>
                </w14:textFill>
              </w:rPr>
              <w:t xml:space="preserve">　</w:t>
            </w:r>
            <w:r w:rsidRPr="00640EC9">
              <w:rPr>
                <w:color w:val="000000"/>
                <w:w w:val="15"/>
                <w:shd w:val="solid" w:color="000000" w:fill="000000"/>
                <w:fitText w:val="48" w:id="-961890036"/>
                <w14:textFill>
                  <w14:solidFill>
                    <w14:srgbClr w14:val="000000">
                      <w14:alpha w14:val="100000"/>
                    </w14:srgbClr>
                  </w14:solidFill>
                </w14:textFill>
              </w:rPr>
              <w:t>|</w:t>
            </w:r>
            <w:r w:rsidRPr="00640EC9">
              <w:rPr>
                <w:rFonts w:hint="eastAsia"/>
                <w:color w:val="000000"/>
                <w:spacing w:val="-17"/>
                <w:w w:val="15"/>
                <w:shd w:val="solid" w:color="000000" w:fill="000000"/>
                <w:fitText w:val="48" w:id="-961890036"/>
                <w14:textFill>
                  <w14:solidFill>
                    <w14:srgbClr w14:val="000000">
                      <w14:alpha w14:val="100000"/>
                    </w14:srgbClr>
                  </w14:solidFill>
                </w14:textFill>
              </w:rPr>
              <w:t xml:space="preserve">　</w:t>
            </w:r>
          </w:p>
          <w:p w14:paraId="754D09B1" w14:textId="34C5C045" w:rsidR="00AB7860" w:rsidRPr="00AB3F41" w:rsidRDefault="00640EC9" w:rsidP="00FA3EC9">
            <w:pPr>
              <w:pStyle w:val="TableText0"/>
              <w:jc w:val="center"/>
              <w:rPr>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A91341">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tcBorders>
            <w:shd w:val="clear" w:color="auto" w:fill="auto"/>
          </w:tcPr>
          <w:p w14:paraId="032B2C19" w14:textId="77777777" w:rsidR="00AB7860" w:rsidRPr="009941F8" w:rsidRDefault="00AB7860" w:rsidP="00FA3EC9">
            <w:pPr>
              <w:pStyle w:val="TableText0"/>
              <w:jc w:val="center"/>
            </w:pPr>
            <w:r w:rsidRPr="009941F8">
              <w:t>0.116</w:t>
            </w:r>
          </w:p>
          <w:p w14:paraId="2A477860" w14:textId="77777777" w:rsidR="00AB7860" w:rsidRPr="009941F8" w:rsidRDefault="00AB7860" w:rsidP="00FA3EC9">
            <w:pPr>
              <w:pStyle w:val="TableText0"/>
              <w:jc w:val="center"/>
            </w:pPr>
            <w:r w:rsidRPr="009941F8">
              <w:t>0.126</w:t>
            </w:r>
          </w:p>
        </w:tc>
        <w:tc>
          <w:tcPr>
            <w:tcW w:w="851" w:type="dxa"/>
            <w:tcBorders>
              <w:top w:val="nil"/>
            </w:tcBorders>
            <w:shd w:val="clear" w:color="auto" w:fill="auto"/>
          </w:tcPr>
          <w:p w14:paraId="3B143778" w14:textId="10696D94" w:rsidR="00357D22" w:rsidRPr="00357D22" w:rsidRDefault="00640EC9" w:rsidP="00FA3EC9">
            <w:pPr>
              <w:pStyle w:val="TableText0"/>
              <w:jc w:val="center"/>
            </w:pPr>
            <w:r w:rsidRPr="00640EC9">
              <w:rPr>
                <w:color w:val="000000"/>
                <w:spacing w:val="118"/>
                <w:shd w:val="solid" w:color="000000" w:fill="000000"/>
                <w:fitText w:val="204" w:id="-961890034"/>
                <w14:textFill>
                  <w14:solidFill>
                    <w14:srgbClr w14:val="000000">
                      <w14:alpha w14:val="100000"/>
                    </w14:srgbClr>
                  </w14:solidFill>
                </w14:textFill>
              </w:rPr>
              <w:t>|</w:t>
            </w:r>
            <w:r w:rsidRPr="00640EC9">
              <w:rPr>
                <w:color w:val="000000"/>
                <w:spacing w:val="1"/>
                <w:shd w:val="solid" w:color="000000" w:fill="000000"/>
                <w:fitText w:val="204" w:id="-961890034"/>
                <w14:textFill>
                  <w14:solidFill>
                    <w14:srgbClr w14:val="000000">
                      <w14:alpha w14:val="100000"/>
                    </w14:srgbClr>
                  </w14:solidFill>
                </w14:textFill>
              </w:rPr>
              <w:t>|</w:t>
            </w:r>
            <w:r w:rsidR="0068000F" w:rsidRPr="0068000F">
              <w:rPr>
                <w:vertAlign w:val="superscript"/>
              </w:rPr>
              <w:t>1</w:t>
            </w:r>
          </w:p>
          <w:p w14:paraId="7F4E9F40" w14:textId="5A73D6E8" w:rsidR="00AB7860" w:rsidRPr="00AB3F41" w:rsidRDefault="00640EC9" w:rsidP="00FA3EC9">
            <w:pPr>
              <w:pStyle w:val="TableText0"/>
              <w:jc w:val="center"/>
              <w:rPr>
                <w:highlight w:val="lightGray"/>
              </w:rPr>
            </w:pPr>
            <w:r w:rsidRPr="00640EC9">
              <w:rPr>
                <w:color w:val="000000"/>
                <w:spacing w:val="118"/>
                <w:shd w:val="solid" w:color="000000" w:fill="000000"/>
                <w:fitText w:val="204" w:id="-961890033"/>
                <w14:textFill>
                  <w14:solidFill>
                    <w14:srgbClr w14:val="000000">
                      <w14:alpha w14:val="100000"/>
                    </w14:srgbClr>
                  </w14:solidFill>
                </w14:textFill>
              </w:rPr>
              <w:t>|</w:t>
            </w:r>
            <w:r w:rsidRPr="00640EC9">
              <w:rPr>
                <w:color w:val="000000"/>
                <w:spacing w:val="1"/>
                <w:shd w:val="solid" w:color="000000" w:fill="000000"/>
                <w:fitText w:val="204" w:id="-961890033"/>
                <w14:textFill>
                  <w14:solidFill>
                    <w14:srgbClr w14:val="000000">
                      <w14:alpha w14:val="100000"/>
                    </w14:srgbClr>
                  </w14:solidFill>
                </w14:textFill>
              </w:rPr>
              <w:t>|</w:t>
            </w:r>
            <w:r w:rsidR="0068000F" w:rsidRPr="0068000F">
              <w:rPr>
                <w:vertAlign w:val="superscript"/>
              </w:rPr>
              <w:t>1</w:t>
            </w:r>
          </w:p>
        </w:tc>
        <w:tc>
          <w:tcPr>
            <w:tcW w:w="873" w:type="dxa"/>
            <w:tcBorders>
              <w:top w:val="nil"/>
            </w:tcBorders>
            <w:shd w:val="clear" w:color="auto" w:fill="auto"/>
          </w:tcPr>
          <w:p w14:paraId="625D5900" w14:textId="62A14D63" w:rsidR="00357D22" w:rsidRPr="00357D22" w:rsidRDefault="00640EC9" w:rsidP="00FA3EC9">
            <w:pPr>
              <w:pStyle w:val="TableText0"/>
              <w:jc w:val="center"/>
            </w:pPr>
            <w:r w:rsidRPr="00A91341">
              <w:rPr>
                <w:color w:val="000000"/>
                <w:spacing w:val="82"/>
                <w:shd w:val="solid" w:color="000000" w:fill="000000"/>
                <w:fitText w:val="168" w:id="-961890032"/>
                <w14:textFill>
                  <w14:solidFill>
                    <w14:srgbClr w14:val="000000">
                      <w14:alpha w14:val="100000"/>
                    </w14:srgbClr>
                  </w14:solidFill>
                </w14:textFill>
              </w:rPr>
              <w:t>|</w:t>
            </w:r>
            <w:r w:rsidRPr="00233562">
              <w:rPr>
                <w:color w:val="000000"/>
                <w:shd w:val="solid" w:color="000000" w:fill="000000"/>
                <w:fitText w:val="168" w:id="-961890032"/>
                <w14:textFill>
                  <w14:solidFill>
                    <w14:srgbClr w14:val="000000">
                      <w14:alpha w14:val="100000"/>
                    </w14:srgbClr>
                  </w14:solidFill>
                </w14:textFill>
              </w:rPr>
              <w:t>|</w:t>
            </w:r>
          </w:p>
          <w:p w14:paraId="05FC5262" w14:textId="5CDF0093" w:rsidR="00AB7860" w:rsidRPr="0068000F" w:rsidRDefault="00640EC9" w:rsidP="00FA3EC9">
            <w:pPr>
              <w:pStyle w:val="TableText0"/>
              <w:jc w:val="center"/>
            </w:pPr>
            <w:r w:rsidRPr="002C1990">
              <w:rPr>
                <w:color w:val="000000"/>
                <w:spacing w:val="82"/>
                <w:shd w:val="solid" w:color="000000" w:fill="000000"/>
                <w:fitText w:val="168" w:id="-961890048"/>
                <w14:textFill>
                  <w14:solidFill>
                    <w14:srgbClr w14:val="000000">
                      <w14:alpha w14:val="100000"/>
                    </w14:srgbClr>
                  </w14:solidFill>
                </w14:textFill>
              </w:rPr>
              <w:t>|</w:t>
            </w:r>
            <w:r w:rsidRPr="00233562">
              <w:rPr>
                <w:color w:val="000000"/>
                <w:shd w:val="solid" w:color="000000" w:fill="000000"/>
                <w:fitText w:val="168" w:id="-961890048"/>
                <w14:textFill>
                  <w14:solidFill>
                    <w14:srgbClr w14:val="000000">
                      <w14:alpha w14:val="100000"/>
                    </w14:srgbClr>
                  </w14:solidFill>
                </w14:textFill>
              </w:rPr>
              <w:t>|</w:t>
            </w:r>
          </w:p>
        </w:tc>
      </w:tr>
      <w:tr w:rsidR="00AB7860" w:rsidRPr="009941F8" w14:paraId="61FC5746" w14:textId="77777777" w:rsidTr="00CC67E7">
        <w:tc>
          <w:tcPr>
            <w:tcW w:w="9090" w:type="dxa"/>
            <w:gridSpan w:val="5"/>
            <w:tcBorders>
              <w:bottom w:val="nil"/>
            </w:tcBorders>
          </w:tcPr>
          <w:p w14:paraId="3A9ADC25" w14:textId="77777777" w:rsidR="00AB7860" w:rsidRPr="009941F8" w:rsidRDefault="00AB7860" w:rsidP="00FA3EC9">
            <w:pPr>
              <w:pStyle w:val="TableText0"/>
            </w:pPr>
            <w:bookmarkStart w:id="82" w:name="_Hlk153883722"/>
            <w:r w:rsidRPr="009941F8">
              <w:t>LLDAS risk difference anifrolumab vs SOC in Year 1 (base 26 weeks 20.9%, 52 weeks 26.4%)</w:t>
            </w:r>
          </w:p>
        </w:tc>
      </w:tr>
      <w:tr w:rsidR="00AB7860" w:rsidRPr="009941F8" w14:paraId="506584A2" w14:textId="77777777" w:rsidTr="00233562">
        <w:tc>
          <w:tcPr>
            <w:tcW w:w="5098" w:type="dxa"/>
            <w:tcBorders>
              <w:top w:val="nil"/>
              <w:bottom w:val="nil"/>
            </w:tcBorders>
          </w:tcPr>
          <w:p w14:paraId="28ACFE7C" w14:textId="77777777" w:rsidR="00AB7860" w:rsidRPr="009941F8" w:rsidRDefault="00AB7860" w:rsidP="00FA3EC9">
            <w:pPr>
              <w:pStyle w:val="TableText0"/>
            </w:pPr>
            <w:r w:rsidRPr="009941F8">
              <w:t>Lower 95%CI (26 weeks 14.9%, 52 weeks 19.4%)</w:t>
            </w:r>
          </w:p>
        </w:tc>
        <w:tc>
          <w:tcPr>
            <w:tcW w:w="1134" w:type="dxa"/>
            <w:tcBorders>
              <w:top w:val="nil"/>
              <w:bottom w:val="nil"/>
            </w:tcBorders>
            <w:shd w:val="clear" w:color="auto" w:fill="auto"/>
          </w:tcPr>
          <w:p w14:paraId="0FAB9DA9" w14:textId="757191F6" w:rsidR="00AB7860" w:rsidRPr="00AB3F41" w:rsidRDefault="00A91341" w:rsidP="00FA3EC9">
            <w:pPr>
              <w:pStyle w:val="TableText0"/>
              <w:jc w:val="center"/>
              <w:rPr>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A91341">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bottom w:val="nil"/>
            </w:tcBorders>
          </w:tcPr>
          <w:p w14:paraId="45CC223A" w14:textId="77777777" w:rsidR="00AB7860" w:rsidRPr="009941F8" w:rsidRDefault="00AB7860" w:rsidP="00FA3EC9">
            <w:pPr>
              <w:pStyle w:val="TableText0"/>
              <w:jc w:val="center"/>
            </w:pPr>
            <w:r w:rsidRPr="009941F8">
              <w:t>0.093</w:t>
            </w:r>
          </w:p>
        </w:tc>
        <w:tc>
          <w:tcPr>
            <w:tcW w:w="851" w:type="dxa"/>
            <w:tcBorders>
              <w:top w:val="nil"/>
              <w:bottom w:val="nil"/>
            </w:tcBorders>
          </w:tcPr>
          <w:p w14:paraId="4349F000" w14:textId="660D87D0" w:rsidR="00AB7860" w:rsidRPr="00AB3F41" w:rsidRDefault="00640EC9" w:rsidP="00FA3EC9">
            <w:pPr>
              <w:pStyle w:val="TableText0"/>
              <w:jc w:val="center"/>
              <w:rPr>
                <w:highlight w:val="lightGray"/>
              </w:rPr>
            </w:pPr>
            <w:r w:rsidRPr="00640EC9">
              <w:rPr>
                <w:color w:val="000000"/>
                <w:spacing w:val="118"/>
                <w:shd w:val="solid" w:color="000000" w:fill="000000"/>
                <w:fitText w:val="204" w:id="-961890046"/>
                <w14:textFill>
                  <w14:solidFill>
                    <w14:srgbClr w14:val="000000">
                      <w14:alpha w14:val="100000"/>
                    </w14:srgbClr>
                  </w14:solidFill>
                </w14:textFill>
              </w:rPr>
              <w:t>|</w:t>
            </w:r>
            <w:r w:rsidRPr="00640EC9">
              <w:rPr>
                <w:color w:val="000000"/>
                <w:spacing w:val="1"/>
                <w:shd w:val="solid" w:color="000000" w:fill="000000"/>
                <w:fitText w:val="204" w:id="-961890046"/>
                <w14:textFill>
                  <w14:solidFill>
                    <w14:srgbClr w14:val="000000">
                      <w14:alpha w14:val="100000"/>
                    </w14:srgbClr>
                  </w14:solidFill>
                </w14:textFill>
              </w:rPr>
              <w:t>|</w:t>
            </w:r>
            <w:r w:rsidR="0068000F" w:rsidRPr="0068000F">
              <w:rPr>
                <w:szCs w:val="20"/>
                <w:vertAlign w:val="superscript"/>
              </w:rPr>
              <w:t>3</w:t>
            </w:r>
          </w:p>
        </w:tc>
        <w:tc>
          <w:tcPr>
            <w:tcW w:w="873" w:type="dxa"/>
            <w:tcBorders>
              <w:top w:val="nil"/>
              <w:bottom w:val="nil"/>
            </w:tcBorders>
            <w:shd w:val="clear" w:color="auto" w:fill="auto"/>
          </w:tcPr>
          <w:p w14:paraId="0688FD2E" w14:textId="1EC4A61E" w:rsidR="00AB7860" w:rsidRPr="0068000F" w:rsidRDefault="002C1990" w:rsidP="00FA3EC9">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AB7860" w:rsidRPr="009941F8" w14:paraId="7A5E2D09" w14:textId="77777777" w:rsidTr="00233562">
        <w:tc>
          <w:tcPr>
            <w:tcW w:w="5098" w:type="dxa"/>
            <w:tcBorders>
              <w:top w:val="nil"/>
              <w:bottom w:val="single" w:sz="4" w:space="0" w:color="auto"/>
            </w:tcBorders>
          </w:tcPr>
          <w:p w14:paraId="619E1A29" w14:textId="77777777" w:rsidR="00AB7860" w:rsidRPr="009941F8" w:rsidRDefault="00AB7860" w:rsidP="00FA3EC9">
            <w:pPr>
              <w:pStyle w:val="TableText0"/>
            </w:pPr>
            <w:r w:rsidRPr="009941F8">
              <w:t>Upper 95%CI (26 weeks 27.0%, 52 weeks 33.3%)</w:t>
            </w:r>
          </w:p>
        </w:tc>
        <w:tc>
          <w:tcPr>
            <w:tcW w:w="1134" w:type="dxa"/>
            <w:tcBorders>
              <w:top w:val="nil"/>
              <w:bottom w:val="single" w:sz="4" w:space="0" w:color="auto"/>
            </w:tcBorders>
            <w:shd w:val="clear" w:color="auto" w:fill="auto"/>
          </w:tcPr>
          <w:p w14:paraId="095E7289" w14:textId="1B3E421E" w:rsidR="00AB7860" w:rsidRPr="00AB3F41" w:rsidRDefault="00640EC9" w:rsidP="00FA3EC9">
            <w:pPr>
              <w:pStyle w:val="TableText0"/>
              <w:jc w:val="center"/>
              <w:rPr>
                <w:highlight w:val="lightGray"/>
              </w:rPr>
            </w:pPr>
            <w:r w:rsidRPr="00A91341">
              <w:rPr>
                <w:rFonts w:hint="eastAsia"/>
                <w:color w:val="000000"/>
                <w:w w:val="15"/>
                <w:fitText w:val="48" w:id="-961890044"/>
                <w14:textFill>
                  <w14:solidFill>
                    <w14:srgbClr w14:val="000000">
                      <w14:alpha w14:val="100000"/>
                    </w14:srgbClr>
                  </w14:solidFill>
                </w14:textFill>
              </w:rPr>
              <w:t xml:space="preserve">　</w:t>
            </w:r>
            <w:r w:rsidRPr="00A91341">
              <w:rPr>
                <w:color w:val="000000"/>
                <w:w w:val="15"/>
                <w:fitText w:val="48" w:id="-961890044"/>
                <w14:textFill>
                  <w14:solidFill>
                    <w14:srgbClr w14:val="000000">
                      <w14:alpha w14:val="100000"/>
                    </w14:srgbClr>
                  </w14:solidFill>
                </w14:textFill>
              </w:rPr>
              <w:t>|</w:t>
            </w:r>
            <w:r w:rsidRPr="00A91341">
              <w:rPr>
                <w:rFonts w:hint="eastAsia"/>
                <w:color w:val="000000"/>
                <w:spacing w:val="-17"/>
                <w:w w:val="15"/>
                <w:fitText w:val="48" w:id="-961890044"/>
                <w14:textFill>
                  <w14:solidFill>
                    <w14:srgbClr w14:val="000000">
                      <w14:alpha w14:val="100000"/>
                    </w14:srgbClr>
                  </w14:solidFill>
                </w14:textFill>
              </w:rPr>
              <w:t xml:space="preserve">　</w:t>
            </w:r>
            <w:r w:rsidR="00A91341"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00A91341" w:rsidRPr="00A91341">
              <w:rPr>
                <w:color w:val="000000"/>
                <w:w w:val="15"/>
                <w:shd w:val="solid" w:color="000000" w:fill="000000"/>
                <w:fitText w:val="48" w:id="-961890035"/>
                <w14:textFill>
                  <w14:solidFill>
                    <w14:srgbClr w14:val="000000">
                      <w14:alpha w14:val="100000"/>
                    </w14:srgbClr>
                  </w14:solidFill>
                </w14:textFill>
              </w:rPr>
              <w:t>|</w:t>
            </w:r>
            <w:r w:rsidR="00A91341" w:rsidRPr="00233562">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bottom w:val="single" w:sz="4" w:space="0" w:color="auto"/>
            </w:tcBorders>
          </w:tcPr>
          <w:p w14:paraId="075CAADE" w14:textId="77777777" w:rsidR="00AB7860" w:rsidRPr="009941F8" w:rsidRDefault="00AB7860" w:rsidP="00FA3EC9">
            <w:pPr>
              <w:pStyle w:val="TableText0"/>
              <w:jc w:val="center"/>
            </w:pPr>
            <w:r w:rsidRPr="009941F8">
              <w:t>0.165</w:t>
            </w:r>
          </w:p>
        </w:tc>
        <w:tc>
          <w:tcPr>
            <w:tcW w:w="851" w:type="dxa"/>
            <w:tcBorders>
              <w:top w:val="nil"/>
              <w:bottom w:val="single" w:sz="4" w:space="0" w:color="auto"/>
            </w:tcBorders>
          </w:tcPr>
          <w:p w14:paraId="0913C9DD" w14:textId="5FA809B8" w:rsidR="00AB7860" w:rsidRPr="00AB3F41" w:rsidRDefault="00640EC9" w:rsidP="00FA3EC9">
            <w:pPr>
              <w:pStyle w:val="TableText0"/>
              <w:jc w:val="center"/>
              <w:rPr>
                <w:highlight w:val="lightGray"/>
              </w:rPr>
            </w:pPr>
            <w:r w:rsidRPr="00640EC9">
              <w:rPr>
                <w:color w:val="000000"/>
                <w:spacing w:val="118"/>
                <w:shd w:val="solid" w:color="000000" w:fill="000000"/>
                <w:fitText w:val="204" w:id="-961890043"/>
                <w14:textFill>
                  <w14:solidFill>
                    <w14:srgbClr w14:val="000000">
                      <w14:alpha w14:val="100000"/>
                    </w14:srgbClr>
                  </w14:solidFill>
                </w14:textFill>
              </w:rPr>
              <w:t>|</w:t>
            </w:r>
            <w:r w:rsidRPr="00640EC9">
              <w:rPr>
                <w:color w:val="000000"/>
                <w:spacing w:val="1"/>
                <w:shd w:val="solid" w:color="000000" w:fill="000000"/>
                <w:fitText w:val="204" w:id="-961890043"/>
                <w14:textFill>
                  <w14:solidFill>
                    <w14:srgbClr w14:val="000000">
                      <w14:alpha w14:val="100000"/>
                    </w14:srgbClr>
                  </w14:solidFill>
                </w14:textFill>
              </w:rPr>
              <w:t>|</w:t>
            </w:r>
            <w:r w:rsidR="0068000F" w:rsidRPr="0068000F">
              <w:rPr>
                <w:vertAlign w:val="superscript"/>
              </w:rPr>
              <w:t>1</w:t>
            </w:r>
          </w:p>
        </w:tc>
        <w:tc>
          <w:tcPr>
            <w:tcW w:w="873" w:type="dxa"/>
            <w:tcBorders>
              <w:top w:val="nil"/>
              <w:bottom w:val="single" w:sz="4" w:space="0" w:color="auto"/>
            </w:tcBorders>
          </w:tcPr>
          <w:p w14:paraId="5733D423" w14:textId="33FD14BB" w:rsidR="00AB7860" w:rsidRPr="0068000F" w:rsidRDefault="00AB7860" w:rsidP="00FA3EC9">
            <w:pPr>
              <w:pStyle w:val="TableText0"/>
              <w:jc w:val="center"/>
            </w:pPr>
            <w:r w:rsidRPr="0068000F">
              <w:t>-</w:t>
            </w:r>
            <w:r w:rsidR="00640EC9" w:rsidRPr="00640EC9">
              <w:rPr>
                <w:color w:val="000000"/>
                <w:spacing w:val="106"/>
                <w:shd w:val="solid" w:color="000000" w:fill="000000"/>
                <w:fitText w:val="192" w:id="-961890042"/>
                <w14:textFill>
                  <w14:solidFill>
                    <w14:srgbClr w14:val="000000">
                      <w14:alpha w14:val="100000"/>
                    </w14:srgbClr>
                  </w14:solidFill>
                </w14:textFill>
              </w:rPr>
              <w:t>|</w:t>
            </w:r>
            <w:r w:rsidR="00640EC9" w:rsidRPr="00640EC9">
              <w:rPr>
                <w:color w:val="000000"/>
                <w:spacing w:val="1"/>
                <w:shd w:val="solid" w:color="000000" w:fill="000000"/>
                <w:fitText w:val="192" w:id="-961890042"/>
                <w14:textFill>
                  <w14:solidFill>
                    <w14:srgbClr w14:val="000000">
                      <w14:alpha w14:val="100000"/>
                    </w14:srgbClr>
                  </w14:solidFill>
                </w14:textFill>
              </w:rPr>
              <w:t>|</w:t>
            </w:r>
          </w:p>
        </w:tc>
      </w:tr>
      <w:bookmarkEnd w:id="82"/>
      <w:tr w:rsidR="00AB7860" w:rsidRPr="009941F8" w14:paraId="671402D4" w14:textId="77777777" w:rsidTr="00640EC9">
        <w:tc>
          <w:tcPr>
            <w:tcW w:w="5098" w:type="dxa"/>
            <w:tcBorders>
              <w:top w:val="single" w:sz="4" w:space="0" w:color="auto"/>
              <w:bottom w:val="nil"/>
            </w:tcBorders>
          </w:tcPr>
          <w:p w14:paraId="09F2A8CF" w14:textId="77777777" w:rsidR="00AB7860" w:rsidRPr="009941F8" w:rsidRDefault="00AB7860" w:rsidP="00FA3EC9">
            <w:pPr>
              <w:pStyle w:val="TableText0"/>
              <w:keepLines/>
            </w:pPr>
            <w:r w:rsidRPr="009941F8">
              <w:t>LLDAS extrapolation (base case constant probabilities from Cycle 9)</w:t>
            </w:r>
          </w:p>
        </w:tc>
        <w:tc>
          <w:tcPr>
            <w:tcW w:w="1134" w:type="dxa"/>
            <w:tcBorders>
              <w:top w:val="single" w:sz="4" w:space="0" w:color="auto"/>
              <w:bottom w:val="nil"/>
            </w:tcBorders>
          </w:tcPr>
          <w:p w14:paraId="3D42CE76" w14:textId="77777777" w:rsidR="00AB7860" w:rsidRPr="009941F8" w:rsidRDefault="00AB7860" w:rsidP="00FA3EC9">
            <w:pPr>
              <w:pStyle w:val="TableText0"/>
              <w:keepLines/>
              <w:jc w:val="center"/>
            </w:pPr>
          </w:p>
        </w:tc>
        <w:tc>
          <w:tcPr>
            <w:tcW w:w="1134" w:type="dxa"/>
            <w:tcBorders>
              <w:top w:val="single" w:sz="4" w:space="0" w:color="auto"/>
              <w:bottom w:val="nil"/>
            </w:tcBorders>
          </w:tcPr>
          <w:p w14:paraId="46F766B9" w14:textId="77777777" w:rsidR="00AB7860" w:rsidRPr="009941F8" w:rsidRDefault="00AB7860" w:rsidP="00FA3EC9">
            <w:pPr>
              <w:pStyle w:val="TableText0"/>
              <w:keepLines/>
              <w:jc w:val="center"/>
            </w:pPr>
          </w:p>
        </w:tc>
        <w:tc>
          <w:tcPr>
            <w:tcW w:w="851" w:type="dxa"/>
            <w:tcBorders>
              <w:top w:val="single" w:sz="4" w:space="0" w:color="auto"/>
              <w:bottom w:val="nil"/>
            </w:tcBorders>
          </w:tcPr>
          <w:p w14:paraId="1C2CA997" w14:textId="77777777" w:rsidR="00AB7860" w:rsidRPr="00AB3F41" w:rsidRDefault="00AB7860" w:rsidP="00FA3EC9">
            <w:pPr>
              <w:pStyle w:val="TableText0"/>
              <w:keepLines/>
              <w:jc w:val="center"/>
              <w:rPr>
                <w:highlight w:val="lightGray"/>
              </w:rPr>
            </w:pPr>
          </w:p>
        </w:tc>
        <w:tc>
          <w:tcPr>
            <w:tcW w:w="873" w:type="dxa"/>
            <w:tcBorders>
              <w:top w:val="single" w:sz="4" w:space="0" w:color="auto"/>
              <w:bottom w:val="nil"/>
            </w:tcBorders>
          </w:tcPr>
          <w:p w14:paraId="7872CC49" w14:textId="77777777" w:rsidR="00AB7860" w:rsidRPr="0068000F" w:rsidRDefault="00AB7860" w:rsidP="00FA3EC9">
            <w:pPr>
              <w:pStyle w:val="TableText0"/>
              <w:keepLines/>
              <w:jc w:val="center"/>
            </w:pPr>
          </w:p>
        </w:tc>
      </w:tr>
      <w:tr w:rsidR="00AB7860" w:rsidRPr="009941F8" w14:paraId="7E355FFC" w14:textId="77777777" w:rsidTr="00233562">
        <w:tc>
          <w:tcPr>
            <w:tcW w:w="5098" w:type="dxa"/>
            <w:tcBorders>
              <w:top w:val="nil"/>
            </w:tcBorders>
          </w:tcPr>
          <w:p w14:paraId="4301E5E3" w14:textId="77777777" w:rsidR="00AB7860" w:rsidRPr="009941F8" w:rsidRDefault="00AB7860" w:rsidP="00FA3EC9">
            <w:pPr>
              <w:pStyle w:val="TableText0"/>
              <w:keepLines/>
              <w:numPr>
                <w:ilvl w:val="0"/>
                <w:numId w:val="7"/>
              </w:numPr>
              <w:ind w:left="22" w:hanging="22"/>
            </w:pPr>
            <w:r w:rsidRPr="009941F8">
              <w:t>No extrapolation</w:t>
            </w:r>
          </w:p>
        </w:tc>
        <w:tc>
          <w:tcPr>
            <w:tcW w:w="1134" w:type="dxa"/>
            <w:tcBorders>
              <w:top w:val="nil"/>
            </w:tcBorders>
            <w:shd w:val="clear" w:color="auto" w:fill="auto"/>
          </w:tcPr>
          <w:p w14:paraId="3ADD0C62" w14:textId="7D812B49" w:rsidR="00AB7860" w:rsidRPr="00AB3F41" w:rsidRDefault="00A91341" w:rsidP="00FA3EC9">
            <w:pPr>
              <w:pStyle w:val="TableText0"/>
              <w:keepLines/>
              <w:jc w:val="center"/>
              <w:rPr>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A91341">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tcBorders>
          </w:tcPr>
          <w:p w14:paraId="4D30DA0D" w14:textId="77777777" w:rsidR="00AB7860" w:rsidRPr="009941F8" w:rsidRDefault="00AB7860" w:rsidP="00FA3EC9">
            <w:pPr>
              <w:pStyle w:val="TableText0"/>
              <w:keepLines/>
              <w:jc w:val="center"/>
            </w:pPr>
            <w:r w:rsidRPr="009941F8">
              <w:t>0.082</w:t>
            </w:r>
          </w:p>
        </w:tc>
        <w:tc>
          <w:tcPr>
            <w:tcW w:w="851" w:type="dxa"/>
            <w:tcBorders>
              <w:top w:val="nil"/>
            </w:tcBorders>
            <w:shd w:val="clear" w:color="auto" w:fill="auto"/>
          </w:tcPr>
          <w:p w14:paraId="662A0561" w14:textId="79D309E0" w:rsidR="00AB7860" w:rsidRPr="00AB3F41" w:rsidRDefault="00A91341" w:rsidP="00FA3EC9">
            <w:pPr>
              <w:pStyle w:val="TableText0"/>
              <w:keepLines/>
              <w:jc w:val="center"/>
              <w:rPr>
                <w:highlight w:val="lightGray"/>
              </w:rPr>
            </w:pPr>
            <w:r w:rsidRPr="00640EC9">
              <w:rPr>
                <w:color w:val="000000"/>
                <w:spacing w:val="118"/>
                <w:shd w:val="solid" w:color="000000" w:fill="000000"/>
                <w:fitText w:val="204" w:id="-961889787"/>
                <w14:textFill>
                  <w14:solidFill>
                    <w14:srgbClr w14:val="000000">
                      <w14:alpha w14:val="100000"/>
                    </w14:srgbClr>
                  </w14:solidFill>
                </w14:textFill>
              </w:rPr>
              <w:t>|</w:t>
            </w:r>
            <w:r w:rsidRPr="00640EC9">
              <w:rPr>
                <w:color w:val="000000"/>
                <w:spacing w:val="1"/>
                <w:shd w:val="solid" w:color="000000" w:fill="000000"/>
                <w:fitText w:val="204" w:id="-961889787"/>
                <w14:textFill>
                  <w14:solidFill>
                    <w14:srgbClr w14:val="000000">
                      <w14:alpha w14:val="100000"/>
                    </w14:srgbClr>
                  </w14:solidFill>
                </w14:textFill>
              </w:rPr>
              <w:t>|</w:t>
            </w:r>
            <w:r w:rsidRPr="0029498D">
              <w:rPr>
                <w:vertAlign w:val="superscript"/>
              </w:rPr>
              <w:t>4</w:t>
            </w:r>
          </w:p>
        </w:tc>
        <w:tc>
          <w:tcPr>
            <w:tcW w:w="873" w:type="dxa"/>
            <w:tcBorders>
              <w:top w:val="nil"/>
            </w:tcBorders>
            <w:shd w:val="clear" w:color="auto" w:fill="auto"/>
          </w:tcPr>
          <w:p w14:paraId="751D4036" w14:textId="0F7AA27C" w:rsidR="00AB7860" w:rsidRPr="00AB3F41" w:rsidRDefault="002C1990" w:rsidP="00FA3EC9">
            <w:pPr>
              <w:pStyle w:val="TableText0"/>
              <w:keepLines/>
              <w:jc w:val="center"/>
              <w:rPr>
                <w:highlight w:val="lightGray"/>
              </w:rP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AB7860" w:rsidRPr="009941F8" w14:paraId="4986C3FD" w14:textId="77777777" w:rsidTr="00233562">
        <w:tc>
          <w:tcPr>
            <w:tcW w:w="5098" w:type="dxa"/>
            <w:tcBorders>
              <w:bottom w:val="nil"/>
            </w:tcBorders>
          </w:tcPr>
          <w:p w14:paraId="327815A9" w14:textId="77777777" w:rsidR="00AB7860" w:rsidRPr="009941F8" w:rsidRDefault="00AB7860" w:rsidP="00FA3EC9">
            <w:pPr>
              <w:pStyle w:val="TableText0"/>
            </w:pPr>
            <w:r w:rsidRPr="009941F8">
              <w:t>Flare HR, LLDAS vs not LLDAS (base HR=0.45)</w:t>
            </w:r>
          </w:p>
        </w:tc>
        <w:tc>
          <w:tcPr>
            <w:tcW w:w="1134" w:type="dxa"/>
            <w:tcBorders>
              <w:bottom w:val="nil"/>
            </w:tcBorders>
            <w:shd w:val="clear" w:color="auto" w:fill="auto"/>
          </w:tcPr>
          <w:p w14:paraId="43E3B176" w14:textId="77777777" w:rsidR="00AB7860" w:rsidRPr="00AB3F41" w:rsidRDefault="00AB7860" w:rsidP="00FA3EC9">
            <w:pPr>
              <w:pStyle w:val="TableText0"/>
              <w:jc w:val="center"/>
              <w:rPr>
                <w:highlight w:val="lightGray"/>
              </w:rPr>
            </w:pPr>
          </w:p>
        </w:tc>
        <w:tc>
          <w:tcPr>
            <w:tcW w:w="1134" w:type="dxa"/>
            <w:tcBorders>
              <w:bottom w:val="nil"/>
            </w:tcBorders>
          </w:tcPr>
          <w:p w14:paraId="111BD722" w14:textId="77777777" w:rsidR="00AB7860" w:rsidRPr="009941F8" w:rsidRDefault="00AB7860" w:rsidP="00FA3EC9">
            <w:pPr>
              <w:pStyle w:val="TableText0"/>
              <w:jc w:val="center"/>
            </w:pPr>
          </w:p>
        </w:tc>
        <w:tc>
          <w:tcPr>
            <w:tcW w:w="851" w:type="dxa"/>
            <w:tcBorders>
              <w:bottom w:val="nil"/>
            </w:tcBorders>
          </w:tcPr>
          <w:p w14:paraId="7418EFF7" w14:textId="77777777" w:rsidR="00AB7860" w:rsidRPr="00AB3F41" w:rsidRDefault="00AB7860" w:rsidP="00FA3EC9">
            <w:pPr>
              <w:pStyle w:val="TableText0"/>
              <w:jc w:val="center"/>
              <w:rPr>
                <w:highlight w:val="lightGray"/>
              </w:rPr>
            </w:pPr>
          </w:p>
        </w:tc>
        <w:tc>
          <w:tcPr>
            <w:tcW w:w="873" w:type="dxa"/>
            <w:tcBorders>
              <w:bottom w:val="nil"/>
            </w:tcBorders>
          </w:tcPr>
          <w:p w14:paraId="7BBAD4E8" w14:textId="77777777" w:rsidR="00AB7860" w:rsidRPr="00AB3F41" w:rsidRDefault="00AB7860" w:rsidP="00FA3EC9">
            <w:pPr>
              <w:pStyle w:val="TableText0"/>
              <w:jc w:val="center"/>
              <w:rPr>
                <w:highlight w:val="lightGray"/>
              </w:rPr>
            </w:pPr>
          </w:p>
        </w:tc>
      </w:tr>
      <w:tr w:rsidR="00A91341" w:rsidRPr="009941F8" w14:paraId="060DB1ED" w14:textId="77777777" w:rsidTr="00233562">
        <w:tc>
          <w:tcPr>
            <w:tcW w:w="5098" w:type="dxa"/>
            <w:tcBorders>
              <w:top w:val="nil"/>
              <w:bottom w:val="nil"/>
            </w:tcBorders>
          </w:tcPr>
          <w:p w14:paraId="50A3F354" w14:textId="302538B6" w:rsidR="00A91341" w:rsidRPr="009941F8" w:rsidRDefault="00A91341" w:rsidP="00A91341">
            <w:pPr>
              <w:pStyle w:val="TableText0"/>
              <w:numPr>
                <w:ilvl w:val="0"/>
                <w:numId w:val="7"/>
              </w:numPr>
              <w:ind w:left="22" w:hanging="22"/>
            </w:pPr>
            <w:r w:rsidRPr="009941F8">
              <w:t>Any flares (HR=0.65)</w:t>
            </w:r>
          </w:p>
        </w:tc>
        <w:tc>
          <w:tcPr>
            <w:tcW w:w="1134" w:type="dxa"/>
            <w:tcBorders>
              <w:top w:val="nil"/>
              <w:bottom w:val="nil"/>
            </w:tcBorders>
            <w:shd w:val="clear" w:color="auto" w:fill="auto"/>
          </w:tcPr>
          <w:p w14:paraId="3CBAC31E" w14:textId="48E63A36" w:rsidR="00A91341" w:rsidRPr="00AB3F41" w:rsidRDefault="00A91341" w:rsidP="00A91341">
            <w:pPr>
              <w:pStyle w:val="TableText0"/>
              <w:jc w:val="center"/>
              <w:rPr>
                <w:highlight w:val="lightGray"/>
              </w:rPr>
            </w:pPr>
            <w:r w:rsidRPr="00A02E43">
              <w:rPr>
                <w:rFonts w:hint="eastAsia"/>
                <w:color w:val="000000"/>
                <w:w w:val="15"/>
                <w:shd w:val="solid" w:color="000000" w:fill="000000"/>
                <w14:textFill>
                  <w14:solidFill>
                    <w14:srgbClr w14:val="000000">
                      <w14:alpha w14:val="100000"/>
                    </w14:srgbClr>
                  </w14:solidFill>
                </w14:textFill>
              </w:rPr>
              <w:t xml:space="preserve">　</w:t>
            </w:r>
            <w:r w:rsidRPr="00A02E43">
              <w:rPr>
                <w:color w:val="000000"/>
                <w:w w:val="15"/>
                <w:shd w:val="solid" w:color="000000" w:fill="000000"/>
                <w14:textFill>
                  <w14:solidFill>
                    <w14:srgbClr w14:val="000000">
                      <w14:alpha w14:val="100000"/>
                    </w14:srgbClr>
                  </w14:solidFill>
                </w14:textFill>
              </w:rPr>
              <w:t>|</w:t>
            </w:r>
            <w:r w:rsidRPr="00A02E43">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63DC3B6D" w14:textId="79664C69" w:rsidR="00A91341" w:rsidRPr="009941F8" w:rsidRDefault="00A91341" w:rsidP="00A91341">
            <w:pPr>
              <w:pStyle w:val="TableText0"/>
              <w:jc w:val="center"/>
            </w:pPr>
            <w:r w:rsidRPr="009941F8">
              <w:t>0.120</w:t>
            </w:r>
          </w:p>
        </w:tc>
        <w:tc>
          <w:tcPr>
            <w:tcW w:w="851" w:type="dxa"/>
            <w:tcBorders>
              <w:top w:val="nil"/>
              <w:bottom w:val="nil"/>
            </w:tcBorders>
          </w:tcPr>
          <w:p w14:paraId="12E0A329" w14:textId="1A582A73"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37"/>
                <w14:textFill>
                  <w14:solidFill>
                    <w14:srgbClr w14:val="000000">
                      <w14:alpha w14:val="100000"/>
                    </w14:srgbClr>
                  </w14:solidFill>
                </w14:textFill>
              </w:rPr>
              <w:t>|</w:t>
            </w:r>
            <w:r w:rsidRPr="00640EC9">
              <w:rPr>
                <w:color w:val="000000"/>
                <w:spacing w:val="1"/>
                <w:shd w:val="solid" w:color="000000" w:fill="000000"/>
                <w:fitText w:val="204" w:id="-961890037"/>
                <w14:textFill>
                  <w14:solidFill>
                    <w14:srgbClr w14:val="000000">
                      <w14:alpha w14:val="100000"/>
                    </w14:srgbClr>
                  </w14:solidFill>
                </w14:textFill>
              </w:rPr>
              <w:t>|</w:t>
            </w:r>
            <w:r w:rsidRPr="0068000F">
              <w:rPr>
                <w:vertAlign w:val="superscript"/>
              </w:rPr>
              <w:t>1</w:t>
            </w:r>
          </w:p>
        </w:tc>
        <w:tc>
          <w:tcPr>
            <w:tcW w:w="873" w:type="dxa"/>
            <w:tcBorders>
              <w:top w:val="nil"/>
              <w:bottom w:val="nil"/>
            </w:tcBorders>
            <w:shd w:val="clear" w:color="auto" w:fill="auto"/>
          </w:tcPr>
          <w:p w14:paraId="4EE01836" w14:textId="07BF6092" w:rsidR="00A91341" w:rsidRPr="00AB3F41" w:rsidRDefault="002C1990" w:rsidP="00A91341">
            <w:pPr>
              <w:pStyle w:val="TableText0"/>
              <w:jc w:val="center"/>
              <w:rPr>
                <w:highlight w:val="lightGray"/>
              </w:rP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A91341" w:rsidRPr="009941F8" w14:paraId="44854206" w14:textId="77777777" w:rsidTr="00233562">
        <w:tc>
          <w:tcPr>
            <w:tcW w:w="5098" w:type="dxa"/>
            <w:tcBorders>
              <w:top w:val="nil"/>
            </w:tcBorders>
          </w:tcPr>
          <w:p w14:paraId="2A50C0C2" w14:textId="77777777" w:rsidR="00A91341" w:rsidRPr="009941F8" w:rsidRDefault="00A91341" w:rsidP="00A91341">
            <w:pPr>
              <w:pStyle w:val="TableText0"/>
              <w:numPr>
                <w:ilvl w:val="0"/>
                <w:numId w:val="7"/>
              </w:numPr>
              <w:ind w:left="22" w:hanging="22"/>
            </w:pPr>
            <w:r w:rsidRPr="009941F8">
              <w:t>No effect (HR=1)</w:t>
            </w:r>
          </w:p>
        </w:tc>
        <w:tc>
          <w:tcPr>
            <w:tcW w:w="1134" w:type="dxa"/>
            <w:tcBorders>
              <w:top w:val="nil"/>
            </w:tcBorders>
            <w:shd w:val="clear" w:color="auto" w:fill="auto"/>
          </w:tcPr>
          <w:p w14:paraId="76FF9D8D" w14:textId="71AB174E" w:rsidR="00A91341" w:rsidRPr="00AB3F41" w:rsidRDefault="00A91341" w:rsidP="00A91341">
            <w:pPr>
              <w:pStyle w:val="TableText0"/>
              <w:jc w:val="center"/>
              <w:rPr>
                <w:highlight w:val="lightGray"/>
              </w:rPr>
            </w:pPr>
            <w:r w:rsidRPr="00A02E43">
              <w:rPr>
                <w:rFonts w:hint="eastAsia"/>
                <w:color w:val="000000"/>
                <w:w w:val="15"/>
                <w:shd w:val="solid" w:color="000000" w:fill="000000"/>
                <w14:textFill>
                  <w14:solidFill>
                    <w14:srgbClr w14:val="000000">
                      <w14:alpha w14:val="100000"/>
                    </w14:srgbClr>
                  </w14:solidFill>
                </w14:textFill>
              </w:rPr>
              <w:t xml:space="preserve">　</w:t>
            </w:r>
            <w:r w:rsidRPr="00A02E43">
              <w:rPr>
                <w:color w:val="000000"/>
                <w:w w:val="15"/>
                <w:shd w:val="solid" w:color="000000" w:fill="000000"/>
                <w14:textFill>
                  <w14:solidFill>
                    <w14:srgbClr w14:val="000000">
                      <w14:alpha w14:val="100000"/>
                    </w14:srgbClr>
                  </w14:solidFill>
                </w14:textFill>
              </w:rPr>
              <w:t>|</w:t>
            </w:r>
            <w:r w:rsidRPr="00A02E43">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tcBorders>
          </w:tcPr>
          <w:p w14:paraId="474C2A93" w14:textId="77777777" w:rsidR="00A91341" w:rsidRPr="009941F8" w:rsidRDefault="00A91341" w:rsidP="00A91341">
            <w:pPr>
              <w:pStyle w:val="TableText0"/>
              <w:jc w:val="center"/>
            </w:pPr>
            <w:r w:rsidRPr="009941F8">
              <w:t>0.105</w:t>
            </w:r>
          </w:p>
        </w:tc>
        <w:tc>
          <w:tcPr>
            <w:tcW w:w="851" w:type="dxa"/>
            <w:tcBorders>
              <w:top w:val="nil"/>
            </w:tcBorders>
          </w:tcPr>
          <w:p w14:paraId="500A2916" w14:textId="1D8E3E4E"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34"/>
                <w14:textFill>
                  <w14:solidFill>
                    <w14:srgbClr w14:val="000000">
                      <w14:alpha w14:val="100000"/>
                    </w14:srgbClr>
                  </w14:solidFill>
                </w14:textFill>
              </w:rPr>
              <w:t>|</w:t>
            </w:r>
            <w:r w:rsidRPr="00640EC9">
              <w:rPr>
                <w:color w:val="000000"/>
                <w:spacing w:val="1"/>
                <w:shd w:val="solid" w:color="000000" w:fill="000000"/>
                <w:fitText w:val="204" w:id="-961890034"/>
                <w14:textFill>
                  <w14:solidFill>
                    <w14:srgbClr w14:val="000000">
                      <w14:alpha w14:val="100000"/>
                    </w14:srgbClr>
                  </w14:solidFill>
                </w14:textFill>
              </w:rPr>
              <w:t>|</w:t>
            </w:r>
            <w:r w:rsidRPr="0068000F">
              <w:rPr>
                <w:szCs w:val="20"/>
                <w:vertAlign w:val="superscript"/>
              </w:rPr>
              <w:t>3</w:t>
            </w:r>
          </w:p>
        </w:tc>
        <w:tc>
          <w:tcPr>
            <w:tcW w:w="873" w:type="dxa"/>
            <w:tcBorders>
              <w:top w:val="nil"/>
            </w:tcBorders>
            <w:shd w:val="clear" w:color="auto" w:fill="auto"/>
          </w:tcPr>
          <w:p w14:paraId="30D7091C" w14:textId="52FA1C5D" w:rsidR="00A91341" w:rsidRPr="00AB3F41" w:rsidRDefault="002C1990" w:rsidP="00A91341">
            <w:pPr>
              <w:pStyle w:val="TableText0"/>
              <w:jc w:val="center"/>
              <w:rPr>
                <w:highlight w:val="lightGray"/>
              </w:rP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553EB3" w:rsidRPr="009941F8" w14:paraId="010342CD" w14:textId="77777777" w:rsidTr="00233562">
        <w:tc>
          <w:tcPr>
            <w:tcW w:w="5098" w:type="dxa"/>
            <w:tcBorders>
              <w:bottom w:val="nil"/>
            </w:tcBorders>
          </w:tcPr>
          <w:p w14:paraId="4742CBA0" w14:textId="77777777" w:rsidR="00553EB3" w:rsidRPr="009941F8" w:rsidRDefault="00553EB3" w:rsidP="00FA3EC9">
            <w:pPr>
              <w:pStyle w:val="TableText0"/>
            </w:pPr>
            <w:r w:rsidRPr="009941F8">
              <w:t xml:space="preserve">Flare rate in ‘not LLDAS’ states (base 29.3%) </w:t>
            </w:r>
          </w:p>
        </w:tc>
        <w:tc>
          <w:tcPr>
            <w:tcW w:w="1134" w:type="dxa"/>
            <w:tcBorders>
              <w:bottom w:val="nil"/>
            </w:tcBorders>
            <w:shd w:val="clear" w:color="auto" w:fill="auto"/>
          </w:tcPr>
          <w:p w14:paraId="688AA518" w14:textId="77777777" w:rsidR="00553EB3" w:rsidRPr="00AB3F41" w:rsidRDefault="00553EB3" w:rsidP="00FA3EC9">
            <w:pPr>
              <w:pStyle w:val="TableText0"/>
              <w:jc w:val="center"/>
              <w:rPr>
                <w:highlight w:val="lightGray"/>
              </w:rPr>
            </w:pPr>
          </w:p>
        </w:tc>
        <w:tc>
          <w:tcPr>
            <w:tcW w:w="1134" w:type="dxa"/>
            <w:tcBorders>
              <w:bottom w:val="nil"/>
            </w:tcBorders>
          </w:tcPr>
          <w:p w14:paraId="29EC801B" w14:textId="77777777" w:rsidR="00553EB3" w:rsidRPr="009941F8" w:rsidRDefault="00553EB3" w:rsidP="00FA3EC9">
            <w:pPr>
              <w:pStyle w:val="TableText0"/>
              <w:jc w:val="center"/>
            </w:pPr>
          </w:p>
        </w:tc>
        <w:tc>
          <w:tcPr>
            <w:tcW w:w="851" w:type="dxa"/>
            <w:tcBorders>
              <w:bottom w:val="nil"/>
            </w:tcBorders>
          </w:tcPr>
          <w:p w14:paraId="70FB6558" w14:textId="77777777" w:rsidR="00553EB3" w:rsidRPr="00AB3F41" w:rsidRDefault="00553EB3" w:rsidP="00FA3EC9">
            <w:pPr>
              <w:pStyle w:val="TableText0"/>
              <w:jc w:val="center"/>
              <w:rPr>
                <w:highlight w:val="lightGray"/>
              </w:rPr>
            </w:pPr>
          </w:p>
        </w:tc>
        <w:tc>
          <w:tcPr>
            <w:tcW w:w="873" w:type="dxa"/>
            <w:tcBorders>
              <w:bottom w:val="nil"/>
            </w:tcBorders>
            <w:shd w:val="clear" w:color="auto" w:fill="auto"/>
          </w:tcPr>
          <w:p w14:paraId="776BE37E" w14:textId="77777777" w:rsidR="00553EB3" w:rsidRPr="0068000F" w:rsidRDefault="00553EB3" w:rsidP="00FA3EC9">
            <w:pPr>
              <w:pStyle w:val="TableText0"/>
              <w:jc w:val="center"/>
            </w:pPr>
          </w:p>
        </w:tc>
      </w:tr>
      <w:tr w:rsidR="00553EB3" w:rsidRPr="009941F8" w14:paraId="2AC7F692" w14:textId="77777777" w:rsidTr="00233562">
        <w:tc>
          <w:tcPr>
            <w:tcW w:w="5098" w:type="dxa"/>
            <w:tcBorders>
              <w:top w:val="nil"/>
            </w:tcBorders>
          </w:tcPr>
          <w:p w14:paraId="496C50A2" w14:textId="77777777" w:rsidR="00553EB3" w:rsidRPr="009941F8" w:rsidRDefault="00553EB3" w:rsidP="00FA3EC9">
            <w:pPr>
              <w:pStyle w:val="TableText0"/>
              <w:numPr>
                <w:ilvl w:val="0"/>
                <w:numId w:val="7"/>
              </w:numPr>
              <w:ind w:left="22" w:hanging="22"/>
            </w:pPr>
            <w:r w:rsidRPr="009941F8">
              <w:t>0% (flares removed from the model)</w:t>
            </w:r>
          </w:p>
        </w:tc>
        <w:tc>
          <w:tcPr>
            <w:tcW w:w="1134" w:type="dxa"/>
            <w:tcBorders>
              <w:top w:val="nil"/>
            </w:tcBorders>
            <w:shd w:val="clear" w:color="auto" w:fill="auto"/>
          </w:tcPr>
          <w:p w14:paraId="5B5E3257" w14:textId="1318C070" w:rsidR="00553EB3" w:rsidRPr="00AB3F41" w:rsidRDefault="00A91341" w:rsidP="00FA3EC9">
            <w:pPr>
              <w:pStyle w:val="TableText0"/>
              <w:jc w:val="center"/>
              <w:rPr>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A91341">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tcBorders>
          </w:tcPr>
          <w:p w14:paraId="47BE1C21" w14:textId="77777777" w:rsidR="00553EB3" w:rsidRPr="009941F8" w:rsidRDefault="00553EB3" w:rsidP="00FA3EC9">
            <w:pPr>
              <w:pStyle w:val="TableText0"/>
              <w:jc w:val="center"/>
            </w:pPr>
            <w:r w:rsidRPr="009941F8">
              <w:t>0.113</w:t>
            </w:r>
          </w:p>
        </w:tc>
        <w:tc>
          <w:tcPr>
            <w:tcW w:w="851" w:type="dxa"/>
            <w:tcBorders>
              <w:top w:val="nil"/>
            </w:tcBorders>
          </w:tcPr>
          <w:p w14:paraId="634A06BC" w14:textId="113CD679" w:rsidR="00553EB3" w:rsidRPr="00AB3F41" w:rsidRDefault="00640EC9" w:rsidP="00FA3EC9">
            <w:pPr>
              <w:pStyle w:val="TableText0"/>
              <w:jc w:val="center"/>
              <w:rPr>
                <w:highlight w:val="lightGray"/>
              </w:rPr>
            </w:pPr>
            <w:r w:rsidRPr="00640EC9">
              <w:rPr>
                <w:color w:val="000000"/>
                <w:spacing w:val="118"/>
                <w:shd w:val="solid" w:color="000000" w:fill="000000"/>
                <w:fitText w:val="204" w:id="-961890048"/>
                <w14:textFill>
                  <w14:solidFill>
                    <w14:srgbClr w14:val="000000">
                      <w14:alpha w14:val="100000"/>
                    </w14:srgbClr>
                  </w14:solidFill>
                </w14:textFill>
              </w:rPr>
              <w:t>|</w:t>
            </w:r>
            <w:r w:rsidRPr="00640EC9">
              <w:rPr>
                <w:color w:val="000000"/>
                <w:spacing w:val="1"/>
                <w:shd w:val="solid" w:color="000000" w:fill="000000"/>
                <w:fitText w:val="204" w:id="-961890048"/>
                <w14:textFill>
                  <w14:solidFill>
                    <w14:srgbClr w14:val="000000">
                      <w14:alpha w14:val="100000"/>
                    </w14:srgbClr>
                  </w14:solidFill>
                </w14:textFill>
              </w:rPr>
              <w:t>|</w:t>
            </w:r>
            <w:r w:rsidR="0068000F" w:rsidRPr="0068000F">
              <w:rPr>
                <w:szCs w:val="20"/>
                <w:vertAlign w:val="superscript"/>
              </w:rPr>
              <w:t>3</w:t>
            </w:r>
          </w:p>
        </w:tc>
        <w:tc>
          <w:tcPr>
            <w:tcW w:w="873" w:type="dxa"/>
            <w:tcBorders>
              <w:top w:val="nil"/>
            </w:tcBorders>
            <w:shd w:val="clear" w:color="auto" w:fill="auto"/>
          </w:tcPr>
          <w:p w14:paraId="29F157F4" w14:textId="596B6869" w:rsidR="00553EB3" w:rsidRPr="0068000F" w:rsidRDefault="002C1990" w:rsidP="00FA3EC9">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553EB3" w:rsidRPr="009941F8" w14:paraId="5DF55934" w14:textId="77777777" w:rsidTr="00CC67E7">
        <w:tc>
          <w:tcPr>
            <w:tcW w:w="9090" w:type="dxa"/>
            <w:gridSpan w:val="5"/>
            <w:tcBorders>
              <w:bottom w:val="nil"/>
            </w:tcBorders>
          </w:tcPr>
          <w:p w14:paraId="544B0B17" w14:textId="1AEF6F37" w:rsidR="00553EB3" w:rsidRPr="009941F8" w:rsidRDefault="00553EB3" w:rsidP="00FA3EC9">
            <w:pPr>
              <w:pStyle w:val="TableText0"/>
            </w:pPr>
            <w:r w:rsidRPr="009941F8">
              <w:t xml:space="preserve">Anifrolumab related cost (base anifrolumab </w:t>
            </w:r>
            <w:r w:rsidR="001728F0" w:rsidRPr="009941F8">
              <w:t xml:space="preserve">AEMP = </w:t>
            </w:r>
            <w:r w:rsidRPr="009941F8">
              <w:t>$</w:t>
            </w:r>
            <w:r w:rsidR="00640EC9" w:rsidRPr="00640EC9">
              <w:rPr>
                <w:color w:val="000000"/>
                <w:spacing w:val="55"/>
                <w:shd w:val="solid" w:color="000000" w:fill="000000"/>
                <w:fitText w:val="336" w:id="-961890046"/>
                <w14:textFill>
                  <w14:solidFill>
                    <w14:srgbClr w14:val="000000">
                      <w14:alpha w14:val="100000"/>
                    </w14:srgbClr>
                  </w14:solidFill>
                </w14:textFill>
              </w:rPr>
              <w:t>|||</w:t>
            </w:r>
            <w:r w:rsidR="00640EC9" w:rsidRPr="00640EC9">
              <w:rPr>
                <w:color w:val="000000"/>
                <w:spacing w:val="1"/>
                <w:shd w:val="solid" w:color="000000" w:fill="000000"/>
                <w:fitText w:val="336" w:id="-961890046"/>
                <w14:textFill>
                  <w14:solidFill>
                    <w14:srgbClr w14:val="000000">
                      <w14:alpha w14:val="100000"/>
                    </w14:srgbClr>
                  </w14:solidFill>
                </w14:textFill>
              </w:rPr>
              <w:t>|</w:t>
            </w:r>
            <w:r w:rsidR="001728F0" w:rsidRPr="009941F8">
              <w:t xml:space="preserve"> (DPMQ = $</w:t>
            </w:r>
            <w:r w:rsidR="00640EC9" w:rsidRPr="00640EC9">
              <w:rPr>
                <w:color w:val="000000"/>
                <w:spacing w:val="51"/>
                <w:shd w:val="solid" w:color="000000" w:fill="000000"/>
                <w:fitText w:val="324" w:id="-961890045"/>
                <w14:textFill>
                  <w14:solidFill>
                    <w14:srgbClr w14:val="000000">
                      <w14:alpha w14:val="100000"/>
                    </w14:srgbClr>
                  </w14:solidFill>
                </w14:textFill>
              </w:rPr>
              <w:t>|||</w:t>
            </w:r>
            <w:r w:rsidR="00640EC9" w:rsidRPr="00640EC9">
              <w:rPr>
                <w:color w:val="000000"/>
                <w:spacing w:val="1"/>
                <w:shd w:val="solid" w:color="000000" w:fill="000000"/>
                <w:fitText w:val="324" w:id="-961890045"/>
                <w14:textFill>
                  <w14:solidFill>
                    <w14:srgbClr w14:val="000000">
                      <w14:alpha w14:val="100000"/>
                    </w14:srgbClr>
                  </w14:solidFill>
                </w14:textFill>
              </w:rPr>
              <w:t>|</w:t>
            </w:r>
            <w:r w:rsidR="001728F0" w:rsidRPr="009941F8">
              <w:t>)</w:t>
            </w:r>
            <w:r w:rsidRPr="009941F8">
              <w:t xml:space="preserve"> per 300</w:t>
            </w:r>
            <w:r w:rsidR="00BA75EB">
              <w:t xml:space="preserve"> </w:t>
            </w:r>
            <w:r w:rsidRPr="009941F8">
              <w:t>mg, administration $33.09 per admin, 6 admins Cycle 1, 6.5 Cycle 2 onwards)</w:t>
            </w:r>
          </w:p>
        </w:tc>
      </w:tr>
      <w:tr w:rsidR="00A91341" w:rsidRPr="009941F8" w14:paraId="77025D02" w14:textId="77777777" w:rsidTr="00233562">
        <w:tc>
          <w:tcPr>
            <w:tcW w:w="5098" w:type="dxa"/>
            <w:tcBorders>
              <w:top w:val="nil"/>
              <w:bottom w:val="nil"/>
            </w:tcBorders>
          </w:tcPr>
          <w:p w14:paraId="286C16A7" w14:textId="78DB404C" w:rsidR="00A91341" w:rsidRPr="009941F8" w:rsidRDefault="00A91341" w:rsidP="00A91341">
            <w:pPr>
              <w:pStyle w:val="TableText0"/>
              <w:numPr>
                <w:ilvl w:val="0"/>
                <w:numId w:val="7"/>
              </w:numPr>
              <w:ind w:left="22" w:hanging="22"/>
            </w:pPr>
            <w:r w:rsidRPr="009941F8">
              <w:t>Anifrolumab AEMP = $</w:t>
            </w:r>
            <w:r w:rsidRPr="00640EC9">
              <w:rPr>
                <w:color w:val="000000"/>
                <w:spacing w:val="51"/>
                <w:shd w:val="solid" w:color="000000" w:fill="000000"/>
                <w:fitText w:val="324" w:id="-961890044"/>
                <w14:textFill>
                  <w14:solidFill>
                    <w14:srgbClr w14:val="000000">
                      <w14:alpha w14:val="100000"/>
                    </w14:srgbClr>
                  </w14:solidFill>
                </w14:textFill>
              </w:rPr>
              <w:t>|||</w:t>
            </w:r>
            <w:r w:rsidRPr="00640EC9">
              <w:rPr>
                <w:color w:val="000000"/>
                <w:spacing w:val="1"/>
                <w:shd w:val="solid" w:color="000000" w:fill="000000"/>
                <w:fitText w:val="324" w:id="-961890044"/>
                <w14:textFill>
                  <w14:solidFill>
                    <w14:srgbClr w14:val="000000">
                      <w14:alpha w14:val="100000"/>
                    </w14:srgbClr>
                  </w14:solidFill>
                </w14:textFill>
              </w:rPr>
              <w:t>|</w:t>
            </w:r>
            <w:r w:rsidRPr="009941F8">
              <w:t xml:space="preserve"> (DPMQ = $</w:t>
            </w:r>
            <w:r w:rsidRPr="00640EC9">
              <w:rPr>
                <w:color w:val="000000"/>
                <w:spacing w:val="55"/>
                <w:shd w:val="solid" w:color="000000" w:fill="000000"/>
                <w:fitText w:val="336" w:id="-961890043"/>
                <w14:textFill>
                  <w14:solidFill>
                    <w14:srgbClr w14:val="000000">
                      <w14:alpha w14:val="100000"/>
                    </w14:srgbClr>
                  </w14:solidFill>
                </w14:textFill>
              </w:rPr>
              <w:t>|||</w:t>
            </w:r>
            <w:r w:rsidRPr="00640EC9">
              <w:rPr>
                <w:color w:val="000000"/>
                <w:spacing w:val="1"/>
                <w:shd w:val="solid" w:color="000000" w:fill="000000"/>
                <w:fitText w:val="336" w:id="-961890043"/>
                <w14:textFill>
                  <w14:solidFill>
                    <w14:srgbClr w14:val="000000">
                      <w14:alpha w14:val="100000"/>
                    </w14:srgbClr>
                  </w14:solidFill>
                </w14:textFill>
              </w:rPr>
              <w:t>|</w:t>
            </w:r>
            <w:r w:rsidRPr="009941F8">
              <w:t>)</w:t>
            </w:r>
          </w:p>
        </w:tc>
        <w:tc>
          <w:tcPr>
            <w:tcW w:w="1134" w:type="dxa"/>
            <w:tcBorders>
              <w:top w:val="nil"/>
              <w:bottom w:val="nil"/>
            </w:tcBorders>
            <w:shd w:val="clear" w:color="auto" w:fill="auto"/>
          </w:tcPr>
          <w:p w14:paraId="55ADDAAF" w14:textId="2008B077" w:rsidR="00A91341" w:rsidRPr="00AB3F41" w:rsidRDefault="00A91341" w:rsidP="00A91341">
            <w:pPr>
              <w:pStyle w:val="TableText0"/>
              <w:jc w:val="center"/>
              <w:rPr>
                <w:highlight w:val="lightGray"/>
              </w:rPr>
            </w:pPr>
            <w:r w:rsidRPr="00882E4E">
              <w:rPr>
                <w:rFonts w:hint="eastAsia"/>
                <w:color w:val="000000"/>
                <w:w w:val="15"/>
                <w:shd w:val="solid" w:color="000000" w:fill="000000"/>
                <w14:textFill>
                  <w14:solidFill>
                    <w14:srgbClr w14:val="000000">
                      <w14:alpha w14:val="100000"/>
                    </w14:srgbClr>
                  </w14:solidFill>
                </w14:textFill>
              </w:rPr>
              <w:t xml:space="preserve">　</w:t>
            </w:r>
            <w:r w:rsidRPr="00882E4E">
              <w:rPr>
                <w:color w:val="000000"/>
                <w:w w:val="15"/>
                <w:shd w:val="solid" w:color="000000" w:fill="000000"/>
                <w14:textFill>
                  <w14:solidFill>
                    <w14:srgbClr w14:val="000000">
                      <w14:alpha w14:val="100000"/>
                    </w14:srgbClr>
                  </w14:solidFill>
                </w14:textFill>
              </w:rPr>
              <w:t>|</w:t>
            </w:r>
            <w:r w:rsidRPr="00882E4E">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09AB597F" w14:textId="77777777" w:rsidR="00A91341" w:rsidRPr="009941F8" w:rsidRDefault="00A91341" w:rsidP="00A91341">
            <w:pPr>
              <w:pStyle w:val="TableText0"/>
              <w:jc w:val="center"/>
            </w:pPr>
            <w:r w:rsidRPr="009941F8">
              <w:t>0.129</w:t>
            </w:r>
          </w:p>
        </w:tc>
        <w:tc>
          <w:tcPr>
            <w:tcW w:w="851" w:type="dxa"/>
            <w:tcBorders>
              <w:top w:val="nil"/>
              <w:bottom w:val="nil"/>
            </w:tcBorders>
          </w:tcPr>
          <w:p w14:paraId="0D952286" w14:textId="107B24F5"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41"/>
                <w14:textFill>
                  <w14:solidFill>
                    <w14:srgbClr w14:val="000000">
                      <w14:alpha w14:val="100000"/>
                    </w14:srgbClr>
                  </w14:solidFill>
                </w14:textFill>
              </w:rPr>
              <w:t>|</w:t>
            </w:r>
            <w:r w:rsidRPr="00640EC9">
              <w:rPr>
                <w:color w:val="000000"/>
                <w:spacing w:val="1"/>
                <w:shd w:val="solid" w:color="000000" w:fill="000000"/>
                <w:fitText w:val="204" w:id="-961890041"/>
                <w14:textFill>
                  <w14:solidFill>
                    <w14:srgbClr w14:val="000000">
                      <w14:alpha w14:val="100000"/>
                    </w14:srgbClr>
                  </w14:solidFill>
                </w14:textFill>
              </w:rPr>
              <w:t>|</w:t>
            </w:r>
            <w:r w:rsidRPr="0068000F">
              <w:rPr>
                <w:vertAlign w:val="superscript"/>
              </w:rPr>
              <w:t>1</w:t>
            </w:r>
          </w:p>
        </w:tc>
        <w:tc>
          <w:tcPr>
            <w:tcW w:w="873" w:type="dxa"/>
            <w:tcBorders>
              <w:top w:val="nil"/>
              <w:bottom w:val="nil"/>
            </w:tcBorders>
          </w:tcPr>
          <w:p w14:paraId="2D5A29CD" w14:textId="33C327F2" w:rsidR="00A91341" w:rsidRPr="0068000F" w:rsidRDefault="00A91341" w:rsidP="00A91341">
            <w:pPr>
              <w:pStyle w:val="TableText0"/>
              <w:jc w:val="center"/>
            </w:pPr>
            <w:r w:rsidRPr="0068000F">
              <w:t>-</w:t>
            </w:r>
            <w:r w:rsidRPr="00640EC9">
              <w:rPr>
                <w:color w:val="000000"/>
                <w:spacing w:val="106"/>
                <w:shd w:val="solid" w:color="000000" w:fill="000000"/>
                <w:fitText w:val="192" w:id="-961890040"/>
                <w14:textFill>
                  <w14:solidFill>
                    <w14:srgbClr w14:val="000000">
                      <w14:alpha w14:val="100000"/>
                    </w14:srgbClr>
                  </w14:solidFill>
                </w14:textFill>
              </w:rPr>
              <w:t>|</w:t>
            </w:r>
            <w:r w:rsidRPr="00640EC9">
              <w:rPr>
                <w:color w:val="000000"/>
                <w:spacing w:val="1"/>
                <w:shd w:val="solid" w:color="000000" w:fill="000000"/>
                <w:fitText w:val="192" w:id="-961890040"/>
                <w14:textFill>
                  <w14:solidFill>
                    <w14:srgbClr w14:val="000000">
                      <w14:alpha w14:val="100000"/>
                    </w14:srgbClr>
                  </w14:solidFill>
                </w14:textFill>
              </w:rPr>
              <w:t>|</w:t>
            </w:r>
          </w:p>
        </w:tc>
      </w:tr>
      <w:tr w:rsidR="002C1990" w:rsidRPr="009941F8" w14:paraId="2A4BE3FF" w14:textId="77777777" w:rsidTr="00233562">
        <w:tc>
          <w:tcPr>
            <w:tcW w:w="5098" w:type="dxa"/>
            <w:tcBorders>
              <w:top w:val="nil"/>
              <w:bottom w:val="nil"/>
            </w:tcBorders>
          </w:tcPr>
          <w:p w14:paraId="30B71721" w14:textId="77777777" w:rsidR="002C1990" w:rsidRPr="009941F8" w:rsidRDefault="002C1990" w:rsidP="002C1990">
            <w:pPr>
              <w:pStyle w:val="TableText0"/>
              <w:numPr>
                <w:ilvl w:val="0"/>
                <w:numId w:val="7"/>
              </w:numPr>
              <w:ind w:left="22" w:hanging="22"/>
            </w:pPr>
            <w:r w:rsidRPr="009941F8">
              <w:t>Administration $107.85 (MBS 14245)</w:t>
            </w:r>
          </w:p>
        </w:tc>
        <w:tc>
          <w:tcPr>
            <w:tcW w:w="1134" w:type="dxa"/>
            <w:tcBorders>
              <w:top w:val="nil"/>
              <w:bottom w:val="nil"/>
            </w:tcBorders>
            <w:shd w:val="clear" w:color="auto" w:fill="auto"/>
          </w:tcPr>
          <w:p w14:paraId="7AFF1B23" w14:textId="4C7BC68B" w:rsidR="002C1990" w:rsidRPr="00AB3F41" w:rsidRDefault="002C1990" w:rsidP="002C1990">
            <w:pPr>
              <w:pStyle w:val="TableText0"/>
              <w:jc w:val="center"/>
              <w:rPr>
                <w:highlight w:val="lightGray"/>
              </w:rPr>
            </w:pPr>
            <w:r w:rsidRPr="00882E4E">
              <w:rPr>
                <w:rFonts w:hint="eastAsia"/>
                <w:color w:val="000000"/>
                <w:w w:val="15"/>
                <w:shd w:val="solid" w:color="000000" w:fill="000000"/>
                <w14:textFill>
                  <w14:solidFill>
                    <w14:srgbClr w14:val="000000">
                      <w14:alpha w14:val="100000"/>
                    </w14:srgbClr>
                  </w14:solidFill>
                </w14:textFill>
              </w:rPr>
              <w:t xml:space="preserve">　</w:t>
            </w:r>
            <w:r w:rsidRPr="00882E4E">
              <w:rPr>
                <w:color w:val="000000"/>
                <w:w w:val="15"/>
                <w:shd w:val="solid" w:color="000000" w:fill="000000"/>
                <w14:textFill>
                  <w14:solidFill>
                    <w14:srgbClr w14:val="000000">
                      <w14:alpha w14:val="100000"/>
                    </w14:srgbClr>
                  </w14:solidFill>
                </w14:textFill>
              </w:rPr>
              <w:t>|</w:t>
            </w:r>
            <w:r w:rsidRPr="00882E4E">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27C0F8DD" w14:textId="77777777" w:rsidR="002C1990" w:rsidRPr="009941F8" w:rsidRDefault="002C1990" w:rsidP="002C1990">
            <w:pPr>
              <w:pStyle w:val="TableText0"/>
              <w:jc w:val="center"/>
            </w:pPr>
            <w:r w:rsidRPr="009941F8">
              <w:t>0.129</w:t>
            </w:r>
          </w:p>
        </w:tc>
        <w:tc>
          <w:tcPr>
            <w:tcW w:w="851" w:type="dxa"/>
            <w:tcBorders>
              <w:top w:val="nil"/>
              <w:bottom w:val="nil"/>
            </w:tcBorders>
          </w:tcPr>
          <w:p w14:paraId="31180689" w14:textId="6D8F71A0"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38"/>
                <w14:textFill>
                  <w14:solidFill>
                    <w14:srgbClr w14:val="000000">
                      <w14:alpha w14:val="100000"/>
                    </w14:srgbClr>
                  </w14:solidFill>
                </w14:textFill>
              </w:rPr>
              <w:t>|</w:t>
            </w:r>
            <w:r w:rsidRPr="00640EC9">
              <w:rPr>
                <w:color w:val="000000"/>
                <w:spacing w:val="1"/>
                <w:shd w:val="solid" w:color="000000" w:fill="000000"/>
                <w:fitText w:val="204" w:id="-961890038"/>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01BF7DDB" w14:textId="1F60D716" w:rsidR="002C1990" w:rsidRPr="00AB3F41" w:rsidRDefault="002C1990" w:rsidP="002C1990">
            <w:pPr>
              <w:pStyle w:val="TableText0"/>
              <w:jc w:val="center"/>
              <w:rPr>
                <w:highlight w:val="lightGray"/>
              </w:rPr>
            </w:pPr>
            <w:r w:rsidRPr="002F67F1">
              <w:rPr>
                <w:color w:val="000000"/>
                <w:spacing w:val="82"/>
                <w:shd w:val="solid" w:color="000000" w:fill="000000"/>
                <w14:textFill>
                  <w14:solidFill>
                    <w14:srgbClr w14:val="000000">
                      <w14:alpha w14:val="100000"/>
                    </w14:srgbClr>
                  </w14:solidFill>
                </w14:textFill>
              </w:rPr>
              <w:t>|</w:t>
            </w:r>
          </w:p>
        </w:tc>
      </w:tr>
      <w:tr w:rsidR="002C1990" w:rsidRPr="009941F8" w14:paraId="48B0ADD3" w14:textId="77777777" w:rsidTr="00233562">
        <w:tc>
          <w:tcPr>
            <w:tcW w:w="5098" w:type="dxa"/>
            <w:tcBorders>
              <w:top w:val="nil"/>
              <w:bottom w:val="nil"/>
            </w:tcBorders>
          </w:tcPr>
          <w:p w14:paraId="3E8D33BA" w14:textId="77777777" w:rsidR="002C1990" w:rsidRPr="009941F8" w:rsidRDefault="002C1990" w:rsidP="002C1990">
            <w:pPr>
              <w:pStyle w:val="TableText0"/>
              <w:numPr>
                <w:ilvl w:val="0"/>
                <w:numId w:val="7"/>
              </w:numPr>
              <w:ind w:left="22" w:hanging="22"/>
            </w:pPr>
            <w:r w:rsidRPr="009941F8">
              <w:t>8 administrations Cycle 1 (requested Balance of Supply)</w:t>
            </w:r>
          </w:p>
        </w:tc>
        <w:tc>
          <w:tcPr>
            <w:tcW w:w="1134" w:type="dxa"/>
            <w:tcBorders>
              <w:top w:val="nil"/>
              <w:bottom w:val="single" w:sz="4" w:space="0" w:color="auto"/>
            </w:tcBorders>
            <w:shd w:val="clear" w:color="auto" w:fill="auto"/>
          </w:tcPr>
          <w:p w14:paraId="4A063698" w14:textId="19767AF5" w:rsidR="002C1990" w:rsidRPr="00AB3F41" w:rsidRDefault="002C1990" w:rsidP="002C1990">
            <w:pPr>
              <w:pStyle w:val="TableText0"/>
              <w:jc w:val="center"/>
              <w:rPr>
                <w:highlight w:val="lightGray"/>
              </w:rPr>
            </w:pPr>
            <w:r w:rsidRPr="00882E4E">
              <w:rPr>
                <w:rFonts w:hint="eastAsia"/>
                <w:color w:val="000000"/>
                <w:w w:val="15"/>
                <w:shd w:val="solid" w:color="000000" w:fill="000000"/>
                <w14:textFill>
                  <w14:solidFill>
                    <w14:srgbClr w14:val="000000">
                      <w14:alpha w14:val="100000"/>
                    </w14:srgbClr>
                  </w14:solidFill>
                </w14:textFill>
              </w:rPr>
              <w:t xml:space="preserve">　</w:t>
            </w:r>
            <w:r w:rsidRPr="00882E4E">
              <w:rPr>
                <w:color w:val="000000"/>
                <w:w w:val="15"/>
                <w:shd w:val="solid" w:color="000000" w:fill="000000"/>
                <w14:textFill>
                  <w14:solidFill>
                    <w14:srgbClr w14:val="000000">
                      <w14:alpha w14:val="100000"/>
                    </w14:srgbClr>
                  </w14:solidFill>
                </w14:textFill>
              </w:rPr>
              <w:t>|</w:t>
            </w:r>
            <w:r w:rsidRPr="00882E4E">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6B693EC1" w14:textId="77777777" w:rsidR="002C1990" w:rsidRPr="009941F8" w:rsidRDefault="002C1990" w:rsidP="002C1990">
            <w:pPr>
              <w:pStyle w:val="TableText0"/>
              <w:jc w:val="center"/>
            </w:pPr>
            <w:r w:rsidRPr="009941F8">
              <w:t>0.129</w:t>
            </w:r>
          </w:p>
        </w:tc>
        <w:tc>
          <w:tcPr>
            <w:tcW w:w="851" w:type="dxa"/>
            <w:tcBorders>
              <w:top w:val="nil"/>
              <w:bottom w:val="nil"/>
            </w:tcBorders>
          </w:tcPr>
          <w:p w14:paraId="3F9974A4" w14:textId="06A2B4F3"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35"/>
                <w14:textFill>
                  <w14:solidFill>
                    <w14:srgbClr w14:val="000000">
                      <w14:alpha w14:val="100000"/>
                    </w14:srgbClr>
                  </w14:solidFill>
                </w14:textFill>
              </w:rPr>
              <w:t>|</w:t>
            </w:r>
            <w:r w:rsidRPr="00640EC9">
              <w:rPr>
                <w:color w:val="000000"/>
                <w:spacing w:val="1"/>
                <w:shd w:val="solid" w:color="000000" w:fill="000000"/>
                <w:fitText w:val="204" w:id="-961890035"/>
                <w14:textFill>
                  <w14:solidFill>
                    <w14:srgbClr w14:val="000000">
                      <w14:alpha w14:val="100000"/>
                    </w14:srgbClr>
                  </w14:solidFill>
                </w14:textFill>
              </w:rPr>
              <w:t>|</w:t>
            </w:r>
            <w:r w:rsidRPr="0068000F">
              <w:rPr>
                <w:szCs w:val="20"/>
                <w:vertAlign w:val="superscript"/>
              </w:rPr>
              <w:t>3</w:t>
            </w:r>
          </w:p>
        </w:tc>
        <w:tc>
          <w:tcPr>
            <w:tcW w:w="873" w:type="dxa"/>
            <w:tcBorders>
              <w:top w:val="nil"/>
              <w:bottom w:val="single" w:sz="4" w:space="0" w:color="auto"/>
            </w:tcBorders>
            <w:shd w:val="clear" w:color="auto" w:fill="auto"/>
          </w:tcPr>
          <w:p w14:paraId="7D1C7B3C" w14:textId="4CDB3862" w:rsidR="002C1990" w:rsidRPr="00AB3F41" w:rsidRDefault="002C1990" w:rsidP="002C1990">
            <w:pPr>
              <w:pStyle w:val="TableText0"/>
              <w:jc w:val="center"/>
              <w:rPr>
                <w:highlight w:val="lightGray"/>
              </w:rPr>
            </w:pPr>
            <w:r w:rsidRPr="002F67F1">
              <w:rPr>
                <w:color w:val="000000"/>
                <w:spacing w:val="82"/>
                <w:shd w:val="solid" w:color="000000" w:fill="000000"/>
                <w14:textFill>
                  <w14:solidFill>
                    <w14:srgbClr w14:val="000000">
                      <w14:alpha w14:val="100000"/>
                    </w14:srgbClr>
                  </w14:solidFill>
                </w14:textFill>
              </w:rPr>
              <w:t>|</w:t>
            </w:r>
          </w:p>
        </w:tc>
      </w:tr>
      <w:tr w:rsidR="002C1990" w:rsidRPr="009941F8" w14:paraId="0D54B4D6" w14:textId="77777777" w:rsidTr="00233562">
        <w:tc>
          <w:tcPr>
            <w:tcW w:w="5098" w:type="dxa"/>
            <w:tcBorders>
              <w:bottom w:val="nil"/>
            </w:tcBorders>
          </w:tcPr>
          <w:p w14:paraId="3D094966" w14:textId="77777777" w:rsidR="002C1990" w:rsidRPr="009941F8" w:rsidRDefault="002C1990" w:rsidP="002C1990">
            <w:pPr>
              <w:pStyle w:val="TableText0"/>
            </w:pPr>
            <w:r w:rsidRPr="009941F8">
              <w:t xml:space="preserve">LLDAS states related cost (base </w:t>
            </w:r>
            <w:r w:rsidRPr="00831A70">
              <w:t>LLDAS $96, not LLDAS $5,976)</w:t>
            </w:r>
          </w:p>
        </w:tc>
        <w:tc>
          <w:tcPr>
            <w:tcW w:w="1134" w:type="dxa"/>
            <w:tcBorders>
              <w:top w:val="single" w:sz="4" w:space="0" w:color="auto"/>
              <w:bottom w:val="nil"/>
            </w:tcBorders>
          </w:tcPr>
          <w:p w14:paraId="2851AE6A" w14:textId="77777777" w:rsidR="002C1990" w:rsidRPr="009941F8" w:rsidRDefault="002C1990" w:rsidP="002C1990">
            <w:pPr>
              <w:pStyle w:val="TableText0"/>
              <w:jc w:val="center"/>
            </w:pPr>
          </w:p>
        </w:tc>
        <w:tc>
          <w:tcPr>
            <w:tcW w:w="1134" w:type="dxa"/>
            <w:tcBorders>
              <w:bottom w:val="nil"/>
            </w:tcBorders>
          </w:tcPr>
          <w:p w14:paraId="609CE29C" w14:textId="77777777" w:rsidR="002C1990" w:rsidRPr="009941F8" w:rsidRDefault="002C1990" w:rsidP="002C1990">
            <w:pPr>
              <w:pStyle w:val="TableText0"/>
              <w:jc w:val="center"/>
            </w:pPr>
          </w:p>
        </w:tc>
        <w:tc>
          <w:tcPr>
            <w:tcW w:w="851" w:type="dxa"/>
            <w:tcBorders>
              <w:bottom w:val="nil"/>
            </w:tcBorders>
          </w:tcPr>
          <w:p w14:paraId="7DAE6D29" w14:textId="77777777" w:rsidR="002C1990" w:rsidRPr="009941F8" w:rsidRDefault="002C1990" w:rsidP="002C1990">
            <w:pPr>
              <w:pStyle w:val="TableText0"/>
              <w:jc w:val="center"/>
            </w:pPr>
          </w:p>
        </w:tc>
        <w:tc>
          <w:tcPr>
            <w:tcW w:w="873" w:type="dxa"/>
            <w:tcBorders>
              <w:top w:val="single" w:sz="4" w:space="0" w:color="auto"/>
              <w:bottom w:val="nil"/>
            </w:tcBorders>
            <w:shd w:val="clear" w:color="auto" w:fill="auto"/>
          </w:tcPr>
          <w:p w14:paraId="279EACB7" w14:textId="30B84802" w:rsidR="002C1990" w:rsidRPr="0068000F" w:rsidRDefault="002C1990" w:rsidP="002C1990">
            <w:pPr>
              <w:pStyle w:val="TableText0"/>
              <w:jc w:val="center"/>
            </w:pPr>
          </w:p>
        </w:tc>
      </w:tr>
      <w:tr w:rsidR="002C1990" w:rsidRPr="009941F8" w14:paraId="18FF91F5" w14:textId="77777777" w:rsidTr="00233562">
        <w:tc>
          <w:tcPr>
            <w:tcW w:w="5098" w:type="dxa"/>
            <w:tcBorders>
              <w:top w:val="nil"/>
              <w:bottom w:val="nil"/>
            </w:tcBorders>
          </w:tcPr>
          <w:p w14:paraId="05AA2CBE" w14:textId="77777777" w:rsidR="002C1990" w:rsidRPr="009941F8" w:rsidRDefault="002C1990" w:rsidP="002C1990">
            <w:pPr>
              <w:pStyle w:val="TableText0"/>
              <w:numPr>
                <w:ilvl w:val="0"/>
                <w:numId w:val="7"/>
              </w:numPr>
              <w:ind w:left="22" w:hanging="22"/>
            </w:pPr>
            <w:r w:rsidRPr="009941F8">
              <w:t>Decrease ‘not LLDAS’ 20%</w:t>
            </w:r>
          </w:p>
        </w:tc>
        <w:tc>
          <w:tcPr>
            <w:tcW w:w="1134" w:type="dxa"/>
            <w:tcBorders>
              <w:top w:val="nil"/>
              <w:bottom w:val="nil"/>
            </w:tcBorders>
            <w:shd w:val="clear" w:color="auto" w:fill="auto"/>
          </w:tcPr>
          <w:p w14:paraId="6C8334EF" w14:textId="5082D8B0" w:rsidR="002C1990" w:rsidRPr="00AB3F41" w:rsidRDefault="002C1990" w:rsidP="002C1990">
            <w:pPr>
              <w:pStyle w:val="TableText0"/>
              <w:jc w:val="center"/>
              <w:rPr>
                <w:highlight w:val="lightGray"/>
              </w:rPr>
            </w:pPr>
            <w:r w:rsidRPr="00B9305C">
              <w:rPr>
                <w:rFonts w:hint="eastAsia"/>
                <w:color w:val="000000"/>
                <w:w w:val="15"/>
                <w:shd w:val="solid" w:color="000000" w:fill="000000"/>
                <w14:textFill>
                  <w14:solidFill>
                    <w14:srgbClr w14:val="000000">
                      <w14:alpha w14:val="100000"/>
                    </w14:srgbClr>
                  </w14:solidFill>
                </w14:textFill>
              </w:rPr>
              <w:t xml:space="preserve">　</w:t>
            </w:r>
            <w:r w:rsidRPr="00B9305C">
              <w:rPr>
                <w:color w:val="000000"/>
                <w:w w:val="15"/>
                <w:shd w:val="solid" w:color="000000" w:fill="000000"/>
                <w14:textFill>
                  <w14:solidFill>
                    <w14:srgbClr w14:val="000000">
                      <w14:alpha w14:val="100000"/>
                    </w14:srgbClr>
                  </w14:solidFill>
                </w14:textFill>
              </w:rPr>
              <w:t>|</w:t>
            </w:r>
            <w:r w:rsidRPr="00B9305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0092B2B5" w14:textId="77777777" w:rsidR="002C1990" w:rsidRPr="009941F8" w:rsidRDefault="002C1990" w:rsidP="002C1990">
            <w:pPr>
              <w:pStyle w:val="TableText0"/>
              <w:jc w:val="center"/>
            </w:pPr>
            <w:r w:rsidRPr="009941F8">
              <w:t>0.129</w:t>
            </w:r>
          </w:p>
        </w:tc>
        <w:tc>
          <w:tcPr>
            <w:tcW w:w="851" w:type="dxa"/>
            <w:tcBorders>
              <w:top w:val="nil"/>
              <w:bottom w:val="nil"/>
            </w:tcBorders>
          </w:tcPr>
          <w:p w14:paraId="16DE833A" w14:textId="6E89F9CE"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32"/>
                <w14:textFill>
                  <w14:solidFill>
                    <w14:srgbClr w14:val="000000">
                      <w14:alpha w14:val="100000"/>
                    </w14:srgbClr>
                  </w14:solidFill>
                </w14:textFill>
              </w:rPr>
              <w:t>|</w:t>
            </w:r>
            <w:r w:rsidRPr="00640EC9">
              <w:rPr>
                <w:color w:val="000000"/>
                <w:spacing w:val="1"/>
                <w:shd w:val="solid" w:color="000000" w:fill="000000"/>
                <w:fitText w:val="204" w:id="-961890032"/>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715D07C2" w14:textId="46868044" w:rsidR="002C1990" w:rsidRPr="0068000F" w:rsidRDefault="002C1990" w:rsidP="002C1990">
            <w:pPr>
              <w:pStyle w:val="TableText0"/>
              <w:jc w:val="center"/>
            </w:pPr>
            <w:r w:rsidRPr="002F67F1">
              <w:rPr>
                <w:color w:val="000000"/>
                <w:spacing w:val="82"/>
                <w:shd w:val="solid" w:color="000000" w:fill="000000"/>
                <w14:textFill>
                  <w14:solidFill>
                    <w14:srgbClr w14:val="000000">
                      <w14:alpha w14:val="100000"/>
                    </w14:srgbClr>
                  </w14:solidFill>
                </w14:textFill>
              </w:rPr>
              <w:t>|</w:t>
            </w:r>
          </w:p>
        </w:tc>
      </w:tr>
      <w:tr w:rsidR="00A91341" w:rsidRPr="009941F8" w14:paraId="0EB6BA81" w14:textId="77777777" w:rsidTr="00233562">
        <w:tc>
          <w:tcPr>
            <w:tcW w:w="5098" w:type="dxa"/>
            <w:tcBorders>
              <w:top w:val="nil"/>
              <w:bottom w:val="nil"/>
            </w:tcBorders>
          </w:tcPr>
          <w:p w14:paraId="1F8F123D" w14:textId="77777777" w:rsidR="00A91341" w:rsidRPr="009941F8" w:rsidRDefault="00A91341" w:rsidP="00A91341">
            <w:pPr>
              <w:pStyle w:val="TableText0"/>
              <w:numPr>
                <w:ilvl w:val="0"/>
                <w:numId w:val="7"/>
              </w:numPr>
              <w:ind w:left="22" w:hanging="22"/>
            </w:pPr>
            <w:r w:rsidRPr="009941F8">
              <w:t>Increase ‘not LLDAS’ 20%</w:t>
            </w:r>
          </w:p>
        </w:tc>
        <w:tc>
          <w:tcPr>
            <w:tcW w:w="1134" w:type="dxa"/>
            <w:tcBorders>
              <w:top w:val="nil"/>
              <w:bottom w:val="nil"/>
            </w:tcBorders>
            <w:shd w:val="clear" w:color="auto" w:fill="auto"/>
          </w:tcPr>
          <w:p w14:paraId="4EBB6468" w14:textId="2F21F7B2" w:rsidR="00A91341" w:rsidRPr="00AB3F41" w:rsidRDefault="00A91341" w:rsidP="00A91341">
            <w:pPr>
              <w:pStyle w:val="TableText0"/>
              <w:jc w:val="center"/>
              <w:rPr>
                <w:highlight w:val="lightGray"/>
              </w:rPr>
            </w:pPr>
            <w:r w:rsidRPr="00B9305C">
              <w:rPr>
                <w:rFonts w:hint="eastAsia"/>
                <w:color w:val="000000"/>
                <w:w w:val="15"/>
                <w:shd w:val="solid" w:color="000000" w:fill="000000"/>
                <w14:textFill>
                  <w14:solidFill>
                    <w14:srgbClr w14:val="000000">
                      <w14:alpha w14:val="100000"/>
                    </w14:srgbClr>
                  </w14:solidFill>
                </w14:textFill>
              </w:rPr>
              <w:t xml:space="preserve">　</w:t>
            </w:r>
            <w:r w:rsidRPr="00B9305C">
              <w:rPr>
                <w:color w:val="000000"/>
                <w:w w:val="15"/>
                <w:shd w:val="solid" w:color="000000" w:fill="000000"/>
                <w14:textFill>
                  <w14:solidFill>
                    <w14:srgbClr w14:val="000000">
                      <w14:alpha w14:val="100000"/>
                    </w14:srgbClr>
                  </w14:solidFill>
                </w14:textFill>
              </w:rPr>
              <w:t>|</w:t>
            </w:r>
            <w:r w:rsidRPr="00B9305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0607D71B" w14:textId="77777777" w:rsidR="00A91341" w:rsidRPr="009941F8" w:rsidRDefault="00A91341" w:rsidP="00A91341">
            <w:pPr>
              <w:pStyle w:val="TableText0"/>
              <w:jc w:val="center"/>
            </w:pPr>
            <w:r w:rsidRPr="009941F8">
              <w:t>0.129</w:t>
            </w:r>
          </w:p>
        </w:tc>
        <w:tc>
          <w:tcPr>
            <w:tcW w:w="851" w:type="dxa"/>
            <w:tcBorders>
              <w:top w:val="nil"/>
              <w:bottom w:val="nil"/>
            </w:tcBorders>
          </w:tcPr>
          <w:p w14:paraId="75D3DACE" w14:textId="1043CFA4"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46"/>
                <w14:textFill>
                  <w14:solidFill>
                    <w14:srgbClr w14:val="000000">
                      <w14:alpha w14:val="100000"/>
                    </w14:srgbClr>
                  </w14:solidFill>
                </w14:textFill>
              </w:rPr>
              <w:t>|</w:t>
            </w:r>
            <w:r w:rsidRPr="00640EC9">
              <w:rPr>
                <w:color w:val="000000"/>
                <w:spacing w:val="1"/>
                <w:shd w:val="solid" w:color="000000" w:fill="000000"/>
                <w:fitText w:val="204" w:id="-961890046"/>
                <w14:textFill>
                  <w14:solidFill>
                    <w14:srgbClr w14:val="000000">
                      <w14:alpha w14:val="100000"/>
                    </w14:srgbClr>
                  </w14:solidFill>
                </w14:textFill>
              </w:rPr>
              <w:t>|</w:t>
            </w:r>
            <w:r w:rsidRPr="0068000F">
              <w:rPr>
                <w:vertAlign w:val="superscript"/>
              </w:rPr>
              <w:t>1</w:t>
            </w:r>
          </w:p>
        </w:tc>
        <w:tc>
          <w:tcPr>
            <w:tcW w:w="873" w:type="dxa"/>
            <w:tcBorders>
              <w:top w:val="nil"/>
              <w:bottom w:val="nil"/>
            </w:tcBorders>
          </w:tcPr>
          <w:p w14:paraId="5B7E1349" w14:textId="25F5D041" w:rsidR="00A91341" w:rsidRPr="0068000F" w:rsidRDefault="00A91341" w:rsidP="00A91341">
            <w:pPr>
              <w:pStyle w:val="TableText0"/>
              <w:jc w:val="center"/>
            </w:pPr>
            <w:r w:rsidRPr="0068000F">
              <w:t>-</w:t>
            </w:r>
            <w:r w:rsidRPr="00640EC9">
              <w:rPr>
                <w:color w:val="000000"/>
                <w:spacing w:val="106"/>
                <w:shd w:val="solid" w:color="000000" w:fill="000000"/>
                <w:fitText w:val="192" w:id="-961890045"/>
                <w14:textFill>
                  <w14:solidFill>
                    <w14:srgbClr w14:val="000000">
                      <w14:alpha w14:val="100000"/>
                    </w14:srgbClr>
                  </w14:solidFill>
                </w14:textFill>
              </w:rPr>
              <w:t>|</w:t>
            </w:r>
            <w:r w:rsidRPr="00640EC9">
              <w:rPr>
                <w:color w:val="000000"/>
                <w:spacing w:val="1"/>
                <w:shd w:val="solid" w:color="000000" w:fill="000000"/>
                <w:fitText w:val="192" w:id="-961890045"/>
                <w14:textFill>
                  <w14:solidFill>
                    <w14:srgbClr w14:val="000000">
                      <w14:alpha w14:val="100000"/>
                    </w14:srgbClr>
                  </w14:solidFill>
                </w14:textFill>
              </w:rPr>
              <w:t>|</w:t>
            </w:r>
          </w:p>
        </w:tc>
      </w:tr>
      <w:tr w:rsidR="002C1990" w:rsidRPr="009941F8" w14:paraId="050460BB" w14:textId="77777777" w:rsidTr="00233562">
        <w:tc>
          <w:tcPr>
            <w:tcW w:w="5098" w:type="dxa"/>
            <w:tcBorders>
              <w:top w:val="nil"/>
              <w:bottom w:val="nil"/>
            </w:tcBorders>
          </w:tcPr>
          <w:p w14:paraId="131D9852" w14:textId="71B05E8E" w:rsidR="002C1990" w:rsidRPr="009941F8" w:rsidRDefault="002C1990" w:rsidP="002C1990">
            <w:pPr>
              <w:pStyle w:val="TableText0"/>
              <w:numPr>
                <w:ilvl w:val="0"/>
                <w:numId w:val="7"/>
              </w:numPr>
              <w:ind w:left="22" w:hanging="22"/>
            </w:pPr>
            <w:r w:rsidRPr="009941F8">
              <w:t>Incremental cost ‘not LLDAS’ vs LLDAS group, Yeo 2020 ($</w:t>
            </w:r>
            <w:r w:rsidRPr="00CC327E">
              <w:t>2,203)</w:t>
            </w:r>
          </w:p>
        </w:tc>
        <w:tc>
          <w:tcPr>
            <w:tcW w:w="1134" w:type="dxa"/>
            <w:tcBorders>
              <w:top w:val="nil"/>
              <w:bottom w:val="nil"/>
            </w:tcBorders>
            <w:shd w:val="clear" w:color="auto" w:fill="auto"/>
          </w:tcPr>
          <w:p w14:paraId="716930C4" w14:textId="2FB4FA8B" w:rsidR="002C1990" w:rsidRPr="00AB3F41" w:rsidRDefault="002C1990" w:rsidP="002C1990">
            <w:pPr>
              <w:pStyle w:val="TableText0"/>
              <w:jc w:val="center"/>
              <w:rPr>
                <w:highlight w:val="lightGray"/>
              </w:rPr>
            </w:pPr>
            <w:r w:rsidRPr="00B9305C">
              <w:rPr>
                <w:rFonts w:hint="eastAsia"/>
                <w:color w:val="000000"/>
                <w:w w:val="15"/>
                <w:shd w:val="solid" w:color="000000" w:fill="000000"/>
                <w14:textFill>
                  <w14:solidFill>
                    <w14:srgbClr w14:val="000000">
                      <w14:alpha w14:val="100000"/>
                    </w14:srgbClr>
                  </w14:solidFill>
                </w14:textFill>
              </w:rPr>
              <w:t xml:space="preserve">　</w:t>
            </w:r>
            <w:r w:rsidRPr="00B9305C">
              <w:rPr>
                <w:color w:val="000000"/>
                <w:w w:val="15"/>
                <w:shd w:val="solid" w:color="000000" w:fill="000000"/>
                <w14:textFill>
                  <w14:solidFill>
                    <w14:srgbClr w14:val="000000">
                      <w14:alpha w14:val="100000"/>
                    </w14:srgbClr>
                  </w14:solidFill>
                </w14:textFill>
              </w:rPr>
              <w:t>|</w:t>
            </w:r>
            <w:r w:rsidRPr="00B9305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6B80CB22" w14:textId="77777777" w:rsidR="002C1990" w:rsidRPr="009941F8" w:rsidRDefault="002C1990" w:rsidP="002C1990">
            <w:pPr>
              <w:pStyle w:val="TableText0"/>
              <w:jc w:val="center"/>
            </w:pPr>
            <w:r w:rsidRPr="009941F8">
              <w:t>0.129</w:t>
            </w:r>
          </w:p>
        </w:tc>
        <w:tc>
          <w:tcPr>
            <w:tcW w:w="851" w:type="dxa"/>
            <w:tcBorders>
              <w:top w:val="nil"/>
              <w:bottom w:val="nil"/>
            </w:tcBorders>
          </w:tcPr>
          <w:p w14:paraId="46FDC1F9" w14:textId="40BDEB47"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43"/>
                <w14:textFill>
                  <w14:solidFill>
                    <w14:srgbClr w14:val="000000">
                      <w14:alpha w14:val="100000"/>
                    </w14:srgbClr>
                  </w14:solidFill>
                </w14:textFill>
              </w:rPr>
              <w:t>|</w:t>
            </w:r>
            <w:r w:rsidRPr="00640EC9">
              <w:rPr>
                <w:color w:val="000000"/>
                <w:spacing w:val="1"/>
                <w:shd w:val="solid" w:color="000000" w:fill="000000"/>
                <w:fitText w:val="204" w:id="-961890043"/>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10075995" w14:textId="0B1114BB" w:rsidR="002C1990" w:rsidRPr="00AB3F41" w:rsidRDefault="002C1990" w:rsidP="002C1990">
            <w:pPr>
              <w:pStyle w:val="TableText0"/>
              <w:jc w:val="center"/>
              <w:rPr>
                <w:highlight w:val="lightGray"/>
              </w:rPr>
            </w:pPr>
            <w:r w:rsidRPr="00C07FA3">
              <w:rPr>
                <w:color w:val="000000"/>
                <w:spacing w:val="82"/>
                <w:shd w:val="solid" w:color="000000" w:fill="000000"/>
                <w14:textFill>
                  <w14:solidFill>
                    <w14:srgbClr w14:val="000000">
                      <w14:alpha w14:val="100000"/>
                    </w14:srgbClr>
                  </w14:solidFill>
                </w14:textFill>
              </w:rPr>
              <w:t>|</w:t>
            </w:r>
          </w:p>
        </w:tc>
      </w:tr>
      <w:tr w:rsidR="002C1990" w:rsidRPr="009941F8" w14:paraId="467A4BE1" w14:textId="77777777" w:rsidTr="00233562">
        <w:tc>
          <w:tcPr>
            <w:tcW w:w="5098" w:type="dxa"/>
            <w:tcBorders>
              <w:top w:val="nil"/>
              <w:bottom w:val="nil"/>
            </w:tcBorders>
          </w:tcPr>
          <w:p w14:paraId="13FF90DF" w14:textId="2173A9C9" w:rsidR="002C1990" w:rsidRPr="009941F8" w:rsidRDefault="002C1990" w:rsidP="002C1990">
            <w:pPr>
              <w:pStyle w:val="TableText0"/>
              <w:numPr>
                <w:ilvl w:val="0"/>
                <w:numId w:val="7"/>
              </w:numPr>
              <w:ind w:left="22" w:hanging="22"/>
            </w:pPr>
            <w:r w:rsidRPr="009941F8">
              <w:t>LLDAS from Yeo 2020 ($</w:t>
            </w:r>
            <w:r w:rsidRPr="00CC327E">
              <w:t>3,773</w:t>
            </w:r>
            <w:r w:rsidRPr="009941F8">
              <w:t xml:space="preserve">) </w:t>
            </w:r>
          </w:p>
        </w:tc>
        <w:tc>
          <w:tcPr>
            <w:tcW w:w="1134" w:type="dxa"/>
            <w:tcBorders>
              <w:top w:val="nil"/>
              <w:bottom w:val="nil"/>
            </w:tcBorders>
            <w:shd w:val="clear" w:color="auto" w:fill="auto"/>
          </w:tcPr>
          <w:p w14:paraId="4E65718F" w14:textId="794CBA22" w:rsidR="002C1990" w:rsidRPr="00AB3F41" w:rsidRDefault="002C1990" w:rsidP="002C1990">
            <w:pPr>
              <w:pStyle w:val="TableText0"/>
              <w:jc w:val="center"/>
              <w:rPr>
                <w:highlight w:val="lightGray"/>
              </w:rPr>
            </w:pPr>
            <w:r w:rsidRPr="00B9305C">
              <w:rPr>
                <w:rFonts w:hint="eastAsia"/>
                <w:color w:val="000000"/>
                <w:w w:val="15"/>
                <w:shd w:val="solid" w:color="000000" w:fill="000000"/>
                <w14:textFill>
                  <w14:solidFill>
                    <w14:srgbClr w14:val="000000">
                      <w14:alpha w14:val="100000"/>
                    </w14:srgbClr>
                  </w14:solidFill>
                </w14:textFill>
              </w:rPr>
              <w:t xml:space="preserve">　</w:t>
            </w:r>
            <w:r w:rsidRPr="00B9305C">
              <w:rPr>
                <w:color w:val="000000"/>
                <w:w w:val="15"/>
                <w:shd w:val="solid" w:color="000000" w:fill="000000"/>
                <w14:textFill>
                  <w14:solidFill>
                    <w14:srgbClr w14:val="000000">
                      <w14:alpha w14:val="100000"/>
                    </w14:srgbClr>
                  </w14:solidFill>
                </w14:textFill>
              </w:rPr>
              <w:t>|</w:t>
            </w:r>
            <w:r w:rsidRPr="00B9305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24C25DC8" w14:textId="77777777" w:rsidR="002C1990" w:rsidRPr="009941F8" w:rsidRDefault="002C1990" w:rsidP="002C1990">
            <w:pPr>
              <w:pStyle w:val="TableText0"/>
              <w:jc w:val="center"/>
            </w:pPr>
            <w:r w:rsidRPr="009941F8">
              <w:t>0.129</w:t>
            </w:r>
          </w:p>
        </w:tc>
        <w:tc>
          <w:tcPr>
            <w:tcW w:w="851" w:type="dxa"/>
            <w:tcBorders>
              <w:top w:val="nil"/>
              <w:bottom w:val="nil"/>
            </w:tcBorders>
          </w:tcPr>
          <w:p w14:paraId="4F948B89" w14:textId="49100CAD"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40"/>
                <w14:textFill>
                  <w14:solidFill>
                    <w14:srgbClr w14:val="000000">
                      <w14:alpha w14:val="100000"/>
                    </w14:srgbClr>
                  </w14:solidFill>
                </w14:textFill>
              </w:rPr>
              <w:t>|</w:t>
            </w:r>
            <w:r w:rsidRPr="00640EC9">
              <w:rPr>
                <w:color w:val="000000"/>
                <w:spacing w:val="1"/>
                <w:shd w:val="solid" w:color="000000" w:fill="000000"/>
                <w:fitText w:val="204" w:id="-961890040"/>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10B9E45C" w14:textId="477ECAA6" w:rsidR="002C1990" w:rsidRPr="00AB3F41" w:rsidRDefault="002C1990" w:rsidP="002C1990">
            <w:pPr>
              <w:pStyle w:val="TableText0"/>
              <w:jc w:val="center"/>
              <w:rPr>
                <w:highlight w:val="lightGray"/>
              </w:rPr>
            </w:pPr>
            <w:r w:rsidRPr="00C07FA3">
              <w:rPr>
                <w:color w:val="000000"/>
                <w:spacing w:val="82"/>
                <w:shd w:val="solid" w:color="000000" w:fill="000000"/>
                <w14:textFill>
                  <w14:solidFill>
                    <w14:srgbClr w14:val="000000">
                      <w14:alpha w14:val="100000"/>
                    </w14:srgbClr>
                  </w14:solidFill>
                </w14:textFill>
              </w:rPr>
              <w:t>|</w:t>
            </w:r>
          </w:p>
        </w:tc>
      </w:tr>
      <w:tr w:rsidR="00553EB3" w:rsidRPr="009941F8" w14:paraId="2998B287" w14:textId="77777777" w:rsidTr="00CC67E7">
        <w:tc>
          <w:tcPr>
            <w:tcW w:w="9090" w:type="dxa"/>
            <w:gridSpan w:val="5"/>
            <w:tcBorders>
              <w:top w:val="single" w:sz="4" w:space="0" w:color="auto"/>
              <w:bottom w:val="nil"/>
            </w:tcBorders>
          </w:tcPr>
          <w:p w14:paraId="1EA48BED" w14:textId="77777777" w:rsidR="00553EB3" w:rsidRPr="009941F8" w:rsidRDefault="00553EB3" w:rsidP="00FA3EC9">
            <w:pPr>
              <w:pStyle w:val="TableText0"/>
              <w:keepLines/>
            </w:pPr>
            <w:r w:rsidRPr="009941F8">
              <w:t>Utility LLDAS (base TULIP anifrolumab arm 0.89 LLDAS, 0.78 not LLDAS, including 0.03 OCS disutility)</w:t>
            </w:r>
          </w:p>
        </w:tc>
      </w:tr>
      <w:tr w:rsidR="00A91341" w:rsidRPr="009941F8" w14:paraId="5812C442" w14:textId="77777777" w:rsidTr="00233562">
        <w:tc>
          <w:tcPr>
            <w:tcW w:w="5098" w:type="dxa"/>
            <w:tcBorders>
              <w:top w:val="nil"/>
              <w:bottom w:val="nil"/>
            </w:tcBorders>
          </w:tcPr>
          <w:p w14:paraId="6205BE0E" w14:textId="77777777" w:rsidR="00A91341" w:rsidRPr="009941F8" w:rsidRDefault="00A91341" w:rsidP="00A91341">
            <w:pPr>
              <w:pStyle w:val="TableText0"/>
              <w:keepLines/>
              <w:numPr>
                <w:ilvl w:val="0"/>
                <w:numId w:val="7"/>
              </w:numPr>
              <w:ind w:left="22" w:hanging="22"/>
            </w:pPr>
            <w:r w:rsidRPr="009941F8">
              <w:t>Wang 2014 (LLDAS 0.85, not LLDAS 0.62)</w:t>
            </w:r>
          </w:p>
        </w:tc>
        <w:tc>
          <w:tcPr>
            <w:tcW w:w="1134" w:type="dxa"/>
            <w:tcBorders>
              <w:top w:val="nil"/>
              <w:bottom w:val="nil"/>
            </w:tcBorders>
            <w:shd w:val="clear" w:color="auto" w:fill="auto"/>
          </w:tcPr>
          <w:p w14:paraId="11591733" w14:textId="269791B8" w:rsidR="00A91341" w:rsidRPr="00AB3F41" w:rsidRDefault="00A91341" w:rsidP="00A91341">
            <w:pPr>
              <w:pStyle w:val="TableText0"/>
              <w:keepLines/>
              <w:jc w:val="center"/>
              <w:rPr>
                <w:highlight w:val="lightGray"/>
              </w:rPr>
            </w:pPr>
            <w:r w:rsidRPr="00627DD1">
              <w:rPr>
                <w:rFonts w:hint="eastAsia"/>
                <w:color w:val="000000"/>
                <w:w w:val="15"/>
                <w:shd w:val="solid" w:color="000000" w:fill="000000"/>
                <w14:textFill>
                  <w14:solidFill>
                    <w14:srgbClr w14:val="000000">
                      <w14:alpha w14:val="100000"/>
                    </w14:srgbClr>
                  </w14:solidFill>
                </w14:textFill>
              </w:rPr>
              <w:t xml:space="preserve">　</w:t>
            </w:r>
            <w:r w:rsidRPr="00627DD1">
              <w:rPr>
                <w:color w:val="000000"/>
                <w:w w:val="15"/>
                <w:shd w:val="solid" w:color="000000" w:fill="000000"/>
                <w14:textFill>
                  <w14:solidFill>
                    <w14:srgbClr w14:val="000000">
                      <w14:alpha w14:val="100000"/>
                    </w14:srgbClr>
                  </w14:solidFill>
                </w14:textFill>
              </w:rPr>
              <w:t>|</w:t>
            </w:r>
            <w:r w:rsidRPr="00627DD1">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21DBB986" w14:textId="77777777" w:rsidR="00A91341" w:rsidRPr="009941F8" w:rsidRDefault="00A91341" w:rsidP="00A91341">
            <w:pPr>
              <w:pStyle w:val="TableText0"/>
              <w:keepLines/>
              <w:jc w:val="center"/>
            </w:pPr>
            <w:r w:rsidRPr="009941F8">
              <w:t>0.171</w:t>
            </w:r>
          </w:p>
        </w:tc>
        <w:tc>
          <w:tcPr>
            <w:tcW w:w="851" w:type="dxa"/>
            <w:tcBorders>
              <w:top w:val="nil"/>
              <w:bottom w:val="nil"/>
            </w:tcBorders>
          </w:tcPr>
          <w:p w14:paraId="056913CA" w14:textId="1637756E" w:rsidR="00A91341" w:rsidRPr="00AB3F41" w:rsidRDefault="00A91341" w:rsidP="00A91341">
            <w:pPr>
              <w:pStyle w:val="TableText0"/>
              <w:keepLines/>
              <w:jc w:val="center"/>
              <w:rPr>
                <w:highlight w:val="lightGray"/>
              </w:rPr>
            </w:pPr>
            <w:r w:rsidRPr="00640EC9">
              <w:rPr>
                <w:color w:val="000000"/>
                <w:spacing w:val="118"/>
                <w:shd w:val="solid" w:color="000000" w:fill="000000"/>
                <w:fitText w:val="204" w:id="-961890037"/>
                <w14:textFill>
                  <w14:solidFill>
                    <w14:srgbClr w14:val="000000">
                      <w14:alpha w14:val="100000"/>
                    </w14:srgbClr>
                  </w14:solidFill>
                </w14:textFill>
              </w:rPr>
              <w:t>|</w:t>
            </w:r>
            <w:r w:rsidRPr="00640EC9">
              <w:rPr>
                <w:color w:val="000000"/>
                <w:spacing w:val="1"/>
                <w:shd w:val="solid" w:color="000000" w:fill="000000"/>
                <w:fitText w:val="204" w:id="-961890037"/>
                <w14:textFill>
                  <w14:solidFill>
                    <w14:srgbClr w14:val="000000">
                      <w14:alpha w14:val="100000"/>
                    </w14:srgbClr>
                  </w14:solidFill>
                </w14:textFill>
              </w:rPr>
              <w:t>|</w:t>
            </w:r>
            <w:r w:rsidRPr="0068000F">
              <w:rPr>
                <w:vertAlign w:val="superscript"/>
              </w:rPr>
              <w:t>2</w:t>
            </w:r>
          </w:p>
        </w:tc>
        <w:tc>
          <w:tcPr>
            <w:tcW w:w="873" w:type="dxa"/>
            <w:tcBorders>
              <w:top w:val="nil"/>
              <w:bottom w:val="nil"/>
            </w:tcBorders>
          </w:tcPr>
          <w:p w14:paraId="2B28D226" w14:textId="2550FC84" w:rsidR="00A91341" w:rsidRPr="0068000F" w:rsidRDefault="00A91341" w:rsidP="00A91341">
            <w:pPr>
              <w:pStyle w:val="TableText0"/>
              <w:keepLines/>
              <w:jc w:val="center"/>
            </w:pPr>
            <w:r w:rsidRPr="0068000F">
              <w:t>-</w:t>
            </w:r>
            <w:r w:rsidRPr="00640EC9">
              <w:rPr>
                <w:color w:val="000000"/>
                <w:spacing w:val="106"/>
                <w:shd w:val="solid" w:color="000000" w:fill="000000"/>
                <w:fitText w:val="192" w:id="-961890036"/>
                <w14:textFill>
                  <w14:solidFill>
                    <w14:srgbClr w14:val="000000">
                      <w14:alpha w14:val="100000"/>
                    </w14:srgbClr>
                  </w14:solidFill>
                </w14:textFill>
              </w:rPr>
              <w:t>|</w:t>
            </w:r>
            <w:r w:rsidRPr="00640EC9">
              <w:rPr>
                <w:color w:val="000000"/>
                <w:spacing w:val="1"/>
                <w:shd w:val="solid" w:color="000000" w:fill="000000"/>
                <w:fitText w:val="192" w:id="-961890036"/>
                <w14:textFill>
                  <w14:solidFill>
                    <w14:srgbClr w14:val="000000">
                      <w14:alpha w14:val="100000"/>
                    </w14:srgbClr>
                  </w14:solidFill>
                </w14:textFill>
              </w:rPr>
              <w:t>|</w:t>
            </w:r>
          </w:p>
        </w:tc>
      </w:tr>
      <w:tr w:rsidR="002C1990" w:rsidRPr="009941F8" w14:paraId="3E9F4BD3" w14:textId="77777777" w:rsidTr="00233562">
        <w:tc>
          <w:tcPr>
            <w:tcW w:w="5098" w:type="dxa"/>
            <w:tcBorders>
              <w:top w:val="nil"/>
              <w:bottom w:val="nil"/>
            </w:tcBorders>
            <w:shd w:val="clear" w:color="auto" w:fill="auto"/>
          </w:tcPr>
          <w:p w14:paraId="1CB4E8C9" w14:textId="77777777" w:rsidR="002C1990" w:rsidRPr="009941F8" w:rsidRDefault="002C1990" w:rsidP="002C1990">
            <w:pPr>
              <w:pStyle w:val="TableText0"/>
              <w:keepLines/>
              <w:numPr>
                <w:ilvl w:val="0"/>
                <w:numId w:val="7"/>
              </w:numPr>
              <w:ind w:left="22" w:hanging="22"/>
            </w:pPr>
            <w:r w:rsidRPr="009941F8">
              <w:t>No OCS disutility</w:t>
            </w:r>
          </w:p>
        </w:tc>
        <w:tc>
          <w:tcPr>
            <w:tcW w:w="1134" w:type="dxa"/>
            <w:tcBorders>
              <w:top w:val="nil"/>
              <w:bottom w:val="nil"/>
            </w:tcBorders>
            <w:shd w:val="clear" w:color="auto" w:fill="auto"/>
          </w:tcPr>
          <w:p w14:paraId="63531819" w14:textId="78E79B34" w:rsidR="002C1990" w:rsidRPr="00AB3F41" w:rsidRDefault="002C1990" w:rsidP="002C1990">
            <w:pPr>
              <w:pStyle w:val="TableText0"/>
              <w:keepLines/>
              <w:jc w:val="center"/>
              <w:rPr>
                <w:highlight w:val="lightGray"/>
              </w:rPr>
            </w:pPr>
            <w:r w:rsidRPr="00627DD1">
              <w:rPr>
                <w:rFonts w:hint="eastAsia"/>
                <w:color w:val="000000"/>
                <w:w w:val="15"/>
                <w:shd w:val="solid" w:color="000000" w:fill="000000"/>
                <w14:textFill>
                  <w14:solidFill>
                    <w14:srgbClr w14:val="000000">
                      <w14:alpha w14:val="100000"/>
                    </w14:srgbClr>
                  </w14:solidFill>
                </w14:textFill>
              </w:rPr>
              <w:t xml:space="preserve">　</w:t>
            </w:r>
            <w:r w:rsidRPr="00627DD1">
              <w:rPr>
                <w:color w:val="000000"/>
                <w:w w:val="15"/>
                <w:shd w:val="solid" w:color="000000" w:fill="000000"/>
                <w14:textFill>
                  <w14:solidFill>
                    <w14:srgbClr w14:val="000000">
                      <w14:alpha w14:val="100000"/>
                    </w14:srgbClr>
                  </w14:solidFill>
                </w14:textFill>
              </w:rPr>
              <w:t>|</w:t>
            </w:r>
            <w:r w:rsidRPr="00627DD1">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shd w:val="clear" w:color="auto" w:fill="auto"/>
          </w:tcPr>
          <w:p w14:paraId="05D066F4" w14:textId="77777777" w:rsidR="002C1990" w:rsidRPr="009941F8" w:rsidRDefault="002C1990" w:rsidP="002C1990">
            <w:pPr>
              <w:pStyle w:val="TableText0"/>
              <w:keepLines/>
              <w:jc w:val="center"/>
            </w:pPr>
            <w:r w:rsidRPr="009941F8">
              <w:t>0.117</w:t>
            </w:r>
          </w:p>
        </w:tc>
        <w:tc>
          <w:tcPr>
            <w:tcW w:w="851" w:type="dxa"/>
            <w:tcBorders>
              <w:top w:val="nil"/>
              <w:bottom w:val="nil"/>
            </w:tcBorders>
            <w:shd w:val="clear" w:color="auto" w:fill="auto"/>
          </w:tcPr>
          <w:p w14:paraId="270A5963" w14:textId="1EE02A20" w:rsidR="002C1990" w:rsidRPr="00AB3F41" w:rsidRDefault="002C1990" w:rsidP="002C1990">
            <w:pPr>
              <w:pStyle w:val="TableText0"/>
              <w:keepLines/>
              <w:jc w:val="center"/>
              <w:rPr>
                <w:highlight w:val="lightGray"/>
              </w:rPr>
            </w:pPr>
            <w:r w:rsidRPr="00640EC9">
              <w:rPr>
                <w:color w:val="000000"/>
                <w:spacing w:val="118"/>
                <w:shd w:val="solid" w:color="000000" w:fill="000000"/>
                <w:fitText w:val="204" w:id="-961890034"/>
                <w14:textFill>
                  <w14:solidFill>
                    <w14:srgbClr w14:val="000000">
                      <w14:alpha w14:val="100000"/>
                    </w14:srgbClr>
                  </w14:solidFill>
                </w14:textFill>
              </w:rPr>
              <w:t>|</w:t>
            </w:r>
            <w:r w:rsidRPr="00640EC9">
              <w:rPr>
                <w:color w:val="000000"/>
                <w:spacing w:val="1"/>
                <w:shd w:val="solid" w:color="000000" w:fill="000000"/>
                <w:fitText w:val="204" w:id="-961890034"/>
                <w14:textFill>
                  <w14:solidFill>
                    <w14:srgbClr w14:val="000000">
                      <w14:alpha w14:val="100000"/>
                    </w14:srgbClr>
                  </w14:solidFill>
                </w14:textFill>
              </w:rPr>
              <w:t>|</w:t>
            </w:r>
            <w:r w:rsidRPr="0068000F">
              <w:rPr>
                <w:vertAlign w:val="superscript"/>
              </w:rPr>
              <w:t>1</w:t>
            </w:r>
          </w:p>
        </w:tc>
        <w:tc>
          <w:tcPr>
            <w:tcW w:w="873" w:type="dxa"/>
            <w:tcBorders>
              <w:top w:val="nil"/>
              <w:bottom w:val="nil"/>
            </w:tcBorders>
            <w:shd w:val="clear" w:color="auto" w:fill="auto"/>
          </w:tcPr>
          <w:p w14:paraId="5313EE06" w14:textId="14FCDF71" w:rsidR="002C1990" w:rsidRPr="00AB3F41" w:rsidRDefault="002C1990" w:rsidP="002C1990">
            <w:pPr>
              <w:pStyle w:val="TableText0"/>
              <w:keepLines/>
              <w:jc w:val="center"/>
              <w:rPr>
                <w:highlight w:val="lightGray"/>
              </w:rPr>
            </w:pPr>
            <w:r w:rsidRPr="00BC53B1">
              <w:rPr>
                <w:color w:val="000000"/>
                <w:spacing w:val="82"/>
                <w:shd w:val="solid" w:color="000000" w:fill="000000"/>
                <w14:textFill>
                  <w14:solidFill>
                    <w14:srgbClr w14:val="000000">
                      <w14:alpha w14:val="100000"/>
                    </w14:srgbClr>
                  </w14:solidFill>
                </w14:textFill>
              </w:rPr>
              <w:t>|</w:t>
            </w:r>
          </w:p>
        </w:tc>
      </w:tr>
      <w:tr w:rsidR="002C1990" w:rsidRPr="009941F8" w14:paraId="4F47F66E" w14:textId="77777777" w:rsidTr="00233562">
        <w:tc>
          <w:tcPr>
            <w:tcW w:w="5098" w:type="dxa"/>
            <w:tcBorders>
              <w:top w:val="nil"/>
              <w:bottom w:val="nil"/>
            </w:tcBorders>
          </w:tcPr>
          <w:p w14:paraId="002CA9DC" w14:textId="77777777" w:rsidR="002C1990" w:rsidRPr="009941F8" w:rsidRDefault="002C1990" w:rsidP="002C1990">
            <w:pPr>
              <w:pStyle w:val="TableText0"/>
              <w:keepLines/>
              <w:numPr>
                <w:ilvl w:val="0"/>
                <w:numId w:val="7"/>
              </w:numPr>
              <w:ind w:left="22" w:hanging="22"/>
            </w:pPr>
            <w:r w:rsidRPr="009941F8">
              <w:t>TULIP placebo arm (LLDAS 0.88, not LLDAS 0.82 no OCS disutility)</w:t>
            </w:r>
          </w:p>
        </w:tc>
        <w:tc>
          <w:tcPr>
            <w:tcW w:w="1134" w:type="dxa"/>
            <w:tcBorders>
              <w:top w:val="nil"/>
              <w:bottom w:val="single" w:sz="4" w:space="0" w:color="auto"/>
            </w:tcBorders>
            <w:shd w:val="clear" w:color="auto" w:fill="auto"/>
          </w:tcPr>
          <w:p w14:paraId="4C7D05FB" w14:textId="22FF474C" w:rsidR="002C1990" w:rsidRPr="00AB3F41" w:rsidRDefault="002C1990" w:rsidP="002C1990">
            <w:pPr>
              <w:pStyle w:val="TableText0"/>
              <w:keepLines/>
              <w:jc w:val="center"/>
              <w:rPr>
                <w:highlight w:val="lightGray"/>
              </w:rPr>
            </w:pPr>
            <w:r w:rsidRPr="00627DD1">
              <w:rPr>
                <w:rFonts w:hint="eastAsia"/>
                <w:color w:val="000000"/>
                <w:w w:val="15"/>
                <w:shd w:val="solid" w:color="000000" w:fill="000000"/>
                <w14:textFill>
                  <w14:solidFill>
                    <w14:srgbClr w14:val="000000">
                      <w14:alpha w14:val="100000"/>
                    </w14:srgbClr>
                  </w14:solidFill>
                </w14:textFill>
              </w:rPr>
              <w:t xml:space="preserve">　</w:t>
            </w:r>
            <w:r w:rsidRPr="00627DD1">
              <w:rPr>
                <w:color w:val="000000"/>
                <w:w w:val="15"/>
                <w:shd w:val="solid" w:color="000000" w:fill="000000"/>
                <w14:textFill>
                  <w14:solidFill>
                    <w14:srgbClr w14:val="000000">
                      <w14:alpha w14:val="100000"/>
                    </w14:srgbClr>
                  </w14:solidFill>
                </w14:textFill>
              </w:rPr>
              <w:t>|</w:t>
            </w:r>
            <w:r w:rsidRPr="00627DD1">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735B5CB4" w14:textId="77777777" w:rsidR="002C1990" w:rsidRPr="009941F8" w:rsidRDefault="002C1990" w:rsidP="002C1990">
            <w:pPr>
              <w:pStyle w:val="TableText0"/>
              <w:keepLines/>
              <w:jc w:val="center"/>
            </w:pPr>
            <w:r w:rsidRPr="009941F8">
              <w:t>0.110</w:t>
            </w:r>
          </w:p>
        </w:tc>
        <w:tc>
          <w:tcPr>
            <w:tcW w:w="851" w:type="dxa"/>
            <w:tcBorders>
              <w:top w:val="nil"/>
              <w:bottom w:val="nil"/>
            </w:tcBorders>
          </w:tcPr>
          <w:p w14:paraId="13004A8C" w14:textId="3EF00318" w:rsidR="002C1990" w:rsidRPr="00AB3F41" w:rsidRDefault="002C1990" w:rsidP="002C1990">
            <w:pPr>
              <w:pStyle w:val="TableText0"/>
              <w:keepLines/>
              <w:jc w:val="center"/>
              <w:rPr>
                <w:highlight w:val="lightGray"/>
              </w:rPr>
            </w:pPr>
            <w:r w:rsidRPr="00640EC9">
              <w:rPr>
                <w:color w:val="000000"/>
                <w:spacing w:val="118"/>
                <w:shd w:val="solid" w:color="000000" w:fill="000000"/>
                <w:fitText w:val="204" w:id="-961890048"/>
                <w14:textFill>
                  <w14:solidFill>
                    <w14:srgbClr w14:val="000000">
                      <w14:alpha w14:val="100000"/>
                    </w14:srgbClr>
                  </w14:solidFill>
                </w14:textFill>
              </w:rPr>
              <w:t>|</w:t>
            </w:r>
            <w:r w:rsidRPr="00640EC9">
              <w:rPr>
                <w:color w:val="000000"/>
                <w:spacing w:val="1"/>
                <w:shd w:val="solid" w:color="000000" w:fill="000000"/>
                <w:fitText w:val="204" w:id="-961890048"/>
                <w14:textFill>
                  <w14:solidFill>
                    <w14:srgbClr w14:val="000000">
                      <w14:alpha w14:val="100000"/>
                    </w14:srgbClr>
                  </w14:solidFill>
                </w14:textFill>
              </w:rPr>
              <w:t>|</w:t>
            </w:r>
            <w:r w:rsidRPr="0068000F">
              <w:rPr>
                <w:szCs w:val="20"/>
                <w:vertAlign w:val="superscript"/>
              </w:rPr>
              <w:t>3</w:t>
            </w:r>
          </w:p>
        </w:tc>
        <w:tc>
          <w:tcPr>
            <w:tcW w:w="873" w:type="dxa"/>
            <w:tcBorders>
              <w:top w:val="nil"/>
              <w:bottom w:val="single" w:sz="4" w:space="0" w:color="auto"/>
            </w:tcBorders>
            <w:shd w:val="clear" w:color="auto" w:fill="auto"/>
          </w:tcPr>
          <w:p w14:paraId="0D3898BB" w14:textId="7233AABB" w:rsidR="002C1990" w:rsidRPr="00AB3F41" w:rsidRDefault="002C1990" w:rsidP="002C1990">
            <w:pPr>
              <w:pStyle w:val="TableText0"/>
              <w:keepLines/>
              <w:jc w:val="center"/>
              <w:rPr>
                <w:highlight w:val="lightGray"/>
              </w:rPr>
            </w:pPr>
            <w:r w:rsidRPr="00BC53B1">
              <w:rPr>
                <w:color w:val="000000"/>
                <w:spacing w:val="82"/>
                <w:shd w:val="solid" w:color="000000" w:fill="000000"/>
                <w14:textFill>
                  <w14:solidFill>
                    <w14:srgbClr w14:val="000000">
                      <w14:alpha w14:val="100000"/>
                    </w14:srgbClr>
                  </w14:solidFill>
                </w14:textFill>
              </w:rPr>
              <w:t>|</w:t>
            </w:r>
          </w:p>
        </w:tc>
      </w:tr>
      <w:tr w:rsidR="00553EB3" w:rsidRPr="009941F8" w14:paraId="49722E0B" w14:textId="77777777" w:rsidTr="00640EC9">
        <w:tc>
          <w:tcPr>
            <w:tcW w:w="5098" w:type="dxa"/>
            <w:tcBorders>
              <w:bottom w:val="nil"/>
            </w:tcBorders>
          </w:tcPr>
          <w:p w14:paraId="27A70501" w14:textId="77777777" w:rsidR="00553EB3" w:rsidRPr="009941F8" w:rsidRDefault="00553EB3" w:rsidP="00FA3EC9">
            <w:pPr>
              <w:pStyle w:val="TableText0"/>
            </w:pPr>
            <w:r w:rsidRPr="009941F8">
              <w:t>Flare disutility (base 0.16 per cycle)</w:t>
            </w:r>
          </w:p>
        </w:tc>
        <w:tc>
          <w:tcPr>
            <w:tcW w:w="1134" w:type="dxa"/>
            <w:tcBorders>
              <w:top w:val="single" w:sz="4" w:space="0" w:color="auto"/>
              <w:bottom w:val="nil"/>
            </w:tcBorders>
          </w:tcPr>
          <w:p w14:paraId="4D77C2F7" w14:textId="77777777" w:rsidR="00553EB3" w:rsidRPr="009941F8" w:rsidRDefault="00553EB3" w:rsidP="00FA3EC9">
            <w:pPr>
              <w:pStyle w:val="TableText0"/>
              <w:jc w:val="center"/>
            </w:pPr>
          </w:p>
        </w:tc>
        <w:tc>
          <w:tcPr>
            <w:tcW w:w="1134" w:type="dxa"/>
            <w:tcBorders>
              <w:bottom w:val="nil"/>
            </w:tcBorders>
          </w:tcPr>
          <w:p w14:paraId="067F6223" w14:textId="77777777" w:rsidR="00553EB3" w:rsidRPr="009941F8" w:rsidRDefault="00553EB3" w:rsidP="00FA3EC9">
            <w:pPr>
              <w:pStyle w:val="TableText0"/>
              <w:jc w:val="center"/>
            </w:pPr>
          </w:p>
        </w:tc>
        <w:tc>
          <w:tcPr>
            <w:tcW w:w="851" w:type="dxa"/>
            <w:tcBorders>
              <w:bottom w:val="nil"/>
            </w:tcBorders>
          </w:tcPr>
          <w:p w14:paraId="5FE49B79" w14:textId="77777777" w:rsidR="00553EB3" w:rsidRPr="009941F8" w:rsidRDefault="00553EB3" w:rsidP="00FA3EC9">
            <w:pPr>
              <w:pStyle w:val="TableText0"/>
              <w:jc w:val="center"/>
            </w:pPr>
          </w:p>
        </w:tc>
        <w:tc>
          <w:tcPr>
            <w:tcW w:w="873" w:type="dxa"/>
            <w:tcBorders>
              <w:top w:val="single" w:sz="4" w:space="0" w:color="auto"/>
              <w:bottom w:val="nil"/>
            </w:tcBorders>
          </w:tcPr>
          <w:p w14:paraId="602D6B17" w14:textId="77777777" w:rsidR="00553EB3" w:rsidRPr="009941F8" w:rsidRDefault="00553EB3" w:rsidP="00FA3EC9">
            <w:pPr>
              <w:pStyle w:val="TableText0"/>
              <w:jc w:val="center"/>
            </w:pPr>
          </w:p>
        </w:tc>
      </w:tr>
      <w:tr w:rsidR="00553EB3" w:rsidRPr="009941F8" w14:paraId="7A67E7BE" w14:textId="77777777" w:rsidTr="00233562">
        <w:tc>
          <w:tcPr>
            <w:tcW w:w="5098" w:type="dxa"/>
            <w:tcBorders>
              <w:top w:val="nil"/>
            </w:tcBorders>
          </w:tcPr>
          <w:p w14:paraId="4276F831" w14:textId="77777777" w:rsidR="00553EB3" w:rsidRPr="009941F8" w:rsidRDefault="00553EB3" w:rsidP="00FA3EC9">
            <w:pPr>
              <w:pStyle w:val="TableText0"/>
              <w:numPr>
                <w:ilvl w:val="0"/>
                <w:numId w:val="7"/>
              </w:numPr>
              <w:ind w:left="22" w:hanging="22"/>
            </w:pPr>
            <w:r w:rsidRPr="009941F8">
              <w:t>No disutility</w:t>
            </w:r>
          </w:p>
        </w:tc>
        <w:tc>
          <w:tcPr>
            <w:tcW w:w="1134" w:type="dxa"/>
            <w:tcBorders>
              <w:top w:val="nil"/>
            </w:tcBorders>
            <w:shd w:val="clear" w:color="auto" w:fill="auto"/>
          </w:tcPr>
          <w:p w14:paraId="691C460B" w14:textId="2558BD6E" w:rsidR="00553EB3" w:rsidRPr="009941F8" w:rsidRDefault="00A91341" w:rsidP="00FA3EC9">
            <w:pPr>
              <w:pStyle w:val="TableText0"/>
              <w:jc w:val="cente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A91341">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tcBorders>
          </w:tcPr>
          <w:p w14:paraId="7CB7F074" w14:textId="77777777" w:rsidR="00553EB3" w:rsidRPr="009941F8" w:rsidRDefault="00553EB3" w:rsidP="00FA3EC9">
            <w:pPr>
              <w:pStyle w:val="TableText0"/>
              <w:jc w:val="center"/>
            </w:pPr>
            <w:r w:rsidRPr="009941F8">
              <w:t>0.113</w:t>
            </w:r>
          </w:p>
        </w:tc>
        <w:tc>
          <w:tcPr>
            <w:tcW w:w="851" w:type="dxa"/>
            <w:tcBorders>
              <w:top w:val="nil"/>
            </w:tcBorders>
          </w:tcPr>
          <w:p w14:paraId="379097E3" w14:textId="168F237E" w:rsidR="00553EB3" w:rsidRPr="00AB3F41" w:rsidRDefault="00640EC9" w:rsidP="00FA3EC9">
            <w:pPr>
              <w:pStyle w:val="TableText0"/>
              <w:jc w:val="center"/>
              <w:rPr>
                <w:highlight w:val="lightGray"/>
              </w:rPr>
            </w:pPr>
            <w:r w:rsidRPr="00640EC9">
              <w:rPr>
                <w:color w:val="000000"/>
                <w:spacing w:val="118"/>
                <w:shd w:val="solid" w:color="000000" w:fill="000000"/>
                <w:fitText w:val="204" w:id="-961890045"/>
                <w14:textFill>
                  <w14:solidFill>
                    <w14:srgbClr w14:val="000000">
                      <w14:alpha w14:val="100000"/>
                    </w14:srgbClr>
                  </w14:solidFill>
                </w14:textFill>
              </w:rPr>
              <w:t>|</w:t>
            </w:r>
            <w:r w:rsidRPr="00640EC9">
              <w:rPr>
                <w:color w:val="000000"/>
                <w:spacing w:val="1"/>
                <w:shd w:val="solid" w:color="000000" w:fill="000000"/>
                <w:fitText w:val="204" w:id="-961890045"/>
                <w14:textFill>
                  <w14:solidFill>
                    <w14:srgbClr w14:val="000000">
                      <w14:alpha w14:val="100000"/>
                    </w14:srgbClr>
                  </w14:solidFill>
                </w14:textFill>
              </w:rPr>
              <w:t>|</w:t>
            </w:r>
            <w:r w:rsidR="0029498D" w:rsidRPr="0068000F">
              <w:rPr>
                <w:szCs w:val="20"/>
                <w:vertAlign w:val="superscript"/>
              </w:rPr>
              <w:t>3</w:t>
            </w:r>
          </w:p>
        </w:tc>
        <w:tc>
          <w:tcPr>
            <w:tcW w:w="873" w:type="dxa"/>
            <w:tcBorders>
              <w:top w:val="nil"/>
            </w:tcBorders>
            <w:shd w:val="clear" w:color="auto" w:fill="auto"/>
          </w:tcPr>
          <w:p w14:paraId="411FC225" w14:textId="279E5C0B" w:rsidR="00553EB3" w:rsidRPr="009941F8" w:rsidRDefault="002C1990" w:rsidP="00FA3EC9">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553EB3" w:rsidRPr="009941F8" w14:paraId="4D07C220" w14:textId="77777777" w:rsidTr="00CC67E7">
        <w:trPr>
          <w:trHeight w:val="199"/>
        </w:trPr>
        <w:tc>
          <w:tcPr>
            <w:tcW w:w="9090" w:type="dxa"/>
            <w:gridSpan w:val="5"/>
            <w:tcBorders>
              <w:top w:val="single" w:sz="4" w:space="0" w:color="auto"/>
              <w:bottom w:val="nil"/>
            </w:tcBorders>
          </w:tcPr>
          <w:p w14:paraId="7F327036" w14:textId="77777777" w:rsidR="00553EB3" w:rsidRPr="009941F8" w:rsidRDefault="00553EB3" w:rsidP="00FA3EC9">
            <w:pPr>
              <w:pStyle w:val="TableText0"/>
            </w:pPr>
            <w:r w:rsidRPr="009941F8">
              <w:t>Mortality inputs (base gen pop adjusted for SLE age based mortality, adjusted for LLDAS status)</w:t>
            </w:r>
          </w:p>
        </w:tc>
      </w:tr>
      <w:tr w:rsidR="002C1990" w:rsidRPr="009941F8" w14:paraId="6DB9DB37" w14:textId="77777777" w:rsidTr="00233562">
        <w:trPr>
          <w:trHeight w:val="199"/>
        </w:trPr>
        <w:tc>
          <w:tcPr>
            <w:tcW w:w="5098" w:type="dxa"/>
            <w:tcBorders>
              <w:top w:val="nil"/>
              <w:bottom w:val="nil"/>
            </w:tcBorders>
          </w:tcPr>
          <w:p w14:paraId="3DAF1EDD" w14:textId="77777777" w:rsidR="002C1990" w:rsidRPr="009941F8" w:rsidRDefault="002C1990" w:rsidP="002C1990">
            <w:pPr>
              <w:pStyle w:val="TableText0"/>
              <w:numPr>
                <w:ilvl w:val="0"/>
                <w:numId w:val="7"/>
              </w:numPr>
              <w:ind w:left="22" w:hanging="22"/>
            </w:pPr>
            <w:r w:rsidRPr="009941F8">
              <w:t>Average SLE mortality equal to general population</w:t>
            </w:r>
          </w:p>
        </w:tc>
        <w:tc>
          <w:tcPr>
            <w:tcW w:w="1134" w:type="dxa"/>
            <w:tcBorders>
              <w:top w:val="nil"/>
              <w:bottom w:val="nil"/>
            </w:tcBorders>
            <w:shd w:val="clear" w:color="auto" w:fill="auto"/>
          </w:tcPr>
          <w:p w14:paraId="023FEAF1" w14:textId="3B12691E" w:rsidR="002C1990" w:rsidRPr="00AB3F41" w:rsidRDefault="002C1990" w:rsidP="002C1990">
            <w:pPr>
              <w:pStyle w:val="TableText0"/>
              <w:jc w:val="center"/>
              <w:rPr>
                <w:highlight w:val="lightGray"/>
              </w:rPr>
            </w:pPr>
            <w:r w:rsidRPr="00DA306C">
              <w:rPr>
                <w:rFonts w:hint="eastAsia"/>
                <w:color w:val="000000"/>
                <w:w w:val="15"/>
                <w:shd w:val="solid" w:color="000000" w:fill="000000"/>
                <w14:textFill>
                  <w14:solidFill>
                    <w14:srgbClr w14:val="000000">
                      <w14:alpha w14:val="100000"/>
                    </w14:srgbClr>
                  </w14:solidFill>
                </w14:textFill>
              </w:rPr>
              <w:t xml:space="preserve">　</w:t>
            </w:r>
            <w:r w:rsidRPr="00DA306C">
              <w:rPr>
                <w:color w:val="000000"/>
                <w:w w:val="15"/>
                <w:shd w:val="solid" w:color="000000" w:fill="000000"/>
                <w14:textFill>
                  <w14:solidFill>
                    <w14:srgbClr w14:val="000000">
                      <w14:alpha w14:val="100000"/>
                    </w14:srgbClr>
                  </w14:solidFill>
                </w14:textFill>
              </w:rPr>
              <w:t>|</w:t>
            </w:r>
            <w:r w:rsidRPr="00DA306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6924CD2E" w14:textId="77777777" w:rsidR="002C1990" w:rsidRPr="009941F8" w:rsidRDefault="002C1990" w:rsidP="002C1990">
            <w:pPr>
              <w:pStyle w:val="TableText0"/>
              <w:jc w:val="center"/>
            </w:pPr>
            <w:r w:rsidRPr="009941F8">
              <w:t>0.091</w:t>
            </w:r>
          </w:p>
        </w:tc>
        <w:tc>
          <w:tcPr>
            <w:tcW w:w="851" w:type="dxa"/>
            <w:tcBorders>
              <w:top w:val="nil"/>
              <w:bottom w:val="nil"/>
            </w:tcBorders>
          </w:tcPr>
          <w:p w14:paraId="43E04F4E" w14:textId="7D9F0080"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42"/>
                <w14:textFill>
                  <w14:solidFill>
                    <w14:srgbClr w14:val="000000">
                      <w14:alpha w14:val="100000"/>
                    </w14:srgbClr>
                  </w14:solidFill>
                </w14:textFill>
              </w:rPr>
              <w:t>|</w:t>
            </w:r>
            <w:r w:rsidRPr="00640EC9">
              <w:rPr>
                <w:color w:val="000000"/>
                <w:spacing w:val="1"/>
                <w:shd w:val="solid" w:color="000000" w:fill="000000"/>
                <w:fitText w:val="204" w:id="-961890042"/>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0F4F3BE8" w14:textId="4FC53844" w:rsidR="002C1990" w:rsidRPr="00AB3F41" w:rsidRDefault="002C1990" w:rsidP="002C1990">
            <w:pPr>
              <w:pStyle w:val="TableText0"/>
              <w:jc w:val="center"/>
              <w:rPr>
                <w:highlight w:val="lightGray"/>
              </w:rPr>
            </w:pPr>
            <w:r w:rsidRPr="007F65F1">
              <w:rPr>
                <w:color w:val="000000"/>
                <w:spacing w:val="82"/>
                <w:shd w:val="solid" w:color="000000" w:fill="000000"/>
                <w14:textFill>
                  <w14:solidFill>
                    <w14:srgbClr w14:val="000000">
                      <w14:alpha w14:val="100000"/>
                    </w14:srgbClr>
                  </w14:solidFill>
                </w14:textFill>
              </w:rPr>
              <w:t>|</w:t>
            </w:r>
          </w:p>
        </w:tc>
      </w:tr>
      <w:tr w:rsidR="002C1990" w:rsidRPr="009941F8" w14:paraId="5EC69967" w14:textId="77777777" w:rsidTr="00233562">
        <w:trPr>
          <w:trHeight w:val="199"/>
        </w:trPr>
        <w:tc>
          <w:tcPr>
            <w:tcW w:w="5098" w:type="dxa"/>
            <w:tcBorders>
              <w:top w:val="nil"/>
              <w:bottom w:val="nil"/>
            </w:tcBorders>
          </w:tcPr>
          <w:p w14:paraId="0E1BC611" w14:textId="77777777" w:rsidR="002C1990" w:rsidRPr="009941F8" w:rsidRDefault="002C1990" w:rsidP="002C1990">
            <w:pPr>
              <w:pStyle w:val="TableText0"/>
              <w:numPr>
                <w:ilvl w:val="0"/>
                <w:numId w:val="7"/>
              </w:numPr>
              <w:ind w:left="22" w:hanging="22"/>
            </w:pPr>
            <w:r w:rsidRPr="009941F8">
              <w:t>Not adjusted for LLDAS, adjusted for SDI score</w:t>
            </w:r>
          </w:p>
        </w:tc>
        <w:tc>
          <w:tcPr>
            <w:tcW w:w="1134" w:type="dxa"/>
            <w:tcBorders>
              <w:top w:val="nil"/>
              <w:bottom w:val="nil"/>
            </w:tcBorders>
            <w:shd w:val="clear" w:color="auto" w:fill="auto"/>
          </w:tcPr>
          <w:p w14:paraId="5A8A4208" w14:textId="5CE1B27E" w:rsidR="002C1990" w:rsidRPr="00AB3F41" w:rsidRDefault="002C1990" w:rsidP="002C1990">
            <w:pPr>
              <w:pStyle w:val="TableText0"/>
              <w:jc w:val="center"/>
              <w:rPr>
                <w:highlight w:val="lightGray"/>
              </w:rPr>
            </w:pPr>
            <w:r w:rsidRPr="00DA306C">
              <w:rPr>
                <w:rFonts w:hint="eastAsia"/>
                <w:color w:val="000000"/>
                <w:w w:val="15"/>
                <w:shd w:val="solid" w:color="000000" w:fill="000000"/>
                <w14:textFill>
                  <w14:solidFill>
                    <w14:srgbClr w14:val="000000">
                      <w14:alpha w14:val="100000"/>
                    </w14:srgbClr>
                  </w14:solidFill>
                </w14:textFill>
              </w:rPr>
              <w:t xml:space="preserve">　</w:t>
            </w:r>
            <w:r w:rsidRPr="00DA306C">
              <w:rPr>
                <w:color w:val="000000"/>
                <w:w w:val="15"/>
                <w:shd w:val="solid" w:color="000000" w:fill="000000"/>
                <w14:textFill>
                  <w14:solidFill>
                    <w14:srgbClr w14:val="000000">
                      <w14:alpha w14:val="100000"/>
                    </w14:srgbClr>
                  </w14:solidFill>
                </w14:textFill>
              </w:rPr>
              <w:t>|</w:t>
            </w:r>
            <w:r w:rsidRPr="00DA306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05140E2B" w14:textId="77777777" w:rsidR="002C1990" w:rsidRPr="009941F8" w:rsidRDefault="002C1990" w:rsidP="002C1990">
            <w:pPr>
              <w:pStyle w:val="TableText0"/>
              <w:jc w:val="center"/>
            </w:pPr>
            <w:r w:rsidRPr="009941F8">
              <w:t>0.082</w:t>
            </w:r>
          </w:p>
        </w:tc>
        <w:tc>
          <w:tcPr>
            <w:tcW w:w="851" w:type="dxa"/>
            <w:tcBorders>
              <w:top w:val="nil"/>
              <w:bottom w:val="nil"/>
            </w:tcBorders>
          </w:tcPr>
          <w:p w14:paraId="6D703241" w14:textId="14FB5637"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39"/>
                <w14:textFill>
                  <w14:solidFill>
                    <w14:srgbClr w14:val="000000">
                      <w14:alpha w14:val="100000"/>
                    </w14:srgbClr>
                  </w14:solidFill>
                </w14:textFill>
              </w:rPr>
              <w:t>|</w:t>
            </w:r>
            <w:r w:rsidRPr="00640EC9">
              <w:rPr>
                <w:color w:val="000000"/>
                <w:spacing w:val="1"/>
                <w:shd w:val="solid" w:color="000000" w:fill="000000"/>
                <w:fitText w:val="204" w:id="-961890039"/>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0444CF05" w14:textId="06CFAC6D" w:rsidR="002C1990" w:rsidRPr="00AB3F41" w:rsidRDefault="002C1990" w:rsidP="002C1990">
            <w:pPr>
              <w:pStyle w:val="TableText0"/>
              <w:jc w:val="center"/>
              <w:rPr>
                <w:highlight w:val="lightGray"/>
              </w:rPr>
            </w:pPr>
            <w:r w:rsidRPr="007F65F1">
              <w:rPr>
                <w:color w:val="000000"/>
                <w:spacing w:val="82"/>
                <w:shd w:val="solid" w:color="000000" w:fill="000000"/>
                <w14:textFill>
                  <w14:solidFill>
                    <w14:srgbClr w14:val="000000">
                      <w14:alpha w14:val="100000"/>
                    </w14:srgbClr>
                  </w14:solidFill>
                </w14:textFill>
              </w:rPr>
              <w:t>|</w:t>
            </w:r>
          </w:p>
        </w:tc>
      </w:tr>
      <w:tr w:rsidR="002C1990" w:rsidRPr="009941F8" w14:paraId="7B6F98B7" w14:textId="77777777" w:rsidTr="00233562">
        <w:trPr>
          <w:trHeight w:val="199"/>
        </w:trPr>
        <w:tc>
          <w:tcPr>
            <w:tcW w:w="5098" w:type="dxa"/>
            <w:tcBorders>
              <w:top w:val="nil"/>
            </w:tcBorders>
          </w:tcPr>
          <w:p w14:paraId="278A8787" w14:textId="77777777" w:rsidR="002C1990" w:rsidRPr="009941F8" w:rsidRDefault="002C1990" w:rsidP="002C1990">
            <w:pPr>
              <w:pStyle w:val="TableText0"/>
              <w:numPr>
                <w:ilvl w:val="0"/>
                <w:numId w:val="7"/>
              </w:numPr>
              <w:ind w:left="22" w:hanging="22"/>
            </w:pPr>
            <w:r w:rsidRPr="009941F8">
              <w:t>No LLDAS or SDI mortality adjustment (no survival benefit)</w:t>
            </w:r>
          </w:p>
        </w:tc>
        <w:tc>
          <w:tcPr>
            <w:tcW w:w="1134" w:type="dxa"/>
            <w:tcBorders>
              <w:top w:val="nil"/>
            </w:tcBorders>
            <w:shd w:val="clear" w:color="auto" w:fill="auto"/>
          </w:tcPr>
          <w:p w14:paraId="087E1027" w14:textId="3050C420" w:rsidR="002C1990" w:rsidRPr="00AB3F41" w:rsidRDefault="002C1990" w:rsidP="002C1990">
            <w:pPr>
              <w:pStyle w:val="TableText0"/>
              <w:jc w:val="center"/>
              <w:rPr>
                <w:highlight w:val="lightGray"/>
              </w:rPr>
            </w:pPr>
            <w:r w:rsidRPr="00DA306C">
              <w:rPr>
                <w:rFonts w:hint="eastAsia"/>
                <w:color w:val="000000"/>
                <w:w w:val="15"/>
                <w:shd w:val="solid" w:color="000000" w:fill="000000"/>
                <w14:textFill>
                  <w14:solidFill>
                    <w14:srgbClr w14:val="000000">
                      <w14:alpha w14:val="100000"/>
                    </w14:srgbClr>
                  </w14:solidFill>
                </w14:textFill>
              </w:rPr>
              <w:t xml:space="preserve">　</w:t>
            </w:r>
            <w:r w:rsidRPr="00DA306C">
              <w:rPr>
                <w:color w:val="000000"/>
                <w:w w:val="15"/>
                <w:shd w:val="solid" w:color="000000" w:fill="000000"/>
                <w14:textFill>
                  <w14:solidFill>
                    <w14:srgbClr w14:val="000000">
                      <w14:alpha w14:val="100000"/>
                    </w14:srgbClr>
                  </w14:solidFill>
                </w14:textFill>
              </w:rPr>
              <w:t>|</w:t>
            </w:r>
            <w:r w:rsidRPr="00DA306C">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tcBorders>
          </w:tcPr>
          <w:p w14:paraId="673E4DEE" w14:textId="77777777" w:rsidR="002C1990" w:rsidRPr="009941F8" w:rsidRDefault="002C1990" w:rsidP="002C1990">
            <w:pPr>
              <w:pStyle w:val="TableText0"/>
              <w:jc w:val="center"/>
            </w:pPr>
            <w:r w:rsidRPr="009941F8">
              <w:t>0.076</w:t>
            </w:r>
          </w:p>
        </w:tc>
        <w:tc>
          <w:tcPr>
            <w:tcW w:w="851" w:type="dxa"/>
            <w:tcBorders>
              <w:top w:val="nil"/>
            </w:tcBorders>
          </w:tcPr>
          <w:p w14:paraId="5C409247" w14:textId="2D5C0D9E" w:rsidR="002C1990" w:rsidRPr="00AB3F41" w:rsidRDefault="002C1990" w:rsidP="002C1990">
            <w:pPr>
              <w:pStyle w:val="TableText0"/>
              <w:jc w:val="center"/>
              <w:rPr>
                <w:highlight w:val="lightGray"/>
              </w:rPr>
            </w:pPr>
            <w:r w:rsidRPr="00640EC9">
              <w:rPr>
                <w:color w:val="000000"/>
                <w:spacing w:val="118"/>
                <w:shd w:val="solid" w:color="000000" w:fill="000000"/>
                <w:fitText w:val="204" w:id="-961890036"/>
                <w14:textFill>
                  <w14:solidFill>
                    <w14:srgbClr w14:val="000000">
                      <w14:alpha w14:val="100000"/>
                    </w14:srgbClr>
                  </w14:solidFill>
                </w14:textFill>
              </w:rPr>
              <w:t>|</w:t>
            </w:r>
            <w:r w:rsidRPr="00640EC9">
              <w:rPr>
                <w:color w:val="000000"/>
                <w:spacing w:val="1"/>
                <w:shd w:val="solid" w:color="000000" w:fill="000000"/>
                <w:fitText w:val="204" w:id="-961890036"/>
                <w14:textFill>
                  <w14:solidFill>
                    <w14:srgbClr w14:val="000000">
                      <w14:alpha w14:val="100000"/>
                    </w14:srgbClr>
                  </w14:solidFill>
                </w14:textFill>
              </w:rPr>
              <w:t>|</w:t>
            </w:r>
            <w:r w:rsidRPr="0068000F">
              <w:rPr>
                <w:szCs w:val="20"/>
                <w:vertAlign w:val="superscript"/>
              </w:rPr>
              <w:t>3</w:t>
            </w:r>
          </w:p>
        </w:tc>
        <w:tc>
          <w:tcPr>
            <w:tcW w:w="873" w:type="dxa"/>
            <w:tcBorders>
              <w:top w:val="nil"/>
            </w:tcBorders>
            <w:shd w:val="clear" w:color="auto" w:fill="auto"/>
          </w:tcPr>
          <w:p w14:paraId="3438A06F" w14:textId="5AAAC155" w:rsidR="002C1990" w:rsidRPr="00AB3F41" w:rsidRDefault="002C1990" w:rsidP="002C1990">
            <w:pPr>
              <w:pStyle w:val="TableText0"/>
              <w:jc w:val="center"/>
              <w:rPr>
                <w:highlight w:val="lightGray"/>
              </w:rPr>
            </w:pPr>
            <w:r w:rsidRPr="007F65F1">
              <w:rPr>
                <w:color w:val="000000"/>
                <w:spacing w:val="82"/>
                <w:shd w:val="solid" w:color="000000" w:fill="000000"/>
                <w14:textFill>
                  <w14:solidFill>
                    <w14:srgbClr w14:val="000000">
                      <w14:alpha w14:val="100000"/>
                    </w14:srgbClr>
                  </w14:solidFill>
                </w14:textFill>
              </w:rPr>
              <w:t>|</w:t>
            </w:r>
          </w:p>
        </w:tc>
      </w:tr>
      <w:tr w:rsidR="00553EB3" w:rsidRPr="009941F8" w14:paraId="2B7024E2" w14:textId="77777777" w:rsidTr="00CC67E7">
        <w:trPr>
          <w:trHeight w:val="199"/>
        </w:trPr>
        <w:tc>
          <w:tcPr>
            <w:tcW w:w="9090" w:type="dxa"/>
            <w:gridSpan w:val="5"/>
            <w:tcBorders>
              <w:top w:val="nil"/>
              <w:bottom w:val="nil"/>
            </w:tcBorders>
          </w:tcPr>
          <w:p w14:paraId="03428EE2" w14:textId="77777777" w:rsidR="00553EB3" w:rsidRPr="009941F8" w:rsidRDefault="00553EB3" w:rsidP="00FA3EC9">
            <w:pPr>
              <w:pStyle w:val="TableText0"/>
            </w:pPr>
            <w:r w:rsidRPr="009941F8">
              <w:t>LLDAS status related mortality HRs (base case LLDAS vs average SLE HR=0.7, not LLDAS vs average SLE HR=3.49</w:t>
            </w:r>
          </w:p>
        </w:tc>
      </w:tr>
      <w:tr w:rsidR="00A91341" w:rsidRPr="009941F8" w14:paraId="2DCA666C" w14:textId="77777777" w:rsidTr="00233562">
        <w:trPr>
          <w:trHeight w:val="199"/>
        </w:trPr>
        <w:tc>
          <w:tcPr>
            <w:tcW w:w="5098" w:type="dxa"/>
            <w:tcBorders>
              <w:top w:val="nil"/>
              <w:bottom w:val="nil"/>
            </w:tcBorders>
          </w:tcPr>
          <w:p w14:paraId="0843AF19" w14:textId="77777777" w:rsidR="00A91341" w:rsidRPr="009941F8" w:rsidRDefault="00A91341" w:rsidP="00A91341">
            <w:pPr>
              <w:pStyle w:val="TableText0"/>
              <w:numPr>
                <w:ilvl w:val="0"/>
                <w:numId w:val="7"/>
              </w:numPr>
              <w:ind w:left="22" w:hanging="22"/>
            </w:pPr>
            <w:r w:rsidRPr="009941F8">
              <w:t>not LLDAS vs average SLE 1.45 (Lower 95% CI not LLDAS vs LLDAS 2.07)</w:t>
            </w:r>
          </w:p>
        </w:tc>
        <w:tc>
          <w:tcPr>
            <w:tcW w:w="1134" w:type="dxa"/>
            <w:tcBorders>
              <w:top w:val="nil"/>
              <w:bottom w:val="nil"/>
            </w:tcBorders>
            <w:shd w:val="clear" w:color="auto" w:fill="auto"/>
          </w:tcPr>
          <w:p w14:paraId="27A11705" w14:textId="1201645B" w:rsidR="00A91341" w:rsidRPr="00AB3F41" w:rsidRDefault="00A91341" w:rsidP="00A91341">
            <w:pPr>
              <w:pStyle w:val="TableText0"/>
              <w:jc w:val="center"/>
              <w:rPr>
                <w:highlight w:val="lightGray"/>
              </w:rPr>
            </w:pPr>
            <w:r w:rsidRPr="00241C75">
              <w:rPr>
                <w:rFonts w:hint="eastAsia"/>
                <w:color w:val="000000"/>
                <w:w w:val="15"/>
                <w:shd w:val="solid" w:color="000000" w:fill="000000"/>
                <w14:textFill>
                  <w14:solidFill>
                    <w14:srgbClr w14:val="000000">
                      <w14:alpha w14:val="100000"/>
                    </w14:srgbClr>
                  </w14:solidFill>
                </w14:textFill>
              </w:rPr>
              <w:t xml:space="preserve">　</w:t>
            </w:r>
            <w:r w:rsidRPr="00241C75">
              <w:rPr>
                <w:color w:val="000000"/>
                <w:w w:val="15"/>
                <w:shd w:val="solid" w:color="000000" w:fill="000000"/>
                <w14:textFill>
                  <w14:solidFill>
                    <w14:srgbClr w14:val="000000">
                      <w14:alpha w14:val="100000"/>
                    </w14:srgbClr>
                  </w14:solidFill>
                </w14:textFill>
              </w:rPr>
              <w:t>|</w:t>
            </w:r>
            <w:r w:rsidRPr="00241C75">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69FCD27C" w14:textId="77777777" w:rsidR="00A91341" w:rsidRPr="009941F8" w:rsidRDefault="00A91341" w:rsidP="00A91341">
            <w:pPr>
              <w:pStyle w:val="TableText0"/>
              <w:jc w:val="center"/>
            </w:pPr>
            <w:r w:rsidRPr="009941F8">
              <w:t>0.094</w:t>
            </w:r>
          </w:p>
        </w:tc>
        <w:tc>
          <w:tcPr>
            <w:tcW w:w="851" w:type="dxa"/>
            <w:tcBorders>
              <w:top w:val="nil"/>
              <w:bottom w:val="nil"/>
            </w:tcBorders>
          </w:tcPr>
          <w:p w14:paraId="2323DDAE" w14:textId="49A3430C"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33"/>
                <w14:textFill>
                  <w14:solidFill>
                    <w14:srgbClr w14:val="000000">
                      <w14:alpha w14:val="100000"/>
                    </w14:srgbClr>
                  </w14:solidFill>
                </w14:textFill>
              </w:rPr>
              <w:t>|</w:t>
            </w:r>
            <w:r w:rsidRPr="00640EC9">
              <w:rPr>
                <w:color w:val="000000"/>
                <w:spacing w:val="1"/>
                <w:shd w:val="solid" w:color="000000" w:fill="000000"/>
                <w:fitText w:val="204" w:id="-961890033"/>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31FC0EA4" w14:textId="23848562" w:rsidR="00A91341" w:rsidRPr="0068000F" w:rsidRDefault="002C1990" w:rsidP="00A91341">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A91341" w:rsidRPr="009941F8" w14:paraId="299951EC" w14:textId="77777777" w:rsidTr="00233562">
        <w:trPr>
          <w:trHeight w:val="199"/>
        </w:trPr>
        <w:tc>
          <w:tcPr>
            <w:tcW w:w="5098" w:type="dxa"/>
            <w:tcBorders>
              <w:top w:val="nil"/>
              <w:bottom w:val="nil"/>
            </w:tcBorders>
          </w:tcPr>
          <w:p w14:paraId="48C80398" w14:textId="45BE7FA9" w:rsidR="00A91341" w:rsidRPr="009941F8" w:rsidRDefault="00A91341" w:rsidP="00A91341">
            <w:pPr>
              <w:pStyle w:val="TableText0"/>
              <w:numPr>
                <w:ilvl w:val="0"/>
                <w:numId w:val="7"/>
              </w:numPr>
              <w:ind w:left="22" w:hanging="22"/>
            </w:pPr>
            <w:r w:rsidRPr="009941F8">
              <w:t>Not LLDAS vs average SLE 8.40 (upper 95% CI not LLDAS vs LLDAS 12.0)</w:t>
            </w:r>
          </w:p>
        </w:tc>
        <w:tc>
          <w:tcPr>
            <w:tcW w:w="1134" w:type="dxa"/>
            <w:tcBorders>
              <w:top w:val="nil"/>
              <w:bottom w:val="nil"/>
            </w:tcBorders>
            <w:shd w:val="clear" w:color="auto" w:fill="auto"/>
          </w:tcPr>
          <w:p w14:paraId="3C3EA733" w14:textId="01F8CE11" w:rsidR="00A91341" w:rsidRPr="00AB3F41" w:rsidRDefault="00A91341" w:rsidP="00A91341">
            <w:pPr>
              <w:pStyle w:val="TableText0"/>
              <w:jc w:val="center"/>
              <w:rPr>
                <w:highlight w:val="lightGray"/>
              </w:rPr>
            </w:pPr>
            <w:r w:rsidRPr="00241C75">
              <w:rPr>
                <w:rFonts w:hint="eastAsia"/>
                <w:color w:val="000000"/>
                <w:w w:val="15"/>
                <w:shd w:val="solid" w:color="000000" w:fill="000000"/>
                <w14:textFill>
                  <w14:solidFill>
                    <w14:srgbClr w14:val="000000">
                      <w14:alpha w14:val="100000"/>
                    </w14:srgbClr>
                  </w14:solidFill>
                </w14:textFill>
              </w:rPr>
              <w:t xml:space="preserve">　</w:t>
            </w:r>
            <w:r w:rsidRPr="00241C75">
              <w:rPr>
                <w:color w:val="000000"/>
                <w:w w:val="15"/>
                <w:shd w:val="solid" w:color="000000" w:fill="000000"/>
                <w14:textFill>
                  <w14:solidFill>
                    <w14:srgbClr w14:val="000000">
                      <w14:alpha w14:val="100000"/>
                    </w14:srgbClr>
                  </w14:solidFill>
                </w14:textFill>
              </w:rPr>
              <w:t>|</w:t>
            </w:r>
            <w:r w:rsidRPr="00241C75">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4AA12638" w14:textId="77777777" w:rsidR="00A91341" w:rsidRPr="009941F8" w:rsidRDefault="00A91341" w:rsidP="00A91341">
            <w:pPr>
              <w:pStyle w:val="TableText0"/>
              <w:jc w:val="center"/>
            </w:pPr>
            <w:r w:rsidRPr="009941F8">
              <w:t>0.179</w:t>
            </w:r>
          </w:p>
        </w:tc>
        <w:tc>
          <w:tcPr>
            <w:tcW w:w="851" w:type="dxa"/>
            <w:tcBorders>
              <w:top w:val="nil"/>
              <w:bottom w:val="nil"/>
            </w:tcBorders>
          </w:tcPr>
          <w:p w14:paraId="23441241" w14:textId="64B6F1EB"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47"/>
                <w14:textFill>
                  <w14:solidFill>
                    <w14:srgbClr w14:val="000000">
                      <w14:alpha w14:val="100000"/>
                    </w14:srgbClr>
                  </w14:solidFill>
                </w14:textFill>
              </w:rPr>
              <w:t>|</w:t>
            </w:r>
            <w:r w:rsidRPr="00640EC9">
              <w:rPr>
                <w:color w:val="000000"/>
                <w:spacing w:val="1"/>
                <w:shd w:val="solid" w:color="000000" w:fill="000000"/>
                <w:fitText w:val="204" w:id="-961890047"/>
                <w14:textFill>
                  <w14:solidFill>
                    <w14:srgbClr w14:val="000000">
                      <w14:alpha w14:val="100000"/>
                    </w14:srgbClr>
                  </w14:solidFill>
                </w14:textFill>
              </w:rPr>
              <w:t>|</w:t>
            </w:r>
            <w:r w:rsidRPr="0068000F">
              <w:rPr>
                <w:vertAlign w:val="superscript"/>
              </w:rPr>
              <w:t>1</w:t>
            </w:r>
          </w:p>
        </w:tc>
        <w:tc>
          <w:tcPr>
            <w:tcW w:w="873" w:type="dxa"/>
            <w:tcBorders>
              <w:top w:val="nil"/>
              <w:bottom w:val="nil"/>
            </w:tcBorders>
          </w:tcPr>
          <w:p w14:paraId="057D0E46" w14:textId="67F4ABAA" w:rsidR="00A91341" w:rsidRPr="0068000F" w:rsidRDefault="00A91341" w:rsidP="00A91341">
            <w:pPr>
              <w:pStyle w:val="TableText0"/>
              <w:jc w:val="center"/>
            </w:pPr>
            <w:r w:rsidRPr="0068000F">
              <w:t>-</w:t>
            </w:r>
            <w:r w:rsidRPr="00640EC9">
              <w:rPr>
                <w:color w:val="000000"/>
                <w:spacing w:val="106"/>
                <w:shd w:val="solid" w:color="000000" w:fill="000000"/>
                <w:fitText w:val="192" w:id="-961890046"/>
                <w14:textFill>
                  <w14:solidFill>
                    <w14:srgbClr w14:val="000000">
                      <w14:alpha w14:val="100000"/>
                    </w14:srgbClr>
                  </w14:solidFill>
                </w14:textFill>
              </w:rPr>
              <w:t>|</w:t>
            </w:r>
            <w:r w:rsidRPr="00640EC9">
              <w:rPr>
                <w:color w:val="000000"/>
                <w:spacing w:val="1"/>
                <w:shd w:val="solid" w:color="000000" w:fill="000000"/>
                <w:fitText w:val="192" w:id="-961890046"/>
                <w14:textFill>
                  <w14:solidFill>
                    <w14:srgbClr w14:val="000000">
                      <w14:alpha w14:val="100000"/>
                    </w14:srgbClr>
                  </w14:solidFill>
                </w14:textFill>
              </w:rPr>
              <w:t>|</w:t>
            </w:r>
          </w:p>
        </w:tc>
      </w:tr>
      <w:tr w:rsidR="00A91341" w:rsidRPr="009941F8" w14:paraId="28D9CB9C" w14:textId="77777777" w:rsidTr="00233562">
        <w:trPr>
          <w:trHeight w:val="199"/>
        </w:trPr>
        <w:tc>
          <w:tcPr>
            <w:tcW w:w="5098" w:type="dxa"/>
            <w:tcBorders>
              <w:top w:val="nil"/>
              <w:bottom w:val="nil"/>
            </w:tcBorders>
            <w:shd w:val="clear" w:color="auto" w:fill="auto"/>
          </w:tcPr>
          <w:p w14:paraId="79E890F0" w14:textId="77777777" w:rsidR="00A91341" w:rsidRPr="009941F8" w:rsidRDefault="00A91341" w:rsidP="00A91341">
            <w:pPr>
              <w:pStyle w:val="TableText0"/>
              <w:numPr>
                <w:ilvl w:val="0"/>
                <w:numId w:val="7"/>
              </w:numPr>
              <w:ind w:left="22" w:hanging="22"/>
            </w:pPr>
            <w:r w:rsidRPr="009941F8">
              <w:t>LLDAS vs average SLE HR=1</w:t>
            </w:r>
          </w:p>
        </w:tc>
        <w:tc>
          <w:tcPr>
            <w:tcW w:w="1134" w:type="dxa"/>
            <w:tcBorders>
              <w:top w:val="nil"/>
              <w:bottom w:val="nil"/>
            </w:tcBorders>
            <w:shd w:val="clear" w:color="auto" w:fill="auto"/>
          </w:tcPr>
          <w:p w14:paraId="6A0D4EF5" w14:textId="51E59B30" w:rsidR="00A91341" w:rsidRPr="00AB3F41" w:rsidRDefault="00A91341" w:rsidP="00A91341">
            <w:pPr>
              <w:pStyle w:val="TableText0"/>
              <w:jc w:val="center"/>
              <w:rPr>
                <w:highlight w:val="lightGray"/>
              </w:rPr>
            </w:pPr>
            <w:r w:rsidRPr="00241C75">
              <w:rPr>
                <w:rFonts w:hint="eastAsia"/>
                <w:color w:val="000000"/>
                <w:w w:val="15"/>
                <w:shd w:val="solid" w:color="000000" w:fill="000000"/>
                <w14:textFill>
                  <w14:solidFill>
                    <w14:srgbClr w14:val="000000">
                      <w14:alpha w14:val="100000"/>
                    </w14:srgbClr>
                  </w14:solidFill>
                </w14:textFill>
              </w:rPr>
              <w:t xml:space="preserve">　</w:t>
            </w:r>
            <w:r w:rsidRPr="00241C75">
              <w:rPr>
                <w:color w:val="000000"/>
                <w:w w:val="15"/>
                <w:shd w:val="solid" w:color="000000" w:fill="000000"/>
                <w14:textFill>
                  <w14:solidFill>
                    <w14:srgbClr w14:val="000000">
                      <w14:alpha w14:val="100000"/>
                    </w14:srgbClr>
                  </w14:solidFill>
                </w14:textFill>
              </w:rPr>
              <w:t>|</w:t>
            </w:r>
            <w:r w:rsidRPr="00241C75">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shd w:val="clear" w:color="auto" w:fill="auto"/>
          </w:tcPr>
          <w:p w14:paraId="1B9AEBF1" w14:textId="77777777" w:rsidR="00A91341" w:rsidRPr="009941F8" w:rsidRDefault="00A91341" w:rsidP="00A91341">
            <w:pPr>
              <w:pStyle w:val="TableText0"/>
              <w:jc w:val="center"/>
            </w:pPr>
            <w:r w:rsidRPr="009941F8">
              <w:t>0.142</w:t>
            </w:r>
          </w:p>
        </w:tc>
        <w:tc>
          <w:tcPr>
            <w:tcW w:w="851" w:type="dxa"/>
            <w:tcBorders>
              <w:top w:val="nil"/>
              <w:bottom w:val="nil"/>
            </w:tcBorders>
            <w:shd w:val="clear" w:color="auto" w:fill="auto"/>
          </w:tcPr>
          <w:p w14:paraId="215A3559" w14:textId="3EF62D2A"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44"/>
                <w14:textFill>
                  <w14:solidFill>
                    <w14:srgbClr w14:val="000000">
                      <w14:alpha w14:val="100000"/>
                    </w14:srgbClr>
                  </w14:solidFill>
                </w14:textFill>
              </w:rPr>
              <w:t>|</w:t>
            </w:r>
            <w:r w:rsidRPr="00640EC9">
              <w:rPr>
                <w:color w:val="000000"/>
                <w:spacing w:val="1"/>
                <w:shd w:val="solid" w:color="000000" w:fill="000000"/>
                <w:fitText w:val="204" w:id="-961890044"/>
                <w14:textFill>
                  <w14:solidFill>
                    <w14:srgbClr w14:val="000000">
                      <w14:alpha w14:val="100000"/>
                    </w14:srgbClr>
                  </w14:solidFill>
                </w14:textFill>
              </w:rPr>
              <w:t>|</w:t>
            </w:r>
            <w:r w:rsidRPr="0068000F">
              <w:rPr>
                <w:vertAlign w:val="superscript"/>
              </w:rPr>
              <w:t>1</w:t>
            </w:r>
          </w:p>
        </w:tc>
        <w:tc>
          <w:tcPr>
            <w:tcW w:w="873" w:type="dxa"/>
            <w:tcBorders>
              <w:top w:val="nil"/>
              <w:bottom w:val="nil"/>
            </w:tcBorders>
            <w:shd w:val="clear" w:color="auto" w:fill="auto"/>
          </w:tcPr>
          <w:p w14:paraId="1CBD6509" w14:textId="649D7725" w:rsidR="00A91341" w:rsidRPr="0068000F" w:rsidRDefault="00A91341" w:rsidP="00A91341">
            <w:pPr>
              <w:pStyle w:val="TableText0"/>
              <w:jc w:val="center"/>
            </w:pPr>
            <w:r w:rsidRPr="0068000F">
              <w:t>-</w:t>
            </w:r>
            <w:r w:rsidRPr="00640EC9">
              <w:rPr>
                <w:color w:val="000000"/>
                <w:spacing w:val="106"/>
                <w:shd w:val="solid" w:color="000000" w:fill="000000"/>
                <w:fitText w:val="192" w:id="-961890043"/>
                <w14:textFill>
                  <w14:solidFill>
                    <w14:srgbClr w14:val="000000">
                      <w14:alpha w14:val="100000"/>
                    </w14:srgbClr>
                  </w14:solidFill>
                </w14:textFill>
              </w:rPr>
              <w:t>|</w:t>
            </w:r>
            <w:r w:rsidRPr="00640EC9">
              <w:rPr>
                <w:color w:val="000000"/>
                <w:spacing w:val="1"/>
                <w:shd w:val="solid" w:color="000000" w:fill="000000"/>
                <w:fitText w:val="192" w:id="-961890043"/>
                <w14:textFill>
                  <w14:solidFill>
                    <w14:srgbClr w14:val="000000">
                      <w14:alpha w14:val="100000"/>
                    </w14:srgbClr>
                  </w14:solidFill>
                </w14:textFill>
              </w:rPr>
              <w:t>|</w:t>
            </w:r>
          </w:p>
        </w:tc>
      </w:tr>
      <w:tr w:rsidR="00A91341" w:rsidRPr="009941F8" w14:paraId="4D7B9C79" w14:textId="77777777" w:rsidTr="00233562">
        <w:trPr>
          <w:trHeight w:val="199"/>
        </w:trPr>
        <w:tc>
          <w:tcPr>
            <w:tcW w:w="5098" w:type="dxa"/>
            <w:tcBorders>
              <w:top w:val="nil"/>
              <w:bottom w:val="nil"/>
            </w:tcBorders>
          </w:tcPr>
          <w:p w14:paraId="4664E222" w14:textId="77777777" w:rsidR="00A91341" w:rsidRPr="009941F8" w:rsidRDefault="00A91341" w:rsidP="00A91341">
            <w:pPr>
              <w:pStyle w:val="TableText0"/>
              <w:numPr>
                <w:ilvl w:val="0"/>
                <w:numId w:val="7"/>
              </w:numPr>
              <w:ind w:left="22" w:hanging="22"/>
            </w:pPr>
            <w:r w:rsidRPr="009941F8">
              <w:t>LLDAS vs average SLE HR=0.25</w:t>
            </w:r>
          </w:p>
        </w:tc>
        <w:tc>
          <w:tcPr>
            <w:tcW w:w="1134" w:type="dxa"/>
            <w:tcBorders>
              <w:top w:val="nil"/>
              <w:bottom w:val="nil"/>
            </w:tcBorders>
            <w:shd w:val="clear" w:color="auto" w:fill="auto"/>
          </w:tcPr>
          <w:p w14:paraId="2744109D" w14:textId="260F0CE8" w:rsidR="00A91341" w:rsidRPr="00AB3F41" w:rsidRDefault="00A91341" w:rsidP="00A91341">
            <w:pPr>
              <w:pStyle w:val="TableText0"/>
              <w:jc w:val="center"/>
              <w:rPr>
                <w:highlight w:val="lightGray"/>
              </w:rPr>
            </w:pPr>
            <w:r w:rsidRPr="00241C75">
              <w:rPr>
                <w:rFonts w:hint="eastAsia"/>
                <w:color w:val="000000"/>
                <w:w w:val="15"/>
                <w:shd w:val="solid" w:color="000000" w:fill="000000"/>
                <w14:textFill>
                  <w14:solidFill>
                    <w14:srgbClr w14:val="000000">
                      <w14:alpha w14:val="100000"/>
                    </w14:srgbClr>
                  </w14:solidFill>
                </w14:textFill>
              </w:rPr>
              <w:t xml:space="preserve">　</w:t>
            </w:r>
            <w:r w:rsidRPr="00241C75">
              <w:rPr>
                <w:color w:val="000000"/>
                <w:w w:val="15"/>
                <w:shd w:val="solid" w:color="000000" w:fill="000000"/>
                <w14:textFill>
                  <w14:solidFill>
                    <w14:srgbClr w14:val="000000">
                      <w14:alpha w14:val="100000"/>
                    </w14:srgbClr>
                  </w14:solidFill>
                </w14:textFill>
              </w:rPr>
              <w:t>|</w:t>
            </w:r>
            <w:r w:rsidRPr="00241C75">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793E1DD7" w14:textId="77777777" w:rsidR="00A91341" w:rsidRPr="009941F8" w:rsidRDefault="00A91341" w:rsidP="00A91341">
            <w:pPr>
              <w:pStyle w:val="TableText0"/>
              <w:jc w:val="center"/>
            </w:pPr>
            <w:r w:rsidRPr="009941F8">
              <w:t>0.101</w:t>
            </w:r>
          </w:p>
        </w:tc>
        <w:tc>
          <w:tcPr>
            <w:tcW w:w="851" w:type="dxa"/>
            <w:tcBorders>
              <w:top w:val="nil"/>
              <w:bottom w:val="nil"/>
            </w:tcBorders>
          </w:tcPr>
          <w:p w14:paraId="5F0BB3E5" w14:textId="56068F6F" w:rsidR="00A91341" w:rsidRPr="00AB3F41" w:rsidRDefault="00A91341" w:rsidP="00A91341">
            <w:pPr>
              <w:pStyle w:val="TableText0"/>
              <w:jc w:val="center"/>
              <w:rPr>
                <w:highlight w:val="lightGray"/>
              </w:rPr>
            </w:pPr>
            <w:r w:rsidRPr="00640EC9">
              <w:rPr>
                <w:color w:val="000000"/>
                <w:spacing w:val="118"/>
                <w:shd w:val="solid" w:color="000000" w:fill="000000"/>
                <w:fitText w:val="204" w:id="-961890041"/>
                <w14:textFill>
                  <w14:solidFill>
                    <w14:srgbClr w14:val="000000">
                      <w14:alpha w14:val="100000"/>
                    </w14:srgbClr>
                  </w14:solidFill>
                </w14:textFill>
              </w:rPr>
              <w:t>|</w:t>
            </w:r>
            <w:r w:rsidRPr="00640EC9">
              <w:rPr>
                <w:color w:val="000000"/>
                <w:spacing w:val="1"/>
                <w:shd w:val="solid" w:color="000000" w:fill="000000"/>
                <w:fitText w:val="204" w:id="-961890041"/>
                <w14:textFill>
                  <w14:solidFill>
                    <w14:srgbClr w14:val="000000">
                      <w14:alpha w14:val="100000"/>
                    </w14:srgbClr>
                  </w14:solidFill>
                </w14:textFill>
              </w:rPr>
              <w:t>|</w:t>
            </w:r>
            <w:r w:rsidRPr="0068000F">
              <w:rPr>
                <w:szCs w:val="20"/>
                <w:vertAlign w:val="superscript"/>
              </w:rPr>
              <w:t>3</w:t>
            </w:r>
          </w:p>
        </w:tc>
        <w:tc>
          <w:tcPr>
            <w:tcW w:w="873" w:type="dxa"/>
            <w:tcBorders>
              <w:top w:val="nil"/>
              <w:bottom w:val="nil"/>
            </w:tcBorders>
            <w:shd w:val="clear" w:color="auto" w:fill="auto"/>
          </w:tcPr>
          <w:p w14:paraId="5F013C85" w14:textId="7C6A80DB" w:rsidR="00A91341" w:rsidRPr="0068000F" w:rsidRDefault="002C1990" w:rsidP="00A91341">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553EB3" w:rsidRPr="009941F8" w14:paraId="0A9D5226" w14:textId="77777777" w:rsidTr="00CC67E7">
        <w:trPr>
          <w:trHeight w:val="199"/>
        </w:trPr>
        <w:tc>
          <w:tcPr>
            <w:tcW w:w="9090" w:type="dxa"/>
            <w:gridSpan w:val="5"/>
            <w:tcBorders>
              <w:top w:val="single" w:sz="4" w:space="0" w:color="auto"/>
              <w:bottom w:val="nil"/>
            </w:tcBorders>
          </w:tcPr>
          <w:p w14:paraId="1A2EA5DA" w14:textId="77777777" w:rsidR="00553EB3" w:rsidRPr="009941F8" w:rsidRDefault="00553EB3" w:rsidP="00FA3EC9">
            <w:pPr>
              <w:pStyle w:val="TableText0"/>
            </w:pPr>
            <w:r w:rsidRPr="009941F8">
              <w:t>LLDAS rates for responders after anifrolumab discontinuation (base placebo responders)</w:t>
            </w:r>
          </w:p>
        </w:tc>
      </w:tr>
      <w:tr w:rsidR="00553EB3" w:rsidRPr="009941F8" w14:paraId="57F45523" w14:textId="77777777" w:rsidTr="00233562">
        <w:trPr>
          <w:trHeight w:val="199"/>
        </w:trPr>
        <w:tc>
          <w:tcPr>
            <w:tcW w:w="5098" w:type="dxa"/>
            <w:tcBorders>
              <w:top w:val="nil"/>
              <w:bottom w:val="single" w:sz="2" w:space="0" w:color="auto"/>
            </w:tcBorders>
          </w:tcPr>
          <w:p w14:paraId="506526E3" w14:textId="78F06364" w:rsidR="00553EB3" w:rsidRPr="009941F8" w:rsidRDefault="00553EB3" w:rsidP="00FA3EC9">
            <w:pPr>
              <w:pStyle w:val="TableText0"/>
              <w:keepNext w:val="0"/>
              <w:numPr>
                <w:ilvl w:val="0"/>
                <w:numId w:val="7"/>
              </w:numPr>
              <w:ind w:left="22" w:hanging="22"/>
            </w:pPr>
            <w:r w:rsidRPr="009941F8">
              <w:t>Placebo non</w:t>
            </w:r>
            <w:r w:rsidR="00F25AA9">
              <w:t>-</w:t>
            </w:r>
            <w:r w:rsidRPr="009941F8">
              <w:t>responders</w:t>
            </w:r>
          </w:p>
        </w:tc>
        <w:tc>
          <w:tcPr>
            <w:tcW w:w="1134" w:type="dxa"/>
            <w:tcBorders>
              <w:top w:val="nil"/>
              <w:bottom w:val="single" w:sz="2" w:space="0" w:color="auto"/>
            </w:tcBorders>
            <w:shd w:val="clear" w:color="auto" w:fill="auto"/>
          </w:tcPr>
          <w:p w14:paraId="5391BD50" w14:textId="5CB557BE" w:rsidR="00553EB3" w:rsidRPr="00AB3F41" w:rsidRDefault="00A91341" w:rsidP="00FA3EC9">
            <w:pPr>
              <w:pStyle w:val="TableText0"/>
              <w:keepNext w:val="0"/>
              <w:jc w:val="center"/>
              <w:rPr>
                <w:highlight w:val="lightGray"/>
              </w:rPr>
            </w:pPr>
            <w:r w:rsidRPr="00A91341">
              <w:rPr>
                <w:rFonts w:hint="eastAsia"/>
                <w:color w:val="000000"/>
                <w:w w:val="15"/>
                <w:shd w:val="solid" w:color="000000" w:fill="000000"/>
                <w:fitText w:val="48" w:id="-961890035"/>
                <w14:textFill>
                  <w14:solidFill>
                    <w14:srgbClr w14:val="000000">
                      <w14:alpha w14:val="100000"/>
                    </w14:srgbClr>
                  </w14:solidFill>
                </w14:textFill>
              </w:rPr>
              <w:t xml:space="preserve">　</w:t>
            </w:r>
            <w:r w:rsidRPr="00A91341">
              <w:rPr>
                <w:color w:val="000000"/>
                <w:w w:val="15"/>
                <w:shd w:val="solid" w:color="000000" w:fill="000000"/>
                <w:fitText w:val="48" w:id="-961890035"/>
                <w14:textFill>
                  <w14:solidFill>
                    <w14:srgbClr w14:val="000000">
                      <w14:alpha w14:val="100000"/>
                    </w14:srgbClr>
                  </w14:solidFill>
                </w14:textFill>
              </w:rPr>
              <w:t>|</w:t>
            </w:r>
            <w:r w:rsidRPr="00A91341">
              <w:rPr>
                <w:rFonts w:hint="eastAsia"/>
                <w:color w:val="000000"/>
                <w:spacing w:val="-17"/>
                <w:w w:val="15"/>
                <w:shd w:val="solid" w:color="000000" w:fill="000000"/>
                <w:fitText w:val="48" w:id="-961890035"/>
                <w14:textFill>
                  <w14:solidFill>
                    <w14:srgbClr w14:val="000000">
                      <w14:alpha w14:val="100000"/>
                    </w14:srgbClr>
                  </w14:solidFill>
                </w14:textFill>
              </w:rPr>
              <w:t xml:space="preserve">　</w:t>
            </w:r>
          </w:p>
        </w:tc>
        <w:tc>
          <w:tcPr>
            <w:tcW w:w="1134" w:type="dxa"/>
            <w:tcBorders>
              <w:top w:val="nil"/>
              <w:bottom w:val="single" w:sz="2" w:space="0" w:color="auto"/>
            </w:tcBorders>
          </w:tcPr>
          <w:p w14:paraId="191880A7" w14:textId="77777777" w:rsidR="00553EB3" w:rsidRPr="009941F8" w:rsidRDefault="00553EB3" w:rsidP="00FA3EC9">
            <w:pPr>
              <w:pStyle w:val="TableText0"/>
              <w:keepNext w:val="0"/>
              <w:jc w:val="center"/>
            </w:pPr>
            <w:r w:rsidRPr="009941F8">
              <w:t>0.124</w:t>
            </w:r>
          </w:p>
        </w:tc>
        <w:tc>
          <w:tcPr>
            <w:tcW w:w="851" w:type="dxa"/>
            <w:tcBorders>
              <w:top w:val="nil"/>
              <w:bottom w:val="single" w:sz="2" w:space="0" w:color="auto"/>
            </w:tcBorders>
          </w:tcPr>
          <w:p w14:paraId="5C0C514C" w14:textId="181B2895" w:rsidR="00553EB3" w:rsidRPr="00AB3F41" w:rsidRDefault="00640EC9" w:rsidP="00FA3EC9">
            <w:pPr>
              <w:pStyle w:val="TableText0"/>
              <w:keepNext w:val="0"/>
              <w:jc w:val="center"/>
              <w:rPr>
                <w:highlight w:val="lightGray"/>
              </w:rPr>
            </w:pPr>
            <w:r w:rsidRPr="00640EC9">
              <w:rPr>
                <w:color w:val="000000"/>
                <w:spacing w:val="118"/>
                <w:shd w:val="solid" w:color="000000" w:fill="000000"/>
                <w:fitText w:val="204" w:id="-961889790"/>
                <w14:textFill>
                  <w14:solidFill>
                    <w14:srgbClr w14:val="000000">
                      <w14:alpha w14:val="100000"/>
                    </w14:srgbClr>
                  </w14:solidFill>
                </w14:textFill>
              </w:rPr>
              <w:t>|</w:t>
            </w:r>
            <w:r w:rsidRPr="00640EC9">
              <w:rPr>
                <w:color w:val="000000"/>
                <w:spacing w:val="1"/>
                <w:shd w:val="solid" w:color="000000" w:fill="000000"/>
                <w:fitText w:val="204" w:id="-961889790"/>
                <w14:textFill>
                  <w14:solidFill>
                    <w14:srgbClr w14:val="000000">
                      <w14:alpha w14:val="100000"/>
                    </w14:srgbClr>
                  </w14:solidFill>
                </w14:textFill>
              </w:rPr>
              <w:t>|</w:t>
            </w:r>
            <w:r w:rsidR="0068000F" w:rsidRPr="0068000F">
              <w:rPr>
                <w:vertAlign w:val="superscript"/>
              </w:rPr>
              <w:t>1</w:t>
            </w:r>
          </w:p>
        </w:tc>
        <w:tc>
          <w:tcPr>
            <w:tcW w:w="873" w:type="dxa"/>
            <w:tcBorders>
              <w:top w:val="nil"/>
              <w:bottom w:val="single" w:sz="2" w:space="0" w:color="auto"/>
            </w:tcBorders>
            <w:shd w:val="clear" w:color="auto" w:fill="auto"/>
          </w:tcPr>
          <w:p w14:paraId="5F97A726" w14:textId="2FFEC8B3" w:rsidR="00553EB3" w:rsidRPr="0068000F" w:rsidRDefault="002C1990" w:rsidP="00233562">
            <w:pPr>
              <w:pStyle w:val="TableText0"/>
              <w:keepNext w:val="0"/>
              <w:tabs>
                <w:tab w:val="left" w:pos="272"/>
                <w:tab w:val="center" w:pos="379"/>
              </w:tabs>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B4343B" w:rsidRPr="009941F8" w14:paraId="3E80B970" w14:textId="77777777" w:rsidTr="00B4343B">
        <w:trPr>
          <w:trHeight w:val="199"/>
        </w:trPr>
        <w:tc>
          <w:tcPr>
            <w:tcW w:w="9090" w:type="dxa"/>
            <w:gridSpan w:val="5"/>
            <w:tcBorders>
              <w:top w:val="single" w:sz="2" w:space="0" w:color="auto"/>
              <w:bottom w:val="nil"/>
            </w:tcBorders>
          </w:tcPr>
          <w:p w14:paraId="464E2225" w14:textId="488BF5C0" w:rsidR="00B4343B" w:rsidRPr="009941F8" w:rsidRDefault="00B4343B" w:rsidP="00FA3EC9">
            <w:pPr>
              <w:pStyle w:val="TableText0"/>
            </w:pPr>
            <w:r w:rsidRPr="009941F8">
              <w:lastRenderedPageBreak/>
              <w:t>Anifrolumab stopping rule (base 26 weeks)</w:t>
            </w:r>
          </w:p>
        </w:tc>
      </w:tr>
      <w:tr w:rsidR="002C1990" w:rsidRPr="009941F8" w14:paraId="13786453" w14:textId="77777777" w:rsidTr="00233562">
        <w:trPr>
          <w:trHeight w:val="199"/>
        </w:trPr>
        <w:tc>
          <w:tcPr>
            <w:tcW w:w="5098" w:type="dxa"/>
            <w:tcBorders>
              <w:top w:val="nil"/>
              <w:bottom w:val="nil"/>
            </w:tcBorders>
          </w:tcPr>
          <w:p w14:paraId="6B56C8EA" w14:textId="0B6DDA78" w:rsidR="002C1990" w:rsidRPr="009941F8" w:rsidRDefault="002C1990" w:rsidP="002C1990">
            <w:pPr>
              <w:pStyle w:val="TableText0"/>
              <w:numPr>
                <w:ilvl w:val="0"/>
                <w:numId w:val="7"/>
              </w:numPr>
              <w:ind w:left="22" w:hanging="22"/>
            </w:pPr>
            <w:r w:rsidRPr="009941F8">
              <w:t>52 weeks</w:t>
            </w:r>
            <w:r w:rsidRPr="009941F8">
              <w:rPr>
                <w:vertAlign w:val="superscript"/>
              </w:rPr>
              <w:t>a</w:t>
            </w:r>
          </w:p>
        </w:tc>
        <w:tc>
          <w:tcPr>
            <w:tcW w:w="1134" w:type="dxa"/>
            <w:tcBorders>
              <w:top w:val="nil"/>
              <w:bottom w:val="nil"/>
            </w:tcBorders>
            <w:shd w:val="clear" w:color="auto" w:fill="auto"/>
          </w:tcPr>
          <w:p w14:paraId="7B66A0EE" w14:textId="1E8F19DD" w:rsidR="002C1990" w:rsidRPr="00AB3F41" w:rsidRDefault="002C1990" w:rsidP="002C1990">
            <w:pPr>
              <w:pStyle w:val="TableText0"/>
              <w:jc w:val="center"/>
              <w:rPr>
                <w:highlight w:val="lightGray"/>
              </w:rPr>
            </w:pPr>
            <w:r w:rsidRPr="00FC3162">
              <w:rPr>
                <w:rFonts w:hint="eastAsia"/>
                <w:color w:val="000000"/>
                <w:w w:val="15"/>
                <w:shd w:val="solid" w:color="000000" w:fill="000000"/>
                <w14:textFill>
                  <w14:solidFill>
                    <w14:srgbClr w14:val="000000">
                      <w14:alpha w14:val="100000"/>
                    </w14:srgbClr>
                  </w14:solidFill>
                </w14:textFill>
              </w:rPr>
              <w:t xml:space="preserve">　</w:t>
            </w:r>
            <w:r w:rsidRPr="00FC3162">
              <w:rPr>
                <w:color w:val="000000"/>
                <w:w w:val="15"/>
                <w:shd w:val="solid" w:color="000000" w:fill="000000"/>
                <w14:textFill>
                  <w14:solidFill>
                    <w14:srgbClr w14:val="000000">
                      <w14:alpha w14:val="100000"/>
                    </w14:srgbClr>
                  </w14:solidFill>
                </w14:textFill>
              </w:rPr>
              <w:t>|</w:t>
            </w:r>
            <w:r w:rsidRPr="00FC3162">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nil"/>
            </w:tcBorders>
          </w:tcPr>
          <w:p w14:paraId="2B38C844" w14:textId="77777777" w:rsidR="002C1990" w:rsidRPr="009941F8" w:rsidRDefault="002C1990" w:rsidP="002C1990">
            <w:pPr>
              <w:pStyle w:val="TableText0"/>
              <w:jc w:val="center"/>
            </w:pPr>
            <w:r w:rsidRPr="009941F8">
              <w:t>0.145</w:t>
            </w:r>
          </w:p>
        </w:tc>
        <w:tc>
          <w:tcPr>
            <w:tcW w:w="851" w:type="dxa"/>
            <w:tcBorders>
              <w:top w:val="nil"/>
              <w:bottom w:val="nil"/>
            </w:tcBorders>
          </w:tcPr>
          <w:p w14:paraId="3C67B1A5" w14:textId="0734DB97" w:rsidR="002C1990" w:rsidRPr="00AB3F41" w:rsidRDefault="002C1990" w:rsidP="002C1990">
            <w:pPr>
              <w:pStyle w:val="TableText0"/>
              <w:jc w:val="center"/>
              <w:rPr>
                <w:highlight w:val="lightGray"/>
              </w:rPr>
            </w:pPr>
            <w:r w:rsidRPr="00640EC9">
              <w:rPr>
                <w:color w:val="000000"/>
                <w:spacing w:val="118"/>
                <w:shd w:val="solid" w:color="000000" w:fill="000000"/>
                <w:fitText w:val="204" w:id="-961889787"/>
                <w14:textFill>
                  <w14:solidFill>
                    <w14:srgbClr w14:val="000000">
                      <w14:alpha w14:val="100000"/>
                    </w14:srgbClr>
                  </w14:solidFill>
                </w14:textFill>
              </w:rPr>
              <w:t>|</w:t>
            </w:r>
            <w:r w:rsidRPr="00640EC9">
              <w:rPr>
                <w:color w:val="000000"/>
                <w:spacing w:val="1"/>
                <w:shd w:val="solid" w:color="000000" w:fill="000000"/>
                <w:fitText w:val="204" w:id="-961889787"/>
                <w14:textFill>
                  <w14:solidFill>
                    <w14:srgbClr w14:val="000000">
                      <w14:alpha w14:val="100000"/>
                    </w14:srgbClr>
                  </w14:solidFill>
                </w14:textFill>
              </w:rPr>
              <w:t>|</w:t>
            </w:r>
            <w:r w:rsidRPr="0029498D">
              <w:rPr>
                <w:vertAlign w:val="superscript"/>
              </w:rPr>
              <w:t>4</w:t>
            </w:r>
          </w:p>
        </w:tc>
        <w:tc>
          <w:tcPr>
            <w:tcW w:w="873" w:type="dxa"/>
            <w:tcBorders>
              <w:top w:val="nil"/>
              <w:bottom w:val="nil"/>
            </w:tcBorders>
            <w:shd w:val="clear" w:color="auto" w:fill="auto"/>
          </w:tcPr>
          <w:p w14:paraId="7116D1B8" w14:textId="15E35324" w:rsidR="002C1990" w:rsidRPr="00AB3F41" w:rsidRDefault="002C1990" w:rsidP="002C1990">
            <w:pPr>
              <w:pStyle w:val="TableText0"/>
              <w:jc w:val="center"/>
              <w:rPr>
                <w:highlight w:val="lightGray"/>
              </w:rPr>
            </w:pPr>
            <w:r w:rsidRPr="009C439B">
              <w:rPr>
                <w:color w:val="000000"/>
                <w:spacing w:val="82"/>
                <w:shd w:val="solid" w:color="000000" w:fill="000000"/>
                <w14:textFill>
                  <w14:solidFill>
                    <w14:srgbClr w14:val="000000">
                      <w14:alpha w14:val="100000"/>
                    </w14:srgbClr>
                  </w14:solidFill>
                </w14:textFill>
              </w:rPr>
              <w:t>|</w:t>
            </w:r>
          </w:p>
        </w:tc>
      </w:tr>
      <w:tr w:rsidR="002C1990" w:rsidRPr="009941F8" w14:paraId="638C3D10" w14:textId="77777777" w:rsidTr="00233562">
        <w:trPr>
          <w:trHeight w:val="199"/>
        </w:trPr>
        <w:tc>
          <w:tcPr>
            <w:tcW w:w="5098" w:type="dxa"/>
            <w:tcBorders>
              <w:top w:val="nil"/>
              <w:bottom w:val="single" w:sz="4" w:space="0" w:color="auto"/>
            </w:tcBorders>
          </w:tcPr>
          <w:p w14:paraId="0CAD8DF6" w14:textId="62A70077" w:rsidR="002C1990" w:rsidRPr="009941F8" w:rsidRDefault="002C1990" w:rsidP="002C1990">
            <w:pPr>
              <w:pStyle w:val="TableText0"/>
              <w:numPr>
                <w:ilvl w:val="0"/>
                <w:numId w:val="7"/>
              </w:numPr>
              <w:ind w:left="22" w:hanging="22"/>
            </w:pPr>
            <w:r w:rsidRPr="009941F8">
              <w:t>No stopping rule (anifrolumab continued until death)</w:t>
            </w:r>
          </w:p>
        </w:tc>
        <w:tc>
          <w:tcPr>
            <w:tcW w:w="1134" w:type="dxa"/>
            <w:tcBorders>
              <w:top w:val="nil"/>
              <w:bottom w:val="single" w:sz="4" w:space="0" w:color="auto"/>
            </w:tcBorders>
            <w:shd w:val="clear" w:color="auto" w:fill="auto"/>
          </w:tcPr>
          <w:p w14:paraId="792BC69E" w14:textId="6AB1B46D" w:rsidR="002C1990" w:rsidRPr="00AB3F41" w:rsidRDefault="002C1990" w:rsidP="002C1990">
            <w:pPr>
              <w:pStyle w:val="TableText0"/>
              <w:jc w:val="center"/>
              <w:rPr>
                <w:highlight w:val="lightGray"/>
              </w:rPr>
            </w:pPr>
            <w:r w:rsidRPr="00FC3162">
              <w:rPr>
                <w:rFonts w:hint="eastAsia"/>
                <w:color w:val="000000"/>
                <w:w w:val="15"/>
                <w:shd w:val="solid" w:color="000000" w:fill="000000"/>
                <w14:textFill>
                  <w14:solidFill>
                    <w14:srgbClr w14:val="000000">
                      <w14:alpha w14:val="100000"/>
                    </w14:srgbClr>
                  </w14:solidFill>
                </w14:textFill>
              </w:rPr>
              <w:t xml:space="preserve">　</w:t>
            </w:r>
            <w:r w:rsidRPr="00FC3162">
              <w:rPr>
                <w:color w:val="000000"/>
                <w:w w:val="15"/>
                <w:shd w:val="solid" w:color="000000" w:fill="000000"/>
                <w14:textFill>
                  <w14:solidFill>
                    <w14:srgbClr w14:val="000000">
                      <w14:alpha w14:val="100000"/>
                    </w14:srgbClr>
                  </w14:solidFill>
                </w14:textFill>
              </w:rPr>
              <w:t>|</w:t>
            </w:r>
            <w:r w:rsidRPr="00FC3162">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nil"/>
              <w:bottom w:val="single" w:sz="4" w:space="0" w:color="auto"/>
            </w:tcBorders>
          </w:tcPr>
          <w:p w14:paraId="1F6F9AB4" w14:textId="77777777" w:rsidR="002C1990" w:rsidRPr="009941F8" w:rsidRDefault="002C1990" w:rsidP="002C1990">
            <w:pPr>
              <w:pStyle w:val="TableText0"/>
              <w:jc w:val="center"/>
            </w:pPr>
            <w:r w:rsidRPr="009941F8">
              <w:t>0.272</w:t>
            </w:r>
          </w:p>
        </w:tc>
        <w:tc>
          <w:tcPr>
            <w:tcW w:w="851" w:type="dxa"/>
            <w:tcBorders>
              <w:top w:val="nil"/>
              <w:bottom w:val="single" w:sz="4" w:space="0" w:color="auto"/>
            </w:tcBorders>
          </w:tcPr>
          <w:p w14:paraId="178EB63F" w14:textId="63880C42" w:rsidR="002C1990" w:rsidRPr="00AB3F41" w:rsidRDefault="002C1990" w:rsidP="002C1990">
            <w:pPr>
              <w:pStyle w:val="TableText0"/>
              <w:jc w:val="center"/>
              <w:rPr>
                <w:highlight w:val="lightGray"/>
              </w:rPr>
            </w:pPr>
            <w:r w:rsidRPr="00640EC9">
              <w:rPr>
                <w:color w:val="000000"/>
                <w:spacing w:val="118"/>
                <w:shd w:val="solid" w:color="000000" w:fill="000000"/>
                <w:fitText w:val="204" w:id="-961889784"/>
                <w14:textFill>
                  <w14:solidFill>
                    <w14:srgbClr w14:val="000000">
                      <w14:alpha w14:val="100000"/>
                    </w14:srgbClr>
                  </w14:solidFill>
                </w14:textFill>
              </w:rPr>
              <w:t>|</w:t>
            </w:r>
            <w:r w:rsidRPr="00640EC9">
              <w:rPr>
                <w:color w:val="000000"/>
                <w:spacing w:val="1"/>
                <w:shd w:val="solid" w:color="000000" w:fill="000000"/>
                <w:fitText w:val="204" w:id="-961889784"/>
                <w14:textFill>
                  <w14:solidFill>
                    <w14:srgbClr w14:val="000000">
                      <w14:alpha w14:val="100000"/>
                    </w14:srgbClr>
                  </w14:solidFill>
                </w14:textFill>
              </w:rPr>
              <w:t>|</w:t>
            </w:r>
            <w:r w:rsidRPr="0029498D">
              <w:rPr>
                <w:vertAlign w:val="superscript"/>
              </w:rPr>
              <w:t>5</w:t>
            </w:r>
          </w:p>
        </w:tc>
        <w:tc>
          <w:tcPr>
            <w:tcW w:w="873" w:type="dxa"/>
            <w:tcBorders>
              <w:top w:val="nil"/>
              <w:bottom w:val="single" w:sz="4" w:space="0" w:color="auto"/>
            </w:tcBorders>
            <w:shd w:val="clear" w:color="auto" w:fill="auto"/>
          </w:tcPr>
          <w:p w14:paraId="58F253F8" w14:textId="0F8BC54D" w:rsidR="002C1990" w:rsidRPr="00AB3F41" w:rsidRDefault="002C1990" w:rsidP="002C1990">
            <w:pPr>
              <w:pStyle w:val="TableText0"/>
              <w:jc w:val="center"/>
              <w:rPr>
                <w:highlight w:val="lightGray"/>
              </w:rPr>
            </w:pPr>
            <w:r w:rsidRPr="009C439B">
              <w:rPr>
                <w:color w:val="000000"/>
                <w:spacing w:val="82"/>
                <w:shd w:val="solid" w:color="000000" w:fill="000000"/>
                <w14:textFill>
                  <w14:solidFill>
                    <w14:srgbClr w14:val="000000">
                      <w14:alpha w14:val="100000"/>
                    </w14:srgbClr>
                  </w14:solidFill>
                </w14:textFill>
              </w:rPr>
              <w:t>|</w:t>
            </w:r>
          </w:p>
        </w:tc>
      </w:tr>
      <w:tr w:rsidR="001D4FAC" w:rsidRPr="009941F8" w14:paraId="22E66F9E" w14:textId="77777777" w:rsidTr="00460084">
        <w:trPr>
          <w:trHeight w:val="199"/>
        </w:trPr>
        <w:tc>
          <w:tcPr>
            <w:tcW w:w="9090" w:type="dxa"/>
            <w:gridSpan w:val="5"/>
            <w:tcBorders>
              <w:top w:val="single" w:sz="4" w:space="0" w:color="auto"/>
              <w:bottom w:val="single" w:sz="4" w:space="0" w:color="auto"/>
            </w:tcBorders>
          </w:tcPr>
          <w:p w14:paraId="7A0813A4" w14:textId="2D2FC19F" w:rsidR="001D4FAC" w:rsidRPr="009239EE" w:rsidRDefault="00A418C7" w:rsidP="00FA3EC9">
            <w:pPr>
              <w:pStyle w:val="TableText0"/>
              <w:rPr>
                <w:b/>
                <w:bCs w:val="0"/>
              </w:rPr>
            </w:pPr>
            <w:r w:rsidRPr="009239EE">
              <w:rPr>
                <w:b/>
                <w:bCs w:val="0"/>
              </w:rPr>
              <w:t xml:space="preserve">ESC </w:t>
            </w:r>
            <w:r w:rsidR="00C44237" w:rsidRPr="009239EE">
              <w:rPr>
                <w:b/>
                <w:bCs w:val="0"/>
              </w:rPr>
              <w:t xml:space="preserve">multivariate </w:t>
            </w:r>
            <w:r w:rsidR="001D4FAC" w:rsidRPr="009239EE">
              <w:rPr>
                <w:b/>
                <w:bCs w:val="0"/>
              </w:rPr>
              <w:t>sensitivity analyses</w:t>
            </w:r>
          </w:p>
        </w:tc>
      </w:tr>
      <w:tr w:rsidR="00A91341" w:rsidRPr="009941F8" w14:paraId="690D6273" w14:textId="77777777" w:rsidTr="00233562">
        <w:trPr>
          <w:trHeight w:val="199"/>
        </w:trPr>
        <w:tc>
          <w:tcPr>
            <w:tcW w:w="5098" w:type="dxa"/>
            <w:tcBorders>
              <w:top w:val="single" w:sz="4" w:space="0" w:color="auto"/>
              <w:bottom w:val="single" w:sz="4" w:space="0" w:color="auto"/>
            </w:tcBorders>
          </w:tcPr>
          <w:p w14:paraId="15B2A9F8" w14:textId="64DAB6C9" w:rsidR="00A91341" w:rsidRPr="009239EE" w:rsidRDefault="00A91341" w:rsidP="00A91341">
            <w:pPr>
              <w:pStyle w:val="TableText0"/>
            </w:pPr>
            <w:r w:rsidRPr="009239EE">
              <w:t>1. Time horizon = 10 years</w:t>
            </w:r>
          </w:p>
          <w:p w14:paraId="7A59BFD3" w14:textId="236CC30A" w:rsidR="00A91341" w:rsidRPr="009239EE" w:rsidRDefault="00A91341" w:rsidP="00A91341">
            <w:pPr>
              <w:pStyle w:val="TableText0"/>
            </w:pPr>
            <w:r w:rsidRPr="009239EE">
              <w:t>2. LLDAS states related cost</w:t>
            </w:r>
            <w:r w:rsidRPr="00831A70">
              <w:t>s from Yeo ($3,773)</w:t>
            </w:r>
          </w:p>
          <w:p w14:paraId="3BCE8332" w14:textId="3FA2958E" w:rsidR="00A91341" w:rsidRPr="009239EE" w:rsidRDefault="00A91341" w:rsidP="00A91341">
            <w:pPr>
              <w:pStyle w:val="TableText0"/>
            </w:pPr>
            <w:r w:rsidRPr="009239EE">
              <w:t>3. No LLDAS mortality benefit</w:t>
            </w:r>
          </w:p>
          <w:p w14:paraId="07F465E2" w14:textId="002007F6" w:rsidR="00A91341" w:rsidRPr="009239EE" w:rsidRDefault="00A91341" w:rsidP="00A91341">
            <w:pPr>
              <w:pStyle w:val="TableText0"/>
            </w:pPr>
            <w:r w:rsidRPr="009239EE">
              <w:t>4. Anifrolumab discontinuers move into placebo non-responder state</w:t>
            </w:r>
          </w:p>
        </w:tc>
        <w:tc>
          <w:tcPr>
            <w:tcW w:w="1134" w:type="dxa"/>
            <w:tcBorders>
              <w:top w:val="single" w:sz="4" w:space="0" w:color="auto"/>
              <w:bottom w:val="single" w:sz="4" w:space="0" w:color="auto"/>
            </w:tcBorders>
            <w:shd w:val="clear" w:color="auto" w:fill="auto"/>
            <w:vAlign w:val="center"/>
          </w:tcPr>
          <w:p w14:paraId="45F53876" w14:textId="6A4E98C9" w:rsidR="00A91341" w:rsidRPr="009239EE" w:rsidRDefault="00A91341" w:rsidP="00A91341">
            <w:pPr>
              <w:pStyle w:val="TableText0"/>
              <w:jc w:val="center"/>
            </w:pPr>
            <w:r w:rsidRPr="00487267">
              <w:rPr>
                <w:color w:val="000000"/>
                <w:w w:val="15"/>
                <w:shd w:val="solid" w:color="000000" w:fill="000000"/>
                <w14:textFill>
                  <w14:solidFill>
                    <w14:srgbClr w14:val="000000">
                      <w14:alpha w14:val="100000"/>
                    </w14:srgbClr>
                  </w14:solidFill>
                </w14:textFill>
              </w:rPr>
              <w:t>|</w:t>
            </w:r>
            <w:r w:rsidRPr="00487267">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6B83EAE5" w14:textId="1FDEF920" w:rsidR="00A91341" w:rsidRPr="009239EE" w:rsidRDefault="00A91341" w:rsidP="00A91341">
            <w:pPr>
              <w:pStyle w:val="TableText0"/>
              <w:jc w:val="center"/>
            </w:pPr>
            <w:r w:rsidRPr="009239EE">
              <w:t>0.071</w:t>
            </w:r>
          </w:p>
        </w:tc>
        <w:tc>
          <w:tcPr>
            <w:tcW w:w="851" w:type="dxa"/>
            <w:tcBorders>
              <w:top w:val="single" w:sz="4" w:space="0" w:color="auto"/>
              <w:bottom w:val="single" w:sz="4" w:space="0" w:color="auto"/>
            </w:tcBorders>
            <w:vAlign w:val="center"/>
          </w:tcPr>
          <w:p w14:paraId="3ED73FD6" w14:textId="5973DB32" w:rsidR="00A91341" w:rsidRPr="009239EE" w:rsidRDefault="00A91341" w:rsidP="00A91341">
            <w:pPr>
              <w:pStyle w:val="TableText0"/>
              <w:jc w:val="center"/>
            </w:pPr>
            <w:r w:rsidRPr="00640EC9">
              <w:rPr>
                <w:color w:val="000000"/>
                <w:spacing w:val="118"/>
                <w:shd w:val="solid" w:color="000000" w:fill="000000"/>
                <w:fitText w:val="204" w:id="-961889781"/>
                <w14:textFill>
                  <w14:solidFill>
                    <w14:srgbClr w14:val="000000">
                      <w14:alpha w14:val="100000"/>
                    </w14:srgbClr>
                  </w14:solidFill>
                </w14:textFill>
              </w:rPr>
              <w:t>|</w:t>
            </w:r>
            <w:r w:rsidRPr="00640EC9">
              <w:rPr>
                <w:color w:val="000000"/>
                <w:spacing w:val="1"/>
                <w:shd w:val="solid" w:color="000000" w:fill="000000"/>
                <w:fitText w:val="204" w:id="-961889781"/>
                <w14:textFill>
                  <w14:solidFill>
                    <w14:srgbClr w14:val="000000">
                      <w14:alpha w14:val="100000"/>
                    </w14:srgbClr>
                  </w14:solidFill>
                </w14:textFill>
              </w:rPr>
              <w:t>|</w:t>
            </w:r>
            <w:r w:rsidRPr="0029498D">
              <w:rPr>
                <w:vertAlign w:val="superscript"/>
              </w:rPr>
              <w:t>6</w:t>
            </w:r>
          </w:p>
        </w:tc>
        <w:tc>
          <w:tcPr>
            <w:tcW w:w="873" w:type="dxa"/>
            <w:tcBorders>
              <w:top w:val="single" w:sz="4" w:space="0" w:color="auto"/>
              <w:bottom w:val="single" w:sz="4" w:space="0" w:color="auto"/>
            </w:tcBorders>
          </w:tcPr>
          <w:p w14:paraId="322C4FBC" w14:textId="77777777" w:rsidR="00A91341" w:rsidRPr="00357D22" w:rsidRDefault="00A91341" w:rsidP="00A91341">
            <w:pPr>
              <w:pStyle w:val="TableText0"/>
              <w:spacing w:after="100"/>
              <w:jc w:val="center"/>
            </w:pPr>
          </w:p>
          <w:p w14:paraId="62B8DD44" w14:textId="05F4071F" w:rsidR="00A91341" w:rsidRPr="00AB3F41" w:rsidRDefault="00A91341" w:rsidP="00A91341">
            <w:pPr>
              <w:pStyle w:val="TableText0"/>
              <w:jc w:val="center"/>
              <w:rPr>
                <w:highlight w:val="lightGray"/>
              </w:rPr>
            </w:pPr>
            <w:r w:rsidRPr="00640EC9">
              <w:rPr>
                <w:color w:val="000000"/>
                <w:spacing w:val="82"/>
                <w:shd w:val="solid" w:color="000000" w:fill="000000"/>
                <w:fitText w:val="168" w:id="-961889780"/>
                <w14:textFill>
                  <w14:solidFill>
                    <w14:srgbClr w14:val="000000">
                      <w14:alpha w14:val="100000"/>
                    </w14:srgbClr>
                  </w14:solidFill>
                </w14:textFill>
              </w:rPr>
              <w:t>|</w:t>
            </w:r>
            <w:r w:rsidRPr="00640EC9">
              <w:rPr>
                <w:color w:val="000000"/>
                <w:spacing w:val="1"/>
                <w:shd w:val="solid" w:color="000000" w:fill="000000"/>
                <w:fitText w:val="168" w:id="-961889780"/>
                <w14:textFill>
                  <w14:solidFill>
                    <w14:srgbClr w14:val="000000">
                      <w14:alpha w14:val="100000"/>
                    </w14:srgbClr>
                  </w14:solidFill>
                </w14:textFill>
              </w:rPr>
              <w:t>|</w:t>
            </w:r>
          </w:p>
        </w:tc>
      </w:tr>
      <w:tr w:rsidR="00A91341" w:rsidRPr="009941F8" w14:paraId="58E01E33" w14:textId="77777777" w:rsidTr="00233562">
        <w:trPr>
          <w:trHeight w:val="199"/>
        </w:trPr>
        <w:tc>
          <w:tcPr>
            <w:tcW w:w="5098" w:type="dxa"/>
            <w:tcBorders>
              <w:top w:val="single" w:sz="4" w:space="0" w:color="auto"/>
              <w:bottom w:val="single" w:sz="4" w:space="0" w:color="auto"/>
            </w:tcBorders>
          </w:tcPr>
          <w:p w14:paraId="425C09F1" w14:textId="23BC0192" w:rsidR="00A91341" w:rsidRPr="009239EE" w:rsidRDefault="00A91341" w:rsidP="00A91341">
            <w:pPr>
              <w:pStyle w:val="TableText0"/>
            </w:pPr>
            <w:r w:rsidRPr="009239EE">
              <w:t xml:space="preserve">ESC MSA with price proposed in pre-PBAC response </w:t>
            </w:r>
          </w:p>
        </w:tc>
        <w:tc>
          <w:tcPr>
            <w:tcW w:w="1134" w:type="dxa"/>
            <w:tcBorders>
              <w:top w:val="single" w:sz="4" w:space="0" w:color="auto"/>
              <w:bottom w:val="single" w:sz="4" w:space="0" w:color="auto"/>
            </w:tcBorders>
            <w:shd w:val="clear" w:color="auto" w:fill="auto"/>
            <w:vAlign w:val="center"/>
          </w:tcPr>
          <w:p w14:paraId="5FF649F3" w14:textId="44A078C7" w:rsidR="00A91341" w:rsidRPr="009239EE" w:rsidRDefault="00A91341" w:rsidP="00A91341">
            <w:pPr>
              <w:pStyle w:val="TableText0"/>
              <w:jc w:val="center"/>
            </w:pPr>
            <w:r w:rsidRPr="00487267">
              <w:rPr>
                <w:color w:val="000000"/>
                <w:w w:val="15"/>
                <w:shd w:val="solid" w:color="000000" w:fill="000000"/>
                <w14:textFill>
                  <w14:solidFill>
                    <w14:srgbClr w14:val="000000">
                      <w14:alpha w14:val="100000"/>
                    </w14:srgbClr>
                  </w14:solidFill>
                </w14:textFill>
              </w:rPr>
              <w:t>|</w:t>
            </w:r>
            <w:r w:rsidRPr="00487267">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067FE299" w14:textId="103B146E" w:rsidR="00A91341" w:rsidRPr="009239EE" w:rsidRDefault="00A91341" w:rsidP="00A91341">
            <w:pPr>
              <w:pStyle w:val="TableText0"/>
              <w:jc w:val="center"/>
            </w:pPr>
            <w:r w:rsidRPr="009239EE">
              <w:rPr>
                <w:szCs w:val="20"/>
              </w:rPr>
              <w:t>0.071</w:t>
            </w:r>
          </w:p>
        </w:tc>
        <w:tc>
          <w:tcPr>
            <w:tcW w:w="851" w:type="dxa"/>
            <w:tcBorders>
              <w:top w:val="single" w:sz="4" w:space="0" w:color="auto"/>
              <w:bottom w:val="single" w:sz="4" w:space="0" w:color="auto"/>
            </w:tcBorders>
            <w:vAlign w:val="center"/>
          </w:tcPr>
          <w:p w14:paraId="7324A999" w14:textId="37681D1F" w:rsidR="00A91341" w:rsidRPr="009239EE" w:rsidRDefault="00A91341" w:rsidP="00A91341">
            <w:pPr>
              <w:pStyle w:val="TableText0"/>
              <w:jc w:val="center"/>
            </w:pPr>
            <w:r w:rsidRPr="00640EC9">
              <w:rPr>
                <w:color w:val="000000"/>
                <w:spacing w:val="118"/>
                <w:szCs w:val="20"/>
                <w:shd w:val="solid" w:color="000000" w:fill="000000"/>
                <w:fitText w:val="204" w:id="-961889778"/>
                <w14:textFill>
                  <w14:solidFill>
                    <w14:srgbClr w14:val="000000">
                      <w14:alpha w14:val="100000"/>
                    </w14:srgbClr>
                  </w14:solidFill>
                </w14:textFill>
              </w:rPr>
              <w:t>|</w:t>
            </w:r>
            <w:r w:rsidRPr="00640EC9">
              <w:rPr>
                <w:color w:val="000000"/>
                <w:spacing w:val="1"/>
                <w:szCs w:val="20"/>
                <w:shd w:val="solid" w:color="000000" w:fill="000000"/>
                <w:fitText w:val="204" w:id="-961889778"/>
                <w14:textFill>
                  <w14:solidFill>
                    <w14:srgbClr w14:val="000000">
                      <w14:alpha w14:val="100000"/>
                    </w14:srgbClr>
                  </w14:solidFill>
                </w14:textFill>
              </w:rPr>
              <w:t>|</w:t>
            </w:r>
            <w:r w:rsidRPr="0029498D">
              <w:rPr>
                <w:szCs w:val="20"/>
                <w:vertAlign w:val="superscript"/>
              </w:rPr>
              <w:t>7</w:t>
            </w:r>
          </w:p>
        </w:tc>
        <w:tc>
          <w:tcPr>
            <w:tcW w:w="873" w:type="dxa"/>
            <w:tcBorders>
              <w:top w:val="single" w:sz="4" w:space="0" w:color="auto"/>
              <w:bottom w:val="single" w:sz="4" w:space="0" w:color="auto"/>
            </w:tcBorders>
            <w:shd w:val="clear" w:color="auto" w:fill="auto"/>
          </w:tcPr>
          <w:p w14:paraId="608B3E41" w14:textId="73DFBB08" w:rsidR="00A91341" w:rsidRPr="00AB3F41" w:rsidRDefault="00A91341" w:rsidP="00A91341">
            <w:pPr>
              <w:pStyle w:val="TableText0"/>
              <w:jc w:val="center"/>
              <w:rPr>
                <w:highlight w:val="lightGray"/>
              </w:rPr>
            </w:pPr>
            <w:r w:rsidRPr="002C1990">
              <w:rPr>
                <w:color w:val="000000"/>
                <w:spacing w:val="82"/>
                <w:szCs w:val="20"/>
                <w:fitText w:val="168" w:id="-961889777"/>
                <w14:textFill>
                  <w14:solidFill>
                    <w14:srgbClr w14:val="000000">
                      <w14:alpha w14:val="100000"/>
                    </w14:srgbClr>
                  </w14:solidFill>
                </w14:textFill>
              </w:rPr>
              <w:t>|</w:t>
            </w:r>
            <w:r w:rsidRPr="002C1990">
              <w:rPr>
                <w:color w:val="000000"/>
                <w:szCs w:val="20"/>
                <w:fitText w:val="168" w:id="-961889777"/>
                <w14:textFill>
                  <w14:solidFill>
                    <w14:srgbClr w14:val="000000">
                      <w14:alpha w14:val="100000"/>
                    </w14:srgbClr>
                  </w14:solidFill>
                </w14:textFill>
              </w:rPr>
              <w:t>|</w:t>
            </w:r>
            <w:r w:rsidR="002C1990" w:rsidRPr="00233562">
              <w:rPr>
                <w:color w:val="000000"/>
                <w:spacing w:val="125"/>
                <w:shd w:val="solid" w:color="000000" w:fill="000000"/>
                <w:fitText w:val="168" w:id="-961890048"/>
                <w14:textFill>
                  <w14:solidFill>
                    <w14:srgbClr w14:val="000000">
                      <w14:alpha w14:val="100000"/>
                    </w14:srgbClr>
                  </w14:solidFill>
                </w14:textFill>
              </w:rPr>
              <w:t>|</w:t>
            </w:r>
          </w:p>
        </w:tc>
      </w:tr>
      <w:tr w:rsidR="00911D0A" w:rsidRPr="009941F8" w14:paraId="06F0C902" w14:textId="77777777" w:rsidTr="00233562">
        <w:trPr>
          <w:trHeight w:val="194"/>
        </w:trPr>
        <w:tc>
          <w:tcPr>
            <w:tcW w:w="5098" w:type="dxa"/>
            <w:tcBorders>
              <w:top w:val="single" w:sz="4" w:space="0" w:color="auto"/>
              <w:bottom w:val="single" w:sz="4" w:space="0" w:color="auto"/>
            </w:tcBorders>
          </w:tcPr>
          <w:p w14:paraId="289AB6CD" w14:textId="0A4E362B" w:rsidR="00911D0A" w:rsidRPr="009239EE" w:rsidRDefault="00911D0A" w:rsidP="00FA3EC9">
            <w:pPr>
              <w:pStyle w:val="TableText0"/>
              <w:rPr>
                <w:b/>
                <w:bCs w:val="0"/>
              </w:rPr>
            </w:pPr>
            <w:r w:rsidRPr="009239EE">
              <w:rPr>
                <w:b/>
                <w:bCs w:val="0"/>
              </w:rPr>
              <w:t>Pre-PBAC Response revised base case</w:t>
            </w:r>
          </w:p>
        </w:tc>
        <w:tc>
          <w:tcPr>
            <w:tcW w:w="1134" w:type="dxa"/>
            <w:tcBorders>
              <w:top w:val="single" w:sz="4" w:space="0" w:color="auto"/>
              <w:bottom w:val="single" w:sz="4" w:space="0" w:color="auto"/>
            </w:tcBorders>
            <w:vAlign w:val="center"/>
          </w:tcPr>
          <w:p w14:paraId="5263A898" w14:textId="77777777" w:rsidR="00911D0A" w:rsidRPr="009239EE" w:rsidRDefault="00911D0A" w:rsidP="00233562">
            <w:pPr>
              <w:pStyle w:val="TableText0"/>
              <w:jc w:val="center"/>
            </w:pPr>
          </w:p>
        </w:tc>
        <w:tc>
          <w:tcPr>
            <w:tcW w:w="1134" w:type="dxa"/>
            <w:tcBorders>
              <w:top w:val="single" w:sz="4" w:space="0" w:color="auto"/>
              <w:bottom w:val="single" w:sz="4" w:space="0" w:color="auto"/>
            </w:tcBorders>
            <w:vAlign w:val="center"/>
          </w:tcPr>
          <w:p w14:paraId="5447AC0E" w14:textId="77777777" w:rsidR="00911D0A" w:rsidRPr="009239EE" w:rsidRDefault="00911D0A" w:rsidP="00FA3EC9">
            <w:pPr>
              <w:pStyle w:val="TableText0"/>
              <w:jc w:val="center"/>
            </w:pPr>
          </w:p>
        </w:tc>
        <w:tc>
          <w:tcPr>
            <w:tcW w:w="851" w:type="dxa"/>
            <w:tcBorders>
              <w:top w:val="single" w:sz="4" w:space="0" w:color="auto"/>
              <w:bottom w:val="single" w:sz="4" w:space="0" w:color="auto"/>
            </w:tcBorders>
            <w:vAlign w:val="center"/>
          </w:tcPr>
          <w:p w14:paraId="5CA070F2" w14:textId="77777777" w:rsidR="00911D0A" w:rsidRPr="009239EE" w:rsidRDefault="00911D0A" w:rsidP="00FA3EC9">
            <w:pPr>
              <w:pStyle w:val="TableText0"/>
            </w:pPr>
          </w:p>
        </w:tc>
        <w:tc>
          <w:tcPr>
            <w:tcW w:w="873" w:type="dxa"/>
            <w:tcBorders>
              <w:top w:val="single" w:sz="4" w:space="0" w:color="auto"/>
              <w:bottom w:val="single" w:sz="4" w:space="0" w:color="auto"/>
            </w:tcBorders>
          </w:tcPr>
          <w:p w14:paraId="1219E848" w14:textId="77777777" w:rsidR="00911D0A" w:rsidRPr="009239EE" w:rsidRDefault="00911D0A" w:rsidP="00FA3EC9">
            <w:pPr>
              <w:pStyle w:val="TableText0"/>
              <w:jc w:val="center"/>
            </w:pPr>
          </w:p>
        </w:tc>
      </w:tr>
      <w:tr w:rsidR="00911D0A" w:rsidRPr="009941F8" w14:paraId="23C68713" w14:textId="77777777" w:rsidTr="00233562">
        <w:trPr>
          <w:trHeight w:val="199"/>
        </w:trPr>
        <w:tc>
          <w:tcPr>
            <w:tcW w:w="5098" w:type="dxa"/>
            <w:tcBorders>
              <w:top w:val="single" w:sz="4" w:space="0" w:color="auto"/>
              <w:bottom w:val="single" w:sz="4" w:space="0" w:color="auto"/>
            </w:tcBorders>
          </w:tcPr>
          <w:p w14:paraId="091937C6" w14:textId="3876BB9F" w:rsidR="00911D0A" w:rsidRPr="009239EE" w:rsidRDefault="00911D0A" w:rsidP="00FA3EC9">
            <w:pPr>
              <w:pStyle w:val="TableText0"/>
            </w:pPr>
            <w:r w:rsidRPr="009239EE">
              <w:t xml:space="preserve">1. Reduction in </w:t>
            </w:r>
            <w:r w:rsidRPr="00A14BC4">
              <w:t>effective EMP to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Pr="00A14BC4">
              <w:t xml:space="preserve"> (DPMQ=$</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Pr="00A14BC4">
              <w:t xml:space="preserve">) </w:t>
            </w:r>
          </w:p>
          <w:p w14:paraId="6BA16893" w14:textId="671D4606" w:rsidR="00911D0A" w:rsidRPr="009239EE" w:rsidRDefault="00911D0A" w:rsidP="00FA3EC9">
            <w:pPr>
              <w:pStyle w:val="TableText0"/>
            </w:pPr>
            <w:r w:rsidRPr="009239EE">
              <w:t>2. L</w:t>
            </w:r>
            <w:r w:rsidR="009239EE" w:rsidRPr="009239EE">
              <w:t>L</w:t>
            </w:r>
            <w:r w:rsidRPr="009239EE">
              <w:t xml:space="preserve">DAS health state cost increased </w:t>
            </w:r>
            <w:r w:rsidRPr="00831A70">
              <w:t xml:space="preserve">from $95.60 to $340.10 </w:t>
            </w:r>
          </w:p>
          <w:p w14:paraId="63C3F3AD" w14:textId="435B192D" w:rsidR="00911D0A" w:rsidRPr="009239EE" w:rsidRDefault="00911D0A" w:rsidP="00FA3EC9">
            <w:pPr>
              <w:pStyle w:val="TableText0"/>
            </w:pPr>
            <w:r w:rsidRPr="009239EE">
              <w:t>3. LLDAS rates for ANI non-responders equal to SOC (anifrolumab discontinuers move into placebo non-responder state)</w:t>
            </w:r>
          </w:p>
          <w:p w14:paraId="423205FB" w14:textId="37696C4B" w:rsidR="00911D0A" w:rsidRPr="009239EE" w:rsidRDefault="00911D0A" w:rsidP="00FA3EC9">
            <w:pPr>
              <w:pStyle w:val="TableText0"/>
            </w:pPr>
            <w:r w:rsidRPr="009239EE">
              <w:t xml:space="preserve">4. No </w:t>
            </w:r>
            <w:r w:rsidR="00E96FF5" w:rsidRPr="009239EE">
              <w:t xml:space="preserve">change to </w:t>
            </w:r>
            <w:r w:rsidRPr="009239EE">
              <w:t>LLDAS or SLE mortality adjustment</w:t>
            </w:r>
          </w:p>
          <w:p w14:paraId="099557FD" w14:textId="6BE2FEAB" w:rsidR="00911D0A" w:rsidRPr="009239EE" w:rsidRDefault="00911D0A" w:rsidP="00FA3EC9">
            <w:pPr>
              <w:pStyle w:val="TableText0"/>
            </w:pPr>
            <w:r w:rsidRPr="009239EE">
              <w:t>5. Model time horizon to 15 years</w:t>
            </w:r>
          </w:p>
        </w:tc>
        <w:tc>
          <w:tcPr>
            <w:tcW w:w="1134" w:type="dxa"/>
            <w:tcBorders>
              <w:top w:val="single" w:sz="4" w:space="0" w:color="auto"/>
              <w:bottom w:val="single" w:sz="4" w:space="0" w:color="auto"/>
            </w:tcBorders>
            <w:shd w:val="clear" w:color="auto" w:fill="auto"/>
            <w:vAlign w:val="center"/>
          </w:tcPr>
          <w:p w14:paraId="415D4CFE" w14:textId="2FB3D4EA" w:rsidR="00911D0A" w:rsidRPr="009239EE" w:rsidRDefault="00A91341" w:rsidP="00A91341">
            <w:pPr>
              <w:pStyle w:val="TableText0"/>
              <w:jc w:val="center"/>
            </w:pPr>
            <w:r w:rsidRPr="00233562">
              <w:rPr>
                <w:color w:val="000000"/>
                <w:spacing w:val="11"/>
                <w:w w:val="15"/>
                <w:shd w:val="solid" w:color="000000" w:fill="000000"/>
                <w:fitText w:val="48" w:id="-961890035"/>
                <w14:textFill>
                  <w14:solidFill>
                    <w14:srgbClr w14:val="000000">
                      <w14:alpha w14:val="100000"/>
                    </w14:srgbClr>
                  </w14:solidFill>
                </w14:textFill>
              </w:rPr>
              <w:t>|</w:t>
            </w:r>
            <w:r w:rsidRPr="00233562">
              <w:rPr>
                <w:rFonts w:hint="eastAsia"/>
                <w:color w:val="000000"/>
                <w:spacing w:val="1"/>
                <w:w w:val="15"/>
                <w:shd w:val="solid" w:color="000000" w:fill="000000"/>
                <w:fitText w:val="48" w:id="-961890035"/>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335F7C13" w14:textId="24A3611C" w:rsidR="00911D0A" w:rsidRPr="009239EE" w:rsidRDefault="00911D0A" w:rsidP="00FA3EC9">
            <w:pPr>
              <w:pStyle w:val="TableText0"/>
              <w:jc w:val="center"/>
            </w:pPr>
            <w:r w:rsidRPr="009239EE">
              <w:t>0.1025</w:t>
            </w:r>
          </w:p>
        </w:tc>
        <w:tc>
          <w:tcPr>
            <w:tcW w:w="851" w:type="dxa"/>
            <w:tcBorders>
              <w:top w:val="single" w:sz="4" w:space="0" w:color="auto"/>
              <w:bottom w:val="single" w:sz="4" w:space="0" w:color="auto"/>
            </w:tcBorders>
            <w:vAlign w:val="center"/>
          </w:tcPr>
          <w:p w14:paraId="7127A989" w14:textId="5BCFBE6C" w:rsidR="00911D0A" w:rsidRPr="009239EE" w:rsidRDefault="00640EC9" w:rsidP="00FA3EC9">
            <w:pPr>
              <w:pStyle w:val="TableText0"/>
              <w:jc w:val="center"/>
            </w:pPr>
            <w:r w:rsidRPr="00640EC9">
              <w:rPr>
                <w:color w:val="000000"/>
                <w:spacing w:val="118"/>
                <w:shd w:val="solid" w:color="000000" w:fill="000000"/>
                <w:fitText w:val="204" w:id="-961889790"/>
                <w14:textFill>
                  <w14:solidFill>
                    <w14:srgbClr w14:val="000000">
                      <w14:alpha w14:val="100000"/>
                    </w14:srgbClr>
                  </w14:solidFill>
                </w14:textFill>
              </w:rPr>
              <w:t>|</w:t>
            </w:r>
            <w:r w:rsidRPr="00640EC9">
              <w:rPr>
                <w:color w:val="000000"/>
                <w:spacing w:val="1"/>
                <w:shd w:val="solid" w:color="000000" w:fill="000000"/>
                <w:fitText w:val="204" w:id="-961889790"/>
                <w14:textFill>
                  <w14:solidFill>
                    <w14:srgbClr w14:val="000000">
                      <w14:alpha w14:val="100000"/>
                    </w14:srgbClr>
                  </w14:solidFill>
                </w14:textFill>
              </w:rPr>
              <w:t>|</w:t>
            </w:r>
            <w:r w:rsidR="0068000F" w:rsidRPr="0068000F">
              <w:rPr>
                <w:vertAlign w:val="superscript"/>
              </w:rPr>
              <w:t>1</w:t>
            </w:r>
          </w:p>
        </w:tc>
        <w:tc>
          <w:tcPr>
            <w:tcW w:w="873" w:type="dxa"/>
            <w:tcBorders>
              <w:top w:val="single" w:sz="4" w:space="0" w:color="auto"/>
              <w:bottom w:val="single" w:sz="4" w:space="0" w:color="auto"/>
            </w:tcBorders>
            <w:shd w:val="clear" w:color="auto" w:fill="auto"/>
            <w:vAlign w:val="center"/>
          </w:tcPr>
          <w:p w14:paraId="199FD54C" w14:textId="7C09AC5F" w:rsidR="00911D0A" w:rsidRPr="009239EE" w:rsidRDefault="002C1990" w:rsidP="00FA3EC9">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911D0A" w:rsidRPr="009941F8" w14:paraId="67E17A1C" w14:textId="77777777" w:rsidTr="00460084">
        <w:trPr>
          <w:trHeight w:val="199"/>
        </w:trPr>
        <w:tc>
          <w:tcPr>
            <w:tcW w:w="9090" w:type="dxa"/>
            <w:gridSpan w:val="5"/>
            <w:tcBorders>
              <w:top w:val="single" w:sz="4" w:space="0" w:color="auto"/>
              <w:bottom w:val="single" w:sz="4" w:space="0" w:color="auto"/>
            </w:tcBorders>
          </w:tcPr>
          <w:p w14:paraId="0EDDA3CC" w14:textId="753272A8" w:rsidR="00911D0A" w:rsidRPr="009239EE" w:rsidRDefault="00911D0A" w:rsidP="00FA3EC9">
            <w:pPr>
              <w:pStyle w:val="TableText0"/>
              <w:rPr>
                <w:b/>
                <w:bCs w:val="0"/>
              </w:rPr>
            </w:pPr>
            <w:r w:rsidRPr="009239EE">
              <w:rPr>
                <w:b/>
                <w:bCs w:val="0"/>
              </w:rPr>
              <w:t>PBAC Additional multivariate sensitivity analyses</w:t>
            </w:r>
          </w:p>
        </w:tc>
      </w:tr>
      <w:tr w:rsidR="00A91341" w:rsidRPr="009941F8" w14:paraId="4D9DB686" w14:textId="77777777" w:rsidTr="00233562">
        <w:trPr>
          <w:trHeight w:val="199"/>
        </w:trPr>
        <w:tc>
          <w:tcPr>
            <w:tcW w:w="5098" w:type="dxa"/>
            <w:tcBorders>
              <w:top w:val="single" w:sz="4" w:space="0" w:color="auto"/>
              <w:bottom w:val="single" w:sz="4" w:space="0" w:color="auto"/>
            </w:tcBorders>
          </w:tcPr>
          <w:p w14:paraId="65B85D14" w14:textId="5081F46E" w:rsidR="00A91341" w:rsidRPr="009239EE" w:rsidRDefault="00A91341" w:rsidP="00A91341">
            <w:pPr>
              <w:pStyle w:val="TableText0"/>
            </w:pPr>
            <w:r w:rsidRPr="009239EE">
              <w:t>Alternative 1: Pre-PBAC response settings but remove mortality benefit</w:t>
            </w:r>
          </w:p>
        </w:tc>
        <w:tc>
          <w:tcPr>
            <w:tcW w:w="1134" w:type="dxa"/>
            <w:tcBorders>
              <w:top w:val="single" w:sz="4" w:space="0" w:color="auto"/>
              <w:bottom w:val="single" w:sz="4" w:space="0" w:color="auto"/>
            </w:tcBorders>
            <w:shd w:val="clear" w:color="auto" w:fill="auto"/>
            <w:vAlign w:val="center"/>
          </w:tcPr>
          <w:p w14:paraId="6CD7C432" w14:textId="59D9BE31" w:rsidR="00A91341" w:rsidRPr="009239EE" w:rsidRDefault="00A91341" w:rsidP="00A91341">
            <w:pPr>
              <w:pStyle w:val="TableText0"/>
              <w:jc w:val="center"/>
            </w:pPr>
            <w:r w:rsidRPr="0064705D">
              <w:rPr>
                <w:color w:val="000000"/>
                <w:w w:val="15"/>
                <w:shd w:val="solid" w:color="000000" w:fill="000000"/>
                <w14:textFill>
                  <w14:solidFill>
                    <w14:srgbClr w14:val="000000">
                      <w14:alpha w14:val="100000"/>
                    </w14:srgbClr>
                  </w14:solidFill>
                </w14:textFill>
              </w:rPr>
              <w:t>|</w:t>
            </w:r>
            <w:r w:rsidRPr="0064705D">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2C8E9CA4" w14:textId="43AC2303" w:rsidR="00A91341" w:rsidRPr="009239EE" w:rsidRDefault="00A91341" w:rsidP="00A91341">
            <w:pPr>
              <w:pStyle w:val="TableText0"/>
              <w:jc w:val="center"/>
            </w:pPr>
            <w:r w:rsidRPr="009239EE">
              <w:t>0.071</w:t>
            </w:r>
          </w:p>
        </w:tc>
        <w:tc>
          <w:tcPr>
            <w:tcW w:w="851" w:type="dxa"/>
            <w:tcBorders>
              <w:top w:val="single" w:sz="4" w:space="0" w:color="auto"/>
              <w:bottom w:val="single" w:sz="4" w:space="0" w:color="auto"/>
            </w:tcBorders>
            <w:vAlign w:val="center"/>
          </w:tcPr>
          <w:p w14:paraId="761BF766" w14:textId="19AB8693" w:rsidR="00A91341" w:rsidRPr="00AB3F41" w:rsidRDefault="00A91341" w:rsidP="00A91341">
            <w:pPr>
              <w:pStyle w:val="TableText0"/>
              <w:jc w:val="center"/>
              <w:rPr>
                <w:highlight w:val="lightGray"/>
              </w:rPr>
            </w:pPr>
            <w:r w:rsidRPr="00640EC9">
              <w:rPr>
                <w:color w:val="000000"/>
                <w:spacing w:val="118"/>
                <w:shd w:val="solid" w:color="000000" w:fill="000000"/>
                <w:fitText w:val="204" w:id="-961889787"/>
                <w14:textFill>
                  <w14:solidFill>
                    <w14:srgbClr w14:val="000000">
                      <w14:alpha w14:val="100000"/>
                    </w14:srgbClr>
                  </w14:solidFill>
                </w14:textFill>
              </w:rPr>
              <w:t>|</w:t>
            </w:r>
            <w:r w:rsidRPr="00640EC9">
              <w:rPr>
                <w:color w:val="000000"/>
                <w:spacing w:val="1"/>
                <w:shd w:val="solid" w:color="000000" w:fill="000000"/>
                <w:fitText w:val="204" w:id="-961889787"/>
                <w14:textFill>
                  <w14:solidFill>
                    <w14:srgbClr w14:val="000000">
                      <w14:alpha w14:val="100000"/>
                    </w14:srgbClr>
                  </w14:solidFill>
                </w14:textFill>
              </w:rPr>
              <w:t>|</w:t>
            </w:r>
            <w:r w:rsidRPr="0068000F">
              <w:rPr>
                <w:szCs w:val="20"/>
                <w:vertAlign w:val="superscript"/>
              </w:rPr>
              <w:t>3</w:t>
            </w:r>
          </w:p>
        </w:tc>
        <w:tc>
          <w:tcPr>
            <w:tcW w:w="873" w:type="dxa"/>
            <w:tcBorders>
              <w:top w:val="single" w:sz="4" w:space="0" w:color="auto"/>
              <w:bottom w:val="single" w:sz="4" w:space="0" w:color="auto"/>
            </w:tcBorders>
            <w:shd w:val="clear" w:color="auto" w:fill="auto"/>
            <w:vAlign w:val="center"/>
          </w:tcPr>
          <w:p w14:paraId="29EEEA42" w14:textId="7F708695" w:rsidR="00A91341" w:rsidRPr="009239EE" w:rsidRDefault="002C1990" w:rsidP="00A91341">
            <w:pPr>
              <w:pStyle w:val="TableText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A91341" w:rsidRPr="009941F8" w14:paraId="5E5B4072" w14:textId="77777777" w:rsidTr="00233562">
        <w:trPr>
          <w:trHeight w:val="199"/>
        </w:trPr>
        <w:tc>
          <w:tcPr>
            <w:tcW w:w="5098" w:type="dxa"/>
            <w:tcBorders>
              <w:top w:val="single" w:sz="4" w:space="0" w:color="auto"/>
              <w:bottom w:val="single" w:sz="4" w:space="0" w:color="auto"/>
            </w:tcBorders>
          </w:tcPr>
          <w:p w14:paraId="2D8D1453" w14:textId="5EA2DFF9" w:rsidR="00A91341" w:rsidRPr="009239EE" w:rsidRDefault="00A91341" w:rsidP="00A91341">
            <w:pPr>
              <w:pStyle w:val="TableText0"/>
            </w:pPr>
            <w:r w:rsidRPr="009239EE">
              <w:t xml:space="preserve">Alternative 2: </w:t>
            </w:r>
            <w:r w:rsidRPr="009239EE">
              <w:br/>
              <w:t>Pre-PBAC Response settings but remove mortality benefit and apply Wang 2014 utility values (LLDAS of 0.85 (vs 0.89) and non-LLDAS of 0.62 (vs 0.78))</w:t>
            </w:r>
          </w:p>
        </w:tc>
        <w:tc>
          <w:tcPr>
            <w:tcW w:w="1134" w:type="dxa"/>
            <w:tcBorders>
              <w:top w:val="single" w:sz="4" w:space="0" w:color="auto"/>
              <w:bottom w:val="single" w:sz="4" w:space="0" w:color="auto"/>
            </w:tcBorders>
            <w:shd w:val="clear" w:color="auto" w:fill="auto"/>
            <w:vAlign w:val="center"/>
          </w:tcPr>
          <w:p w14:paraId="18518F7E" w14:textId="532117DE" w:rsidR="00A91341" w:rsidRPr="009239EE" w:rsidRDefault="00A91341" w:rsidP="00A91341">
            <w:pPr>
              <w:pStyle w:val="TableText0"/>
              <w:jc w:val="center"/>
            </w:pPr>
            <w:r w:rsidRPr="0064705D">
              <w:rPr>
                <w:color w:val="000000"/>
                <w:w w:val="15"/>
                <w:shd w:val="solid" w:color="000000" w:fill="000000"/>
                <w14:textFill>
                  <w14:solidFill>
                    <w14:srgbClr w14:val="000000">
                      <w14:alpha w14:val="100000"/>
                    </w14:srgbClr>
                  </w14:solidFill>
                </w14:textFill>
              </w:rPr>
              <w:t>|</w:t>
            </w:r>
            <w:r w:rsidRPr="0064705D">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0BFA985D" w14:textId="3108499A" w:rsidR="00A91341" w:rsidRPr="009239EE" w:rsidRDefault="00A91341" w:rsidP="00A91341">
            <w:pPr>
              <w:pStyle w:val="TableText0"/>
              <w:jc w:val="center"/>
            </w:pPr>
            <w:r w:rsidRPr="009239EE">
              <w:t>0.124</w:t>
            </w:r>
          </w:p>
        </w:tc>
        <w:tc>
          <w:tcPr>
            <w:tcW w:w="851" w:type="dxa"/>
            <w:tcBorders>
              <w:top w:val="single" w:sz="4" w:space="0" w:color="auto"/>
              <w:bottom w:val="single" w:sz="4" w:space="0" w:color="auto"/>
            </w:tcBorders>
            <w:vAlign w:val="center"/>
          </w:tcPr>
          <w:p w14:paraId="27B3D51E" w14:textId="5B16C6AF" w:rsidR="00A91341" w:rsidRPr="009239EE" w:rsidRDefault="00A91341" w:rsidP="00A91341">
            <w:pPr>
              <w:pStyle w:val="TableText0"/>
              <w:jc w:val="center"/>
            </w:pPr>
            <w:r w:rsidRPr="00640EC9">
              <w:rPr>
                <w:color w:val="000000"/>
                <w:spacing w:val="118"/>
                <w:shd w:val="solid" w:color="000000" w:fill="000000"/>
                <w:fitText w:val="204" w:id="-961889784"/>
                <w14:textFill>
                  <w14:solidFill>
                    <w14:srgbClr w14:val="000000">
                      <w14:alpha w14:val="100000"/>
                    </w14:srgbClr>
                  </w14:solidFill>
                </w14:textFill>
              </w:rPr>
              <w:t>|</w:t>
            </w:r>
            <w:r w:rsidRPr="00640EC9">
              <w:rPr>
                <w:color w:val="000000"/>
                <w:spacing w:val="1"/>
                <w:shd w:val="solid" w:color="000000" w:fill="000000"/>
                <w:fitText w:val="204" w:id="-961889784"/>
                <w14:textFill>
                  <w14:solidFill>
                    <w14:srgbClr w14:val="000000">
                      <w14:alpha w14:val="100000"/>
                    </w14:srgbClr>
                  </w14:solidFill>
                </w14:textFill>
              </w:rPr>
              <w:t>|</w:t>
            </w:r>
            <w:r w:rsidRPr="0068000F">
              <w:rPr>
                <w:vertAlign w:val="superscript"/>
              </w:rPr>
              <w:t>2</w:t>
            </w:r>
          </w:p>
        </w:tc>
        <w:tc>
          <w:tcPr>
            <w:tcW w:w="873" w:type="dxa"/>
            <w:tcBorders>
              <w:top w:val="single" w:sz="4" w:space="0" w:color="auto"/>
              <w:bottom w:val="single" w:sz="4" w:space="0" w:color="auto"/>
            </w:tcBorders>
            <w:vAlign w:val="center"/>
          </w:tcPr>
          <w:p w14:paraId="3903B59E" w14:textId="3E510C56" w:rsidR="00A91341" w:rsidRPr="0068000F" w:rsidRDefault="00A91341" w:rsidP="00A91341">
            <w:pPr>
              <w:pStyle w:val="TableText0"/>
              <w:spacing w:after="100"/>
              <w:jc w:val="center"/>
            </w:pPr>
            <w:r w:rsidRPr="0068000F">
              <w:t>-</w:t>
            </w:r>
            <w:r w:rsidRPr="00640EC9">
              <w:rPr>
                <w:color w:val="000000"/>
                <w:spacing w:val="106"/>
                <w:shd w:val="solid" w:color="000000" w:fill="000000"/>
                <w:fitText w:val="192" w:id="-961889783"/>
                <w14:textFill>
                  <w14:solidFill>
                    <w14:srgbClr w14:val="000000">
                      <w14:alpha w14:val="100000"/>
                    </w14:srgbClr>
                  </w14:solidFill>
                </w14:textFill>
              </w:rPr>
              <w:t>|</w:t>
            </w:r>
            <w:r w:rsidRPr="00640EC9">
              <w:rPr>
                <w:color w:val="000000"/>
                <w:spacing w:val="1"/>
                <w:shd w:val="solid" w:color="000000" w:fill="000000"/>
                <w:fitText w:val="192" w:id="-961889783"/>
                <w14:textFill>
                  <w14:solidFill>
                    <w14:srgbClr w14:val="000000">
                      <w14:alpha w14:val="100000"/>
                    </w14:srgbClr>
                  </w14:solidFill>
                </w14:textFill>
              </w:rPr>
              <w:t>|</w:t>
            </w:r>
          </w:p>
        </w:tc>
      </w:tr>
      <w:tr w:rsidR="00A91341" w:rsidRPr="009941F8" w14:paraId="64FEF068" w14:textId="77777777" w:rsidTr="00233562">
        <w:trPr>
          <w:trHeight w:val="199"/>
        </w:trPr>
        <w:tc>
          <w:tcPr>
            <w:tcW w:w="5098" w:type="dxa"/>
            <w:tcBorders>
              <w:top w:val="single" w:sz="4" w:space="0" w:color="auto"/>
              <w:bottom w:val="single" w:sz="4" w:space="0" w:color="auto"/>
            </w:tcBorders>
          </w:tcPr>
          <w:p w14:paraId="1FC22CDC" w14:textId="1CFFD60E" w:rsidR="00A91341" w:rsidRPr="009239EE" w:rsidRDefault="00A91341" w:rsidP="00A91341">
            <w:pPr>
              <w:pStyle w:val="TableText0"/>
            </w:pPr>
            <w:r w:rsidRPr="009239EE">
              <w:t xml:space="preserve">Alternative 3: </w:t>
            </w:r>
            <w:r w:rsidRPr="009239EE">
              <w:br/>
              <w:t>Pre-PBAC Response settings but remove mortality benefit and apply Wang 2014 utility values (LLDAS of 0.85 (vs 0.89) and non-LLDAS of 0.62 (vs 0.78)) and assume LLDAS cost from Yeo 2020 ($</w:t>
            </w:r>
            <w:r w:rsidRPr="00CC327E">
              <w:t>3,773</w:t>
            </w:r>
            <w:r w:rsidRPr="009239EE">
              <w:t xml:space="preserve">) </w:t>
            </w:r>
          </w:p>
        </w:tc>
        <w:tc>
          <w:tcPr>
            <w:tcW w:w="1134" w:type="dxa"/>
            <w:tcBorders>
              <w:top w:val="single" w:sz="4" w:space="0" w:color="auto"/>
              <w:bottom w:val="single" w:sz="4" w:space="0" w:color="auto"/>
            </w:tcBorders>
            <w:shd w:val="clear" w:color="auto" w:fill="auto"/>
            <w:vAlign w:val="center"/>
          </w:tcPr>
          <w:p w14:paraId="773FC61D" w14:textId="300B196B" w:rsidR="00A91341" w:rsidRPr="00AB3F41" w:rsidRDefault="00A91341" w:rsidP="00A91341">
            <w:pPr>
              <w:pStyle w:val="TableText0"/>
              <w:jc w:val="center"/>
              <w:rPr>
                <w:highlight w:val="lightGray"/>
              </w:rPr>
            </w:pPr>
            <w:r w:rsidRPr="0064705D">
              <w:rPr>
                <w:color w:val="000000"/>
                <w:w w:val="15"/>
                <w:shd w:val="solid" w:color="000000" w:fill="000000"/>
                <w14:textFill>
                  <w14:solidFill>
                    <w14:srgbClr w14:val="000000">
                      <w14:alpha w14:val="100000"/>
                    </w14:srgbClr>
                  </w14:solidFill>
                </w14:textFill>
              </w:rPr>
              <w:t>|</w:t>
            </w:r>
            <w:r w:rsidRPr="0064705D">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64A050B3" w14:textId="35F4910A" w:rsidR="00A91341" w:rsidRPr="009239EE" w:rsidRDefault="00A91341" w:rsidP="00A91341">
            <w:pPr>
              <w:pStyle w:val="TableText0"/>
              <w:jc w:val="center"/>
            </w:pPr>
            <w:r w:rsidRPr="009239EE">
              <w:t>0.124</w:t>
            </w:r>
          </w:p>
        </w:tc>
        <w:tc>
          <w:tcPr>
            <w:tcW w:w="851" w:type="dxa"/>
            <w:tcBorders>
              <w:top w:val="single" w:sz="4" w:space="0" w:color="auto"/>
              <w:bottom w:val="single" w:sz="4" w:space="0" w:color="auto"/>
            </w:tcBorders>
            <w:vAlign w:val="center"/>
          </w:tcPr>
          <w:p w14:paraId="7544E121" w14:textId="32D44AFB" w:rsidR="00A91341" w:rsidRPr="009239EE" w:rsidRDefault="00A91341" w:rsidP="00A91341">
            <w:pPr>
              <w:pStyle w:val="TableText0"/>
              <w:jc w:val="center"/>
            </w:pPr>
            <w:r w:rsidRPr="00640EC9">
              <w:rPr>
                <w:color w:val="000000"/>
                <w:spacing w:val="118"/>
                <w:shd w:val="solid" w:color="000000" w:fill="000000"/>
                <w:fitText w:val="204" w:id="-961889781"/>
                <w14:textFill>
                  <w14:solidFill>
                    <w14:srgbClr w14:val="000000">
                      <w14:alpha w14:val="100000"/>
                    </w14:srgbClr>
                  </w14:solidFill>
                </w14:textFill>
              </w:rPr>
              <w:t>|</w:t>
            </w:r>
            <w:r w:rsidRPr="00640EC9">
              <w:rPr>
                <w:color w:val="000000"/>
                <w:spacing w:val="1"/>
                <w:shd w:val="solid" w:color="000000" w:fill="000000"/>
                <w:fitText w:val="204" w:id="-961889781"/>
                <w14:textFill>
                  <w14:solidFill>
                    <w14:srgbClr w14:val="000000">
                      <w14:alpha w14:val="100000"/>
                    </w14:srgbClr>
                  </w14:solidFill>
                </w14:textFill>
              </w:rPr>
              <w:t>|</w:t>
            </w:r>
            <w:r w:rsidRPr="0068000F">
              <w:rPr>
                <w:szCs w:val="20"/>
                <w:vertAlign w:val="superscript"/>
              </w:rPr>
              <w:t>3</w:t>
            </w:r>
          </w:p>
        </w:tc>
        <w:tc>
          <w:tcPr>
            <w:tcW w:w="873" w:type="dxa"/>
            <w:tcBorders>
              <w:top w:val="single" w:sz="4" w:space="0" w:color="auto"/>
              <w:bottom w:val="single" w:sz="4" w:space="0" w:color="auto"/>
            </w:tcBorders>
            <w:shd w:val="clear" w:color="auto" w:fill="auto"/>
            <w:vAlign w:val="center"/>
          </w:tcPr>
          <w:p w14:paraId="6E7DA3B9" w14:textId="4E2A40A0" w:rsidR="00A91341" w:rsidRPr="0068000F" w:rsidRDefault="002C1990" w:rsidP="00A91341">
            <w:pPr>
              <w:pStyle w:val="TableText0"/>
              <w:spacing w:after="100"/>
              <w:jc w:val="center"/>
            </w:pPr>
            <w:r w:rsidRPr="00233562">
              <w:rPr>
                <w:color w:val="000000"/>
                <w:spacing w:val="125"/>
                <w:shd w:val="solid" w:color="000000" w:fill="000000"/>
                <w:fitText w:val="168" w:id="-961890048"/>
                <w14:textFill>
                  <w14:solidFill>
                    <w14:srgbClr w14:val="000000">
                      <w14:alpha w14:val="100000"/>
                    </w14:srgbClr>
                  </w14:solidFill>
                </w14:textFill>
              </w:rPr>
              <w:t>|</w:t>
            </w:r>
          </w:p>
        </w:tc>
      </w:tr>
      <w:tr w:rsidR="00A91341" w:rsidRPr="009941F8" w14:paraId="40EC7C00" w14:textId="77777777" w:rsidTr="00233562">
        <w:trPr>
          <w:trHeight w:val="199"/>
        </w:trPr>
        <w:tc>
          <w:tcPr>
            <w:tcW w:w="5098" w:type="dxa"/>
            <w:tcBorders>
              <w:top w:val="single" w:sz="4" w:space="0" w:color="auto"/>
              <w:bottom w:val="single" w:sz="4" w:space="0" w:color="auto"/>
            </w:tcBorders>
          </w:tcPr>
          <w:p w14:paraId="1EE92503" w14:textId="6B877AFC" w:rsidR="00A91341" w:rsidRPr="009239EE" w:rsidRDefault="00A91341" w:rsidP="00A91341">
            <w:pPr>
              <w:pStyle w:val="TableText0"/>
            </w:pPr>
            <w:r w:rsidRPr="009239EE">
              <w:t xml:space="preserve">Alternative 4: </w:t>
            </w:r>
            <w:r w:rsidRPr="009239EE">
              <w:br/>
              <w:t xml:space="preserve">Pre-PBAC Response settings but remove mortality benefit and apply Wang 2014 utility values (LLDAS of 0.85 (vs 0.89) and non-LLDAS of 0.62 (vs 0.78)) and assume 50% of LLDAS cost from Yeo 2020 </w:t>
            </w:r>
            <w:r w:rsidRPr="0003430E">
              <w:t>($1</w:t>
            </w:r>
            <w:r w:rsidRPr="00831A70">
              <w:t>,887)</w:t>
            </w:r>
          </w:p>
        </w:tc>
        <w:tc>
          <w:tcPr>
            <w:tcW w:w="1134" w:type="dxa"/>
            <w:tcBorders>
              <w:top w:val="single" w:sz="4" w:space="0" w:color="auto"/>
              <w:bottom w:val="single" w:sz="4" w:space="0" w:color="auto"/>
            </w:tcBorders>
            <w:shd w:val="clear" w:color="auto" w:fill="auto"/>
            <w:vAlign w:val="center"/>
          </w:tcPr>
          <w:p w14:paraId="713DA1E7" w14:textId="4216BC76" w:rsidR="00A91341" w:rsidRPr="00AB3F41" w:rsidRDefault="00A91341" w:rsidP="00A91341">
            <w:pPr>
              <w:pStyle w:val="TableText0"/>
              <w:jc w:val="center"/>
              <w:rPr>
                <w:highlight w:val="lightGray"/>
              </w:rPr>
            </w:pPr>
            <w:r w:rsidRPr="0064705D">
              <w:rPr>
                <w:color w:val="000000"/>
                <w:w w:val="15"/>
                <w:shd w:val="solid" w:color="000000" w:fill="000000"/>
                <w14:textFill>
                  <w14:solidFill>
                    <w14:srgbClr w14:val="000000">
                      <w14:alpha w14:val="100000"/>
                    </w14:srgbClr>
                  </w14:solidFill>
                </w14:textFill>
              </w:rPr>
              <w:t>|</w:t>
            </w:r>
            <w:r w:rsidRPr="0064705D">
              <w:rPr>
                <w:rFonts w:hint="eastAsia"/>
                <w:color w:val="000000"/>
                <w:spacing w:val="-17"/>
                <w:w w:val="15"/>
                <w:shd w:val="solid" w:color="000000" w:fill="000000"/>
                <w14:textFill>
                  <w14:solidFill>
                    <w14:srgbClr w14:val="000000">
                      <w14:alpha w14:val="100000"/>
                    </w14:srgbClr>
                  </w14:solidFill>
                </w14:textFill>
              </w:rPr>
              <w:t xml:space="preserve">　</w:t>
            </w:r>
          </w:p>
        </w:tc>
        <w:tc>
          <w:tcPr>
            <w:tcW w:w="1134" w:type="dxa"/>
            <w:tcBorders>
              <w:top w:val="single" w:sz="4" w:space="0" w:color="auto"/>
              <w:bottom w:val="single" w:sz="4" w:space="0" w:color="auto"/>
            </w:tcBorders>
            <w:vAlign w:val="center"/>
          </w:tcPr>
          <w:p w14:paraId="64791580" w14:textId="7BB58970" w:rsidR="00A91341" w:rsidRPr="009239EE" w:rsidRDefault="00A91341" w:rsidP="00A91341">
            <w:pPr>
              <w:pStyle w:val="TableText0"/>
              <w:jc w:val="center"/>
            </w:pPr>
            <w:r w:rsidRPr="009239EE">
              <w:t>0.124</w:t>
            </w:r>
          </w:p>
        </w:tc>
        <w:tc>
          <w:tcPr>
            <w:tcW w:w="851" w:type="dxa"/>
            <w:tcBorders>
              <w:top w:val="single" w:sz="4" w:space="0" w:color="auto"/>
              <w:bottom w:val="single" w:sz="4" w:space="0" w:color="auto"/>
            </w:tcBorders>
            <w:vAlign w:val="center"/>
          </w:tcPr>
          <w:p w14:paraId="143AAFA3" w14:textId="417661EA" w:rsidR="00A91341" w:rsidRPr="009239EE" w:rsidRDefault="00A91341" w:rsidP="00A91341">
            <w:pPr>
              <w:pStyle w:val="TableText0"/>
              <w:jc w:val="center"/>
            </w:pPr>
            <w:r w:rsidRPr="00640EC9">
              <w:rPr>
                <w:color w:val="000000"/>
                <w:spacing w:val="118"/>
                <w:shd w:val="solid" w:color="000000" w:fill="000000"/>
                <w:fitText w:val="204" w:id="-961889778"/>
                <w14:textFill>
                  <w14:solidFill>
                    <w14:srgbClr w14:val="000000">
                      <w14:alpha w14:val="100000"/>
                    </w14:srgbClr>
                  </w14:solidFill>
                </w14:textFill>
              </w:rPr>
              <w:t>|</w:t>
            </w:r>
            <w:r w:rsidRPr="00640EC9">
              <w:rPr>
                <w:color w:val="000000"/>
                <w:spacing w:val="1"/>
                <w:shd w:val="solid" w:color="000000" w:fill="000000"/>
                <w:fitText w:val="204" w:id="-961889778"/>
                <w14:textFill>
                  <w14:solidFill>
                    <w14:srgbClr w14:val="000000">
                      <w14:alpha w14:val="100000"/>
                    </w14:srgbClr>
                  </w14:solidFill>
                </w14:textFill>
              </w:rPr>
              <w:t>|</w:t>
            </w:r>
            <w:r w:rsidRPr="0068000F">
              <w:rPr>
                <w:vertAlign w:val="superscript"/>
              </w:rPr>
              <w:t>1</w:t>
            </w:r>
          </w:p>
        </w:tc>
        <w:tc>
          <w:tcPr>
            <w:tcW w:w="873" w:type="dxa"/>
            <w:tcBorders>
              <w:top w:val="single" w:sz="4" w:space="0" w:color="auto"/>
              <w:bottom w:val="single" w:sz="4" w:space="0" w:color="auto"/>
            </w:tcBorders>
            <w:vAlign w:val="center"/>
          </w:tcPr>
          <w:p w14:paraId="2A70B56A" w14:textId="06EE491A" w:rsidR="00A91341" w:rsidRPr="0068000F" w:rsidRDefault="00A91341" w:rsidP="00A91341">
            <w:pPr>
              <w:pStyle w:val="TableText0"/>
              <w:spacing w:after="100"/>
              <w:jc w:val="center"/>
            </w:pPr>
            <w:r w:rsidRPr="0068000F">
              <w:t>-</w:t>
            </w:r>
            <w:r w:rsidRPr="00640EC9">
              <w:rPr>
                <w:color w:val="000000"/>
                <w:spacing w:val="106"/>
                <w:shd w:val="solid" w:color="000000" w:fill="000000"/>
                <w:fitText w:val="192" w:id="-961889777"/>
                <w14:textFill>
                  <w14:solidFill>
                    <w14:srgbClr w14:val="000000">
                      <w14:alpha w14:val="100000"/>
                    </w14:srgbClr>
                  </w14:solidFill>
                </w14:textFill>
              </w:rPr>
              <w:t>|</w:t>
            </w:r>
            <w:r w:rsidRPr="00640EC9">
              <w:rPr>
                <w:color w:val="000000"/>
                <w:spacing w:val="1"/>
                <w:shd w:val="solid" w:color="000000" w:fill="000000"/>
                <w:fitText w:val="192" w:id="-961889777"/>
                <w14:textFill>
                  <w14:solidFill>
                    <w14:srgbClr w14:val="000000">
                      <w14:alpha w14:val="100000"/>
                    </w14:srgbClr>
                  </w14:solidFill>
                </w14:textFill>
              </w:rPr>
              <w:t>|</w:t>
            </w:r>
          </w:p>
        </w:tc>
      </w:tr>
    </w:tbl>
    <w:p w14:paraId="6C75CF10" w14:textId="77777777" w:rsidR="00AB7860" w:rsidRPr="009941F8" w:rsidRDefault="00AB7860" w:rsidP="00FA3EC9">
      <w:pPr>
        <w:pStyle w:val="TableFigureFooter"/>
        <w:keepNext/>
        <w:rPr>
          <w:iCs/>
        </w:rPr>
      </w:pPr>
      <w:r w:rsidRPr="009941F8">
        <w:t xml:space="preserve">Source: Table 3-43 of the March 2024 resubmission and </w:t>
      </w:r>
      <w:r w:rsidRPr="009941F8">
        <w:rPr>
          <w:iCs/>
        </w:rPr>
        <w:t>compiled during the evaluation</w:t>
      </w:r>
    </w:p>
    <w:p w14:paraId="7E959B56" w14:textId="6CDBC5F0" w:rsidR="00AB7860" w:rsidRPr="009941F8" w:rsidRDefault="00AB7860" w:rsidP="00FA3EC9">
      <w:pPr>
        <w:pStyle w:val="TableFigureFooter"/>
        <w:keepNext/>
        <w:spacing w:before="120"/>
      </w:pPr>
      <w:r w:rsidRPr="009941F8">
        <w:t>APLC=Asia Pacific Lupus Collaboration, OCS = oral corticosteroids; HR = hazard ratio; CI = confidence interval; NR = not reported; yr = year; SOC = standard of care; QALY = quality adjusted life year; ICER = incremental cost-effectiveness ratio</w:t>
      </w:r>
    </w:p>
    <w:p w14:paraId="4645700A" w14:textId="515BEA0C" w:rsidR="008B7208" w:rsidRDefault="008B7208" w:rsidP="00FA3EC9">
      <w:pPr>
        <w:pStyle w:val="TableFigureFooter"/>
        <w:keepNext/>
        <w:spacing w:before="120"/>
        <w:ind w:left="165" w:hanging="165"/>
      </w:pPr>
      <w:r w:rsidRPr="009941F8">
        <w:t>a</w:t>
      </w:r>
      <w:r w:rsidRPr="009941F8">
        <w:tab/>
        <w:t xml:space="preserve">The resubmission presented alternate transition probability matrices, </w:t>
      </w:r>
      <w:r w:rsidR="003E5425" w:rsidRPr="009941F8">
        <w:t>assuming all patients in the anifrolumab arm received anifrolumab until Week 52.</w:t>
      </w:r>
    </w:p>
    <w:p w14:paraId="24EC8273" w14:textId="77777777" w:rsidR="0068000F" w:rsidRPr="0031580A" w:rsidRDefault="0068000F" w:rsidP="00FA3EC9">
      <w:pPr>
        <w:pStyle w:val="TableFigureFooter"/>
        <w:keepNext/>
        <w:spacing w:before="120"/>
        <w:ind w:left="165" w:hanging="165"/>
        <w:rPr>
          <w:i/>
          <w:iCs/>
        </w:rPr>
      </w:pPr>
      <w:r w:rsidRPr="0031580A">
        <w:rPr>
          <w:i/>
          <w:iCs/>
        </w:rPr>
        <w:t>The redacted values correspond to the following ranges:</w:t>
      </w:r>
    </w:p>
    <w:p w14:paraId="1C9C5FED" w14:textId="2606FB36" w:rsidR="0068000F" w:rsidRPr="0031580A" w:rsidRDefault="0068000F" w:rsidP="00FA3EC9">
      <w:pPr>
        <w:pStyle w:val="TableFigureFooter"/>
        <w:keepNext/>
        <w:spacing w:before="120"/>
        <w:ind w:left="165" w:hanging="165"/>
        <w:rPr>
          <w:i/>
          <w:iCs/>
        </w:rPr>
      </w:pPr>
      <w:r w:rsidRPr="0031580A">
        <w:rPr>
          <w:i/>
          <w:iCs/>
          <w:vertAlign w:val="superscript"/>
        </w:rPr>
        <w:t>1</w:t>
      </w:r>
      <w:r w:rsidRPr="0031580A">
        <w:rPr>
          <w:i/>
          <w:iCs/>
        </w:rPr>
        <w:t xml:space="preserve"> $55,000 to &lt; $75,000</w:t>
      </w:r>
    </w:p>
    <w:p w14:paraId="69A35C6D" w14:textId="1DA4672C" w:rsidR="0068000F" w:rsidRPr="0031580A" w:rsidRDefault="0068000F" w:rsidP="00FA3EC9">
      <w:pPr>
        <w:pStyle w:val="TableFigureFooter"/>
        <w:keepNext/>
        <w:spacing w:before="120"/>
        <w:ind w:left="165" w:hanging="165"/>
        <w:rPr>
          <w:i/>
          <w:iCs/>
        </w:rPr>
      </w:pPr>
      <w:r w:rsidRPr="0031580A">
        <w:rPr>
          <w:i/>
          <w:iCs/>
          <w:vertAlign w:val="superscript"/>
        </w:rPr>
        <w:t>2</w:t>
      </w:r>
      <w:r w:rsidRPr="0031580A">
        <w:rPr>
          <w:i/>
          <w:iCs/>
        </w:rPr>
        <w:t xml:space="preserve"> $45,000 to &lt; $55,000</w:t>
      </w:r>
    </w:p>
    <w:p w14:paraId="2055310C" w14:textId="35A61D5C" w:rsidR="0068000F" w:rsidRPr="0031580A" w:rsidRDefault="0068000F" w:rsidP="00FA3EC9">
      <w:pPr>
        <w:pStyle w:val="TableFigureFooter"/>
        <w:keepNext/>
        <w:spacing w:before="120"/>
        <w:ind w:left="165" w:hanging="165"/>
        <w:rPr>
          <w:i/>
          <w:iCs/>
        </w:rPr>
      </w:pPr>
      <w:r w:rsidRPr="0031580A">
        <w:rPr>
          <w:i/>
          <w:iCs/>
          <w:vertAlign w:val="superscript"/>
        </w:rPr>
        <w:t>3</w:t>
      </w:r>
      <w:r w:rsidRPr="0031580A">
        <w:rPr>
          <w:i/>
          <w:iCs/>
        </w:rPr>
        <w:t xml:space="preserve"> $75,000 to &lt; $95,000</w:t>
      </w:r>
    </w:p>
    <w:p w14:paraId="7589250D" w14:textId="5A650D04" w:rsidR="0029498D" w:rsidRPr="0031580A" w:rsidRDefault="0029498D" w:rsidP="00FA3EC9">
      <w:pPr>
        <w:pStyle w:val="TableFigureFooter"/>
        <w:keepNext/>
        <w:spacing w:before="120"/>
        <w:ind w:left="165" w:hanging="165"/>
        <w:rPr>
          <w:i/>
          <w:iCs/>
        </w:rPr>
      </w:pPr>
      <w:r w:rsidRPr="0031580A">
        <w:rPr>
          <w:i/>
          <w:iCs/>
          <w:vertAlign w:val="superscript"/>
        </w:rPr>
        <w:t>4</w:t>
      </w:r>
      <w:r w:rsidRPr="0031580A">
        <w:rPr>
          <w:i/>
          <w:iCs/>
        </w:rPr>
        <w:t xml:space="preserve"> $95,000 to &lt; $115,000</w:t>
      </w:r>
    </w:p>
    <w:p w14:paraId="6A4DB436" w14:textId="47D8DFF5" w:rsidR="0029498D" w:rsidRPr="0031580A" w:rsidRDefault="0029498D" w:rsidP="00FA3EC9">
      <w:pPr>
        <w:pStyle w:val="TableFigureFooter"/>
        <w:keepNext/>
        <w:spacing w:before="120"/>
        <w:ind w:left="165" w:hanging="165"/>
        <w:rPr>
          <w:i/>
          <w:iCs/>
        </w:rPr>
      </w:pPr>
      <w:r w:rsidRPr="0031580A">
        <w:rPr>
          <w:i/>
          <w:iCs/>
          <w:vertAlign w:val="superscript"/>
        </w:rPr>
        <w:t>5</w:t>
      </w:r>
      <w:r w:rsidRPr="0031580A">
        <w:rPr>
          <w:i/>
          <w:iCs/>
        </w:rPr>
        <w:t xml:space="preserve"> $555,000 to &lt; $655,000</w:t>
      </w:r>
    </w:p>
    <w:p w14:paraId="69044F4D" w14:textId="2467C38C" w:rsidR="0029498D" w:rsidRPr="0031580A" w:rsidRDefault="0029498D" w:rsidP="00FA3EC9">
      <w:pPr>
        <w:pStyle w:val="TableFigureFooter"/>
        <w:keepNext/>
        <w:spacing w:before="120"/>
        <w:ind w:left="165" w:hanging="165"/>
        <w:rPr>
          <w:i/>
          <w:iCs/>
        </w:rPr>
      </w:pPr>
      <w:r w:rsidRPr="0031580A">
        <w:rPr>
          <w:i/>
          <w:iCs/>
          <w:vertAlign w:val="superscript"/>
        </w:rPr>
        <w:t xml:space="preserve">6 </w:t>
      </w:r>
      <w:r w:rsidRPr="0031580A">
        <w:rPr>
          <w:i/>
          <w:iCs/>
        </w:rPr>
        <w:t>$155,000 to &lt; $255,000</w:t>
      </w:r>
    </w:p>
    <w:p w14:paraId="75192862" w14:textId="7D48BFCC" w:rsidR="002A4080" w:rsidRPr="009941F8" w:rsidRDefault="0029498D" w:rsidP="002C1990">
      <w:pPr>
        <w:pStyle w:val="TableFigureFooter"/>
        <w:spacing w:before="120"/>
        <w:ind w:left="165" w:hanging="165"/>
      </w:pPr>
      <w:r w:rsidRPr="0031580A">
        <w:rPr>
          <w:i/>
          <w:iCs/>
          <w:vertAlign w:val="superscript"/>
        </w:rPr>
        <w:t>7</w:t>
      </w:r>
      <w:r w:rsidRPr="0031580A">
        <w:rPr>
          <w:i/>
          <w:iCs/>
        </w:rPr>
        <w:t xml:space="preserve"> $135,000 to &lt; $155,000</w:t>
      </w:r>
    </w:p>
    <w:p w14:paraId="71BDB469" w14:textId="01954865" w:rsidR="00D47C3C" w:rsidRPr="009941F8" w:rsidRDefault="00D47C3C" w:rsidP="00A244E2">
      <w:pPr>
        <w:pStyle w:val="3-BodyText"/>
        <w:keepNext/>
      </w:pPr>
      <w:bookmarkStart w:id="83" w:name="_Ref159444030"/>
      <w:r w:rsidRPr="009941F8">
        <w:t>The ESC advised that a more appropriate respecified base case would include a 10</w:t>
      </w:r>
      <w:r w:rsidRPr="009941F8">
        <w:noBreakHyphen/>
        <w:t>year time horizon</w:t>
      </w:r>
      <w:r w:rsidR="00ED2668" w:rsidRPr="009941F8">
        <w:t>; this increased the ICER to $</w:t>
      </w:r>
      <w:r w:rsidR="0029498D" w:rsidRPr="0029498D">
        <w:t>75,000 to &lt; $95,000</w:t>
      </w:r>
      <w:r w:rsidR="00CC327E">
        <w:t xml:space="preserve"> </w:t>
      </w:r>
      <w:r w:rsidR="00ED2668" w:rsidRPr="009941F8">
        <w:t>per QALY gained</w:t>
      </w:r>
      <w:r w:rsidR="00FF6CE0" w:rsidRPr="009941F8">
        <w:t>.</w:t>
      </w:r>
      <w:r w:rsidRPr="009941F8">
        <w:t xml:space="preserve"> </w:t>
      </w:r>
      <w:r w:rsidR="00F575E6" w:rsidRPr="009941F8">
        <w:t>The ESC further advised that m</w:t>
      </w:r>
      <w:r w:rsidRPr="009941F8">
        <w:t xml:space="preserve">ultivariate sensitivity analyses should be explored </w:t>
      </w:r>
      <w:r w:rsidR="001D4FAC" w:rsidRPr="009941F8">
        <w:t>that:</w:t>
      </w:r>
      <w:r w:rsidRPr="009941F8">
        <w:t xml:space="preserve"> remov</w:t>
      </w:r>
      <w:r w:rsidR="001D4FAC" w:rsidRPr="009941F8">
        <w:t>ed</w:t>
      </w:r>
      <w:r w:rsidR="00F575E6" w:rsidRPr="009941F8">
        <w:t xml:space="preserve"> the LLDAS and SLE mortality adjustment (i.e</w:t>
      </w:r>
      <w:r w:rsidR="00F25AA9">
        <w:t>.</w:t>
      </w:r>
      <w:r w:rsidR="00F575E6" w:rsidRPr="009941F8">
        <w:t xml:space="preserve"> there should be no </w:t>
      </w:r>
      <w:r w:rsidRPr="009941F8">
        <w:t>survival benefit</w:t>
      </w:r>
      <w:r w:rsidR="00F575E6" w:rsidRPr="009941F8">
        <w:t>)</w:t>
      </w:r>
      <w:r w:rsidRPr="009941F8">
        <w:t xml:space="preserve">; </w:t>
      </w:r>
      <w:r w:rsidR="001728F0" w:rsidRPr="009941F8">
        <w:t>increas</w:t>
      </w:r>
      <w:r w:rsidR="001D4FAC" w:rsidRPr="009941F8">
        <w:t>ed the</w:t>
      </w:r>
      <w:r w:rsidR="001728F0" w:rsidRPr="009941F8">
        <w:t xml:space="preserve"> </w:t>
      </w:r>
      <w:r w:rsidR="00F575E6" w:rsidRPr="009941F8">
        <w:t xml:space="preserve">costs associated with the </w:t>
      </w:r>
      <w:r w:rsidRPr="009941F8">
        <w:t xml:space="preserve">LLDAS health state </w:t>
      </w:r>
      <w:r w:rsidR="00F575E6" w:rsidRPr="009941F8">
        <w:t>in line with Yeo 2020</w:t>
      </w:r>
      <w:r w:rsidRPr="009941F8">
        <w:t>; and assum</w:t>
      </w:r>
      <w:r w:rsidR="001D4FAC" w:rsidRPr="009941F8">
        <w:t>ed</w:t>
      </w:r>
      <w:r w:rsidRPr="009941F8">
        <w:t xml:space="preserve"> LLDAS rates for </w:t>
      </w:r>
      <w:r w:rsidR="00AA2FA4" w:rsidRPr="009941F8">
        <w:t>a</w:t>
      </w:r>
      <w:r w:rsidRPr="009941F8">
        <w:t xml:space="preserve">nifrolumab non-responders </w:t>
      </w:r>
      <w:r w:rsidR="00F575E6" w:rsidRPr="009941F8">
        <w:t>we</w:t>
      </w:r>
      <w:r w:rsidRPr="009941F8">
        <w:t xml:space="preserve">re equal to SOC </w:t>
      </w:r>
      <w:r w:rsidRPr="009941F8">
        <w:lastRenderedPageBreak/>
        <w:t>non-responders.</w:t>
      </w:r>
      <w:bookmarkEnd w:id="83"/>
      <w:r w:rsidR="0021079D" w:rsidRPr="009941F8">
        <w:t xml:space="preserve"> The ESC noted that when all these changes were combined the ICER was $</w:t>
      </w:r>
      <w:r w:rsidR="0029498D" w:rsidRPr="0029498D">
        <w:t>155,000 to &lt; $255,000</w:t>
      </w:r>
      <w:r w:rsidR="002C1990">
        <w:t xml:space="preserve"> </w:t>
      </w:r>
      <w:r w:rsidR="0021079D" w:rsidRPr="009941F8">
        <w:t>per QALY gained.</w:t>
      </w:r>
    </w:p>
    <w:p w14:paraId="1146CA1C" w14:textId="6AF2F981" w:rsidR="00153FFB" w:rsidRPr="009239EE" w:rsidRDefault="00AA1F22" w:rsidP="00460084">
      <w:pPr>
        <w:pStyle w:val="3-BodyText"/>
        <w:keepNext/>
      </w:pPr>
      <w:bookmarkStart w:id="84" w:name="_Ref162259395"/>
      <w:r w:rsidRPr="009941F8">
        <w:t xml:space="preserve">The pre-PBAC response </w:t>
      </w:r>
      <w:r w:rsidR="005E66F5" w:rsidRPr="009941F8">
        <w:t>proposed a revised base case which resulted in an ICER of $</w:t>
      </w:r>
      <w:r w:rsidR="0029498D" w:rsidRPr="0029498D">
        <w:t>55,</w:t>
      </w:r>
      <w:r w:rsidR="002C1990" w:rsidRPr="0029498D">
        <w:t>000</w:t>
      </w:r>
      <w:r w:rsidR="002C1990">
        <w:t> </w:t>
      </w:r>
      <w:r w:rsidR="0029498D" w:rsidRPr="0029498D">
        <w:t xml:space="preserve">to &lt; $75,000 </w:t>
      </w:r>
      <w:r w:rsidR="005E66F5" w:rsidRPr="009941F8">
        <w:t>per QALY gained (</w:t>
      </w:r>
      <w:r w:rsidR="005E66F5" w:rsidRPr="009941F8">
        <w:fldChar w:fldCharType="begin" w:fldLock="1"/>
      </w:r>
      <w:r w:rsidR="005E66F5" w:rsidRPr="009941F8">
        <w:instrText xml:space="preserve"> REF _Ref121669214 \h </w:instrText>
      </w:r>
      <w:r w:rsidR="005E66F5" w:rsidRPr="009941F8">
        <w:fldChar w:fldCharType="separate"/>
      </w:r>
      <w:r w:rsidR="00F07501" w:rsidRPr="009941F8">
        <w:t xml:space="preserve">Table </w:t>
      </w:r>
      <w:r w:rsidR="00F07501">
        <w:rPr>
          <w:noProof/>
        </w:rPr>
        <w:t>14</w:t>
      </w:r>
      <w:r w:rsidR="005E66F5" w:rsidRPr="009941F8">
        <w:fldChar w:fldCharType="end"/>
      </w:r>
      <w:r w:rsidR="005E66F5" w:rsidRPr="009941F8">
        <w:t>)</w:t>
      </w:r>
      <w:r w:rsidR="009941F8">
        <w:t xml:space="preserve">. </w:t>
      </w:r>
      <w:r w:rsidR="00153FFB" w:rsidRPr="009941F8">
        <w:rPr>
          <w:rFonts w:eastAsiaTheme="minorEastAsia"/>
          <w:snapToGrid/>
          <w:lang w:eastAsia="en-US"/>
        </w:rPr>
        <w:t xml:space="preserve">The pre-PBAC response stated that the </w:t>
      </w:r>
      <w:r w:rsidR="008036EB" w:rsidRPr="009941F8">
        <w:rPr>
          <w:rFonts w:eastAsiaTheme="minorEastAsia"/>
          <w:snapToGrid/>
          <w:lang w:eastAsia="en-US"/>
        </w:rPr>
        <w:t xml:space="preserve">costs associated with the LLDAS state </w:t>
      </w:r>
      <w:r w:rsidR="00153FFB" w:rsidRPr="009941F8">
        <w:rPr>
          <w:rFonts w:eastAsiaTheme="minorEastAsia"/>
          <w:snapToGrid/>
          <w:lang w:eastAsia="en-US"/>
        </w:rPr>
        <w:t xml:space="preserve">estimate in Yeo 2020 </w:t>
      </w:r>
      <w:r w:rsidR="008036EB" w:rsidRPr="009941F8">
        <w:rPr>
          <w:rFonts w:eastAsiaTheme="minorEastAsia"/>
          <w:snapToGrid/>
          <w:lang w:eastAsia="en-US"/>
        </w:rPr>
        <w:t>were</w:t>
      </w:r>
      <w:r w:rsidR="00153FFB" w:rsidRPr="009941F8">
        <w:rPr>
          <w:rFonts w:eastAsiaTheme="minorEastAsia"/>
          <w:snapToGrid/>
          <w:lang w:eastAsia="en-US"/>
        </w:rPr>
        <w:t xml:space="preserve"> not consistent with the definition of the health state in the model</w:t>
      </w:r>
      <w:r w:rsidR="008036EB" w:rsidRPr="009941F8">
        <w:rPr>
          <w:rFonts w:eastAsiaTheme="minorEastAsia"/>
          <w:snapToGrid/>
          <w:lang w:eastAsia="en-US"/>
        </w:rPr>
        <w:t>. The pre-PBAC response stated this was</w:t>
      </w:r>
      <w:r w:rsidR="00153FFB" w:rsidRPr="009941F8">
        <w:rPr>
          <w:rFonts w:eastAsiaTheme="minorEastAsia"/>
          <w:snapToGrid/>
          <w:lang w:eastAsia="en-US"/>
        </w:rPr>
        <w:t xml:space="preserve"> because </w:t>
      </w:r>
      <w:r w:rsidR="008036EB" w:rsidRPr="009941F8">
        <w:rPr>
          <w:rFonts w:eastAsiaTheme="minorEastAsia"/>
          <w:snapToGrid/>
          <w:lang w:eastAsia="en-US"/>
        </w:rPr>
        <w:t xml:space="preserve">the analysis </w:t>
      </w:r>
      <w:r w:rsidR="00153FFB" w:rsidRPr="009941F8">
        <w:rPr>
          <w:rFonts w:eastAsiaTheme="minorEastAsia"/>
          <w:snapToGrid/>
          <w:lang w:eastAsia="en-US"/>
        </w:rPr>
        <w:t xml:space="preserve">in Yeo 2020 reported on patients that spent at least 50% of </w:t>
      </w:r>
      <w:r w:rsidR="008036EB" w:rsidRPr="009941F8">
        <w:rPr>
          <w:rFonts w:eastAsiaTheme="minorEastAsia"/>
          <w:snapToGrid/>
          <w:lang w:eastAsia="en-US"/>
        </w:rPr>
        <w:t xml:space="preserve">their </w:t>
      </w:r>
      <w:r w:rsidR="00153FFB" w:rsidRPr="009941F8">
        <w:rPr>
          <w:rFonts w:eastAsiaTheme="minorEastAsia"/>
          <w:snapToGrid/>
          <w:lang w:eastAsia="en-US"/>
        </w:rPr>
        <w:t>time in LLDAS during the follow-up period, whereas the modelled LLDAS health state assumed patients spen</w:t>
      </w:r>
      <w:r w:rsidR="008036EB" w:rsidRPr="009941F8">
        <w:rPr>
          <w:rFonts w:eastAsiaTheme="minorEastAsia"/>
          <w:snapToGrid/>
          <w:lang w:eastAsia="en-US"/>
        </w:rPr>
        <w:t>t</w:t>
      </w:r>
      <w:r w:rsidR="00153FFB" w:rsidRPr="009941F8">
        <w:rPr>
          <w:rFonts w:eastAsiaTheme="minorEastAsia"/>
          <w:snapToGrid/>
          <w:lang w:eastAsia="en-US"/>
        </w:rPr>
        <w:t xml:space="preserve"> 100% of the cycle in LLDAS. The pre-PBAC response proposed a cost of $</w:t>
      </w:r>
      <w:r w:rsidR="00153FFB" w:rsidRPr="0003430E">
        <w:rPr>
          <w:rFonts w:eastAsiaTheme="minorEastAsia"/>
          <w:snapToGrid/>
          <w:lang w:eastAsia="en-US"/>
        </w:rPr>
        <w:t xml:space="preserve">340.10 </w:t>
      </w:r>
      <w:r w:rsidR="00153FFB" w:rsidRPr="009941F8">
        <w:rPr>
          <w:rFonts w:eastAsiaTheme="minorEastAsia"/>
          <w:snapToGrid/>
          <w:lang w:eastAsia="en-US"/>
        </w:rPr>
        <w:t>per 6-month cycle</w:t>
      </w:r>
      <w:r w:rsidR="009239EE">
        <w:rPr>
          <w:rFonts w:eastAsiaTheme="minorEastAsia"/>
          <w:snapToGrid/>
          <w:lang w:eastAsia="en-US"/>
        </w:rPr>
        <w:t xml:space="preserve">, based on the assumption that patients would </w:t>
      </w:r>
      <w:r w:rsidR="009239EE" w:rsidRPr="009239EE">
        <w:rPr>
          <w:rFonts w:eastAsiaTheme="minorEastAsia"/>
          <w:snapToGrid/>
          <w:lang w:eastAsia="en-US"/>
        </w:rPr>
        <w:t xml:space="preserve">receive </w:t>
      </w:r>
      <w:r w:rsidR="009239EE" w:rsidRPr="009239EE">
        <w:rPr>
          <w:rFonts w:eastAsiaTheme="minorEastAsia" w:cstheme="minorHAnsi"/>
          <w:snapToGrid/>
          <w:lang w:val="en-US" w:eastAsia="en-US"/>
        </w:rPr>
        <w:t>3 specialists visits (MBS item 105</w:t>
      </w:r>
      <w:r w:rsidR="009239EE">
        <w:rPr>
          <w:rFonts w:eastAsiaTheme="minorEastAsia" w:cstheme="minorHAnsi"/>
          <w:snapToGrid/>
          <w:lang w:val="en-US" w:eastAsia="en-US"/>
        </w:rPr>
        <w:t>:</w:t>
      </w:r>
      <w:r w:rsidR="009239EE" w:rsidRPr="009239EE">
        <w:rPr>
          <w:rFonts w:eastAsiaTheme="minorEastAsia" w:cstheme="minorHAnsi"/>
          <w:snapToGrid/>
          <w:lang w:val="en-US" w:eastAsia="en-US"/>
        </w:rPr>
        <w:t xml:space="preserve"> $47.80) twice per cycle and blood and serum tests (MBS Item 66512</w:t>
      </w:r>
      <w:r w:rsidR="009239EE">
        <w:rPr>
          <w:rFonts w:eastAsiaTheme="minorEastAsia" w:cstheme="minorHAnsi"/>
          <w:snapToGrid/>
          <w:lang w:val="en-US" w:eastAsia="en-US"/>
        </w:rPr>
        <w:t>:</w:t>
      </w:r>
      <w:r w:rsidR="009239EE" w:rsidRPr="009239EE">
        <w:rPr>
          <w:rFonts w:eastAsiaTheme="minorEastAsia" w:cstheme="minorHAnsi"/>
          <w:snapToGrid/>
          <w:lang w:val="en-US" w:eastAsia="en-US"/>
        </w:rPr>
        <w:t xml:space="preserve"> $9.70 and MBS Item 65070</w:t>
      </w:r>
      <w:r w:rsidR="009239EE">
        <w:rPr>
          <w:rFonts w:eastAsiaTheme="minorEastAsia" w:cstheme="minorHAnsi"/>
          <w:snapToGrid/>
          <w:lang w:val="en-US" w:eastAsia="en-US"/>
        </w:rPr>
        <w:t>:</w:t>
      </w:r>
      <w:r w:rsidR="009239EE" w:rsidRPr="009239EE">
        <w:rPr>
          <w:rFonts w:eastAsiaTheme="minorEastAsia" w:cstheme="minorHAnsi"/>
          <w:snapToGrid/>
          <w:lang w:val="en-US" w:eastAsia="en-US"/>
        </w:rPr>
        <w:t xml:space="preserve"> $16.95) twice per cycle</w:t>
      </w:r>
      <w:r w:rsidR="00153FFB" w:rsidRPr="009239EE">
        <w:rPr>
          <w:rFonts w:eastAsiaTheme="minorEastAsia" w:cstheme="minorHAnsi"/>
          <w:snapToGrid/>
          <w:lang w:eastAsia="en-US"/>
        </w:rPr>
        <w:t>.</w:t>
      </w:r>
      <w:bookmarkEnd w:id="84"/>
    </w:p>
    <w:p w14:paraId="04D83035" w14:textId="171A02C4" w:rsidR="00DC4421" w:rsidRPr="009941F8" w:rsidRDefault="005E66F5" w:rsidP="00911D0A">
      <w:pPr>
        <w:pStyle w:val="3-BodyText"/>
      </w:pPr>
      <w:r w:rsidRPr="009941F8">
        <w:t xml:space="preserve">The PBAC noted that the model was sensitive to a range of inputs as shown in </w:t>
      </w:r>
      <w:r w:rsidRPr="009941F8">
        <w:fldChar w:fldCharType="begin" w:fldLock="1"/>
      </w:r>
      <w:r w:rsidRPr="009941F8">
        <w:instrText xml:space="preserve"> REF _Ref121669214 \h </w:instrText>
      </w:r>
      <w:r w:rsidRPr="009941F8">
        <w:fldChar w:fldCharType="separate"/>
      </w:r>
      <w:r w:rsidR="00F07501" w:rsidRPr="009941F8">
        <w:t xml:space="preserve">Table </w:t>
      </w:r>
      <w:r w:rsidR="00F07501">
        <w:rPr>
          <w:noProof/>
        </w:rPr>
        <w:t>14</w:t>
      </w:r>
      <w:r w:rsidRPr="009941F8">
        <w:fldChar w:fldCharType="end"/>
      </w:r>
      <w:r w:rsidRPr="009941F8">
        <w:t>, and considered that a range of alternative scenarios could be considered</w:t>
      </w:r>
      <w:r w:rsidR="009941F8">
        <w:t xml:space="preserve">. </w:t>
      </w:r>
    </w:p>
    <w:p w14:paraId="212676C1" w14:textId="77777777" w:rsidR="00A26972" w:rsidRPr="009941F8" w:rsidRDefault="00A26972" w:rsidP="00A244E2">
      <w:pPr>
        <w:pStyle w:val="4-SubsectionHeading"/>
      </w:pPr>
      <w:bookmarkStart w:id="85" w:name="_Toc156918350"/>
      <w:bookmarkStart w:id="86" w:name="_Toc22897647"/>
      <w:r w:rsidRPr="009941F8">
        <w:t>Anifrolumab cost/patient/year</w:t>
      </w:r>
      <w:bookmarkEnd w:id="85"/>
    </w:p>
    <w:p w14:paraId="5BA689BA" w14:textId="70099BA4" w:rsidR="00A26972" w:rsidRPr="009941F8" w:rsidRDefault="00A26972" w:rsidP="00A244E2">
      <w:pPr>
        <w:pStyle w:val="TableFigureHeading"/>
        <w:rPr>
          <w:rStyle w:val="CommentReference"/>
          <w:b/>
          <w:szCs w:val="24"/>
        </w:rPr>
      </w:pPr>
      <w:r w:rsidRPr="009941F8">
        <w:t xml:space="preserve">Table </w:t>
      </w:r>
      <w:r w:rsidR="00CE7EC7">
        <w:fldChar w:fldCharType="begin" w:fldLock="1"/>
      </w:r>
      <w:r w:rsidR="00CE7EC7">
        <w:instrText xml:space="preserve"> SEQ Table \* ARABIC </w:instrText>
      </w:r>
      <w:r w:rsidR="00CE7EC7">
        <w:fldChar w:fldCharType="separate"/>
      </w:r>
      <w:r w:rsidR="00F07501">
        <w:rPr>
          <w:noProof/>
        </w:rPr>
        <w:t>15</w:t>
      </w:r>
      <w:r w:rsidR="00CE7EC7">
        <w:rPr>
          <w:noProof/>
        </w:rPr>
        <w:fldChar w:fldCharType="end"/>
      </w:r>
      <w:r w:rsidRPr="009941F8">
        <w:t>:</w:t>
      </w:r>
      <w:r w:rsidRPr="009941F8">
        <w:rPr>
          <w:rStyle w:val="CommentReference"/>
          <w:b/>
          <w:szCs w:val="24"/>
        </w:rPr>
        <w:t xml:space="preserve"> Drug cost per patient for anifrolumab </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for anifrolumab "/>
      </w:tblPr>
      <w:tblGrid>
        <w:gridCol w:w="2830"/>
        <w:gridCol w:w="1134"/>
        <w:gridCol w:w="1276"/>
        <w:gridCol w:w="1276"/>
        <w:gridCol w:w="1276"/>
        <w:gridCol w:w="1229"/>
      </w:tblGrid>
      <w:tr w:rsidR="00A26972" w:rsidRPr="009941F8" w14:paraId="7F1174A3" w14:textId="77777777" w:rsidTr="00A244E2">
        <w:trPr>
          <w:cantSplit/>
          <w:tblHeader/>
          <w:jc w:val="center"/>
        </w:trPr>
        <w:tc>
          <w:tcPr>
            <w:tcW w:w="1569" w:type="pct"/>
            <w:vMerge w:val="restart"/>
            <w:shd w:val="clear" w:color="auto" w:fill="auto"/>
            <w:vAlign w:val="center"/>
          </w:tcPr>
          <w:p w14:paraId="1EFE8694" w14:textId="77777777" w:rsidR="00A26972" w:rsidRPr="009941F8" w:rsidRDefault="00A26972" w:rsidP="00A244E2">
            <w:pPr>
              <w:pStyle w:val="In-tableHeading"/>
              <w:jc w:val="center"/>
              <w:rPr>
                <w:lang w:val="en-AU"/>
              </w:rPr>
            </w:pPr>
          </w:p>
        </w:tc>
        <w:tc>
          <w:tcPr>
            <w:tcW w:w="629" w:type="pct"/>
            <w:vMerge w:val="restart"/>
            <w:shd w:val="clear" w:color="auto" w:fill="auto"/>
            <w:vAlign w:val="center"/>
          </w:tcPr>
          <w:p w14:paraId="257DA5B9" w14:textId="77777777" w:rsidR="00A26972" w:rsidRPr="009941F8" w:rsidRDefault="00A26972" w:rsidP="00A244E2">
            <w:pPr>
              <w:pStyle w:val="In-tableHeading"/>
              <w:jc w:val="center"/>
              <w:rPr>
                <w:lang w:val="en-AU"/>
              </w:rPr>
            </w:pPr>
            <w:r w:rsidRPr="009941F8">
              <w:rPr>
                <w:lang w:val="en-AU"/>
              </w:rPr>
              <w:t>Trial dose and duration</w:t>
            </w:r>
          </w:p>
        </w:tc>
        <w:tc>
          <w:tcPr>
            <w:tcW w:w="1414" w:type="pct"/>
            <w:gridSpan w:val="2"/>
            <w:shd w:val="clear" w:color="auto" w:fill="auto"/>
          </w:tcPr>
          <w:p w14:paraId="604B6865" w14:textId="77777777" w:rsidR="00A26972" w:rsidRPr="009941F8" w:rsidRDefault="00A26972" w:rsidP="00A244E2">
            <w:pPr>
              <w:pStyle w:val="In-tableHeading"/>
              <w:jc w:val="center"/>
              <w:rPr>
                <w:lang w:val="en-AU"/>
              </w:rPr>
            </w:pPr>
            <w:r w:rsidRPr="009941F8">
              <w:rPr>
                <w:lang w:val="en-AU"/>
              </w:rPr>
              <w:t>Model</w:t>
            </w:r>
            <w:r w:rsidRPr="009941F8">
              <w:rPr>
                <w:vertAlign w:val="superscript"/>
                <w:lang w:val="en-AU"/>
              </w:rPr>
              <w:t>b</w:t>
            </w:r>
          </w:p>
        </w:tc>
        <w:tc>
          <w:tcPr>
            <w:tcW w:w="1388" w:type="pct"/>
            <w:gridSpan w:val="2"/>
            <w:shd w:val="clear" w:color="auto" w:fill="auto"/>
            <w:vAlign w:val="center"/>
          </w:tcPr>
          <w:p w14:paraId="47F0E1C1" w14:textId="77777777" w:rsidR="00A26972" w:rsidRPr="009941F8" w:rsidRDefault="00A26972" w:rsidP="00A244E2">
            <w:pPr>
              <w:pStyle w:val="In-tableHeading"/>
              <w:jc w:val="center"/>
              <w:rPr>
                <w:lang w:val="en-AU"/>
              </w:rPr>
            </w:pPr>
            <w:r w:rsidRPr="009941F8">
              <w:rPr>
                <w:lang w:val="en-AU"/>
              </w:rPr>
              <w:t>Financial estimates</w:t>
            </w:r>
            <w:r w:rsidRPr="009941F8">
              <w:rPr>
                <w:vertAlign w:val="superscript"/>
                <w:lang w:val="en-AU"/>
              </w:rPr>
              <w:t>c</w:t>
            </w:r>
          </w:p>
        </w:tc>
      </w:tr>
      <w:tr w:rsidR="00A26972" w:rsidRPr="009941F8" w14:paraId="037D7605" w14:textId="77777777" w:rsidTr="00A244E2">
        <w:trPr>
          <w:cantSplit/>
          <w:tblHeader/>
          <w:jc w:val="center"/>
        </w:trPr>
        <w:tc>
          <w:tcPr>
            <w:tcW w:w="1569" w:type="pct"/>
            <w:vMerge/>
            <w:shd w:val="clear" w:color="auto" w:fill="auto"/>
            <w:vAlign w:val="center"/>
          </w:tcPr>
          <w:p w14:paraId="5BB49503" w14:textId="77777777" w:rsidR="00A26972" w:rsidRPr="009941F8" w:rsidRDefault="00A26972" w:rsidP="00A244E2">
            <w:pPr>
              <w:pStyle w:val="In-tableHeading"/>
              <w:jc w:val="center"/>
              <w:rPr>
                <w:lang w:val="en-AU"/>
              </w:rPr>
            </w:pPr>
          </w:p>
        </w:tc>
        <w:tc>
          <w:tcPr>
            <w:tcW w:w="629" w:type="pct"/>
            <w:vMerge/>
            <w:shd w:val="clear" w:color="auto" w:fill="auto"/>
            <w:vAlign w:val="center"/>
          </w:tcPr>
          <w:p w14:paraId="39C58169" w14:textId="77777777" w:rsidR="00A26972" w:rsidRPr="009941F8" w:rsidRDefault="00A26972" w:rsidP="00A244E2">
            <w:pPr>
              <w:pStyle w:val="In-tableHeading"/>
              <w:jc w:val="center"/>
              <w:rPr>
                <w:lang w:val="en-AU"/>
              </w:rPr>
            </w:pPr>
          </w:p>
        </w:tc>
        <w:tc>
          <w:tcPr>
            <w:tcW w:w="707" w:type="pct"/>
            <w:shd w:val="clear" w:color="auto" w:fill="auto"/>
          </w:tcPr>
          <w:p w14:paraId="69027382" w14:textId="77777777" w:rsidR="00A26972" w:rsidRPr="009941F8" w:rsidRDefault="00A26972" w:rsidP="00A244E2">
            <w:pPr>
              <w:pStyle w:val="In-tableHeading"/>
              <w:jc w:val="center"/>
              <w:rPr>
                <w:lang w:val="en-AU"/>
              </w:rPr>
            </w:pPr>
            <w:r w:rsidRPr="009941F8">
              <w:rPr>
                <w:lang w:val="en-AU"/>
              </w:rPr>
              <w:t>March 2023</w:t>
            </w:r>
          </w:p>
        </w:tc>
        <w:tc>
          <w:tcPr>
            <w:tcW w:w="707" w:type="pct"/>
            <w:shd w:val="clear" w:color="auto" w:fill="auto"/>
            <w:vAlign w:val="center"/>
          </w:tcPr>
          <w:p w14:paraId="1E161E51" w14:textId="77777777" w:rsidR="00A26972" w:rsidRPr="009941F8" w:rsidRDefault="00A26972" w:rsidP="00A244E2">
            <w:pPr>
              <w:pStyle w:val="In-tableHeading"/>
              <w:jc w:val="center"/>
              <w:rPr>
                <w:lang w:val="en-AU"/>
              </w:rPr>
            </w:pPr>
            <w:r w:rsidRPr="009941F8">
              <w:rPr>
                <w:lang w:val="en-AU"/>
              </w:rPr>
              <w:t>Resubmission</w:t>
            </w:r>
          </w:p>
        </w:tc>
        <w:tc>
          <w:tcPr>
            <w:tcW w:w="707" w:type="pct"/>
            <w:shd w:val="clear" w:color="auto" w:fill="auto"/>
          </w:tcPr>
          <w:p w14:paraId="5195C5F8" w14:textId="77777777" w:rsidR="00A26972" w:rsidRPr="009941F8" w:rsidRDefault="00A26972" w:rsidP="00A244E2">
            <w:pPr>
              <w:pStyle w:val="In-tableHeading"/>
              <w:jc w:val="center"/>
              <w:rPr>
                <w:lang w:val="en-AU"/>
              </w:rPr>
            </w:pPr>
            <w:r w:rsidRPr="009941F8">
              <w:rPr>
                <w:lang w:val="en-AU"/>
              </w:rPr>
              <w:t>March 2023</w:t>
            </w:r>
          </w:p>
        </w:tc>
        <w:tc>
          <w:tcPr>
            <w:tcW w:w="681" w:type="pct"/>
            <w:shd w:val="clear" w:color="auto" w:fill="auto"/>
            <w:vAlign w:val="center"/>
          </w:tcPr>
          <w:p w14:paraId="79D88BF0" w14:textId="77777777" w:rsidR="00A26972" w:rsidRPr="009941F8" w:rsidRDefault="00A26972" w:rsidP="00A244E2">
            <w:pPr>
              <w:pStyle w:val="In-tableHeading"/>
              <w:jc w:val="center"/>
              <w:rPr>
                <w:lang w:val="en-AU"/>
              </w:rPr>
            </w:pPr>
            <w:r w:rsidRPr="009941F8">
              <w:rPr>
                <w:lang w:val="en-AU"/>
              </w:rPr>
              <w:t>Resubmission</w:t>
            </w:r>
          </w:p>
        </w:tc>
      </w:tr>
      <w:tr w:rsidR="00A26972" w:rsidRPr="009941F8" w14:paraId="796D61D2" w14:textId="77777777" w:rsidTr="00A244E2">
        <w:trPr>
          <w:cantSplit/>
          <w:jc w:val="center"/>
        </w:trPr>
        <w:tc>
          <w:tcPr>
            <w:tcW w:w="1569" w:type="pct"/>
            <w:shd w:val="clear" w:color="auto" w:fill="auto"/>
            <w:vAlign w:val="center"/>
          </w:tcPr>
          <w:p w14:paraId="7F254CCB" w14:textId="77777777" w:rsidR="00A26972" w:rsidRPr="009941F8" w:rsidRDefault="00A26972" w:rsidP="00A244E2">
            <w:pPr>
              <w:pStyle w:val="TableText0"/>
            </w:pPr>
            <w:r w:rsidRPr="009941F8">
              <w:t>Mean dose anifrolumab</w:t>
            </w:r>
          </w:p>
        </w:tc>
        <w:tc>
          <w:tcPr>
            <w:tcW w:w="629" w:type="pct"/>
            <w:shd w:val="clear" w:color="auto" w:fill="auto"/>
            <w:vAlign w:val="center"/>
          </w:tcPr>
          <w:p w14:paraId="550003AD" w14:textId="4B82E4C6" w:rsidR="00A26972" w:rsidRPr="009941F8" w:rsidRDefault="00A26972" w:rsidP="00A244E2">
            <w:pPr>
              <w:pStyle w:val="TableText0"/>
              <w:jc w:val="center"/>
            </w:pPr>
            <w:r w:rsidRPr="009941F8">
              <w:t>300</w:t>
            </w:r>
            <w:r w:rsidR="00393221" w:rsidRPr="009941F8">
              <w:t xml:space="preserve"> </w:t>
            </w:r>
            <w:r w:rsidRPr="009941F8">
              <w:t>mg</w:t>
            </w:r>
          </w:p>
        </w:tc>
        <w:tc>
          <w:tcPr>
            <w:tcW w:w="707" w:type="pct"/>
            <w:shd w:val="clear" w:color="auto" w:fill="auto"/>
            <w:vAlign w:val="center"/>
          </w:tcPr>
          <w:p w14:paraId="7C99EE78" w14:textId="2AB184B1" w:rsidR="00A26972" w:rsidRPr="009941F8" w:rsidRDefault="00A26972" w:rsidP="00A244E2">
            <w:pPr>
              <w:pStyle w:val="TableText0"/>
              <w:jc w:val="center"/>
            </w:pPr>
            <w:r w:rsidRPr="009941F8">
              <w:t>300</w:t>
            </w:r>
            <w:r w:rsidR="00393221" w:rsidRPr="009941F8">
              <w:t xml:space="preserve"> </w:t>
            </w:r>
            <w:r w:rsidRPr="009941F8">
              <w:t xml:space="preserve">mg </w:t>
            </w:r>
          </w:p>
        </w:tc>
        <w:tc>
          <w:tcPr>
            <w:tcW w:w="707" w:type="pct"/>
            <w:shd w:val="clear" w:color="auto" w:fill="auto"/>
            <w:vAlign w:val="center"/>
          </w:tcPr>
          <w:p w14:paraId="385E5DA4" w14:textId="15B60876" w:rsidR="00A26972" w:rsidRPr="009941F8" w:rsidRDefault="00A26972" w:rsidP="00A244E2">
            <w:pPr>
              <w:pStyle w:val="TableText0"/>
              <w:jc w:val="center"/>
            </w:pPr>
            <w:r w:rsidRPr="009941F8">
              <w:t>300</w:t>
            </w:r>
            <w:r w:rsidR="00393221" w:rsidRPr="009941F8">
              <w:t xml:space="preserve"> </w:t>
            </w:r>
            <w:r w:rsidRPr="009941F8">
              <w:t xml:space="preserve">mg </w:t>
            </w:r>
          </w:p>
        </w:tc>
        <w:tc>
          <w:tcPr>
            <w:tcW w:w="707" w:type="pct"/>
            <w:shd w:val="clear" w:color="auto" w:fill="auto"/>
            <w:vAlign w:val="center"/>
          </w:tcPr>
          <w:p w14:paraId="173B33B9" w14:textId="52176F2A" w:rsidR="00A26972" w:rsidRPr="009941F8" w:rsidRDefault="00A26972" w:rsidP="00A244E2">
            <w:pPr>
              <w:pStyle w:val="TableText0"/>
              <w:jc w:val="center"/>
            </w:pPr>
            <w:r w:rsidRPr="009941F8">
              <w:t>300</w:t>
            </w:r>
            <w:r w:rsidR="00393221" w:rsidRPr="009941F8">
              <w:t xml:space="preserve"> </w:t>
            </w:r>
            <w:r w:rsidRPr="009941F8">
              <w:t>mg</w:t>
            </w:r>
          </w:p>
        </w:tc>
        <w:tc>
          <w:tcPr>
            <w:tcW w:w="681" w:type="pct"/>
            <w:shd w:val="clear" w:color="auto" w:fill="auto"/>
            <w:vAlign w:val="center"/>
          </w:tcPr>
          <w:p w14:paraId="553BFD33" w14:textId="65FF63E8" w:rsidR="00A26972" w:rsidRPr="009941F8" w:rsidRDefault="00A26972" w:rsidP="00A244E2">
            <w:pPr>
              <w:pStyle w:val="TableText0"/>
              <w:jc w:val="center"/>
            </w:pPr>
            <w:r w:rsidRPr="009941F8">
              <w:t>300</w:t>
            </w:r>
            <w:r w:rsidR="00393221" w:rsidRPr="009941F8">
              <w:t xml:space="preserve"> </w:t>
            </w:r>
            <w:r w:rsidRPr="009941F8">
              <w:t>mg</w:t>
            </w:r>
          </w:p>
        </w:tc>
      </w:tr>
      <w:tr w:rsidR="00A26972" w:rsidRPr="009941F8" w14:paraId="23E8852E" w14:textId="77777777" w:rsidTr="00A244E2">
        <w:trPr>
          <w:cantSplit/>
          <w:jc w:val="center"/>
        </w:trPr>
        <w:tc>
          <w:tcPr>
            <w:tcW w:w="1569" w:type="pct"/>
            <w:shd w:val="clear" w:color="auto" w:fill="auto"/>
            <w:vAlign w:val="center"/>
          </w:tcPr>
          <w:p w14:paraId="744E9C63" w14:textId="77777777" w:rsidR="00A26972" w:rsidRPr="009941F8" w:rsidRDefault="00A26972" w:rsidP="00A244E2">
            <w:pPr>
              <w:pStyle w:val="TableText0"/>
            </w:pPr>
            <w:r w:rsidRPr="009941F8">
              <w:t>Mean number of administrations/year</w:t>
            </w:r>
          </w:p>
        </w:tc>
        <w:tc>
          <w:tcPr>
            <w:tcW w:w="629" w:type="pct"/>
            <w:shd w:val="clear" w:color="auto" w:fill="auto"/>
            <w:vAlign w:val="center"/>
          </w:tcPr>
          <w:p w14:paraId="06D27FC6" w14:textId="77777777" w:rsidR="00A26972" w:rsidRPr="009941F8" w:rsidRDefault="00A26972" w:rsidP="00A244E2">
            <w:pPr>
              <w:pStyle w:val="TableText0"/>
              <w:jc w:val="center"/>
            </w:pPr>
            <w:r w:rsidRPr="009941F8">
              <w:t>13.04</w:t>
            </w:r>
          </w:p>
        </w:tc>
        <w:tc>
          <w:tcPr>
            <w:tcW w:w="707" w:type="pct"/>
            <w:shd w:val="clear" w:color="auto" w:fill="auto"/>
            <w:vAlign w:val="center"/>
          </w:tcPr>
          <w:p w14:paraId="547C8181" w14:textId="77777777" w:rsidR="00A26972" w:rsidRPr="009941F8" w:rsidRDefault="00A26972" w:rsidP="00A244E2">
            <w:pPr>
              <w:pStyle w:val="TableText0"/>
              <w:jc w:val="center"/>
            </w:pPr>
            <w:r w:rsidRPr="009941F8">
              <w:t>13.00</w:t>
            </w:r>
          </w:p>
        </w:tc>
        <w:tc>
          <w:tcPr>
            <w:tcW w:w="707" w:type="pct"/>
            <w:shd w:val="clear" w:color="auto" w:fill="auto"/>
            <w:vAlign w:val="center"/>
          </w:tcPr>
          <w:p w14:paraId="47812301" w14:textId="77777777" w:rsidR="00A26972" w:rsidRPr="009941F8" w:rsidRDefault="00A26972" w:rsidP="00A244E2">
            <w:pPr>
              <w:pStyle w:val="TableText0"/>
              <w:jc w:val="center"/>
            </w:pPr>
            <w:r w:rsidRPr="009941F8">
              <w:t>13.00</w:t>
            </w:r>
            <w:r w:rsidRPr="009941F8">
              <w:rPr>
                <w:vertAlign w:val="superscript"/>
              </w:rPr>
              <w:t>d</w:t>
            </w:r>
          </w:p>
        </w:tc>
        <w:tc>
          <w:tcPr>
            <w:tcW w:w="707" w:type="pct"/>
            <w:shd w:val="clear" w:color="auto" w:fill="auto"/>
            <w:vAlign w:val="center"/>
          </w:tcPr>
          <w:p w14:paraId="4028C1D8" w14:textId="77777777" w:rsidR="00A26972" w:rsidRPr="009941F8" w:rsidRDefault="00A26972" w:rsidP="00A244E2">
            <w:pPr>
              <w:pStyle w:val="TableText0"/>
              <w:jc w:val="center"/>
            </w:pPr>
            <w:r w:rsidRPr="009941F8">
              <w:t>12.39</w:t>
            </w:r>
            <w:r w:rsidRPr="009941F8">
              <w:rPr>
                <w:vertAlign w:val="superscript"/>
              </w:rPr>
              <w:t>e</w:t>
            </w:r>
          </w:p>
        </w:tc>
        <w:tc>
          <w:tcPr>
            <w:tcW w:w="681" w:type="pct"/>
            <w:shd w:val="clear" w:color="auto" w:fill="auto"/>
            <w:vAlign w:val="center"/>
          </w:tcPr>
          <w:p w14:paraId="76A14532" w14:textId="77777777" w:rsidR="00A26972" w:rsidRPr="009941F8" w:rsidRDefault="00A26972" w:rsidP="00A244E2">
            <w:pPr>
              <w:pStyle w:val="TableText0"/>
              <w:jc w:val="center"/>
            </w:pPr>
            <w:r w:rsidRPr="009941F8">
              <w:t>12.39</w:t>
            </w:r>
            <w:r w:rsidRPr="009941F8">
              <w:rPr>
                <w:vertAlign w:val="superscript"/>
              </w:rPr>
              <w:t>e</w:t>
            </w:r>
          </w:p>
        </w:tc>
      </w:tr>
      <w:tr w:rsidR="00A26972" w:rsidRPr="009941F8" w14:paraId="4741D532" w14:textId="77777777" w:rsidTr="00640EC9">
        <w:trPr>
          <w:cantSplit/>
          <w:jc w:val="center"/>
        </w:trPr>
        <w:tc>
          <w:tcPr>
            <w:tcW w:w="1569" w:type="pct"/>
            <w:shd w:val="clear" w:color="auto" w:fill="auto"/>
            <w:vAlign w:val="center"/>
          </w:tcPr>
          <w:p w14:paraId="2A49EC7C" w14:textId="77777777" w:rsidR="00A26972" w:rsidRPr="009941F8" w:rsidRDefault="00A26972" w:rsidP="00A244E2">
            <w:pPr>
              <w:pStyle w:val="TableText0"/>
            </w:pPr>
            <w:r w:rsidRPr="009941F8">
              <w:t>Mean duration anifrolumab</w:t>
            </w:r>
          </w:p>
        </w:tc>
        <w:tc>
          <w:tcPr>
            <w:tcW w:w="629" w:type="pct"/>
            <w:shd w:val="clear" w:color="auto" w:fill="auto"/>
            <w:vAlign w:val="center"/>
          </w:tcPr>
          <w:p w14:paraId="7102226B" w14:textId="77777777" w:rsidR="00A26972" w:rsidRPr="009941F8" w:rsidRDefault="00A26972" w:rsidP="00A244E2">
            <w:pPr>
              <w:pStyle w:val="TableText0"/>
              <w:jc w:val="center"/>
            </w:pPr>
            <w:r w:rsidRPr="009941F8">
              <w:t>NR</w:t>
            </w:r>
            <w:r w:rsidRPr="009941F8">
              <w:rPr>
                <w:vertAlign w:val="superscript"/>
              </w:rPr>
              <w:t>a</w:t>
            </w:r>
          </w:p>
        </w:tc>
        <w:tc>
          <w:tcPr>
            <w:tcW w:w="707" w:type="pct"/>
            <w:tcBorders>
              <w:bottom w:val="single" w:sz="4" w:space="0" w:color="auto"/>
            </w:tcBorders>
            <w:shd w:val="clear" w:color="auto" w:fill="auto"/>
            <w:vAlign w:val="center"/>
          </w:tcPr>
          <w:p w14:paraId="79EF46BF" w14:textId="77777777" w:rsidR="00A26972" w:rsidRPr="009941F8" w:rsidRDefault="00A26972" w:rsidP="00A244E2">
            <w:pPr>
              <w:pStyle w:val="TableText0"/>
              <w:jc w:val="center"/>
            </w:pPr>
            <w:r w:rsidRPr="009941F8">
              <w:t>4.88 years</w:t>
            </w:r>
          </w:p>
          <w:p w14:paraId="6B7A1288" w14:textId="77777777" w:rsidR="00A26972" w:rsidRPr="009941F8" w:rsidRDefault="00A26972" w:rsidP="00A244E2">
            <w:pPr>
              <w:pStyle w:val="TableText0"/>
              <w:jc w:val="center"/>
            </w:pPr>
            <w:r w:rsidRPr="009941F8">
              <w:t>(30 year time horizon)</w:t>
            </w:r>
          </w:p>
        </w:tc>
        <w:tc>
          <w:tcPr>
            <w:tcW w:w="707" w:type="pct"/>
            <w:tcBorders>
              <w:bottom w:val="single" w:sz="4" w:space="0" w:color="auto"/>
            </w:tcBorders>
            <w:shd w:val="clear" w:color="auto" w:fill="auto"/>
            <w:vAlign w:val="center"/>
          </w:tcPr>
          <w:p w14:paraId="4525E311" w14:textId="77777777" w:rsidR="00A26972" w:rsidRPr="009941F8" w:rsidRDefault="00A26972" w:rsidP="00A244E2">
            <w:pPr>
              <w:pStyle w:val="TableText0"/>
              <w:jc w:val="center"/>
            </w:pPr>
            <w:r w:rsidRPr="009941F8">
              <w:t>1.11 years</w:t>
            </w:r>
          </w:p>
          <w:p w14:paraId="5984E029" w14:textId="77777777" w:rsidR="00A26972" w:rsidRPr="009941F8" w:rsidRDefault="00A26972" w:rsidP="00A244E2">
            <w:pPr>
              <w:pStyle w:val="TableText0"/>
              <w:jc w:val="center"/>
            </w:pPr>
            <w:r w:rsidRPr="009941F8">
              <w:t>(59 year time horizon)</w:t>
            </w:r>
          </w:p>
        </w:tc>
        <w:tc>
          <w:tcPr>
            <w:tcW w:w="707" w:type="pct"/>
            <w:tcBorders>
              <w:bottom w:val="single" w:sz="4" w:space="0" w:color="auto"/>
            </w:tcBorders>
            <w:shd w:val="clear" w:color="auto" w:fill="auto"/>
            <w:vAlign w:val="center"/>
          </w:tcPr>
          <w:p w14:paraId="59986EB1" w14:textId="77777777" w:rsidR="00A26972" w:rsidRPr="009941F8" w:rsidRDefault="00A26972" w:rsidP="00A244E2">
            <w:pPr>
              <w:pStyle w:val="TableText0"/>
              <w:jc w:val="center"/>
            </w:pPr>
            <w:r w:rsidRPr="009941F8">
              <w:t xml:space="preserve">NE </w:t>
            </w:r>
          </w:p>
        </w:tc>
        <w:tc>
          <w:tcPr>
            <w:tcW w:w="681" w:type="pct"/>
            <w:tcBorders>
              <w:bottom w:val="single" w:sz="4" w:space="0" w:color="auto"/>
            </w:tcBorders>
            <w:shd w:val="clear" w:color="auto" w:fill="auto"/>
            <w:vAlign w:val="center"/>
          </w:tcPr>
          <w:p w14:paraId="47DB686C" w14:textId="3FEA0881" w:rsidR="00A26972" w:rsidRPr="009941F8" w:rsidRDefault="004C703F" w:rsidP="00A244E2">
            <w:pPr>
              <w:pStyle w:val="TableText0"/>
              <w:jc w:val="center"/>
            </w:pPr>
            <w:r w:rsidRPr="009941F8">
              <w:t>NE</w:t>
            </w:r>
          </w:p>
        </w:tc>
      </w:tr>
      <w:tr w:rsidR="002C1990" w:rsidRPr="009941F8" w14:paraId="3A05A7F0" w14:textId="77777777" w:rsidTr="00233562">
        <w:trPr>
          <w:cantSplit/>
          <w:jc w:val="center"/>
        </w:trPr>
        <w:tc>
          <w:tcPr>
            <w:tcW w:w="1569" w:type="pct"/>
            <w:shd w:val="clear" w:color="auto" w:fill="auto"/>
            <w:vAlign w:val="center"/>
          </w:tcPr>
          <w:p w14:paraId="439CB076" w14:textId="4387934B" w:rsidR="002C1990" w:rsidRPr="009941F8" w:rsidRDefault="002C1990" w:rsidP="002C1990">
            <w:pPr>
              <w:pStyle w:val="TableText0"/>
            </w:pPr>
            <w:r w:rsidRPr="009941F8">
              <w:t>Cost/patient/month</w:t>
            </w:r>
            <w:r>
              <w:t xml:space="preserve"> ($)</w:t>
            </w:r>
          </w:p>
        </w:tc>
        <w:tc>
          <w:tcPr>
            <w:tcW w:w="629" w:type="pct"/>
            <w:shd w:val="clear" w:color="auto" w:fill="auto"/>
            <w:vAlign w:val="center"/>
          </w:tcPr>
          <w:p w14:paraId="6D2A7BC7" w14:textId="77777777" w:rsidR="002C1990" w:rsidRPr="009941F8" w:rsidRDefault="002C1990" w:rsidP="002C1990">
            <w:pPr>
              <w:pStyle w:val="TableText0"/>
              <w:jc w:val="center"/>
            </w:pPr>
            <w:r w:rsidRPr="009941F8">
              <w:t>NA</w:t>
            </w:r>
          </w:p>
        </w:tc>
        <w:tc>
          <w:tcPr>
            <w:tcW w:w="707" w:type="pct"/>
            <w:tcBorders>
              <w:bottom w:val="single" w:sz="4" w:space="0" w:color="auto"/>
            </w:tcBorders>
            <w:shd w:val="clear" w:color="auto" w:fill="auto"/>
          </w:tcPr>
          <w:p w14:paraId="11DB6420" w14:textId="01146DAA"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c>
          <w:tcPr>
            <w:tcW w:w="707" w:type="pct"/>
            <w:tcBorders>
              <w:bottom w:val="single" w:sz="4" w:space="0" w:color="auto"/>
            </w:tcBorders>
            <w:shd w:val="clear" w:color="auto" w:fill="auto"/>
          </w:tcPr>
          <w:p w14:paraId="289CE995" w14:textId="07BFB946"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c>
          <w:tcPr>
            <w:tcW w:w="707" w:type="pct"/>
            <w:tcBorders>
              <w:bottom w:val="single" w:sz="4" w:space="0" w:color="auto"/>
            </w:tcBorders>
            <w:shd w:val="clear" w:color="auto" w:fill="auto"/>
          </w:tcPr>
          <w:p w14:paraId="26B9B752" w14:textId="613373D7"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c>
          <w:tcPr>
            <w:tcW w:w="681" w:type="pct"/>
            <w:tcBorders>
              <w:bottom w:val="single" w:sz="4" w:space="0" w:color="auto"/>
            </w:tcBorders>
            <w:shd w:val="clear" w:color="auto" w:fill="auto"/>
          </w:tcPr>
          <w:p w14:paraId="3DBA957D" w14:textId="0DEFFA67"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r>
      <w:tr w:rsidR="002C1990" w:rsidRPr="009941F8" w14:paraId="3EF3DC58" w14:textId="77777777" w:rsidTr="00233562">
        <w:trPr>
          <w:cantSplit/>
          <w:trHeight w:val="70"/>
          <w:jc w:val="center"/>
        </w:trPr>
        <w:tc>
          <w:tcPr>
            <w:tcW w:w="1569" w:type="pct"/>
            <w:shd w:val="clear" w:color="auto" w:fill="auto"/>
            <w:vAlign w:val="center"/>
          </w:tcPr>
          <w:p w14:paraId="06087FA0" w14:textId="0115003A" w:rsidR="002C1990" w:rsidRPr="009941F8" w:rsidRDefault="002C1990" w:rsidP="002C1990">
            <w:pPr>
              <w:pStyle w:val="TableText0"/>
            </w:pPr>
            <w:r w:rsidRPr="009941F8">
              <w:t>Cost/patient/year</w:t>
            </w:r>
            <w:r>
              <w:t xml:space="preserve"> ($)</w:t>
            </w:r>
          </w:p>
        </w:tc>
        <w:tc>
          <w:tcPr>
            <w:tcW w:w="629" w:type="pct"/>
            <w:shd w:val="clear" w:color="auto" w:fill="auto"/>
            <w:vAlign w:val="center"/>
          </w:tcPr>
          <w:p w14:paraId="0F14E403" w14:textId="77777777" w:rsidR="002C1990" w:rsidRPr="009941F8" w:rsidRDefault="002C1990" w:rsidP="002C1990">
            <w:pPr>
              <w:pStyle w:val="TableText0"/>
              <w:jc w:val="center"/>
            </w:pPr>
            <w:r w:rsidRPr="009941F8">
              <w:t>NA</w:t>
            </w:r>
          </w:p>
        </w:tc>
        <w:tc>
          <w:tcPr>
            <w:tcW w:w="707" w:type="pct"/>
            <w:shd w:val="clear" w:color="auto" w:fill="auto"/>
          </w:tcPr>
          <w:p w14:paraId="2F7BF420" w14:textId="4A6603CE"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c>
          <w:tcPr>
            <w:tcW w:w="707" w:type="pct"/>
            <w:shd w:val="clear" w:color="auto" w:fill="auto"/>
          </w:tcPr>
          <w:p w14:paraId="41512978" w14:textId="46ACCD21"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c>
          <w:tcPr>
            <w:tcW w:w="707" w:type="pct"/>
            <w:shd w:val="clear" w:color="auto" w:fill="auto"/>
          </w:tcPr>
          <w:p w14:paraId="61B0C31F" w14:textId="6E4635EA"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c>
          <w:tcPr>
            <w:tcW w:w="681" w:type="pct"/>
            <w:shd w:val="clear" w:color="auto" w:fill="auto"/>
          </w:tcPr>
          <w:p w14:paraId="553A76FE" w14:textId="168F446D" w:rsidR="002C1990" w:rsidRPr="00AB3F41" w:rsidRDefault="002C1990" w:rsidP="002C1990">
            <w:pPr>
              <w:pStyle w:val="TableText0"/>
              <w:jc w:val="center"/>
              <w:rPr>
                <w:highlight w:val="lightGray"/>
              </w:rPr>
            </w:pPr>
            <w:r w:rsidRPr="00A11DB0">
              <w:rPr>
                <w:color w:val="000000"/>
                <w:spacing w:val="82"/>
                <w:shd w:val="solid" w:color="000000" w:fill="000000"/>
                <w14:textFill>
                  <w14:solidFill>
                    <w14:srgbClr w14:val="000000">
                      <w14:alpha w14:val="100000"/>
                    </w14:srgbClr>
                  </w14:solidFill>
                </w14:textFill>
              </w:rPr>
              <w:t>|</w:t>
            </w:r>
          </w:p>
        </w:tc>
      </w:tr>
    </w:tbl>
    <w:p w14:paraId="2C58EF4A" w14:textId="77777777" w:rsidR="00A26972" w:rsidRPr="009941F8" w:rsidRDefault="00A26972" w:rsidP="00A244E2">
      <w:pPr>
        <w:pStyle w:val="TableFigureFooter"/>
      </w:pPr>
      <w:r w:rsidRPr="009941F8">
        <w:t>Source: compiled during the evaluation</w:t>
      </w:r>
    </w:p>
    <w:p w14:paraId="6AE0C31F" w14:textId="77777777" w:rsidR="00A26972" w:rsidRPr="009941F8" w:rsidRDefault="00A26972" w:rsidP="00A244E2">
      <w:pPr>
        <w:pStyle w:val="TableFigureFooter"/>
      </w:pPr>
      <w:r w:rsidRPr="009941F8">
        <w:t>NA=not applicable, NE=not estimable, NR=not reported</w:t>
      </w:r>
    </w:p>
    <w:p w14:paraId="4BAA62EA" w14:textId="77777777" w:rsidR="00A26972" w:rsidRPr="009941F8" w:rsidRDefault="00A26972" w:rsidP="00A244E2">
      <w:pPr>
        <w:pStyle w:val="TableFigureFooter"/>
      </w:pPr>
      <w:r w:rsidRPr="009941F8">
        <w:t>SOC costs not included as anifrolumab used in addition to SOC. In the financial estimates no SOC costs were included. In the model OCS costs differed between the anifrolumab and SOC arms but was not vastly different</w:t>
      </w:r>
    </w:p>
    <w:p w14:paraId="62A17F27" w14:textId="77777777" w:rsidR="00A26972" w:rsidRPr="009941F8" w:rsidRDefault="00A26972" w:rsidP="00A244E2">
      <w:pPr>
        <w:pStyle w:val="TableFigureFooter"/>
      </w:pPr>
      <w:r w:rsidRPr="009941F8">
        <w:t xml:space="preserve">Financial estimates used weighted public/private cost. </w:t>
      </w:r>
    </w:p>
    <w:p w14:paraId="6897D455" w14:textId="77777777" w:rsidR="00A26972" w:rsidRPr="009941F8" w:rsidRDefault="00A26972" w:rsidP="00A244E2">
      <w:pPr>
        <w:pStyle w:val="TableFigureFooter"/>
      </w:pPr>
      <w:r w:rsidRPr="009941F8">
        <w:t>Mean duration multiplied by per year cost does not give total cost reported in the model as model assumed half a cycle treatment costs for patients who discontinued treatment during that cycle.</w:t>
      </w:r>
    </w:p>
    <w:p w14:paraId="23B9A090" w14:textId="77777777" w:rsidR="00A26972" w:rsidRPr="009941F8" w:rsidRDefault="00A26972" w:rsidP="00A244E2">
      <w:pPr>
        <w:pStyle w:val="TableFigureFooter"/>
      </w:pPr>
      <w:r w:rsidRPr="009941F8">
        <w:t>a</w:t>
      </w:r>
      <w:r w:rsidRPr="009941F8">
        <w:tab/>
        <w:t>The proportion of patients with at least 48 weeks of treatment was 81.1% in TULIP-1, 85.6% in TULIP-2 and 87.9% in MUSE.</w:t>
      </w:r>
    </w:p>
    <w:p w14:paraId="23518C6E" w14:textId="77777777" w:rsidR="00A26972" w:rsidRPr="009941F8" w:rsidRDefault="00A26972" w:rsidP="00A244E2">
      <w:pPr>
        <w:pStyle w:val="TableFigureFooter"/>
      </w:pPr>
      <w:r w:rsidRPr="009941F8">
        <w:t>b</w:t>
      </w:r>
      <w:r w:rsidRPr="009941F8">
        <w:tab/>
        <w:t>The economic model assumed patients could initiate anifrolumab only once</w:t>
      </w:r>
    </w:p>
    <w:p w14:paraId="0A8522D1" w14:textId="77777777" w:rsidR="00A26972" w:rsidRPr="009941F8" w:rsidRDefault="00A26972" w:rsidP="00A244E2">
      <w:pPr>
        <w:pStyle w:val="TableFigureFooter"/>
        <w:ind w:left="165" w:hanging="165"/>
      </w:pPr>
      <w:r w:rsidRPr="009941F8">
        <w:t>c</w:t>
      </w:r>
      <w:r w:rsidRPr="009941F8">
        <w:tab/>
        <w:t xml:space="preserve">The financial estimates did not exclude patients from initiating anifrolumab again in subsequent years once they had discontinued treatment, but also did not follow continuing patients remaining on treatment beyond their initial year. </w:t>
      </w:r>
    </w:p>
    <w:p w14:paraId="30957103" w14:textId="77777777" w:rsidR="00A26972" w:rsidRPr="009941F8" w:rsidRDefault="00A26972" w:rsidP="00A244E2">
      <w:pPr>
        <w:pStyle w:val="TableFigureFooter"/>
      </w:pPr>
      <w:r w:rsidRPr="009941F8">
        <w:t>d</w:t>
      </w:r>
      <w:r w:rsidRPr="009941F8">
        <w:tab/>
        <w:t>In the first year of the model 12.5 administrations were assumed.</w:t>
      </w:r>
    </w:p>
    <w:p w14:paraId="701D45B2" w14:textId="7E965685" w:rsidR="00A26972" w:rsidRPr="009941F8" w:rsidRDefault="00A26972" w:rsidP="00A244E2">
      <w:pPr>
        <w:pStyle w:val="TableFigureFooter"/>
      </w:pPr>
      <w:r w:rsidRPr="009941F8">
        <w:t>e</w:t>
      </w:r>
      <w:r w:rsidRPr="009941F8">
        <w:tab/>
        <w:t>For a patient who does not discontinue, assuming 95% compliance (13.04 x 0.95).</w:t>
      </w:r>
    </w:p>
    <w:p w14:paraId="268768EF" w14:textId="3626F292" w:rsidR="00B60939" w:rsidRPr="009941F8" w:rsidRDefault="00B60939" w:rsidP="00A244E2">
      <w:pPr>
        <w:pStyle w:val="4-SubsectionHeading"/>
      </w:pPr>
      <w:bookmarkStart w:id="87" w:name="_Toc156918351"/>
      <w:r w:rsidRPr="009941F8">
        <w:t>Estimated PBS usage &amp; financial implications</w:t>
      </w:r>
      <w:bookmarkEnd w:id="86"/>
      <w:bookmarkEnd w:id="87"/>
    </w:p>
    <w:p w14:paraId="263A63D5" w14:textId="7BA6BB69" w:rsidR="00A26972" w:rsidRPr="009941F8" w:rsidRDefault="00A26972" w:rsidP="00A244E2">
      <w:pPr>
        <w:pStyle w:val="3-BodyText"/>
      </w:pPr>
      <w:r w:rsidRPr="009941F8">
        <w:t xml:space="preserve">This resubmission </w:t>
      </w:r>
      <w:r w:rsidR="001728F0" w:rsidRPr="009941F8">
        <w:t>was not</w:t>
      </w:r>
      <w:r w:rsidRPr="009941F8">
        <w:t xml:space="preserve"> considered by DUSC. As for the March 2023 submission, the resubmission used an epidemiological approach to estimate the financial impact of listing anifrolumab on the PBS</w:t>
      </w:r>
      <w:r w:rsidR="009B46D4" w:rsidRPr="009941F8">
        <w:t>.</w:t>
      </w:r>
      <w:r w:rsidR="008036EB" w:rsidRPr="009941F8">
        <w:t xml:space="preserve"> </w:t>
      </w:r>
      <w:r w:rsidRPr="009941F8">
        <w:fldChar w:fldCharType="begin" w:fldLock="1"/>
      </w:r>
      <w:r w:rsidRPr="009941F8">
        <w:instrText xml:space="preserve"> REF _Ref121661035 \h  \* MERGEFORMAT </w:instrText>
      </w:r>
      <w:r w:rsidRPr="009941F8">
        <w:fldChar w:fldCharType="separate"/>
      </w:r>
      <w:r w:rsidR="00F07501" w:rsidRPr="00F07501">
        <w:t>Table 16</w:t>
      </w:r>
      <w:r w:rsidRPr="009941F8">
        <w:fldChar w:fldCharType="end"/>
      </w:r>
      <w:r w:rsidRPr="009941F8">
        <w:t xml:space="preserve"> summarises the sources of data and assumptions used in the financial estimates including changes versus the March</w:t>
      </w:r>
      <w:r w:rsidR="00D31E29">
        <w:t> </w:t>
      </w:r>
      <w:r w:rsidRPr="009941F8">
        <w:t>2023 resubmission.</w:t>
      </w:r>
    </w:p>
    <w:p w14:paraId="2914AE48" w14:textId="461E005E" w:rsidR="00A26972" w:rsidRPr="009941F8" w:rsidRDefault="00A26972" w:rsidP="00FA3EC9">
      <w:pPr>
        <w:pStyle w:val="3-BodyText"/>
        <w:keepNext/>
        <w:numPr>
          <w:ilvl w:val="0"/>
          <w:numId w:val="0"/>
        </w:numPr>
        <w:spacing w:after="0"/>
        <w:rPr>
          <w:rStyle w:val="CommentReference"/>
          <w:szCs w:val="20"/>
        </w:rPr>
      </w:pPr>
      <w:bookmarkStart w:id="88" w:name="_Ref121661035"/>
      <w:r w:rsidRPr="009941F8">
        <w:rPr>
          <w:rFonts w:ascii="Arial Narrow" w:hAnsi="Arial Narrow"/>
          <w:b/>
          <w:bCs/>
          <w:sz w:val="20"/>
          <w:szCs w:val="20"/>
        </w:rPr>
        <w:lastRenderedPageBreak/>
        <w:t xml:space="preserve">Table </w:t>
      </w:r>
      <w:r w:rsidR="0058598B" w:rsidRPr="009941F8">
        <w:rPr>
          <w:rFonts w:ascii="Arial Narrow" w:hAnsi="Arial Narrow"/>
          <w:b/>
          <w:bCs/>
          <w:sz w:val="20"/>
          <w:szCs w:val="20"/>
        </w:rPr>
        <w:fldChar w:fldCharType="begin" w:fldLock="1"/>
      </w:r>
      <w:r w:rsidR="0058598B" w:rsidRPr="009941F8">
        <w:rPr>
          <w:rFonts w:ascii="Arial Narrow" w:hAnsi="Arial Narrow"/>
          <w:b/>
          <w:bCs/>
          <w:sz w:val="20"/>
          <w:szCs w:val="20"/>
        </w:rPr>
        <w:instrText xml:space="preserve"> SEQ Table \* ARABIC </w:instrText>
      </w:r>
      <w:r w:rsidR="0058598B" w:rsidRPr="009941F8">
        <w:rPr>
          <w:rFonts w:ascii="Arial Narrow" w:hAnsi="Arial Narrow"/>
          <w:b/>
          <w:bCs/>
          <w:sz w:val="20"/>
          <w:szCs w:val="20"/>
        </w:rPr>
        <w:fldChar w:fldCharType="separate"/>
      </w:r>
      <w:r w:rsidR="00F07501">
        <w:rPr>
          <w:rFonts w:ascii="Arial Narrow" w:hAnsi="Arial Narrow"/>
          <w:b/>
          <w:bCs/>
          <w:noProof/>
          <w:sz w:val="20"/>
          <w:szCs w:val="20"/>
        </w:rPr>
        <w:t>16</w:t>
      </w:r>
      <w:r w:rsidR="0058598B" w:rsidRPr="009941F8">
        <w:rPr>
          <w:rFonts w:ascii="Arial Narrow" w:hAnsi="Arial Narrow"/>
          <w:b/>
          <w:bCs/>
          <w:sz w:val="20"/>
          <w:szCs w:val="20"/>
        </w:rPr>
        <w:fldChar w:fldCharType="end"/>
      </w:r>
      <w:bookmarkEnd w:id="88"/>
      <w:r w:rsidRPr="009941F8">
        <w:rPr>
          <w:rFonts w:ascii="Arial Narrow" w:hAnsi="Arial Narrow"/>
          <w:b/>
          <w:bCs/>
          <w:sz w:val="20"/>
          <w:szCs w:val="20"/>
        </w:rPr>
        <w:t>:</w:t>
      </w:r>
      <w:r w:rsidRPr="009941F8">
        <w:rPr>
          <w:rStyle w:val="CommentReference"/>
          <w:b w:val="0"/>
          <w:bCs/>
          <w:szCs w:val="20"/>
        </w:rPr>
        <w:t xml:space="preserve"> </w:t>
      </w:r>
      <w:r w:rsidRPr="009941F8">
        <w:rPr>
          <w:rStyle w:val="CommentReference"/>
          <w:szCs w:val="20"/>
        </w:rPr>
        <w:t>Key inputs for financial estimates</w:t>
      </w:r>
    </w:p>
    <w:tbl>
      <w:tblPr>
        <w:tblpPr w:leftFromText="180" w:rightFromText="180" w:vertAnchor="text" w:tblpY="1"/>
        <w:tblOverlap w:val="neve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w:tblPr>
      <w:tblGrid>
        <w:gridCol w:w="1271"/>
        <w:gridCol w:w="1133"/>
        <w:gridCol w:w="1277"/>
        <w:gridCol w:w="2410"/>
        <w:gridCol w:w="2976"/>
      </w:tblGrid>
      <w:tr w:rsidR="00A26972" w:rsidRPr="009941F8" w14:paraId="03CB4CFD" w14:textId="77777777" w:rsidTr="00233562">
        <w:trPr>
          <w:tblHeader/>
        </w:trPr>
        <w:tc>
          <w:tcPr>
            <w:tcW w:w="701" w:type="pct"/>
            <w:shd w:val="clear" w:color="auto" w:fill="auto"/>
            <w:vAlign w:val="center"/>
          </w:tcPr>
          <w:p w14:paraId="196EDA13" w14:textId="77777777" w:rsidR="00A26972" w:rsidRPr="009941F8" w:rsidRDefault="00A26972" w:rsidP="00FA3EC9">
            <w:pPr>
              <w:pStyle w:val="In-tableHeading"/>
              <w:rPr>
                <w:lang w:val="en-AU"/>
              </w:rPr>
            </w:pPr>
            <w:r w:rsidRPr="009941F8">
              <w:rPr>
                <w:lang w:val="en-AU"/>
              </w:rPr>
              <w:t>Data</w:t>
            </w:r>
          </w:p>
        </w:tc>
        <w:tc>
          <w:tcPr>
            <w:tcW w:w="625" w:type="pct"/>
            <w:shd w:val="clear" w:color="auto" w:fill="auto"/>
            <w:vAlign w:val="center"/>
          </w:tcPr>
          <w:p w14:paraId="4CB0BD2E" w14:textId="77777777" w:rsidR="00A26972" w:rsidRPr="009941F8" w:rsidRDefault="00A26972" w:rsidP="00FA3EC9">
            <w:pPr>
              <w:pStyle w:val="In-tableHeading"/>
              <w:jc w:val="center"/>
              <w:rPr>
                <w:lang w:val="en-AU"/>
              </w:rPr>
            </w:pPr>
            <w:r w:rsidRPr="009941F8">
              <w:rPr>
                <w:lang w:val="en-AU"/>
              </w:rPr>
              <w:t>Mar 2023</w:t>
            </w:r>
          </w:p>
        </w:tc>
        <w:tc>
          <w:tcPr>
            <w:tcW w:w="704" w:type="pct"/>
            <w:shd w:val="clear" w:color="auto" w:fill="auto"/>
            <w:vAlign w:val="center"/>
          </w:tcPr>
          <w:p w14:paraId="335662FB" w14:textId="77777777" w:rsidR="00A26972" w:rsidRPr="009941F8" w:rsidRDefault="00A26972" w:rsidP="00233562">
            <w:pPr>
              <w:pStyle w:val="In-tableHeading"/>
              <w:jc w:val="center"/>
              <w:rPr>
                <w:lang w:val="en-AU"/>
              </w:rPr>
            </w:pPr>
            <w:r w:rsidRPr="009941F8">
              <w:rPr>
                <w:lang w:val="en-AU"/>
              </w:rPr>
              <w:t>Mar 2024</w:t>
            </w:r>
          </w:p>
        </w:tc>
        <w:tc>
          <w:tcPr>
            <w:tcW w:w="1329" w:type="pct"/>
            <w:shd w:val="clear" w:color="auto" w:fill="auto"/>
            <w:vAlign w:val="center"/>
          </w:tcPr>
          <w:p w14:paraId="142005C9" w14:textId="77777777" w:rsidR="00A26972" w:rsidRPr="009941F8" w:rsidRDefault="00A26972" w:rsidP="00FA3EC9">
            <w:pPr>
              <w:pStyle w:val="In-tableHeading"/>
              <w:jc w:val="center"/>
              <w:rPr>
                <w:lang w:val="en-AU"/>
              </w:rPr>
            </w:pPr>
            <w:r w:rsidRPr="009941F8">
              <w:rPr>
                <w:lang w:val="en-AU"/>
              </w:rPr>
              <w:t>Source</w:t>
            </w:r>
          </w:p>
        </w:tc>
        <w:tc>
          <w:tcPr>
            <w:tcW w:w="1641" w:type="pct"/>
            <w:shd w:val="clear" w:color="auto" w:fill="auto"/>
            <w:vAlign w:val="center"/>
          </w:tcPr>
          <w:p w14:paraId="2B8AB841" w14:textId="77777777" w:rsidR="00A26972" w:rsidRPr="009941F8" w:rsidRDefault="00A26972" w:rsidP="00FA3EC9">
            <w:pPr>
              <w:pStyle w:val="In-tableHeading"/>
              <w:jc w:val="center"/>
              <w:rPr>
                <w:lang w:val="en-AU"/>
              </w:rPr>
            </w:pPr>
            <w:r w:rsidRPr="009941F8">
              <w:rPr>
                <w:lang w:val="en-AU"/>
              </w:rPr>
              <w:t>Comment</w:t>
            </w:r>
          </w:p>
        </w:tc>
      </w:tr>
      <w:tr w:rsidR="00A26972" w:rsidRPr="009941F8" w14:paraId="46DD6D3F" w14:textId="77777777" w:rsidTr="00E706BA">
        <w:tc>
          <w:tcPr>
            <w:tcW w:w="5000" w:type="pct"/>
            <w:gridSpan w:val="5"/>
            <w:shd w:val="clear" w:color="auto" w:fill="auto"/>
            <w:vAlign w:val="center"/>
          </w:tcPr>
          <w:p w14:paraId="2955424E" w14:textId="77777777" w:rsidR="00A26972" w:rsidRPr="009941F8" w:rsidRDefault="00A26972" w:rsidP="00FA3EC9">
            <w:pPr>
              <w:pStyle w:val="In-tableHeading"/>
              <w:rPr>
                <w:lang w:val="en-AU"/>
              </w:rPr>
            </w:pPr>
            <w:r w:rsidRPr="009941F8">
              <w:rPr>
                <w:lang w:val="en-AU"/>
              </w:rPr>
              <w:t>Eligible population</w:t>
            </w:r>
          </w:p>
        </w:tc>
      </w:tr>
      <w:tr w:rsidR="00A26972" w:rsidRPr="009941F8" w14:paraId="2199ED4F" w14:textId="77777777" w:rsidTr="00233562">
        <w:tc>
          <w:tcPr>
            <w:tcW w:w="701" w:type="pct"/>
            <w:shd w:val="clear" w:color="auto" w:fill="auto"/>
            <w:vAlign w:val="center"/>
          </w:tcPr>
          <w:p w14:paraId="37B4EB98" w14:textId="77777777" w:rsidR="00A26972" w:rsidRPr="009941F8" w:rsidRDefault="00A26972" w:rsidP="00FA3EC9">
            <w:pPr>
              <w:pStyle w:val="TableText0"/>
            </w:pPr>
            <w:r w:rsidRPr="009941F8">
              <w:t>Prevalent patients with SLE</w:t>
            </w:r>
          </w:p>
        </w:tc>
        <w:tc>
          <w:tcPr>
            <w:tcW w:w="625" w:type="pct"/>
            <w:shd w:val="clear" w:color="auto" w:fill="auto"/>
            <w:vAlign w:val="center"/>
          </w:tcPr>
          <w:p w14:paraId="32BEFAAA" w14:textId="47F6E86B"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00AE67DA" w:rsidRPr="00AE67DA">
              <w:rPr>
                <w:vertAlign w:val="superscript"/>
              </w:rPr>
              <w:t>1</w:t>
            </w:r>
            <w:r w:rsidRPr="009941F8">
              <w:t xml:space="preserve"> </w:t>
            </w:r>
          </w:p>
          <w:p w14:paraId="63A31A6E" w14:textId="5EC9A6EA"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Pr="009941F8">
              <w:t xml:space="preserve"> </w:t>
            </w:r>
            <w:r w:rsidR="00AE67DA" w:rsidRPr="00AE67DA">
              <w:rPr>
                <w:vertAlign w:val="superscript"/>
              </w:rPr>
              <w:t>2</w:t>
            </w:r>
          </w:p>
          <w:p w14:paraId="0339E387" w14:textId="207629AD"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91"/>
                <w14:textFill>
                  <w14:solidFill>
                    <w14:srgbClr w14:val="000000">
                      <w14:alpha w14:val="100000"/>
                    </w14:srgbClr>
                  </w14:solidFill>
                </w14:textFill>
              </w:rPr>
              <w:t>|||</w:t>
            </w:r>
            <w:r w:rsidR="00640EC9" w:rsidRPr="00640EC9">
              <w:rPr>
                <w:color w:val="000000"/>
                <w:spacing w:val="1"/>
                <w:shd w:val="solid" w:color="000000" w:fill="000000"/>
                <w:fitText w:val="324" w:id="-961889791"/>
                <w14:textFill>
                  <w14:solidFill>
                    <w14:srgbClr w14:val="000000">
                      <w14:alpha w14:val="100000"/>
                    </w14:srgbClr>
                  </w14:solidFill>
                </w14:textFill>
              </w:rPr>
              <w:t>|</w:t>
            </w:r>
            <w:r w:rsidRPr="009941F8">
              <w:t xml:space="preserve"> </w:t>
            </w:r>
            <w:r w:rsidR="00AE67DA" w:rsidRPr="00AE67DA">
              <w:rPr>
                <w:vertAlign w:val="superscript"/>
              </w:rPr>
              <w:t>2</w:t>
            </w:r>
          </w:p>
          <w:p w14:paraId="5EDA654B" w14:textId="7B405FA5"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90"/>
                <w14:textFill>
                  <w14:solidFill>
                    <w14:srgbClr w14:val="000000">
                      <w14:alpha w14:val="100000"/>
                    </w14:srgbClr>
                  </w14:solidFill>
                </w14:textFill>
              </w:rPr>
              <w:t>|||</w:t>
            </w:r>
            <w:r w:rsidR="00640EC9" w:rsidRPr="00640EC9">
              <w:rPr>
                <w:color w:val="000000"/>
                <w:spacing w:val="1"/>
                <w:shd w:val="solid" w:color="000000" w:fill="000000"/>
                <w:fitText w:val="324" w:id="-961889790"/>
                <w14:textFill>
                  <w14:solidFill>
                    <w14:srgbClr w14:val="000000">
                      <w14:alpha w14:val="100000"/>
                    </w14:srgbClr>
                  </w14:solidFill>
                </w14:textFill>
              </w:rPr>
              <w:t>|</w:t>
            </w:r>
            <w:r w:rsidR="00AE67DA" w:rsidRPr="00AE67DA">
              <w:rPr>
                <w:vertAlign w:val="superscript"/>
              </w:rPr>
              <w:t>2</w:t>
            </w:r>
          </w:p>
          <w:p w14:paraId="7B6CD160" w14:textId="44B83536"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9"/>
                <w14:textFill>
                  <w14:solidFill>
                    <w14:srgbClr w14:val="000000">
                      <w14:alpha w14:val="100000"/>
                    </w14:srgbClr>
                  </w14:solidFill>
                </w14:textFill>
              </w:rPr>
              <w:t>|||</w:t>
            </w:r>
            <w:r w:rsidR="00640EC9" w:rsidRPr="00640EC9">
              <w:rPr>
                <w:color w:val="000000"/>
                <w:spacing w:val="1"/>
                <w:shd w:val="solid" w:color="000000" w:fill="000000"/>
                <w:fitText w:val="324" w:id="-961889789"/>
                <w14:textFill>
                  <w14:solidFill>
                    <w14:srgbClr w14:val="000000">
                      <w14:alpha w14:val="100000"/>
                    </w14:srgbClr>
                  </w14:solidFill>
                </w14:textFill>
              </w:rPr>
              <w:t>|</w:t>
            </w:r>
            <w:r w:rsidR="00AE67DA" w:rsidRPr="00AE67DA">
              <w:rPr>
                <w:vertAlign w:val="superscript"/>
              </w:rPr>
              <w:t>2</w:t>
            </w:r>
          </w:p>
          <w:p w14:paraId="18A94CA2" w14:textId="3DAA2310"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8"/>
                <w14:textFill>
                  <w14:solidFill>
                    <w14:srgbClr w14:val="000000">
                      <w14:alpha w14:val="100000"/>
                    </w14:srgbClr>
                  </w14:solidFill>
                </w14:textFill>
              </w:rPr>
              <w:t>|||</w:t>
            </w:r>
            <w:r w:rsidR="00640EC9" w:rsidRPr="00640EC9">
              <w:rPr>
                <w:color w:val="000000"/>
                <w:spacing w:val="1"/>
                <w:shd w:val="solid" w:color="000000" w:fill="000000"/>
                <w:fitText w:val="324" w:id="-961889788"/>
                <w14:textFill>
                  <w14:solidFill>
                    <w14:srgbClr w14:val="000000">
                      <w14:alpha w14:val="100000"/>
                    </w14:srgbClr>
                  </w14:solidFill>
                </w14:textFill>
              </w:rPr>
              <w:t>|</w:t>
            </w:r>
            <w:r w:rsidR="00AE67DA" w:rsidRPr="00AE67DA">
              <w:rPr>
                <w:vertAlign w:val="superscript"/>
              </w:rPr>
              <w:t>2</w:t>
            </w:r>
          </w:p>
        </w:tc>
        <w:tc>
          <w:tcPr>
            <w:tcW w:w="704" w:type="pct"/>
            <w:shd w:val="clear" w:color="auto" w:fill="auto"/>
            <w:vAlign w:val="center"/>
          </w:tcPr>
          <w:p w14:paraId="31EDA6F6" w14:textId="28B74E62"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7"/>
                <w14:textFill>
                  <w14:solidFill>
                    <w14:srgbClr w14:val="000000">
                      <w14:alpha w14:val="100000"/>
                    </w14:srgbClr>
                  </w14:solidFill>
                </w14:textFill>
              </w:rPr>
              <w:t>|||</w:t>
            </w:r>
            <w:r w:rsidR="00640EC9" w:rsidRPr="00640EC9">
              <w:rPr>
                <w:color w:val="000000"/>
                <w:spacing w:val="1"/>
                <w:shd w:val="solid" w:color="000000" w:fill="000000"/>
                <w:fitText w:val="324" w:id="-961889787"/>
                <w14:textFill>
                  <w14:solidFill>
                    <w14:srgbClr w14:val="000000">
                      <w14:alpha w14:val="100000"/>
                    </w14:srgbClr>
                  </w14:solidFill>
                </w14:textFill>
              </w:rPr>
              <w:t>|</w:t>
            </w:r>
            <w:r w:rsidR="00AE67DA" w:rsidRPr="00AE67DA">
              <w:rPr>
                <w:vertAlign w:val="superscript"/>
              </w:rPr>
              <w:t>2</w:t>
            </w:r>
            <w:r w:rsidRPr="009941F8">
              <w:t xml:space="preserve"> </w:t>
            </w:r>
          </w:p>
          <w:p w14:paraId="052B097B" w14:textId="72AD4C60"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86"/>
                <w14:textFill>
                  <w14:solidFill>
                    <w14:srgbClr w14:val="000000">
                      <w14:alpha w14:val="100000"/>
                    </w14:srgbClr>
                  </w14:solidFill>
                </w14:textFill>
              </w:rPr>
              <w:t>|||</w:t>
            </w:r>
            <w:r w:rsidR="00640EC9" w:rsidRPr="00640EC9">
              <w:rPr>
                <w:color w:val="000000"/>
                <w:spacing w:val="1"/>
                <w:shd w:val="solid" w:color="000000" w:fill="000000"/>
                <w:fitText w:val="324" w:id="-961889786"/>
                <w14:textFill>
                  <w14:solidFill>
                    <w14:srgbClr w14:val="000000">
                      <w14:alpha w14:val="100000"/>
                    </w14:srgbClr>
                  </w14:solidFill>
                </w14:textFill>
              </w:rPr>
              <w:t>|</w:t>
            </w:r>
            <w:r w:rsidRPr="009941F8">
              <w:t xml:space="preserve"> </w:t>
            </w:r>
            <w:r w:rsidR="00AE67DA" w:rsidRPr="00AE67DA">
              <w:rPr>
                <w:vertAlign w:val="superscript"/>
              </w:rPr>
              <w:t>2</w:t>
            </w:r>
          </w:p>
          <w:p w14:paraId="5F176C8D" w14:textId="44B607AE"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85"/>
                <w14:textFill>
                  <w14:solidFill>
                    <w14:srgbClr w14:val="000000">
                      <w14:alpha w14:val="100000"/>
                    </w14:srgbClr>
                  </w14:solidFill>
                </w14:textFill>
              </w:rPr>
              <w:t>|||</w:t>
            </w:r>
            <w:r w:rsidR="00640EC9" w:rsidRPr="00640EC9">
              <w:rPr>
                <w:color w:val="000000"/>
                <w:spacing w:val="1"/>
                <w:shd w:val="solid" w:color="000000" w:fill="000000"/>
                <w:fitText w:val="324" w:id="-961889785"/>
                <w14:textFill>
                  <w14:solidFill>
                    <w14:srgbClr w14:val="000000">
                      <w14:alpha w14:val="100000"/>
                    </w14:srgbClr>
                  </w14:solidFill>
                </w14:textFill>
              </w:rPr>
              <w:t>|</w:t>
            </w:r>
            <w:r w:rsidR="00AE67DA" w:rsidRPr="00AE67DA">
              <w:rPr>
                <w:vertAlign w:val="superscript"/>
              </w:rPr>
              <w:t>2</w:t>
            </w:r>
          </w:p>
          <w:p w14:paraId="20AC5842" w14:textId="62D4D0ED"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4"/>
                <w14:textFill>
                  <w14:solidFill>
                    <w14:srgbClr w14:val="000000">
                      <w14:alpha w14:val="100000"/>
                    </w14:srgbClr>
                  </w14:solidFill>
                </w14:textFill>
              </w:rPr>
              <w:t>|||</w:t>
            </w:r>
            <w:r w:rsidR="00640EC9" w:rsidRPr="00640EC9">
              <w:rPr>
                <w:color w:val="000000"/>
                <w:spacing w:val="1"/>
                <w:shd w:val="solid" w:color="000000" w:fill="000000"/>
                <w:fitText w:val="324" w:id="-961889784"/>
                <w14:textFill>
                  <w14:solidFill>
                    <w14:srgbClr w14:val="000000">
                      <w14:alpha w14:val="100000"/>
                    </w14:srgbClr>
                  </w14:solidFill>
                </w14:textFill>
              </w:rPr>
              <w:t>|</w:t>
            </w:r>
            <w:r w:rsidR="00AE67DA" w:rsidRPr="00AE67DA">
              <w:rPr>
                <w:vertAlign w:val="superscript"/>
              </w:rPr>
              <w:t>2</w:t>
            </w:r>
          </w:p>
          <w:p w14:paraId="0EC29932" w14:textId="5E7D46F5"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3"/>
                <w14:textFill>
                  <w14:solidFill>
                    <w14:srgbClr w14:val="000000">
                      <w14:alpha w14:val="100000"/>
                    </w14:srgbClr>
                  </w14:solidFill>
                </w14:textFill>
              </w:rPr>
              <w:t>|||</w:t>
            </w:r>
            <w:r w:rsidR="00640EC9" w:rsidRPr="00640EC9">
              <w:rPr>
                <w:color w:val="000000"/>
                <w:spacing w:val="1"/>
                <w:shd w:val="solid" w:color="000000" w:fill="000000"/>
                <w:fitText w:val="324" w:id="-961889783"/>
                <w14:textFill>
                  <w14:solidFill>
                    <w14:srgbClr w14:val="000000">
                      <w14:alpha w14:val="100000"/>
                    </w14:srgbClr>
                  </w14:solidFill>
                </w14:textFill>
              </w:rPr>
              <w:t>|</w:t>
            </w:r>
            <w:r w:rsidR="00AE67DA" w:rsidRPr="00AE67DA">
              <w:rPr>
                <w:vertAlign w:val="superscript"/>
              </w:rPr>
              <w:t>2</w:t>
            </w:r>
          </w:p>
          <w:p w14:paraId="5A7BD600" w14:textId="5B8B137B"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2"/>
                <w14:textFill>
                  <w14:solidFill>
                    <w14:srgbClr w14:val="000000">
                      <w14:alpha w14:val="100000"/>
                    </w14:srgbClr>
                  </w14:solidFill>
                </w14:textFill>
              </w:rPr>
              <w:t>|||</w:t>
            </w:r>
            <w:r w:rsidR="00640EC9" w:rsidRPr="00640EC9">
              <w:rPr>
                <w:color w:val="000000"/>
                <w:spacing w:val="1"/>
                <w:shd w:val="solid" w:color="000000" w:fill="000000"/>
                <w:fitText w:val="324" w:id="-961889782"/>
                <w14:textFill>
                  <w14:solidFill>
                    <w14:srgbClr w14:val="000000">
                      <w14:alpha w14:val="100000"/>
                    </w14:srgbClr>
                  </w14:solidFill>
                </w14:textFill>
              </w:rPr>
              <w:t>|</w:t>
            </w:r>
            <w:r w:rsidR="00AE67DA" w:rsidRPr="00AE67DA">
              <w:rPr>
                <w:vertAlign w:val="superscript"/>
              </w:rPr>
              <w:t>2</w:t>
            </w:r>
          </w:p>
        </w:tc>
        <w:tc>
          <w:tcPr>
            <w:tcW w:w="1329" w:type="pct"/>
            <w:shd w:val="clear" w:color="auto" w:fill="auto"/>
            <w:vAlign w:val="center"/>
          </w:tcPr>
          <w:p w14:paraId="5BCD98BD" w14:textId="77777777" w:rsidR="00A26972" w:rsidRPr="009941F8" w:rsidRDefault="00A26972" w:rsidP="00FA3EC9">
            <w:pPr>
              <w:pStyle w:val="TableText0"/>
            </w:pPr>
            <w:r w:rsidRPr="009941F8">
              <w:t xml:space="preserve">Australian adult population estimates (2024-2029) multiplied by prevalence of 94.33 in 100,000 based on Australian estimates. </w:t>
            </w:r>
          </w:p>
        </w:tc>
        <w:tc>
          <w:tcPr>
            <w:tcW w:w="1641" w:type="pct"/>
            <w:shd w:val="clear" w:color="auto" w:fill="auto"/>
            <w:vAlign w:val="center"/>
          </w:tcPr>
          <w:p w14:paraId="79696339" w14:textId="77777777" w:rsidR="00A26972" w:rsidRPr="009941F8" w:rsidRDefault="00A26972" w:rsidP="00FA3EC9">
            <w:pPr>
              <w:pStyle w:val="TableText0"/>
            </w:pPr>
            <w:r w:rsidRPr="009941F8">
              <w:t>Updated to 2024-2029 numbers but otherwise unchanged from previous resubmission.</w:t>
            </w:r>
          </w:p>
          <w:p w14:paraId="5B10765E" w14:textId="77777777" w:rsidR="00A26972" w:rsidRPr="009941F8" w:rsidRDefault="00A26972" w:rsidP="00FA3EC9">
            <w:pPr>
              <w:pStyle w:val="TableText0"/>
              <w:rPr>
                <w:shd w:val="clear" w:color="auto" w:fill="C6D9F1" w:themeFill="text2" w:themeFillTint="33"/>
              </w:rPr>
            </w:pPr>
            <w:r w:rsidRPr="009941F8">
              <w:t>DUSC considered this estimate to be appropriate.</w:t>
            </w:r>
          </w:p>
        </w:tc>
      </w:tr>
      <w:tr w:rsidR="00A26972" w:rsidRPr="009941F8" w14:paraId="02C45A03" w14:textId="77777777" w:rsidTr="00233562">
        <w:tc>
          <w:tcPr>
            <w:tcW w:w="701" w:type="pct"/>
            <w:shd w:val="clear" w:color="auto" w:fill="auto"/>
            <w:vAlign w:val="center"/>
          </w:tcPr>
          <w:p w14:paraId="2931BE87" w14:textId="77777777" w:rsidR="00A26972" w:rsidRPr="009941F8" w:rsidRDefault="00A26972" w:rsidP="00FA3EC9">
            <w:pPr>
              <w:pStyle w:val="TableText0"/>
            </w:pPr>
            <w:r w:rsidRPr="009941F8">
              <w:t>Eligible population: patients with SLEDAI-2K≥10 on triple therapy</w:t>
            </w:r>
          </w:p>
        </w:tc>
        <w:tc>
          <w:tcPr>
            <w:tcW w:w="625" w:type="pct"/>
            <w:shd w:val="clear" w:color="auto" w:fill="auto"/>
            <w:vAlign w:val="center"/>
          </w:tcPr>
          <w:p w14:paraId="7466F7D0" w14:textId="1B2BAE1C"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1"/>
                <w14:textFill>
                  <w14:solidFill>
                    <w14:srgbClr w14:val="000000">
                      <w14:alpha w14:val="100000"/>
                    </w14:srgbClr>
                  </w14:solidFill>
                </w14:textFill>
              </w:rPr>
              <w:t>|||</w:t>
            </w:r>
            <w:r w:rsidR="00640EC9" w:rsidRPr="00640EC9">
              <w:rPr>
                <w:color w:val="000000"/>
                <w:spacing w:val="1"/>
                <w:shd w:val="solid" w:color="000000" w:fill="000000"/>
                <w:fitText w:val="324" w:id="-961889781"/>
                <w14:textFill>
                  <w14:solidFill>
                    <w14:srgbClr w14:val="000000">
                      <w14:alpha w14:val="100000"/>
                    </w14:srgbClr>
                  </w14:solidFill>
                </w14:textFill>
              </w:rPr>
              <w:t>|</w:t>
            </w:r>
            <w:r w:rsidR="00AE67DA" w:rsidRPr="00AE67DA">
              <w:rPr>
                <w:vertAlign w:val="superscript"/>
              </w:rPr>
              <w:t>3</w:t>
            </w:r>
          </w:p>
          <w:p w14:paraId="2D3DDE4D" w14:textId="3C1B722A"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80"/>
                <w14:textFill>
                  <w14:solidFill>
                    <w14:srgbClr w14:val="000000">
                      <w14:alpha w14:val="100000"/>
                    </w14:srgbClr>
                  </w14:solidFill>
                </w14:textFill>
              </w:rPr>
              <w:t>|||</w:t>
            </w:r>
            <w:r w:rsidR="00640EC9" w:rsidRPr="00640EC9">
              <w:rPr>
                <w:color w:val="000000"/>
                <w:spacing w:val="1"/>
                <w:shd w:val="solid" w:color="000000" w:fill="000000"/>
                <w:fitText w:val="324" w:id="-961889780"/>
                <w14:textFill>
                  <w14:solidFill>
                    <w14:srgbClr w14:val="000000">
                      <w14:alpha w14:val="100000"/>
                    </w14:srgbClr>
                  </w14:solidFill>
                </w14:textFill>
              </w:rPr>
              <w:t>|</w:t>
            </w:r>
            <w:r w:rsidR="00AE67DA" w:rsidRPr="00AE67DA">
              <w:rPr>
                <w:vertAlign w:val="superscript"/>
              </w:rPr>
              <w:t>3</w:t>
            </w:r>
          </w:p>
          <w:p w14:paraId="3985EDA4" w14:textId="3F7E5720"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79"/>
                <w14:textFill>
                  <w14:solidFill>
                    <w14:srgbClr w14:val="000000">
                      <w14:alpha w14:val="100000"/>
                    </w14:srgbClr>
                  </w14:solidFill>
                </w14:textFill>
              </w:rPr>
              <w:t>|||</w:t>
            </w:r>
            <w:r w:rsidR="00640EC9" w:rsidRPr="00640EC9">
              <w:rPr>
                <w:color w:val="000000"/>
                <w:spacing w:val="1"/>
                <w:shd w:val="solid" w:color="000000" w:fill="000000"/>
                <w:fitText w:val="324" w:id="-961889779"/>
                <w14:textFill>
                  <w14:solidFill>
                    <w14:srgbClr w14:val="000000">
                      <w14:alpha w14:val="100000"/>
                    </w14:srgbClr>
                  </w14:solidFill>
                </w14:textFill>
              </w:rPr>
              <w:t>|</w:t>
            </w:r>
            <w:r w:rsidR="00AE67DA" w:rsidRPr="00AE67DA">
              <w:rPr>
                <w:vertAlign w:val="superscript"/>
              </w:rPr>
              <w:t>3</w:t>
            </w:r>
          </w:p>
          <w:p w14:paraId="61FA72DC" w14:textId="16EE4A93"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78"/>
                <w14:textFill>
                  <w14:solidFill>
                    <w14:srgbClr w14:val="000000">
                      <w14:alpha w14:val="100000"/>
                    </w14:srgbClr>
                  </w14:solidFill>
                </w14:textFill>
              </w:rPr>
              <w:t>|||</w:t>
            </w:r>
            <w:r w:rsidR="00640EC9" w:rsidRPr="00640EC9">
              <w:rPr>
                <w:color w:val="000000"/>
                <w:spacing w:val="1"/>
                <w:shd w:val="solid" w:color="000000" w:fill="000000"/>
                <w:fitText w:val="324" w:id="-961889778"/>
                <w14:textFill>
                  <w14:solidFill>
                    <w14:srgbClr w14:val="000000">
                      <w14:alpha w14:val="100000"/>
                    </w14:srgbClr>
                  </w14:solidFill>
                </w14:textFill>
              </w:rPr>
              <w:t>|</w:t>
            </w:r>
            <w:r w:rsidR="00AE67DA" w:rsidRPr="00AE67DA">
              <w:rPr>
                <w:vertAlign w:val="superscript"/>
              </w:rPr>
              <w:t>3</w:t>
            </w:r>
          </w:p>
          <w:p w14:paraId="60154A4C" w14:textId="488DF859"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77"/>
                <w14:textFill>
                  <w14:solidFill>
                    <w14:srgbClr w14:val="000000">
                      <w14:alpha w14:val="100000"/>
                    </w14:srgbClr>
                  </w14:solidFill>
                </w14:textFill>
              </w:rPr>
              <w:t>|||</w:t>
            </w:r>
            <w:r w:rsidR="00640EC9" w:rsidRPr="00640EC9">
              <w:rPr>
                <w:color w:val="000000"/>
                <w:spacing w:val="1"/>
                <w:shd w:val="solid" w:color="000000" w:fill="000000"/>
                <w:fitText w:val="324" w:id="-961889777"/>
                <w14:textFill>
                  <w14:solidFill>
                    <w14:srgbClr w14:val="000000">
                      <w14:alpha w14:val="100000"/>
                    </w14:srgbClr>
                  </w14:solidFill>
                </w14:textFill>
              </w:rPr>
              <w:t>|</w:t>
            </w:r>
            <w:r w:rsidR="00AE67DA" w:rsidRPr="00AE67DA">
              <w:rPr>
                <w:vertAlign w:val="superscript"/>
              </w:rPr>
              <w:t>3</w:t>
            </w:r>
          </w:p>
          <w:p w14:paraId="2BD0206D" w14:textId="7AD0CFBF"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00AE67DA" w:rsidRPr="00AE67DA">
              <w:rPr>
                <w:vertAlign w:val="superscript"/>
              </w:rPr>
              <w:t>3</w:t>
            </w:r>
          </w:p>
        </w:tc>
        <w:tc>
          <w:tcPr>
            <w:tcW w:w="704" w:type="pct"/>
            <w:shd w:val="clear" w:color="auto" w:fill="auto"/>
            <w:vAlign w:val="center"/>
          </w:tcPr>
          <w:p w14:paraId="6A78AEC4" w14:textId="4B0BF162"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00AE67DA" w:rsidRPr="00AE67DA">
              <w:rPr>
                <w:vertAlign w:val="superscript"/>
              </w:rPr>
              <w:t>3</w:t>
            </w:r>
          </w:p>
          <w:p w14:paraId="32D585BF" w14:textId="5978114F"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91"/>
                <w14:textFill>
                  <w14:solidFill>
                    <w14:srgbClr w14:val="000000">
                      <w14:alpha w14:val="100000"/>
                    </w14:srgbClr>
                  </w14:solidFill>
                </w14:textFill>
              </w:rPr>
              <w:t>|||</w:t>
            </w:r>
            <w:r w:rsidR="00640EC9" w:rsidRPr="00640EC9">
              <w:rPr>
                <w:color w:val="000000"/>
                <w:spacing w:val="1"/>
                <w:shd w:val="solid" w:color="000000" w:fill="000000"/>
                <w:fitText w:val="324" w:id="-961889791"/>
                <w14:textFill>
                  <w14:solidFill>
                    <w14:srgbClr w14:val="000000">
                      <w14:alpha w14:val="100000"/>
                    </w14:srgbClr>
                  </w14:solidFill>
                </w14:textFill>
              </w:rPr>
              <w:t>|</w:t>
            </w:r>
            <w:r w:rsidR="00AE67DA" w:rsidRPr="00AE67DA">
              <w:rPr>
                <w:vertAlign w:val="superscript"/>
              </w:rPr>
              <w:t>3</w:t>
            </w:r>
          </w:p>
          <w:p w14:paraId="4478C37B" w14:textId="23D5B895"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90"/>
                <w14:textFill>
                  <w14:solidFill>
                    <w14:srgbClr w14:val="000000">
                      <w14:alpha w14:val="100000"/>
                    </w14:srgbClr>
                  </w14:solidFill>
                </w14:textFill>
              </w:rPr>
              <w:t>|||</w:t>
            </w:r>
            <w:r w:rsidR="00640EC9" w:rsidRPr="00640EC9">
              <w:rPr>
                <w:color w:val="000000"/>
                <w:spacing w:val="1"/>
                <w:shd w:val="solid" w:color="000000" w:fill="000000"/>
                <w:fitText w:val="324" w:id="-961889790"/>
                <w14:textFill>
                  <w14:solidFill>
                    <w14:srgbClr w14:val="000000">
                      <w14:alpha w14:val="100000"/>
                    </w14:srgbClr>
                  </w14:solidFill>
                </w14:textFill>
              </w:rPr>
              <w:t>|</w:t>
            </w:r>
            <w:r w:rsidR="00AE67DA" w:rsidRPr="00AE67DA">
              <w:rPr>
                <w:vertAlign w:val="superscript"/>
              </w:rPr>
              <w:t>3</w:t>
            </w:r>
          </w:p>
          <w:p w14:paraId="67F03061" w14:textId="12C144FE"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9"/>
                <w14:textFill>
                  <w14:solidFill>
                    <w14:srgbClr w14:val="000000">
                      <w14:alpha w14:val="100000"/>
                    </w14:srgbClr>
                  </w14:solidFill>
                </w14:textFill>
              </w:rPr>
              <w:t>|||</w:t>
            </w:r>
            <w:r w:rsidR="00640EC9" w:rsidRPr="00640EC9">
              <w:rPr>
                <w:color w:val="000000"/>
                <w:spacing w:val="1"/>
                <w:shd w:val="solid" w:color="000000" w:fill="000000"/>
                <w:fitText w:val="324" w:id="-961889789"/>
                <w14:textFill>
                  <w14:solidFill>
                    <w14:srgbClr w14:val="000000">
                      <w14:alpha w14:val="100000"/>
                    </w14:srgbClr>
                  </w14:solidFill>
                </w14:textFill>
              </w:rPr>
              <w:t>|</w:t>
            </w:r>
            <w:r w:rsidR="00AE67DA" w:rsidRPr="00AE67DA">
              <w:rPr>
                <w:vertAlign w:val="superscript"/>
              </w:rPr>
              <w:t>3</w:t>
            </w:r>
          </w:p>
          <w:p w14:paraId="047CEC42" w14:textId="6AF0AEE0"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8"/>
                <w14:textFill>
                  <w14:solidFill>
                    <w14:srgbClr w14:val="000000">
                      <w14:alpha w14:val="100000"/>
                    </w14:srgbClr>
                  </w14:solidFill>
                </w14:textFill>
              </w:rPr>
              <w:t>|||</w:t>
            </w:r>
            <w:r w:rsidR="00640EC9" w:rsidRPr="00640EC9">
              <w:rPr>
                <w:color w:val="000000"/>
                <w:spacing w:val="1"/>
                <w:shd w:val="solid" w:color="000000" w:fill="000000"/>
                <w:fitText w:val="324" w:id="-961889788"/>
                <w14:textFill>
                  <w14:solidFill>
                    <w14:srgbClr w14:val="000000">
                      <w14:alpha w14:val="100000"/>
                    </w14:srgbClr>
                  </w14:solidFill>
                </w14:textFill>
              </w:rPr>
              <w:t>|</w:t>
            </w:r>
            <w:r w:rsidR="00AE67DA" w:rsidRPr="00AE67DA">
              <w:rPr>
                <w:vertAlign w:val="superscript"/>
              </w:rPr>
              <w:t>3</w:t>
            </w:r>
          </w:p>
          <w:p w14:paraId="47804C7C" w14:textId="6A3169A9"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7"/>
                <w14:textFill>
                  <w14:solidFill>
                    <w14:srgbClr w14:val="000000">
                      <w14:alpha w14:val="100000"/>
                    </w14:srgbClr>
                  </w14:solidFill>
                </w14:textFill>
              </w:rPr>
              <w:t>|||</w:t>
            </w:r>
            <w:r w:rsidR="00640EC9" w:rsidRPr="00640EC9">
              <w:rPr>
                <w:color w:val="000000"/>
                <w:spacing w:val="1"/>
                <w:shd w:val="solid" w:color="000000" w:fill="000000"/>
                <w:fitText w:val="324" w:id="-961889787"/>
                <w14:textFill>
                  <w14:solidFill>
                    <w14:srgbClr w14:val="000000">
                      <w14:alpha w14:val="100000"/>
                    </w14:srgbClr>
                  </w14:solidFill>
                </w14:textFill>
              </w:rPr>
              <w:t>|</w:t>
            </w:r>
            <w:r w:rsidR="00AE67DA" w:rsidRPr="00AE67DA">
              <w:rPr>
                <w:vertAlign w:val="superscript"/>
              </w:rPr>
              <w:t>3</w:t>
            </w:r>
          </w:p>
        </w:tc>
        <w:tc>
          <w:tcPr>
            <w:tcW w:w="1329" w:type="pct"/>
            <w:shd w:val="clear" w:color="auto" w:fill="auto"/>
            <w:vAlign w:val="center"/>
          </w:tcPr>
          <w:p w14:paraId="200306D8" w14:textId="3D233440" w:rsidR="00A26972" w:rsidRPr="009941F8" w:rsidRDefault="00A26972" w:rsidP="00FA3EC9">
            <w:pPr>
              <w:pStyle w:val="TableText0"/>
            </w:pPr>
            <w:r w:rsidRPr="009941F8">
              <w:t>Prevalent patients multiplied by 15.83% to represent patients with SLEDAI-2K</w:t>
            </w:r>
            <w:r w:rsidR="004F2B97">
              <w:t xml:space="preserve"> </w:t>
            </w:r>
            <w:r w:rsidRPr="009941F8">
              <w:sym w:font="Symbol" w:char="F0B3"/>
            </w:r>
            <w:r w:rsidRPr="009941F8">
              <w:t>10 whilst on triple therapy. Adapted from the 2022 IQVIA report commissioned by the sponsor (Attachment 4.3 of the March 2023 resubmission).</w:t>
            </w:r>
          </w:p>
        </w:tc>
        <w:tc>
          <w:tcPr>
            <w:tcW w:w="1641" w:type="pct"/>
            <w:shd w:val="clear" w:color="auto" w:fill="auto"/>
            <w:vAlign w:val="center"/>
          </w:tcPr>
          <w:p w14:paraId="502964C5" w14:textId="0A984FB3" w:rsidR="00A26972" w:rsidRPr="009941F8" w:rsidRDefault="00A26972" w:rsidP="00FA3EC9">
            <w:pPr>
              <w:pStyle w:val="TableText0"/>
            </w:pPr>
            <w:r w:rsidRPr="009941F8">
              <w:t>In the IQVIA report 11.7% patients were SLEDAI-2K</w:t>
            </w:r>
            <w:r w:rsidR="004F2B97">
              <w:t xml:space="preserve"> </w:t>
            </w:r>
            <w:r w:rsidRPr="009941F8">
              <w:sym w:font="Symbol" w:char="F0B3"/>
            </w:r>
            <w:r w:rsidRPr="009941F8">
              <w:t>10 whilst on triple therapy and clinically eligible to receive treatment (and 11.0% where clinician was willing to prescribe treatment). As such eligibility proportion may be overestimated.</w:t>
            </w:r>
          </w:p>
          <w:p w14:paraId="2309D796" w14:textId="77777777" w:rsidR="00BC4259" w:rsidRPr="009941F8" w:rsidRDefault="00BC4259" w:rsidP="00FA3EC9">
            <w:pPr>
              <w:pStyle w:val="TableText0"/>
            </w:pPr>
          </w:p>
          <w:p w14:paraId="2F2A3F1F" w14:textId="7EA12F54" w:rsidR="00BC4259" w:rsidRPr="009941F8" w:rsidRDefault="00BC4259" w:rsidP="00FA3EC9">
            <w:pPr>
              <w:pStyle w:val="TableText0"/>
            </w:pPr>
            <w:r w:rsidRPr="009941F8">
              <w:t>The ESC agreed with the commentary that the data suggested an estimate of 11.7% would be more appropriate.</w:t>
            </w:r>
          </w:p>
        </w:tc>
      </w:tr>
      <w:tr w:rsidR="00A26972" w:rsidRPr="009941F8" w14:paraId="38009A18" w14:textId="77777777" w:rsidTr="00233562">
        <w:tc>
          <w:tcPr>
            <w:tcW w:w="701" w:type="pct"/>
            <w:shd w:val="clear" w:color="auto" w:fill="auto"/>
            <w:vAlign w:val="center"/>
          </w:tcPr>
          <w:p w14:paraId="41BDDF16" w14:textId="77777777" w:rsidR="00A26972" w:rsidRPr="009941F8" w:rsidRDefault="00A26972" w:rsidP="00FA3EC9">
            <w:pPr>
              <w:pStyle w:val="TableText0"/>
            </w:pPr>
            <w:r w:rsidRPr="009941F8">
              <w:t>Grandfathered patients</w:t>
            </w:r>
          </w:p>
        </w:tc>
        <w:tc>
          <w:tcPr>
            <w:tcW w:w="625" w:type="pct"/>
            <w:shd w:val="clear" w:color="auto" w:fill="auto"/>
            <w:vAlign w:val="center"/>
          </w:tcPr>
          <w:p w14:paraId="2C24191A" w14:textId="3513D164"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6"/>
                <w14:textFill>
                  <w14:solidFill>
                    <w14:srgbClr w14:val="000000">
                      <w14:alpha w14:val="100000"/>
                    </w14:srgbClr>
                  </w14:solidFill>
                </w14:textFill>
              </w:rPr>
              <w:t>|||</w:t>
            </w:r>
            <w:r w:rsidR="00640EC9" w:rsidRPr="00640EC9">
              <w:rPr>
                <w:color w:val="000000"/>
                <w:spacing w:val="1"/>
                <w:shd w:val="solid" w:color="000000" w:fill="000000"/>
                <w:fitText w:val="324" w:id="-961889786"/>
                <w14:textFill>
                  <w14:solidFill>
                    <w14:srgbClr w14:val="000000">
                      <w14:alpha w14:val="100000"/>
                    </w14:srgbClr>
                  </w14:solidFill>
                </w14:textFill>
              </w:rPr>
              <w:t>|</w:t>
            </w:r>
            <w:r w:rsidR="00AE67DA" w:rsidRPr="00AE67DA">
              <w:rPr>
                <w:vertAlign w:val="superscript"/>
              </w:rPr>
              <w:t>4</w:t>
            </w:r>
          </w:p>
        </w:tc>
        <w:tc>
          <w:tcPr>
            <w:tcW w:w="704" w:type="pct"/>
            <w:shd w:val="clear" w:color="auto" w:fill="auto"/>
            <w:vAlign w:val="center"/>
          </w:tcPr>
          <w:p w14:paraId="7FE3B735" w14:textId="01044686" w:rsidR="00A26972" w:rsidRPr="009941F8" w:rsidRDefault="00640EC9" w:rsidP="00FA3EC9">
            <w:pPr>
              <w:pStyle w:val="TableText0"/>
            </w:pPr>
            <w:r w:rsidRPr="00640EC9">
              <w:rPr>
                <w:color w:val="000000"/>
                <w:spacing w:val="51"/>
                <w:shd w:val="solid" w:color="000000" w:fill="000000"/>
                <w:fitText w:val="324" w:id="-961889785"/>
                <w14:textFill>
                  <w14:solidFill>
                    <w14:srgbClr w14:val="000000">
                      <w14:alpha w14:val="100000"/>
                    </w14:srgbClr>
                  </w14:solidFill>
                </w14:textFill>
              </w:rPr>
              <w:t>|||</w:t>
            </w:r>
            <w:r w:rsidRPr="00640EC9">
              <w:rPr>
                <w:color w:val="000000"/>
                <w:spacing w:val="1"/>
                <w:shd w:val="solid" w:color="000000" w:fill="000000"/>
                <w:fitText w:val="324" w:id="-961889785"/>
                <w14:textFill>
                  <w14:solidFill>
                    <w14:srgbClr w14:val="000000">
                      <w14:alpha w14:val="100000"/>
                    </w14:srgbClr>
                  </w14:solidFill>
                </w14:textFill>
              </w:rPr>
              <w:t>|</w:t>
            </w:r>
            <w:r w:rsidR="00AE67DA" w:rsidRPr="00AE67DA">
              <w:rPr>
                <w:vertAlign w:val="superscript"/>
              </w:rPr>
              <w:t>4</w:t>
            </w:r>
          </w:p>
        </w:tc>
        <w:tc>
          <w:tcPr>
            <w:tcW w:w="1329" w:type="pct"/>
            <w:shd w:val="clear" w:color="auto" w:fill="auto"/>
            <w:vAlign w:val="center"/>
          </w:tcPr>
          <w:p w14:paraId="5DF8785E" w14:textId="77777777" w:rsidR="00A26972" w:rsidRPr="009941F8" w:rsidRDefault="00A26972" w:rsidP="00FA3EC9">
            <w:pPr>
              <w:pStyle w:val="TableText0"/>
            </w:pPr>
            <w:r w:rsidRPr="009941F8">
              <w:t>Assumed to be implicitly included in prevalent population</w:t>
            </w:r>
          </w:p>
        </w:tc>
        <w:tc>
          <w:tcPr>
            <w:tcW w:w="1641" w:type="pct"/>
            <w:shd w:val="clear" w:color="auto" w:fill="auto"/>
            <w:vAlign w:val="center"/>
          </w:tcPr>
          <w:p w14:paraId="202EA1C4" w14:textId="77777777" w:rsidR="00A26972" w:rsidRPr="009941F8" w:rsidRDefault="00A26972" w:rsidP="00FA3EC9">
            <w:pPr>
              <w:pStyle w:val="TableText0"/>
            </w:pPr>
            <w:r w:rsidRPr="009941F8">
              <w:t>While it was reasonable to not count grandfathered patients separately (to avoid discounting in the prevalent population), no adjustment for response at 26 weeks or time on treatment was made for the grandfathered population.</w:t>
            </w:r>
          </w:p>
        </w:tc>
      </w:tr>
      <w:tr w:rsidR="00A26972" w:rsidRPr="009941F8" w14:paraId="3166514B" w14:textId="77777777" w:rsidTr="00E706BA">
        <w:tc>
          <w:tcPr>
            <w:tcW w:w="5000" w:type="pct"/>
            <w:gridSpan w:val="5"/>
            <w:shd w:val="clear" w:color="auto" w:fill="auto"/>
            <w:vAlign w:val="center"/>
          </w:tcPr>
          <w:p w14:paraId="0A2465E9" w14:textId="77777777" w:rsidR="00A26972" w:rsidRPr="009941F8" w:rsidRDefault="00A26972" w:rsidP="00FA3EC9">
            <w:pPr>
              <w:pStyle w:val="TableText0"/>
              <w:rPr>
                <w:b/>
              </w:rPr>
            </w:pPr>
            <w:r w:rsidRPr="009941F8">
              <w:rPr>
                <w:b/>
              </w:rPr>
              <w:t>Treatment utilisation</w:t>
            </w:r>
          </w:p>
        </w:tc>
      </w:tr>
      <w:tr w:rsidR="00A26972" w:rsidRPr="009941F8" w14:paraId="0F1D69B7" w14:textId="77777777" w:rsidTr="00233562">
        <w:tc>
          <w:tcPr>
            <w:tcW w:w="701" w:type="pct"/>
            <w:shd w:val="clear" w:color="auto" w:fill="auto"/>
            <w:vAlign w:val="center"/>
          </w:tcPr>
          <w:p w14:paraId="3D49862F" w14:textId="77777777" w:rsidR="00A26972" w:rsidRPr="009941F8" w:rsidRDefault="00A26972" w:rsidP="00FA3EC9">
            <w:pPr>
              <w:pStyle w:val="TableText0"/>
            </w:pPr>
            <w:r w:rsidRPr="009941F8">
              <w:t>Uptake rate</w:t>
            </w:r>
          </w:p>
        </w:tc>
        <w:tc>
          <w:tcPr>
            <w:tcW w:w="625" w:type="pct"/>
            <w:shd w:val="clear" w:color="auto" w:fill="auto"/>
            <w:vAlign w:val="center"/>
          </w:tcPr>
          <w:p w14:paraId="48AD8E0B" w14:textId="3627C43C" w:rsidR="00A26972" w:rsidRPr="0031580A" w:rsidRDefault="00A26972" w:rsidP="00FA3EC9">
            <w:pPr>
              <w:pStyle w:val="TableText0"/>
            </w:pPr>
            <w:r w:rsidRPr="0031580A">
              <w:t xml:space="preserve">Yr 1: </w:t>
            </w:r>
            <w:r w:rsidR="00640EC9" w:rsidRPr="00640EC9">
              <w:rPr>
                <w:color w:val="000000"/>
                <w:spacing w:val="51"/>
                <w:shd w:val="solid" w:color="000000" w:fill="000000"/>
                <w:fitText w:val="324" w:id="-961889784"/>
                <w14:textFill>
                  <w14:solidFill>
                    <w14:srgbClr w14:val="000000">
                      <w14:alpha w14:val="100000"/>
                    </w14:srgbClr>
                  </w14:solidFill>
                </w14:textFill>
              </w:rPr>
              <w:t>|||</w:t>
            </w:r>
            <w:r w:rsidR="00640EC9" w:rsidRPr="00640EC9">
              <w:rPr>
                <w:color w:val="000000"/>
                <w:spacing w:val="1"/>
                <w:shd w:val="solid" w:color="000000" w:fill="000000"/>
                <w:fitText w:val="324" w:id="-961889784"/>
                <w14:textFill>
                  <w14:solidFill>
                    <w14:srgbClr w14:val="000000">
                      <w14:alpha w14:val="100000"/>
                    </w14:srgbClr>
                  </w14:solidFill>
                </w14:textFill>
              </w:rPr>
              <w:t>|</w:t>
            </w:r>
            <w:r w:rsidRPr="0031580A">
              <w:t>%</w:t>
            </w:r>
          </w:p>
          <w:p w14:paraId="452F1516" w14:textId="52D07862" w:rsidR="00A26972" w:rsidRPr="0031580A" w:rsidRDefault="00A26972" w:rsidP="00FA3EC9">
            <w:pPr>
              <w:pStyle w:val="TableText0"/>
            </w:pPr>
            <w:r w:rsidRPr="0031580A">
              <w:t xml:space="preserve">Yr 2: </w:t>
            </w:r>
            <w:r w:rsidR="00640EC9" w:rsidRPr="00640EC9">
              <w:rPr>
                <w:color w:val="000000"/>
                <w:spacing w:val="51"/>
                <w:shd w:val="solid" w:color="000000" w:fill="000000"/>
                <w:fitText w:val="324" w:id="-961889783"/>
                <w14:textFill>
                  <w14:solidFill>
                    <w14:srgbClr w14:val="000000">
                      <w14:alpha w14:val="100000"/>
                    </w14:srgbClr>
                  </w14:solidFill>
                </w14:textFill>
              </w:rPr>
              <w:t>|||</w:t>
            </w:r>
            <w:r w:rsidR="00640EC9" w:rsidRPr="00640EC9">
              <w:rPr>
                <w:color w:val="000000"/>
                <w:spacing w:val="1"/>
                <w:shd w:val="solid" w:color="000000" w:fill="000000"/>
                <w:fitText w:val="324" w:id="-961889783"/>
                <w14:textFill>
                  <w14:solidFill>
                    <w14:srgbClr w14:val="000000">
                      <w14:alpha w14:val="100000"/>
                    </w14:srgbClr>
                  </w14:solidFill>
                </w14:textFill>
              </w:rPr>
              <w:t>|</w:t>
            </w:r>
            <w:r w:rsidRPr="0031580A">
              <w:t>%</w:t>
            </w:r>
          </w:p>
          <w:p w14:paraId="3A48C5B5" w14:textId="00983E6C" w:rsidR="00A26972" w:rsidRPr="0031580A" w:rsidRDefault="00A26972" w:rsidP="00FA3EC9">
            <w:pPr>
              <w:pStyle w:val="TableText0"/>
            </w:pPr>
            <w:r w:rsidRPr="0031580A">
              <w:t xml:space="preserve">Yr 3: </w:t>
            </w:r>
            <w:r w:rsidR="00640EC9" w:rsidRPr="00640EC9">
              <w:rPr>
                <w:color w:val="000000"/>
                <w:spacing w:val="51"/>
                <w:shd w:val="solid" w:color="000000" w:fill="000000"/>
                <w:fitText w:val="324" w:id="-961889782"/>
                <w14:textFill>
                  <w14:solidFill>
                    <w14:srgbClr w14:val="000000">
                      <w14:alpha w14:val="100000"/>
                    </w14:srgbClr>
                  </w14:solidFill>
                </w14:textFill>
              </w:rPr>
              <w:t>|||</w:t>
            </w:r>
            <w:r w:rsidR="00640EC9" w:rsidRPr="00640EC9">
              <w:rPr>
                <w:color w:val="000000"/>
                <w:spacing w:val="1"/>
                <w:shd w:val="solid" w:color="000000" w:fill="000000"/>
                <w:fitText w:val="324" w:id="-961889782"/>
                <w14:textFill>
                  <w14:solidFill>
                    <w14:srgbClr w14:val="000000">
                      <w14:alpha w14:val="100000"/>
                    </w14:srgbClr>
                  </w14:solidFill>
                </w14:textFill>
              </w:rPr>
              <w:t>|</w:t>
            </w:r>
            <w:r w:rsidRPr="0031580A">
              <w:t>%</w:t>
            </w:r>
          </w:p>
          <w:p w14:paraId="14D58CFE" w14:textId="1326C0A2" w:rsidR="00A26972" w:rsidRPr="0031580A" w:rsidRDefault="00A26972" w:rsidP="00FA3EC9">
            <w:pPr>
              <w:pStyle w:val="TableText0"/>
            </w:pPr>
            <w:r w:rsidRPr="0031580A">
              <w:t xml:space="preserve">Yr 4: </w:t>
            </w:r>
            <w:r w:rsidR="00640EC9" w:rsidRPr="00640EC9">
              <w:rPr>
                <w:color w:val="000000"/>
                <w:spacing w:val="51"/>
                <w:shd w:val="solid" w:color="000000" w:fill="000000"/>
                <w:fitText w:val="324" w:id="-961889781"/>
                <w14:textFill>
                  <w14:solidFill>
                    <w14:srgbClr w14:val="000000">
                      <w14:alpha w14:val="100000"/>
                    </w14:srgbClr>
                  </w14:solidFill>
                </w14:textFill>
              </w:rPr>
              <w:t>|||</w:t>
            </w:r>
            <w:r w:rsidR="00640EC9" w:rsidRPr="00640EC9">
              <w:rPr>
                <w:color w:val="000000"/>
                <w:spacing w:val="1"/>
                <w:shd w:val="solid" w:color="000000" w:fill="000000"/>
                <w:fitText w:val="324" w:id="-961889781"/>
                <w14:textFill>
                  <w14:solidFill>
                    <w14:srgbClr w14:val="000000">
                      <w14:alpha w14:val="100000"/>
                    </w14:srgbClr>
                  </w14:solidFill>
                </w14:textFill>
              </w:rPr>
              <w:t>|</w:t>
            </w:r>
            <w:r w:rsidRPr="0031580A">
              <w:t>%</w:t>
            </w:r>
          </w:p>
          <w:p w14:paraId="5F8EB6C0" w14:textId="3561BB71" w:rsidR="00A26972" w:rsidRPr="0031580A" w:rsidRDefault="00A26972" w:rsidP="00FA3EC9">
            <w:pPr>
              <w:pStyle w:val="TableText0"/>
            </w:pPr>
            <w:r w:rsidRPr="0031580A">
              <w:t xml:space="preserve">Yr 5: </w:t>
            </w:r>
            <w:r w:rsidR="00640EC9" w:rsidRPr="00640EC9">
              <w:rPr>
                <w:color w:val="000000"/>
                <w:spacing w:val="51"/>
                <w:shd w:val="solid" w:color="000000" w:fill="000000"/>
                <w:fitText w:val="324" w:id="-961889780"/>
                <w14:textFill>
                  <w14:solidFill>
                    <w14:srgbClr w14:val="000000">
                      <w14:alpha w14:val="100000"/>
                    </w14:srgbClr>
                  </w14:solidFill>
                </w14:textFill>
              </w:rPr>
              <w:t>|||</w:t>
            </w:r>
            <w:r w:rsidR="00640EC9" w:rsidRPr="00640EC9">
              <w:rPr>
                <w:color w:val="000000"/>
                <w:spacing w:val="1"/>
                <w:shd w:val="solid" w:color="000000" w:fill="000000"/>
                <w:fitText w:val="324" w:id="-961889780"/>
                <w14:textFill>
                  <w14:solidFill>
                    <w14:srgbClr w14:val="000000">
                      <w14:alpha w14:val="100000"/>
                    </w14:srgbClr>
                  </w14:solidFill>
                </w14:textFill>
              </w:rPr>
              <w:t>|</w:t>
            </w:r>
            <w:r w:rsidRPr="0031580A">
              <w:t>%</w:t>
            </w:r>
          </w:p>
          <w:p w14:paraId="0105D2B9" w14:textId="54BC46E1" w:rsidR="00A26972" w:rsidRPr="0031580A" w:rsidRDefault="00A26972" w:rsidP="00FA3EC9">
            <w:pPr>
              <w:pStyle w:val="TableText0"/>
            </w:pPr>
            <w:r w:rsidRPr="0031580A">
              <w:t xml:space="preserve">Yr 6: </w:t>
            </w:r>
            <w:r w:rsidR="00640EC9" w:rsidRPr="00640EC9">
              <w:rPr>
                <w:color w:val="000000"/>
                <w:spacing w:val="51"/>
                <w:shd w:val="solid" w:color="000000" w:fill="000000"/>
                <w:fitText w:val="324" w:id="-961889779"/>
                <w14:textFill>
                  <w14:solidFill>
                    <w14:srgbClr w14:val="000000">
                      <w14:alpha w14:val="100000"/>
                    </w14:srgbClr>
                  </w14:solidFill>
                </w14:textFill>
              </w:rPr>
              <w:t>|||</w:t>
            </w:r>
            <w:r w:rsidR="00640EC9" w:rsidRPr="00640EC9">
              <w:rPr>
                <w:color w:val="000000"/>
                <w:spacing w:val="1"/>
                <w:shd w:val="solid" w:color="000000" w:fill="000000"/>
                <w:fitText w:val="324" w:id="-961889779"/>
                <w14:textFill>
                  <w14:solidFill>
                    <w14:srgbClr w14:val="000000">
                      <w14:alpha w14:val="100000"/>
                    </w14:srgbClr>
                  </w14:solidFill>
                </w14:textFill>
              </w:rPr>
              <w:t>|</w:t>
            </w:r>
            <w:r w:rsidRPr="0031580A">
              <w:t>%</w:t>
            </w:r>
          </w:p>
        </w:tc>
        <w:tc>
          <w:tcPr>
            <w:tcW w:w="704" w:type="pct"/>
            <w:shd w:val="clear" w:color="auto" w:fill="auto"/>
            <w:vAlign w:val="center"/>
          </w:tcPr>
          <w:p w14:paraId="5771B70E" w14:textId="527A68CB" w:rsidR="00A26972" w:rsidRPr="0031580A" w:rsidRDefault="00A26972" w:rsidP="00FA3EC9">
            <w:pPr>
              <w:pStyle w:val="TableText0"/>
            </w:pPr>
            <w:r w:rsidRPr="0031580A">
              <w:t xml:space="preserve">Yr 1: </w:t>
            </w:r>
            <w:r w:rsidR="00640EC9" w:rsidRPr="00640EC9">
              <w:rPr>
                <w:color w:val="000000"/>
                <w:spacing w:val="51"/>
                <w:shd w:val="solid" w:color="000000" w:fill="000000"/>
                <w:fitText w:val="324" w:id="-961889778"/>
                <w14:textFill>
                  <w14:solidFill>
                    <w14:srgbClr w14:val="000000">
                      <w14:alpha w14:val="100000"/>
                    </w14:srgbClr>
                  </w14:solidFill>
                </w14:textFill>
              </w:rPr>
              <w:t>|||</w:t>
            </w:r>
            <w:r w:rsidR="00640EC9" w:rsidRPr="00640EC9">
              <w:rPr>
                <w:color w:val="000000"/>
                <w:spacing w:val="1"/>
                <w:shd w:val="solid" w:color="000000" w:fill="000000"/>
                <w:fitText w:val="324" w:id="-961889778"/>
                <w14:textFill>
                  <w14:solidFill>
                    <w14:srgbClr w14:val="000000">
                      <w14:alpha w14:val="100000"/>
                    </w14:srgbClr>
                  </w14:solidFill>
                </w14:textFill>
              </w:rPr>
              <w:t>|</w:t>
            </w:r>
            <w:r w:rsidRPr="0031580A">
              <w:t>%</w:t>
            </w:r>
          </w:p>
          <w:p w14:paraId="4088889A" w14:textId="1D74B656" w:rsidR="00A26972" w:rsidRPr="0031580A" w:rsidRDefault="00A26972" w:rsidP="00FA3EC9">
            <w:pPr>
              <w:pStyle w:val="TableText0"/>
            </w:pPr>
            <w:r w:rsidRPr="0031580A">
              <w:t xml:space="preserve">Yr 2: </w:t>
            </w:r>
            <w:r w:rsidR="00640EC9" w:rsidRPr="00640EC9">
              <w:rPr>
                <w:color w:val="000000"/>
                <w:spacing w:val="51"/>
                <w:shd w:val="solid" w:color="000000" w:fill="000000"/>
                <w:fitText w:val="324" w:id="-961889777"/>
                <w14:textFill>
                  <w14:solidFill>
                    <w14:srgbClr w14:val="000000">
                      <w14:alpha w14:val="100000"/>
                    </w14:srgbClr>
                  </w14:solidFill>
                </w14:textFill>
              </w:rPr>
              <w:t>|||</w:t>
            </w:r>
            <w:r w:rsidR="00640EC9" w:rsidRPr="00640EC9">
              <w:rPr>
                <w:color w:val="000000"/>
                <w:spacing w:val="1"/>
                <w:shd w:val="solid" w:color="000000" w:fill="000000"/>
                <w:fitText w:val="324" w:id="-961889777"/>
                <w14:textFill>
                  <w14:solidFill>
                    <w14:srgbClr w14:val="000000">
                      <w14:alpha w14:val="100000"/>
                    </w14:srgbClr>
                  </w14:solidFill>
                </w14:textFill>
              </w:rPr>
              <w:t>|</w:t>
            </w:r>
            <w:r w:rsidRPr="0031580A">
              <w:t>%</w:t>
            </w:r>
          </w:p>
          <w:p w14:paraId="50ED4C31" w14:textId="5EAA9C8B" w:rsidR="00A26972" w:rsidRPr="0031580A" w:rsidRDefault="00A26972" w:rsidP="00FA3EC9">
            <w:pPr>
              <w:pStyle w:val="TableText0"/>
            </w:pPr>
            <w:r w:rsidRPr="0031580A">
              <w:t xml:space="preserve">Yr 3: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Pr="0031580A">
              <w:t>%</w:t>
            </w:r>
          </w:p>
          <w:p w14:paraId="3A90E23F" w14:textId="4C8943F8" w:rsidR="00A26972" w:rsidRPr="0031580A" w:rsidRDefault="00A26972" w:rsidP="00FA3EC9">
            <w:pPr>
              <w:pStyle w:val="TableText0"/>
            </w:pPr>
            <w:r w:rsidRPr="0031580A">
              <w:t xml:space="preserve">Yr 4: </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Pr="0031580A">
              <w:t>%</w:t>
            </w:r>
          </w:p>
          <w:p w14:paraId="63445AAF" w14:textId="5645EE41" w:rsidR="00A26972" w:rsidRPr="0031580A" w:rsidRDefault="00A26972" w:rsidP="00FA3EC9">
            <w:pPr>
              <w:pStyle w:val="TableText0"/>
            </w:pPr>
            <w:r w:rsidRPr="0031580A">
              <w:t xml:space="preserve">Yr 5: </w:t>
            </w:r>
            <w:r w:rsidR="00640EC9" w:rsidRPr="00640EC9">
              <w:rPr>
                <w:color w:val="000000"/>
                <w:spacing w:val="51"/>
                <w:shd w:val="solid" w:color="000000" w:fill="000000"/>
                <w:fitText w:val="324" w:id="-961889791"/>
                <w14:textFill>
                  <w14:solidFill>
                    <w14:srgbClr w14:val="000000">
                      <w14:alpha w14:val="100000"/>
                    </w14:srgbClr>
                  </w14:solidFill>
                </w14:textFill>
              </w:rPr>
              <w:t>|||</w:t>
            </w:r>
            <w:r w:rsidR="00640EC9" w:rsidRPr="00640EC9">
              <w:rPr>
                <w:color w:val="000000"/>
                <w:spacing w:val="1"/>
                <w:shd w:val="solid" w:color="000000" w:fill="000000"/>
                <w:fitText w:val="324" w:id="-961889791"/>
                <w14:textFill>
                  <w14:solidFill>
                    <w14:srgbClr w14:val="000000">
                      <w14:alpha w14:val="100000"/>
                    </w14:srgbClr>
                  </w14:solidFill>
                </w14:textFill>
              </w:rPr>
              <w:t>|</w:t>
            </w:r>
            <w:r w:rsidRPr="0031580A">
              <w:t>%</w:t>
            </w:r>
          </w:p>
          <w:p w14:paraId="5057D692" w14:textId="4D8D3067" w:rsidR="00A26972" w:rsidRPr="0031580A" w:rsidRDefault="00A26972" w:rsidP="00FA3EC9">
            <w:pPr>
              <w:pStyle w:val="TableText0"/>
            </w:pPr>
            <w:r w:rsidRPr="0031580A">
              <w:t xml:space="preserve">Yr 6: </w:t>
            </w:r>
            <w:r w:rsidR="00640EC9" w:rsidRPr="00640EC9">
              <w:rPr>
                <w:color w:val="000000"/>
                <w:spacing w:val="51"/>
                <w:shd w:val="solid" w:color="000000" w:fill="000000"/>
                <w:fitText w:val="324" w:id="-961889790"/>
                <w14:textFill>
                  <w14:solidFill>
                    <w14:srgbClr w14:val="000000">
                      <w14:alpha w14:val="100000"/>
                    </w14:srgbClr>
                  </w14:solidFill>
                </w14:textFill>
              </w:rPr>
              <w:t>|||</w:t>
            </w:r>
            <w:r w:rsidR="00640EC9" w:rsidRPr="00640EC9">
              <w:rPr>
                <w:color w:val="000000"/>
                <w:spacing w:val="1"/>
                <w:shd w:val="solid" w:color="000000" w:fill="000000"/>
                <w:fitText w:val="324" w:id="-961889790"/>
                <w14:textFill>
                  <w14:solidFill>
                    <w14:srgbClr w14:val="000000">
                      <w14:alpha w14:val="100000"/>
                    </w14:srgbClr>
                  </w14:solidFill>
                </w14:textFill>
              </w:rPr>
              <w:t>|</w:t>
            </w:r>
            <w:r w:rsidRPr="0031580A">
              <w:t>%</w:t>
            </w:r>
          </w:p>
        </w:tc>
        <w:tc>
          <w:tcPr>
            <w:tcW w:w="1329" w:type="pct"/>
            <w:shd w:val="clear" w:color="auto" w:fill="auto"/>
            <w:vAlign w:val="center"/>
          </w:tcPr>
          <w:p w14:paraId="54CF8790" w14:textId="77777777" w:rsidR="00A26972" w:rsidRPr="009941F8" w:rsidRDefault="00A26972" w:rsidP="00FA3EC9">
            <w:pPr>
              <w:pStyle w:val="TableText0"/>
            </w:pPr>
            <w:r w:rsidRPr="009941F8">
              <w:t>Assumption. decreased from the March 2023 resubmission (but identical to rates proposed in the March 2023 pre-PBAC response).</w:t>
            </w:r>
          </w:p>
        </w:tc>
        <w:tc>
          <w:tcPr>
            <w:tcW w:w="1641" w:type="pct"/>
            <w:shd w:val="clear" w:color="auto" w:fill="auto"/>
            <w:vAlign w:val="center"/>
          </w:tcPr>
          <w:p w14:paraId="38908810" w14:textId="6DB39FE0" w:rsidR="00A26972" w:rsidRPr="009941F8" w:rsidRDefault="00A26972" w:rsidP="00FA3EC9">
            <w:pPr>
              <w:pStyle w:val="TableText0"/>
            </w:pPr>
            <w:r w:rsidRPr="009941F8">
              <w:t>Uptake rate</w:t>
            </w:r>
            <w:r w:rsidR="001728F0" w:rsidRPr="009941F8">
              <w:t>s</w:t>
            </w:r>
            <w:r w:rsidRPr="009941F8">
              <w:t xml:space="preserve"> remained uncertain. While patients who are on triple therapy do not have other treatments available, the PBAC previously considered lower uptake rates for belimumab (15-40%) were more reasonable than higher uptake rates, given use of IV belimumab was low, treatment effect was modest and there as potential for severe adverse events (para 7.10, belimumab PSD, July 2020).</w:t>
            </w:r>
          </w:p>
          <w:p w14:paraId="1BC0A51B" w14:textId="77777777" w:rsidR="00A26972" w:rsidRPr="009941F8" w:rsidRDefault="00A26972" w:rsidP="00FA3EC9">
            <w:pPr>
              <w:pStyle w:val="TableText0"/>
            </w:pPr>
          </w:p>
          <w:p w14:paraId="784CC823" w14:textId="08A1969D" w:rsidR="00A26972" w:rsidRPr="009941F8" w:rsidRDefault="00A26972" w:rsidP="00FA3EC9">
            <w:pPr>
              <w:pStyle w:val="TableText0"/>
            </w:pPr>
            <w:r w:rsidRPr="009941F8">
              <w:t xml:space="preserve">Uptake is very important to the financial estimates as the current anifrolumab resubmission presented a tiered </w:t>
            </w:r>
            <w:r w:rsidR="001728F0" w:rsidRPr="009941F8">
              <w:t>RSA</w:t>
            </w:r>
            <w:r w:rsidRPr="009941F8">
              <w:t xml:space="preserve"> based on utilisation rates.</w:t>
            </w:r>
          </w:p>
          <w:p w14:paraId="4D3BCED7" w14:textId="77777777" w:rsidR="00BC4259" w:rsidRPr="009941F8" w:rsidRDefault="00BC4259" w:rsidP="00FA3EC9">
            <w:pPr>
              <w:pStyle w:val="TableText0"/>
            </w:pPr>
          </w:p>
          <w:p w14:paraId="488AC7BD" w14:textId="103202C4" w:rsidR="00BC4259" w:rsidRPr="009941F8" w:rsidRDefault="00BC4259" w:rsidP="00FA3EC9">
            <w:pPr>
              <w:pStyle w:val="TableText0"/>
            </w:pPr>
            <w:r w:rsidRPr="009941F8">
              <w:t>The ESC noted that the proposed uptake rates (</w:t>
            </w:r>
            <w:r w:rsidR="00640EC9" w:rsidRPr="00640EC9">
              <w:rPr>
                <w:color w:val="000000"/>
                <w:spacing w:val="51"/>
                <w:shd w:val="solid" w:color="000000" w:fill="000000"/>
                <w:fitText w:val="324" w:id="-961889789"/>
                <w14:textFill>
                  <w14:solidFill>
                    <w14:srgbClr w14:val="000000">
                      <w14:alpha w14:val="100000"/>
                    </w14:srgbClr>
                  </w14:solidFill>
                </w14:textFill>
              </w:rPr>
              <w:t>|||</w:t>
            </w:r>
            <w:r w:rsidR="00640EC9" w:rsidRPr="00640EC9">
              <w:rPr>
                <w:color w:val="000000"/>
                <w:spacing w:val="1"/>
                <w:shd w:val="solid" w:color="000000" w:fill="000000"/>
                <w:fitText w:val="324" w:id="-961889789"/>
                <w14:textFill>
                  <w14:solidFill>
                    <w14:srgbClr w14:val="000000">
                      <w14:alpha w14:val="100000"/>
                    </w14:srgbClr>
                  </w14:solidFill>
                </w14:textFill>
              </w:rPr>
              <w:t>|</w:t>
            </w:r>
            <w:r w:rsidRPr="0003430E">
              <w:t xml:space="preserve">% to </w:t>
            </w:r>
            <w:r w:rsidR="00640EC9" w:rsidRPr="00640EC9">
              <w:rPr>
                <w:color w:val="000000"/>
                <w:spacing w:val="51"/>
                <w:shd w:val="solid" w:color="000000" w:fill="000000"/>
                <w:fitText w:val="324" w:id="-961889788"/>
                <w14:textFill>
                  <w14:solidFill>
                    <w14:srgbClr w14:val="000000">
                      <w14:alpha w14:val="100000"/>
                    </w14:srgbClr>
                  </w14:solidFill>
                </w14:textFill>
              </w:rPr>
              <w:t>|||</w:t>
            </w:r>
            <w:r w:rsidR="00640EC9" w:rsidRPr="00640EC9">
              <w:rPr>
                <w:color w:val="000000"/>
                <w:spacing w:val="1"/>
                <w:shd w:val="solid" w:color="000000" w:fill="000000"/>
                <w:fitText w:val="324" w:id="-961889788"/>
                <w14:textFill>
                  <w14:solidFill>
                    <w14:srgbClr w14:val="000000">
                      <w14:alpha w14:val="100000"/>
                    </w14:srgbClr>
                  </w14:solidFill>
                </w14:textFill>
              </w:rPr>
              <w:t>|</w:t>
            </w:r>
            <w:r w:rsidRPr="009941F8">
              <w:t>%) were higher than the rates previously considered for belimumab (15-40%).</w:t>
            </w:r>
          </w:p>
        </w:tc>
      </w:tr>
      <w:tr w:rsidR="00A26972" w:rsidRPr="009941F8" w14:paraId="018A43ED" w14:textId="77777777" w:rsidTr="00233562">
        <w:tc>
          <w:tcPr>
            <w:tcW w:w="701" w:type="pct"/>
            <w:shd w:val="clear" w:color="auto" w:fill="auto"/>
            <w:vAlign w:val="center"/>
          </w:tcPr>
          <w:p w14:paraId="766D52F7" w14:textId="77777777" w:rsidR="00A26972" w:rsidRPr="009941F8" w:rsidRDefault="00A26972" w:rsidP="00FA3EC9">
            <w:pPr>
              <w:pStyle w:val="TableText0"/>
            </w:pPr>
            <w:r w:rsidRPr="009941F8">
              <w:t>Initiating patients</w:t>
            </w:r>
          </w:p>
        </w:tc>
        <w:tc>
          <w:tcPr>
            <w:tcW w:w="625" w:type="pct"/>
            <w:shd w:val="clear" w:color="auto" w:fill="auto"/>
            <w:vAlign w:val="center"/>
          </w:tcPr>
          <w:p w14:paraId="5B14C47E" w14:textId="284A5D70"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7"/>
                <w14:textFill>
                  <w14:solidFill>
                    <w14:srgbClr w14:val="000000">
                      <w14:alpha w14:val="100000"/>
                    </w14:srgbClr>
                  </w14:solidFill>
                </w14:textFill>
              </w:rPr>
              <w:t>|||</w:t>
            </w:r>
            <w:r w:rsidR="00640EC9" w:rsidRPr="00640EC9">
              <w:rPr>
                <w:color w:val="000000"/>
                <w:spacing w:val="1"/>
                <w:shd w:val="solid" w:color="000000" w:fill="000000"/>
                <w:fitText w:val="324" w:id="-961889787"/>
                <w14:textFill>
                  <w14:solidFill>
                    <w14:srgbClr w14:val="000000">
                      <w14:alpha w14:val="100000"/>
                    </w14:srgbClr>
                  </w14:solidFill>
                </w14:textFill>
              </w:rPr>
              <w:t>|</w:t>
            </w:r>
            <w:r w:rsidR="00AE67DA" w:rsidRPr="00AE67DA">
              <w:rPr>
                <w:vertAlign w:val="superscript"/>
              </w:rPr>
              <w:t>3</w:t>
            </w:r>
          </w:p>
          <w:p w14:paraId="46C2EBDE" w14:textId="4D295A77"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86"/>
                <w14:textFill>
                  <w14:solidFill>
                    <w14:srgbClr w14:val="000000">
                      <w14:alpha w14:val="100000"/>
                    </w14:srgbClr>
                  </w14:solidFill>
                </w14:textFill>
              </w:rPr>
              <w:t>|||</w:t>
            </w:r>
            <w:r w:rsidR="00640EC9" w:rsidRPr="00640EC9">
              <w:rPr>
                <w:color w:val="000000"/>
                <w:spacing w:val="1"/>
                <w:shd w:val="solid" w:color="000000" w:fill="000000"/>
                <w:fitText w:val="324" w:id="-961889786"/>
                <w14:textFill>
                  <w14:solidFill>
                    <w14:srgbClr w14:val="000000">
                      <w14:alpha w14:val="100000"/>
                    </w14:srgbClr>
                  </w14:solidFill>
                </w14:textFill>
              </w:rPr>
              <w:t>|</w:t>
            </w:r>
            <w:r w:rsidR="00AE67DA" w:rsidRPr="00AE67DA">
              <w:rPr>
                <w:vertAlign w:val="superscript"/>
              </w:rPr>
              <w:t>3</w:t>
            </w:r>
          </w:p>
          <w:p w14:paraId="3EDF722C" w14:textId="2BF866FA"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85"/>
                <w14:textFill>
                  <w14:solidFill>
                    <w14:srgbClr w14:val="000000">
                      <w14:alpha w14:val="100000"/>
                    </w14:srgbClr>
                  </w14:solidFill>
                </w14:textFill>
              </w:rPr>
              <w:t>|||</w:t>
            </w:r>
            <w:r w:rsidR="00640EC9" w:rsidRPr="00640EC9">
              <w:rPr>
                <w:color w:val="000000"/>
                <w:spacing w:val="1"/>
                <w:shd w:val="solid" w:color="000000" w:fill="000000"/>
                <w:fitText w:val="324" w:id="-961889785"/>
                <w14:textFill>
                  <w14:solidFill>
                    <w14:srgbClr w14:val="000000">
                      <w14:alpha w14:val="100000"/>
                    </w14:srgbClr>
                  </w14:solidFill>
                </w14:textFill>
              </w:rPr>
              <w:t>|</w:t>
            </w:r>
            <w:r w:rsidR="00686555" w:rsidRPr="00AE67DA">
              <w:rPr>
                <w:vertAlign w:val="superscript"/>
              </w:rPr>
              <w:t>3</w:t>
            </w:r>
          </w:p>
          <w:p w14:paraId="1D2BE99D" w14:textId="2A2680C2"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4"/>
                <w14:textFill>
                  <w14:solidFill>
                    <w14:srgbClr w14:val="000000">
                      <w14:alpha w14:val="100000"/>
                    </w14:srgbClr>
                  </w14:solidFill>
                </w14:textFill>
              </w:rPr>
              <w:t>|||</w:t>
            </w:r>
            <w:r w:rsidR="00640EC9" w:rsidRPr="00640EC9">
              <w:rPr>
                <w:color w:val="000000"/>
                <w:spacing w:val="1"/>
                <w:shd w:val="solid" w:color="000000" w:fill="000000"/>
                <w:fitText w:val="324" w:id="-961889784"/>
                <w14:textFill>
                  <w14:solidFill>
                    <w14:srgbClr w14:val="000000">
                      <w14:alpha w14:val="100000"/>
                    </w14:srgbClr>
                  </w14:solidFill>
                </w14:textFill>
              </w:rPr>
              <w:t>|</w:t>
            </w:r>
            <w:r w:rsidR="00AE67DA" w:rsidRPr="00AE67DA">
              <w:rPr>
                <w:vertAlign w:val="superscript"/>
              </w:rPr>
              <w:t>3</w:t>
            </w:r>
          </w:p>
          <w:p w14:paraId="38ADE787" w14:textId="7D2D1077"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3"/>
                <w14:textFill>
                  <w14:solidFill>
                    <w14:srgbClr w14:val="000000">
                      <w14:alpha w14:val="100000"/>
                    </w14:srgbClr>
                  </w14:solidFill>
                </w14:textFill>
              </w:rPr>
              <w:t>|||</w:t>
            </w:r>
            <w:r w:rsidR="00640EC9" w:rsidRPr="00640EC9">
              <w:rPr>
                <w:color w:val="000000"/>
                <w:spacing w:val="1"/>
                <w:shd w:val="solid" w:color="000000" w:fill="000000"/>
                <w:fitText w:val="324" w:id="-961889783"/>
                <w14:textFill>
                  <w14:solidFill>
                    <w14:srgbClr w14:val="000000">
                      <w14:alpha w14:val="100000"/>
                    </w14:srgbClr>
                  </w14:solidFill>
                </w14:textFill>
              </w:rPr>
              <w:t>|</w:t>
            </w:r>
            <w:r w:rsidR="00AE67DA" w:rsidRPr="00AE67DA">
              <w:rPr>
                <w:vertAlign w:val="superscript"/>
              </w:rPr>
              <w:t>3</w:t>
            </w:r>
          </w:p>
          <w:p w14:paraId="0298086E" w14:textId="4B121E36"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2"/>
                <w14:textFill>
                  <w14:solidFill>
                    <w14:srgbClr w14:val="000000">
                      <w14:alpha w14:val="100000"/>
                    </w14:srgbClr>
                  </w14:solidFill>
                </w14:textFill>
              </w:rPr>
              <w:t>|||</w:t>
            </w:r>
            <w:r w:rsidR="00640EC9" w:rsidRPr="00640EC9">
              <w:rPr>
                <w:color w:val="000000"/>
                <w:spacing w:val="1"/>
                <w:shd w:val="solid" w:color="000000" w:fill="000000"/>
                <w:fitText w:val="324" w:id="-961889782"/>
                <w14:textFill>
                  <w14:solidFill>
                    <w14:srgbClr w14:val="000000">
                      <w14:alpha w14:val="100000"/>
                    </w14:srgbClr>
                  </w14:solidFill>
                </w14:textFill>
              </w:rPr>
              <w:t>|</w:t>
            </w:r>
            <w:r w:rsidR="00AE67DA" w:rsidRPr="00AE67DA">
              <w:rPr>
                <w:vertAlign w:val="superscript"/>
              </w:rPr>
              <w:t>3</w:t>
            </w:r>
          </w:p>
        </w:tc>
        <w:tc>
          <w:tcPr>
            <w:tcW w:w="704" w:type="pct"/>
            <w:shd w:val="clear" w:color="auto" w:fill="auto"/>
            <w:vAlign w:val="center"/>
          </w:tcPr>
          <w:p w14:paraId="1D880408" w14:textId="70A857C0"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1"/>
                <w14:textFill>
                  <w14:solidFill>
                    <w14:srgbClr w14:val="000000">
                      <w14:alpha w14:val="100000"/>
                    </w14:srgbClr>
                  </w14:solidFill>
                </w14:textFill>
              </w:rPr>
              <w:t>|||</w:t>
            </w:r>
            <w:r w:rsidR="00640EC9" w:rsidRPr="00640EC9">
              <w:rPr>
                <w:color w:val="000000"/>
                <w:spacing w:val="1"/>
                <w:shd w:val="solid" w:color="000000" w:fill="000000"/>
                <w:fitText w:val="324" w:id="-961889781"/>
                <w14:textFill>
                  <w14:solidFill>
                    <w14:srgbClr w14:val="000000">
                      <w14:alpha w14:val="100000"/>
                    </w14:srgbClr>
                  </w14:solidFill>
                </w14:textFill>
              </w:rPr>
              <w:t>|</w:t>
            </w:r>
            <w:r w:rsidR="00AE67DA" w:rsidRPr="00AE67DA">
              <w:rPr>
                <w:vertAlign w:val="superscript"/>
              </w:rPr>
              <w:t>3</w:t>
            </w:r>
          </w:p>
          <w:p w14:paraId="060F76DC" w14:textId="586BF2D0"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80"/>
                <w14:textFill>
                  <w14:solidFill>
                    <w14:srgbClr w14:val="000000">
                      <w14:alpha w14:val="100000"/>
                    </w14:srgbClr>
                  </w14:solidFill>
                </w14:textFill>
              </w:rPr>
              <w:t>|||</w:t>
            </w:r>
            <w:r w:rsidR="00640EC9" w:rsidRPr="00640EC9">
              <w:rPr>
                <w:color w:val="000000"/>
                <w:spacing w:val="1"/>
                <w:shd w:val="solid" w:color="000000" w:fill="000000"/>
                <w:fitText w:val="324" w:id="-961889780"/>
                <w14:textFill>
                  <w14:solidFill>
                    <w14:srgbClr w14:val="000000">
                      <w14:alpha w14:val="100000"/>
                    </w14:srgbClr>
                  </w14:solidFill>
                </w14:textFill>
              </w:rPr>
              <w:t>|</w:t>
            </w:r>
            <w:r w:rsidR="00AE67DA" w:rsidRPr="00AE67DA">
              <w:rPr>
                <w:vertAlign w:val="superscript"/>
              </w:rPr>
              <w:t>3</w:t>
            </w:r>
          </w:p>
          <w:p w14:paraId="1A4F9923" w14:textId="0AB50BCD"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79"/>
                <w14:textFill>
                  <w14:solidFill>
                    <w14:srgbClr w14:val="000000">
                      <w14:alpha w14:val="100000"/>
                    </w14:srgbClr>
                  </w14:solidFill>
                </w14:textFill>
              </w:rPr>
              <w:t>|||</w:t>
            </w:r>
            <w:r w:rsidR="00640EC9" w:rsidRPr="00640EC9">
              <w:rPr>
                <w:color w:val="000000"/>
                <w:spacing w:val="1"/>
                <w:shd w:val="solid" w:color="000000" w:fill="000000"/>
                <w:fitText w:val="324" w:id="-961889779"/>
                <w14:textFill>
                  <w14:solidFill>
                    <w14:srgbClr w14:val="000000">
                      <w14:alpha w14:val="100000"/>
                    </w14:srgbClr>
                  </w14:solidFill>
                </w14:textFill>
              </w:rPr>
              <w:t>|</w:t>
            </w:r>
            <w:r w:rsidR="00AE67DA" w:rsidRPr="00AE67DA">
              <w:rPr>
                <w:vertAlign w:val="superscript"/>
              </w:rPr>
              <w:t>3</w:t>
            </w:r>
          </w:p>
          <w:p w14:paraId="7AB28491" w14:textId="3047F9DD"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78"/>
                <w14:textFill>
                  <w14:solidFill>
                    <w14:srgbClr w14:val="000000">
                      <w14:alpha w14:val="100000"/>
                    </w14:srgbClr>
                  </w14:solidFill>
                </w14:textFill>
              </w:rPr>
              <w:t>|||</w:t>
            </w:r>
            <w:r w:rsidR="00640EC9" w:rsidRPr="00640EC9">
              <w:rPr>
                <w:color w:val="000000"/>
                <w:spacing w:val="1"/>
                <w:shd w:val="solid" w:color="000000" w:fill="000000"/>
                <w:fitText w:val="324" w:id="-961889778"/>
                <w14:textFill>
                  <w14:solidFill>
                    <w14:srgbClr w14:val="000000">
                      <w14:alpha w14:val="100000"/>
                    </w14:srgbClr>
                  </w14:solidFill>
                </w14:textFill>
              </w:rPr>
              <w:t>|</w:t>
            </w:r>
            <w:r w:rsidR="00AE67DA" w:rsidRPr="00AE67DA">
              <w:rPr>
                <w:vertAlign w:val="superscript"/>
              </w:rPr>
              <w:t>3</w:t>
            </w:r>
          </w:p>
          <w:p w14:paraId="2D949900" w14:textId="2AA256D7"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77"/>
                <w14:textFill>
                  <w14:solidFill>
                    <w14:srgbClr w14:val="000000">
                      <w14:alpha w14:val="100000"/>
                    </w14:srgbClr>
                  </w14:solidFill>
                </w14:textFill>
              </w:rPr>
              <w:t>|||</w:t>
            </w:r>
            <w:r w:rsidR="00640EC9" w:rsidRPr="00640EC9">
              <w:rPr>
                <w:color w:val="000000"/>
                <w:spacing w:val="1"/>
                <w:shd w:val="solid" w:color="000000" w:fill="000000"/>
                <w:fitText w:val="324" w:id="-961889777"/>
                <w14:textFill>
                  <w14:solidFill>
                    <w14:srgbClr w14:val="000000">
                      <w14:alpha w14:val="100000"/>
                    </w14:srgbClr>
                  </w14:solidFill>
                </w14:textFill>
              </w:rPr>
              <w:t>|</w:t>
            </w:r>
            <w:r w:rsidR="00AE67DA" w:rsidRPr="00AE67DA">
              <w:rPr>
                <w:vertAlign w:val="superscript"/>
              </w:rPr>
              <w:t>3</w:t>
            </w:r>
          </w:p>
          <w:p w14:paraId="38BE6540" w14:textId="47AC4B31"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00AE67DA" w:rsidRPr="00AE67DA">
              <w:rPr>
                <w:vertAlign w:val="superscript"/>
              </w:rPr>
              <w:t>3</w:t>
            </w:r>
          </w:p>
        </w:tc>
        <w:tc>
          <w:tcPr>
            <w:tcW w:w="1329" w:type="pct"/>
            <w:shd w:val="clear" w:color="auto" w:fill="auto"/>
            <w:vAlign w:val="center"/>
          </w:tcPr>
          <w:p w14:paraId="7B3F1054" w14:textId="77777777" w:rsidR="00A26972" w:rsidRPr="009941F8" w:rsidRDefault="00A26972" w:rsidP="00FA3EC9">
            <w:pPr>
              <w:pStyle w:val="TableText0"/>
            </w:pPr>
            <w:r w:rsidRPr="009941F8">
              <w:t xml:space="preserve">Eligible population x uptake rate. </w:t>
            </w:r>
          </w:p>
        </w:tc>
        <w:tc>
          <w:tcPr>
            <w:tcW w:w="1641" w:type="pct"/>
            <w:shd w:val="clear" w:color="auto" w:fill="auto"/>
            <w:vAlign w:val="center"/>
          </w:tcPr>
          <w:p w14:paraId="3D625CAE" w14:textId="77777777" w:rsidR="00A26972" w:rsidRPr="009941F8" w:rsidRDefault="00A26972" w:rsidP="00FA3EC9">
            <w:pPr>
              <w:pStyle w:val="TableText0"/>
            </w:pPr>
            <w:r w:rsidRPr="009941F8">
              <w:t>Appropriate calculation.</w:t>
            </w:r>
          </w:p>
        </w:tc>
      </w:tr>
      <w:tr w:rsidR="00A26972" w:rsidRPr="009941F8" w14:paraId="45320394" w14:textId="77777777" w:rsidTr="00233562">
        <w:tc>
          <w:tcPr>
            <w:tcW w:w="701" w:type="pct"/>
            <w:shd w:val="clear" w:color="auto" w:fill="auto"/>
            <w:vAlign w:val="center"/>
          </w:tcPr>
          <w:p w14:paraId="305C7DDE" w14:textId="77777777" w:rsidR="00A26972" w:rsidRPr="009941F8" w:rsidRDefault="00A26972" w:rsidP="00FA3EC9">
            <w:pPr>
              <w:pStyle w:val="TableText0"/>
            </w:pPr>
            <w:r w:rsidRPr="009941F8">
              <w:lastRenderedPageBreak/>
              <w:t>Continuing patients</w:t>
            </w:r>
          </w:p>
        </w:tc>
        <w:tc>
          <w:tcPr>
            <w:tcW w:w="625" w:type="pct"/>
            <w:shd w:val="clear" w:color="auto" w:fill="auto"/>
            <w:vAlign w:val="center"/>
          </w:tcPr>
          <w:p w14:paraId="67556BEA" w14:textId="6AA40686"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00AE67DA" w:rsidRPr="00AE67DA">
              <w:rPr>
                <w:vertAlign w:val="superscript"/>
              </w:rPr>
              <w:t>3</w:t>
            </w:r>
          </w:p>
          <w:p w14:paraId="5319D32D" w14:textId="3EA6EA9F"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91"/>
                <w14:textFill>
                  <w14:solidFill>
                    <w14:srgbClr w14:val="000000">
                      <w14:alpha w14:val="100000"/>
                    </w14:srgbClr>
                  </w14:solidFill>
                </w14:textFill>
              </w:rPr>
              <w:t>|||</w:t>
            </w:r>
            <w:r w:rsidR="00640EC9" w:rsidRPr="00640EC9">
              <w:rPr>
                <w:color w:val="000000"/>
                <w:spacing w:val="1"/>
                <w:shd w:val="solid" w:color="000000" w:fill="000000"/>
                <w:fitText w:val="324" w:id="-961889791"/>
                <w14:textFill>
                  <w14:solidFill>
                    <w14:srgbClr w14:val="000000">
                      <w14:alpha w14:val="100000"/>
                    </w14:srgbClr>
                  </w14:solidFill>
                </w14:textFill>
              </w:rPr>
              <w:t>|</w:t>
            </w:r>
            <w:r w:rsidR="00AE67DA" w:rsidRPr="00AE67DA">
              <w:rPr>
                <w:vertAlign w:val="superscript"/>
              </w:rPr>
              <w:t>3</w:t>
            </w:r>
          </w:p>
          <w:p w14:paraId="20C73B5E" w14:textId="5DD730B6"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90"/>
                <w14:textFill>
                  <w14:solidFill>
                    <w14:srgbClr w14:val="000000">
                      <w14:alpha w14:val="100000"/>
                    </w14:srgbClr>
                  </w14:solidFill>
                </w14:textFill>
              </w:rPr>
              <w:t>|||</w:t>
            </w:r>
            <w:r w:rsidR="00640EC9" w:rsidRPr="00640EC9">
              <w:rPr>
                <w:color w:val="000000"/>
                <w:spacing w:val="1"/>
                <w:shd w:val="solid" w:color="000000" w:fill="000000"/>
                <w:fitText w:val="324" w:id="-961889790"/>
                <w14:textFill>
                  <w14:solidFill>
                    <w14:srgbClr w14:val="000000">
                      <w14:alpha w14:val="100000"/>
                    </w14:srgbClr>
                  </w14:solidFill>
                </w14:textFill>
              </w:rPr>
              <w:t>|</w:t>
            </w:r>
            <w:r w:rsidR="00AE67DA" w:rsidRPr="00AE67DA">
              <w:rPr>
                <w:vertAlign w:val="superscript"/>
              </w:rPr>
              <w:t>3</w:t>
            </w:r>
          </w:p>
          <w:p w14:paraId="163D4CB5" w14:textId="2F598EC1"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9"/>
                <w14:textFill>
                  <w14:solidFill>
                    <w14:srgbClr w14:val="000000">
                      <w14:alpha w14:val="100000"/>
                    </w14:srgbClr>
                  </w14:solidFill>
                </w14:textFill>
              </w:rPr>
              <w:t>|||</w:t>
            </w:r>
            <w:r w:rsidR="00640EC9" w:rsidRPr="00640EC9">
              <w:rPr>
                <w:color w:val="000000"/>
                <w:spacing w:val="1"/>
                <w:shd w:val="solid" w:color="000000" w:fill="000000"/>
                <w:fitText w:val="324" w:id="-961889789"/>
                <w14:textFill>
                  <w14:solidFill>
                    <w14:srgbClr w14:val="000000">
                      <w14:alpha w14:val="100000"/>
                    </w14:srgbClr>
                  </w14:solidFill>
                </w14:textFill>
              </w:rPr>
              <w:t>|</w:t>
            </w:r>
            <w:r w:rsidR="00AE67DA" w:rsidRPr="00AE67DA">
              <w:rPr>
                <w:vertAlign w:val="superscript"/>
              </w:rPr>
              <w:t>3</w:t>
            </w:r>
          </w:p>
          <w:p w14:paraId="48B48123" w14:textId="0703CC05"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8"/>
                <w14:textFill>
                  <w14:solidFill>
                    <w14:srgbClr w14:val="000000">
                      <w14:alpha w14:val="100000"/>
                    </w14:srgbClr>
                  </w14:solidFill>
                </w14:textFill>
              </w:rPr>
              <w:t>|||</w:t>
            </w:r>
            <w:r w:rsidR="00640EC9" w:rsidRPr="00640EC9">
              <w:rPr>
                <w:color w:val="000000"/>
                <w:spacing w:val="1"/>
                <w:shd w:val="solid" w:color="000000" w:fill="000000"/>
                <w:fitText w:val="324" w:id="-961889788"/>
                <w14:textFill>
                  <w14:solidFill>
                    <w14:srgbClr w14:val="000000">
                      <w14:alpha w14:val="100000"/>
                    </w14:srgbClr>
                  </w14:solidFill>
                </w14:textFill>
              </w:rPr>
              <w:t>|</w:t>
            </w:r>
            <w:r w:rsidR="00AE67DA" w:rsidRPr="00AE67DA">
              <w:rPr>
                <w:vertAlign w:val="superscript"/>
              </w:rPr>
              <w:t>3</w:t>
            </w:r>
          </w:p>
          <w:p w14:paraId="4FCAFD32" w14:textId="5914BC44"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7"/>
                <w14:textFill>
                  <w14:solidFill>
                    <w14:srgbClr w14:val="000000">
                      <w14:alpha w14:val="100000"/>
                    </w14:srgbClr>
                  </w14:solidFill>
                </w14:textFill>
              </w:rPr>
              <w:t>|||</w:t>
            </w:r>
            <w:r w:rsidR="00640EC9" w:rsidRPr="00640EC9">
              <w:rPr>
                <w:color w:val="000000"/>
                <w:spacing w:val="1"/>
                <w:shd w:val="solid" w:color="000000" w:fill="000000"/>
                <w:fitText w:val="324" w:id="-961889787"/>
                <w14:textFill>
                  <w14:solidFill>
                    <w14:srgbClr w14:val="000000">
                      <w14:alpha w14:val="100000"/>
                    </w14:srgbClr>
                  </w14:solidFill>
                </w14:textFill>
              </w:rPr>
              <w:t>|</w:t>
            </w:r>
            <w:r w:rsidR="00AE67DA" w:rsidRPr="00AE67DA">
              <w:rPr>
                <w:vertAlign w:val="superscript"/>
              </w:rPr>
              <w:t>3</w:t>
            </w:r>
          </w:p>
        </w:tc>
        <w:tc>
          <w:tcPr>
            <w:tcW w:w="704" w:type="pct"/>
            <w:shd w:val="clear" w:color="auto" w:fill="auto"/>
            <w:vAlign w:val="center"/>
          </w:tcPr>
          <w:p w14:paraId="39604D11" w14:textId="3AFC75C1"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6"/>
                <w14:textFill>
                  <w14:solidFill>
                    <w14:srgbClr w14:val="000000">
                      <w14:alpha w14:val="100000"/>
                    </w14:srgbClr>
                  </w14:solidFill>
                </w14:textFill>
              </w:rPr>
              <w:t>|||</w:t>
            </w:r>
            <w:r w:rsidR="00640EC9" w:rsidRPr="00640EC9">
              <w:rPr>
                <w:color w:val="000000"/>
                <w:spacing w:val="1"/>
                <w:shd w:val="solid" w:color="000000" w:fill="000000"/>
                <w:fitText w:val="324" w:id="-961889786"/>
                <w14:textFill>
                  <w14:solidFill>
                    <w14:srgbClr w14:val="000000">
                      <w14:alpha w14:val="100000"/>
                    </w14:srgbClr>
                  </w14:solidFill>
                </w14:textFill>
              </w:rPr>
              <w:t>|</w:t>
            </w:r>
            <w:r w:rsidR="00AE67DA" w:rsidRPr="00AE67DA">
              <w:rPr>
                <w:vertAlign w:val="superscript"/>
              </w:rPr>
              <w:t>4</w:t>
            </w:r>
          </w:p>
          <w:p w14:paraId="3E796037" w14:textId="35CCB14D"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85"/>
                <w14:textFill>
                  <w14:solidFill>
                    <w14:srgbClr w14:val="000000">
                      <w14:alpha w14:val="100000"/>
                    </w14:srgbClr>
                  </w14:solidFill>
                </w14:textFill>
              </w:rPr>
              <w:t>|||</w:t>
            </w:r>
            <w:r w:rsidR="00640EC9" w:rsidRPr="00640EC9">
              <w:rPr>
                <w:color w:val="000000"/>
                <w:spacing w:val="1"/>
                <w:shd w:val="solid" w:color="000000" w:fill="000000"/>
                <w:fitText w:val="324" w:id="-961889785"/>
                <w14:textFill>
                  <w14:solidFill>
                    <w14:srgbClr w14:val="000000">
                      <w14:alpha w14:val="100000"/>
                    </w14:srgbClr>
                  </w14:solidFill>
                </w14:textFill>
              </w:rPr>
              <w:t>|</w:t>
            </w:r>
            <w:r w:rsidR="00AE67DA" w:rsidRPr="00AE67DA">
              <w:rPr>
                <w:vertAlign w:val="superscript"/>
              </w:rPr>
              <w:t>4</w:t>
            </w:r>
          </w:p>
          <w:p w14:paraId="516CEC0E" w14:textId="3E2E0CE0"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84"/>
                <w14:textFill>
                  <w14:solidFill>
                    <w14:srgbClr w14:val="000000">
                      <w14:alpha w14:val="100000"/>
                    </w14:srgbClr>
                  </w14:solidFill>
                </w14:textFill>
              </w:rPr>
              <w:t>|||</w:t>
            </w:r>
            <w:r w:rsidR="00640EC9" w:rsidRPr="00640EC9">
              <w:rPr>
                <w:color w:val="000000"/>
                <w:spacing w:val="1"/>
                <w:shd w:val="solid" w:color="000000" w:fill="000000"/>
                <w:fitText w:val="324" w:id="-961889784"/>
                <w14:textFill>
                  <w14:solidFill>
                    <w14:srgbClr w14:val="000000">
                      <w14:alpha w14:val="100000"/>
                    </w14:srgbClr>
                  </w14:solidFill>
                </w14:textFill>
              </w:rPr>
              <w:t>|</w:t>
            </w:r>
            <w:r w:rsidR="00AE67DA" w:rsidRPr="00AE67DA">
              <w:rPr>
                <w:vertAlign w:val="superscript"/>
              </w:rPr>
              <w:t>4</w:t>
            </w:r>
          </w:p>
          <w:p w14:paraId="5AA8B944" w14:textId="6508669A"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3"/>
                <w14:textFill>
                  <w14:solidFill>
                    <w14:srgbClr w14:val="000000">
                      <w14:alpha w14:val="100000"/>
                    </w14:srgbClr>
                  </w14:solidFill>
                </w14:textFill>
              </w:rPr>
              <w:t>|||</w:t>
            </w:r>
            <w:r w:rsidR="00640EC9" w:rsidRPr="00640EC9">
              <w:rPr>
                <w:color w:val="000000"/>
                <w:spacing w:val="1"/>
                <w:shd w:val="solid" w:color="000000" w:fill="000000"/>
                <w:fitText w:val="324" w:id="-961889783"/>
                <w14:textFill>
                  <w14:solidFill>
                    <w14:srgbClr w14:val="000000">
                      <w14:alpha w14:val="100000"/>
                    </w14:srgbClr>
                  </w14:solidFill>
                </w14:textFill>
              </w:rPr>
              <w:t>|</w:t>
            </w:r>
            <w:r w:rsidR="00AE67DA" w:rsidRPr="00AE67DA">
              <w:rPr>
                <w:vertAlign w:val="superscript"/>
              </w:rPr>
              <w:t>4</w:t>
            </w:r>
          </w:p>
          <w:p w14:paraId="15D839ED" w14:textId="0154F2B2"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2"/>
                <w14:textFill>
                  <w14:solidFill>
                    <w14:srgbClr w14:val="000000">
                      <w14:alpha w14:val="100000"/>
                    </w14:srgbClr>
                  </w14:solidFill>
                </w14:textFill>
              </w:rPr>
              <w:t>|||</w:t>
            </w:r>
            <w:r w:rsidR="00640EC9" w:rsidRPr="00640EC9">
              <w:rPr>
                <w:color w:val="000000"/>
                <w:spacing w:val="1"/>
                <w:shd w:val="solid" w:color="000000" w:fill="000000"/>
                <w:fitText w:val="324" w:id="-961889782"/>
                <w14:textFill>
                  <w14:solidFill>
                    <w14:srgbClr w14:val="000000">
                      <w14:alpha w14:val="100000"/>
                    </w14:srgbClr>
                  </w14:solidFill>
                </w14:textFill>
              </w:rPr>
              <w:t>|</w:t>
            </w:r>
            <w:r w:rsidR="00AE67DA" w:rsidRPr="00AE67DA">
              <w:rPr>
                <w:vertAlign w:val="superscript"/>
              </w:rPr>
              <w:t>4</w:t>
            </w:r>
          </w:p>
          <w:p w14:paraId="2332F2DF" w14:textId="47D00A48"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1"/>
                <w14:textFill>
                  <w14:solidFill>
                    <w14:srgbClr w14:val="000000">
                      <w14:alpha w14:val="100000"/>
                    </w14:srgbClr>
                  </w14:solidFill>
                </w14:textFill>
              </w:rPr>
              <w:t>|||</w:t>
            </w:r>
            <w:r w:rsidR="00640EC9" w:rsidRPr="00640EC9">
              <w:rPr>
                <w:color w:val="000000"/>
                <w:spacing w:val="1"/>
                <w:shd w:val="solid" w:color="000000" w:fill="000000"/>
                <w:fitText w:val="324" w:id="-961889781"/>
                <w14:textFill>
                  <w14:solidFill>
                    <w14:srgbClr w14:val="000000">
                      <w14:alpha w14:val="100000"/>
                    </w14:srgbClr>
                  </w14:solidFill>
                </w14:textFill>
              </w:rPr>
              <w:t>|</w:t>
            </w:r>
            <w:r w:rsidR="00AE67DA" w:rsidRPr="00AE67DA">
              <w:rPr>
                <w:vertAlign w:val="superscript"/>
              </w:rPr>
              <w:t>4</w:t>
            </w:r>
          </w:p>
        </w:tc>
        <w:tc>
          <w:tcPr>
            <w:tcW w:w="1329" w:type="pct"/>
            <w:shd w:val="clear" w:color="auto" w:fill="auto"/>
            <w:vAlign w:val="center"/>
          </w:tcPr>
          <w:p w14:paraId="749C0A35" w14:textId="2F309777" w:rsidR="00A26972" w:rsidRPr="009941F8" w:rsidRDefault="00A26972" w:rsidP="00FA3EC9">
            <w:pPr>
              <w:pStyle w:val="TableText0"/>
            </w:pPr>
            <w:r w:rsidRPr="009941F8">
              <w:t xml:space="preserve">This resubmission assumed a continuation rate </w:t>
            </w:r>
            <w:r w:rsidR="00966B35" w:rsidRPr="009941F8">
              <w:t xml:space="preserve">at 6 months of </w:t>
            </w:r>
            <w:r w:rsidRPr="009941F8">
              <w:t xml:space="preserve">20.9% for those that initiate anifrolumab each year based on LLDAS response at 24 weeks in the TULIP trials. The </w:t>
            </w:r>
            <w:r w:rsidR="00B27268" w:rsidRPr="009941F8">
              <w:t>re</w:t>
            </w:r>
            <w:r w:rsidRPr="009941F8">
              <w:t>submission</w:t>
            </w:r>
            <w:r w:rsidR="006C0634" w:rsidRPr="009941F8">
              <w:t>’</w:t>
            </w:r>
            <w:r w:rsidRPr="009941F8">
              <w:t xml:space="preserve">s approach </w:t>
            </w:r>
            <w:r w:rsidR="006C0634" w:rsidRPr="009941F8">
              <w:t xml:space="preserve">did not </w:t>
            </w:r>
            <w:r w:rsidRPr="009941F8">
              <w:t>follow patients past the initiation year and implicitly allowed for retrials of anifrolumab, which was reasonable and permitted based on the requested restrictions.</w:t>
            </w:r>
          </w:p>
        </w:tc>
        <w:tc>
          <w:tcPr>
            <w:tcW w:w="1641" w:type="pct"/>
            <w:shd w:val="clear" w:color="auto" w:fill="auto"/>
            <w:vAlign w:val="center"/>
          </w:tcPr>
          <w:p w14:paraId="2140921C" w14:textId="59BC5BFB" w:rsidR="00A26972" w:rsidRPr="009941F8" w:rsidRDefault="00A26972" w:rsidP="00FA3EC9">
            <w:pPr>
              <w:pStyle w:val="TableText0"/>
            </w:pPr>
            <w:r w:rsidRPr="009941F8">
              <w:t>Reasonable.</w:t>
            </w:r>
            <w:r w:rsidR="00966B35" w:rsidRPr="009941F8">
              <w:t xml:space="preserve"> </w:t>
            </w:r>
          </w:p>
        </w:tc>
      </w:tr>
      <w:tr w:rsidR="00A26972" w:rsidRPr="009941F8" w14:paraId="3ACB8726" w14:textId="77777777" w:rsidTr="00233562">
        <w:tc>
          <w:tcPr>
            <w:tcW w:w="701" w:type="pct"/>
            <w:shd w:val="clear" w:color="auto" w:fill="auto"/>
            <w:vAlign w:val="center"/>
          </w:tcPr>
          <w:p w14:paraId="2AC02294" w14:textId="77777777" w:rsidR="00A26972" w:rsidRPr="009941F8" w:rsidRDefault="00A26972" w:rsidP="00FA3EC9">
            <w:pPr>
              <w:pStyle w:val="TableText0"/>
            </w:pPr>
            <w:r w:rsidRPr="009941F8">
              <w:t>Total number patient-years treated</w:t>
            </w:r>
          </w:p>
        </w:tc>
        <w:tc>
          <w:tcPr>
            <w:tcW w:w="625" w:type="pct"/>
            <w:shd w:val="clear" w:color="auto" w:fill="auto"/>
            <w:vAlign w:val="center"/>
          </w:tcPr>
          <w:p w14:paraId="27FB4B21" w14:textId="475D6F69"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0"/>
                <w14:textFill>
                  <w14:solidFill>
                    <w14:srgbClr w14:val="000000">
                      <w14:alpha w14:val="100000"/>
                    </w14:srgbClr>
                  </w14:solidFill>
                </w14:textFill>
              </w:rPr>
              <w:t>|||</w:t>
            </w:r>
            <w:r w:rsidR="00640EC9" w:rsidRPr="00640EC9">
              <w:rPr>
                <w:color w:val="000000"/>
                <w:spacing w:val="1"/>
                <w:shd w:val="solid" w:color="000000" w:fill="000000"/>
                <w:fitText w:val="324" w:id="-961889780"/>
                <w14:textFill>
                  <w14:solidFill>
                    <w14:srgbClr w14:val="000000">
                      <w14:alpha w14:val="100000"/>
                    </w14:srgbClr>
                  </w14:solidFill>
                </w14:textFill>
              </w:rPr>
              <w:t>|</w:t>
            </w:r>
            <w:r w:rsidR="00AE67DA" w:rsidRPr="00AE67DA">
              <w:rPr>
                <w:vertAlign w:val="superscript"/>
              </w:rPr>
              <w:t>3</w:t>
            </w:r>
          </w:p>
          <w:p w14:paraId="6E7DEFC7" w14:textId="49F281DE"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79"/>
                <w14:textFill>
                  <w14:solidFill>
                    <w14:srgbClr w14:val="000000">
                      <w14:alpha w14:val="100000"/>
                    </w14:srgbClr>
                  </w14:solidFill>
                </w14:textFill>
              </w:rPr>
              <w:t>|||</w:t>
            </w:r>
            <w:r w:rsidR="00640EC9" w:rsidRPr="00640EC9">
              <w:rPr>
                <w:color w:val="000000"/>
                <w:spacing w:val="1"/>
                <w:shd w:val="solid" w:color="000000" w:fill="000000"/>
                <w:fitText w:val="324" w:id="-961889779"/>
                <w14:textFill>
                  <w14:solidFill>
                    <w14:srgbClr w14:val="000000">
                      <w14:alpha w14:val="100000"/>
                    </w14:srgbClr>
                  </w14:solidFill>
                </w14:textFill>
              </w:rPr>
              <w:t>|</w:t>
            </w:r>
            <w:r w:rsidR="00AE67DA" w:rsidRPr="00AE67DA">
              <w:rPr>
                <w:vertAlign w:val="superscript"/>
              </w:rPr>
              <w:t>3</w:t>
            </w:r>
          </w:p>
          <w:p w14:paraId="7064875F" w14:textId="452BD681"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78"/>
                <w14:textFill>
                  <w14:solidFill>
                    <w14:srgbClr w14:val="000000">
                      <w14:alpha w14:val="100000"/>
                    </w14:srgbClr>
                  </w14:solidFill>
                </w14:textFill>
              </w:rPr>
              <w:t>|||</w:t>
            </w:r>
            <w:r w:rsidR="00640EC9" w:rsidRPr="00640EC9">
              <w:rPr>
                <w:color w:val="000000"/>
                <w:spacing w:val="1"/>
                <w:shd w:val="solid" w:color="000000" w:fill="000000"/>
                <w:fitText w:val="324" w:id="-961889778"/>
                <w14:textFill>
                  <w14:solidFill>
                    <w14:srgbClr w14:val="000000">
                      <w14:alpha w14:val="100000"/>
                    </w14:srgbClr>
                  </w14:solidFill>
                </w14:textFill>
              </w:rPr>
              <w:t>|</w:t>
            </w:r>
            <w:r w:rsidR="00AE67DA" w:rsidRPr="00AE67DA">
              <w:rPr>
                <w:vertAlign w:val="superscript"/>
              </w:rPr>
              <w:t>3</w:t>
            </w:r>
          </w:p>
          <w:p w14:paraId="5BAA3EDF" w14:textId="1FAFAE22"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77"/>
                <w14:textFill>
                  <w14:solidFill>
                    <w14:srgbClr w14:val="000000">
                      <w14:alpha w14:val="100000"/>
                    </w14:srgbClr>
                  </w14:solidFill>
                </w14:textFill>
              </w:rPr>
              <w:t>|||</w:t>
            </w:r>
            <w:r w:rsidR="00640EC9" w:rsidRPr="00640EC9">
              <w:rPr>
                <w:color w:val="000000"/>
                <w:spacing w:val="1"/>
                <w:shd w:val="solid" w:color="000000" w:fill="000000"/>
                <w:fitText w:val="324" w:id="-961889777"/>
                <w14:textFill>
                  <w14:solidFill>
                    <w14:srgbClr w14:val="000000">
                      <w14:alpha w14:val="100000"/>
                    </w14:srgbClr>
                  </w14:solidFill>
                </w14:textFill>
              </w:rPr>
              <w:t>|</w:t>
            </w:r>
            <w:r w:rsidR="00AE67DA" w:rsidRPr="00AE67DA">
              <w:rPr>
                <w:vertAlign w:val="superscript"/>
              </w:rPr>
              <w:t>3</w:t>
            </w:r>
          </w:p>
          <w:p w14:paraId="2D3AD87D" w14:textId="580A5787"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00AE67DA" w:rsidRPr="00AE67DA">
              <w:rPr>
                <w:vertAlign w:val="superscript"/>
              </w:rPr>
              <w:t>3</w:t>
            </w:r>
          </w:p>
          <w:p w14:paraId="45900754" w14:textId="1DB5095F"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00AE67DA" w:rsidRPr="00AE67DA">
              <w:rPr>
                <w:vertAlign w:val="superscript"/>
              </w:rPr>
              <w:t>3</w:t>
            </w:r>
          </w:p>
        </w:tc>
        <w:tc>
          <w:tcPr>
            <w:tcW w:w="704" w:type="pct"/>
            <w:shd w:val="clear" w:color="auto" w:fill="auto"/>
            <w:vAlign w:val="center"/>
          </w:tcPr>
          <w:p w14:paraId="41760C24" w14:textId="3A457AC4"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91"/>
                <w14:textFill>
                  <w14:solidFill>
                    <w14:srgbClr w14:val="000000">
                      <w14:alpha w14:val="100000"/>
                    </w14:srgbClr>
                  </w14:solidFill>
                </w14:textFill>
              </w:rPr>
              <w:t>|||</w:t>
            </w:r>
            <w:r w:rsidR="00640EC9" w:rsidRPr="00640EC9">
              <w:rPr>
                <w:color w:val="000000"/>
                <w:spacing w:val="1"/>
                <w:shd w:val="solid" w:color="000000" w:fill="000000"/>
                <w:fitText w:val="324" w:id="-961889791"/>
                <w14:textFill>
                  <w14:solidFill>
                    <w14:srgbClr w14:val="000000">
                      <w14:alpha w14:val="100000"/>
                    </w14:srgbClr>
                  </w14:solidFill>
                </w14:textFill>
              </w:rPr>
              <w:t>|</w:t>
            </w:r>
            <w:r w:rsidR="00AE67DA" w:rsidRPr="00AE67DA">
              <w:rPr>
                <w:vertAlign w:val="superscript"/>
              </w:rPr>
              <w:t>3</w:t>
            </w:r>
          </w:p>
          <w:p w14:paraId="68BC86C2" w14:textId="31BD5387"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90"/>
                <w14:textFill>
                  <w14:solidFill>
                    <w14:srgbClr w14:val="000000">
                      <w14:alpha w14:val="100000"/>
                    </w14:srgbClr>
                  </w14:solidFill>
                </w14:textFill>
              </w:rPr>
              <w:t>|||</w:t>
            </w:r>
            <w:r w:rsidR="00640EC9" w:rsidRPr="00640EC9">
              <w:rPr>
                <w:color w:val="000000"/>
                <w:spacing w:val="1"/>
                <w:shd w:val="solid" w:color="000000" w:fill="000000"/>
                <w:fitText w:val="324" w:id="-961889790"/>
                <w14:textFill>
                  <w14:solidFill>
                    <w14:srgbClr w14:val="000000">
                      <w14:alpha w14:val="100000"/>
                    </w14:srgbClr>
                  </w14:solidFill>
                </w14:textFill>
              </w:rPr>
              <w:t>|</w:t>
            </w:r>
            <w:r w:rsidR="00AE67DA" w:rsidRPr="00AE67DA">
              <w:rPr>
                <w:vertAlign w:val="superscript"/>
              </w:rPr>
              <w:t>3</w:t>
            </w:r>
          </w:p>
          <w:p w14:paraId="238ABDD5" w14:textId="5580E347"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89"/>
                <w14:textFill>
                  <w14:solidFill>
                    <w14:srgbClr w14:val="000000">
                      <w14:alpha w14:val="100000"/>
                    </w14:srgbClr>
                  </w14:solidFill>
                </w14:textFill>
              </w:rPr>
              <w:t>|||</w:t>
            </w:r>
            <w:r w:rsidR="00640EC9" w:rsidRPr="00640EC9">
              <w:rPr>
                <w:color w:val="000000"/>
                <w:spacing w:val="1"/>
                <w:shd w:val="solid" w:color="000000" w:fill="000000"/>
                <w:fitText w:val="324" w:id="-961889789"/>
                <w14:textFill>
                  <w14:solidFill>
                    <w14:srgbClr w14:val="000000">
                      <w14:alpha w14:val="100000"/>
                    </w14:srgbClr>
                  </w14:solidFill>
                </w14:textFill>
              </w:rPr>
              <w:t>|</w:t>
            </w:r>
            <w:r w:rsidR="00AE67DA" w:rsidRPr="00AE67DA">
              <w:rPr>
                <w:vertAlign w:val="superscript"/>
              </w:rPr>
              <w:t>3</w:t>
            </w:r>
          </w:p>
          <w:p w14:paraId="1CA169CD" w14:textId="764E4FBA"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8"/>
                <w14:textFill>
                  <w14:solidFill>
                    <w14:srgbClr w14:val="000000">
                      <w14:alpha w14:val="100000"/>
                    </w14:srgbClr>
                  </w14:solidFill>
                </w14:textFill>
              </w:rPr>
              <w:t>|||</w:t>
            </w:r>
            <w:r w:rsidR="00640EC9" w:rsidRPr="00640EC9">
              <w:rPr>
                <w:color w:val="000000"/>
                <w:spacing w:val="1"/>
                <w:shd w:val="solid" w:color="000000" w:fill="000000"/>
                <w:fitText w:val="324" w:id="-961889788"/>
                <w14:textFill>
                  <w14:solidFill>
                    <w14:srgbClr w14:val="000000">
                      <w14:alpha w14:val="100000"/>
                    </w14:srgbClr>
                  </w14:solidFill>
                </w14:textFill>
              </w:rPr>
              <w:t>|</w:t>
            </w:r>
            <w:r w:rsidR="00AE67DA" w:rsidRPr="00AE67DA">
              <w:rPr>
                <w:vertAlign w:val="superscript"/>
              </w:rPr>
              <w:t>3</w:t>
            </w:r>
          </w:p>
          <w:p w14:paraId="776493A5" w14:textId="2A3B6199"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7"/>
                <w14:textFill>
                  <w14:solidFill>
                    <w14:srgbClr w14:val="000000">
                      <w14:alpha w14:val="100000"/>
                    </w14:srgbClr>
                  </w14:solidFill>
                </w14:textFill>
              </w:rPr>
              <w:t>|||</w:t>
            </w:r>
            <w:r w:rsidR="00640EC9" w:rsidRPr="00640EC9">
              <w:rPr>
                <w:color w:val="000000"/>
                <w:spacing w:val="1"/>
                <w:shd w:val="solid" w:color="000000" w:fill="000000"/>
                <w:fitText w:val="324" w:id="-961889787"/>
                <w14:textFill>
                  <w14:solidFill>
                    <w14:srgbClr w14:val="000000">
                      <w14:alpha w14:val="100000"/>
                    </w14:srgbClr>
                  </w14:solidFill>
                </w14:textFill>
              </w:rPr>
              <w:t>|</w:t>
            </w:r>
            <w:r w:rsidR="00AE67DA" w:rsidRPr="00AE67DA">
              <w:rPr>
                <w:vertAlign w:val="superscript"/>
              </w:rPr>
              <w:t>3</w:t>
            </w:r>
          </w:p>
          <w:p w14:paraId="6881074B" w14:textId="5AB28958"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6"/>
                <w14:textFill>
                  <w14:solidFill>
                    <w14:srgbClr w14:val="000000">
                      <w14:alpha w14:val="100000"/>
                    </w14:srgbClr>
                  </w14:solidFill>
                </w14:textFill>
              </w:rPr>
              <w:t>|||</w:t>
            </w:r>
            <w:r w:rsidR="00640EC9" w:rsidRPr="00640EC9">
              <w:rPr>
                <w:color w:val="000000"/>
                <w:spacing w:val="1"/>
                <w:shd w:val="solid" w:color="000000" w:fill="000000"/>
                <w:fitText w:val="324" w:id="-961889786"/>
                <w14:textFill>
                  <w14:solidFill>
                    <w14:srgbClr w14:val="000000">
                      <w14:alpha w14:val="100000"/>
                    </w14:srgbClr>
                  </w14:solidFill>
                </w14:textFill>
              </w:rPr>
              <w:t>|</w:t>
            </w:r>
            <w:r w:rsidR="00AE67DA" w:rsidRPr="00AE67DA">
              <w:rPr>
                <w:vertAlign w:val="superscript"/>
              </w:rPr>
              <w:t>3</w:t>
            </w:r>
          </w:p>
        </w:tc>
        <w:tc>
          <w:tcPr>
            <w:tcW w:w="1329" w:type="pct"/>
            <w:shd w:val="clear" w:color="auto" w:fill="auto"/>
            <w:vAlign w:val="center"/>
          </w:tcPr>
          <w:p w14:paraId="3901A6E2" w14:textId="77113589" w:rsidR="00A26972" w:rsidRPr="009941F8" w:rsidRDefault="00A26972" w:rsidP="00FA3EC9">
            <w:pPr>
              <w:pStyle w:val="TableText0"/>
            </w:pPr>
            <w:r w:rsidRPr="009941F8">
              <w:t>Calculations assume patients who discontinue treatment did so after 6</w:t>
            </w:r>
            <w:r w:rsidR="004F2B97">
              <w:t xml:space="preserve"> </w:t>
            </w:r>
            <w:r w:rsidRPr="009941F8">
              <w:t>m</w:t>
            </w:r>
            <w:r w:rsidR="004F2B97">
              <w:t>on</w:t>
            </w:r>
            <w:r w:rsidRPr="009941F8">
              <w:t>th</w:t>
            </w:r>
            <w:r w:rsidR="004F2B97">
              <w:t>s</w:t>
            </w:r>
          </w:p>
        </w:tc>
        <w:tc>
          <w:tcPr>
            <w:tcW w:w="1641" w:type="pct"/>
            <w:shd w:val="clear" w:color="auto" w:fill="auto"/>
            <w:vAlign w:val="center"/>
          </w:tcPr>
          <w:p w14:paraId="0F6BEF64" w14:textId="77777777" w:rsidR="00A26972" w:rsidRPr="009941F8" w:rsidRDefault="00A26972" w:rsidP="00FA3EC9">
            <w:pPr>
              <w:pStyle w:val="TableText0"/>
            </w:pPr>
            <w:r w:rsidRPr="009941F8">
              <w:t>This was as per methodology outlined in the DUSC advice.</w:t>
            </w:r>
          </w:p>
        </w:tc>
      </w:tr>
      <w:tr w:rsidR="00A26972" w:rsidRPr="009941F8" w14:paraId="6ED77422" w14:textId="77777777" w:rsidTr="00233562">
        <w:tc>
          <w:tcPr>
            <w:tcW w:w="701" w:type="pct"/>
            <w:shd w:val="clear" w:color="auto" w:fill="auto"/>
            <w:vAlign w:val="center"/>
          </w:tcPr>
          <w:p w14:paraId="2D0CA302" w14:textId="77777777" w:rsidR="00A26972" w:rsidRPr="009941F8" w:rsidRDefault="00A26972" w:rsidP="00FA3EC9">
            <w:pPr>
              <w:pStyle w:val="TableText0"/>
            </w:pPr>
            <w:r w:rsidRPr="009941F8">
              <w:t>Scripts dispensed</w:t>
            </w:r>
          </w:p>
        </w:tc>
        <w:tc>
          <w:tcPr>
            <w:tcW w:w="625" w:type="pct"/>
            <w:shd w:val="clear" w:color="auto" w:fill="auto"/>
            <w:vAlign w:val="center"/>
          </w:tcPr>
          <w:p w14:paraId="58D65446" w14:textId="531FE5FB"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85"/>
                <w14:textFill>
                  <w14:solidFill>
                    <w14:srgbClr w14:val="000000">
                      <w14:alpha w14:val="100000"/>
                    </w14:srgbClr>
                  </w14:solidFill>
                </w14:textFill>
              </w:rPr>
              <w:t>|||</w:t>
            </w:r>
            <w:r w:rsidR="00640EC9" w:rsidRPr="00640EC9">
              <w:rPr>
                <w:color w:val="000000"/>
                <w:spacing w:val="1"/>
                <w:shd w:val="solid" w:color="000000" w:fill="000000"/>
                <w:fitText w:val="324" w:id="-961889785"/>
                <w14:textFill>
                  <w14:solidFill>
                    <w14:srgbClr w14:val="000000">
                      <w14:alpha w14:val="100000"/>
                    </w14:srgbClr>
                  </w14:solidFill>
                </w14:textFill>
              </w:rPr>
              <w:t>|</w:t>
            </w:r>
            <w:r w:rsidR="00AE67DA" w:rsidRPr="00AE67DA">
              <w:rPr>
                <w:vertAlign w:val="superscript"/>
              </w:rPr>
              <w:t>2</w:t>
            </w:r>
          </w:p>
          <w:p w14:paraId="316BE563" w14:textId="2829D336"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84"/>
                <w14:textFill>
                  <w14:solidFill>
                    <w14:srgbClr w14:val="000000">
                      <w14:alpha w14:val="100000"/>
                    </w14:srgbClr>
                  </w14:solidFill>
                </w14:textFill>
              </w:rPr>
              <w:t>|||</w:t>
            </w:r>
            <w:r w:rsidR="00640EC9" w:rsidRPr="00640EC9">
              <w:rPr>
                <w:color w:val="000000"/>
                <w:spacing w:val="1"/>
                <w:shd w:val="solid" w:color="000000" w:fill="000000"/>
                <w:fitText w:val="324" w:id="-961889784"/>
                <w14:textFill>
                  <w14:solidFill>
                    <w14:srgbClr w14:val="000000">
                      <w14:alpha w14:val="100000"/>
                    </w14:srgbClr>
                  </w14:solidFill>
                </w14:textFill>
              </w:rPr>
              <w:t>|</w:t>
            </w:r>
            <w:r w:rsidR="00AE67DA" w:rsidRPr="00AE67DA">
              <w:rPr>
                <w:vertAlign w:val="superscript"/>
              </w:rPr>
              <w:t>2</w:t>
            </w:r>
          </w:p>
          <w:p w14:paraId="134BC648" w14:textId="5BF3121D"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83"/>
                <w14:textFill>
                  <w14:solidFill>
                    <w14:srgbClr w14:val="000000">
                      <w14:alpha w14:val="100000"/>
                    </w14:srgbClr>
                  </w14:solidFill>
                </w14:textFill>
              </w:rPr>
              <w:t>|||</w:t>
            </w:r>
            <w:r w:rsidR="00640EC9" w:rsidRPr="00640EC9">
              <w:rPr>
                <w:color w:val="000000"/>
                <w:spacing w:val="1"/>
                <w:shd w:val="solid" w:color="000000" w:fill="000000"/>
                <w:fitText w:val="324" w:id="-961889783"/>
                <w14:textFill>
                  <w14:solidFill>
                    <w14:srgbClr w14:val="000000">
                      <w14:alpha w14:val="100000"/>
                    </w14:srgbClr>
                  </w14:solidFill>
                </w14:textFill>
              </w:rPr>
              <w:t>|</w:t>
            </w:r>
            <w:r w:rsidR="00AE67DA" w:rsidRPr="00AE67DA">
              <w:rPr>
                <w:vertAlign w:val="superscript"/>
              </w:rPr>
              <w:t>2</w:t>
            </w:r>
            <w:r w:rsidRPr="009941F8">
              <w:t xml:space="preserve"> </w:t>
            </w:r>
          </w:p>
          <w:p w14:paraId="5D027E4A" w14:textId="3850D3F0"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82"/>
                <w14:textFill>
                  <w14:solidFill>
                    <w14:srgbClr w14:val="000000">
                      <w14:alpha w14:val="100000"/>
                    </w14:srgbClr>
                  </w14:solidFill>
                </w14:textFill>
              </w:rPr>
              <w:t>|||</w:t>
            </w:r>
            <w:r w:rsidR="00640EC9" w:rsidRPr="00640EC9">
              <w:rPr>
                <w:color w:val="000000"/>
                <w:spacing w:val="1"/>
                <w:shd w:val="solid" w:color="000000" w:fill="000000"/>
                <w:fitText w:val="324" w:id="-961889782"/>
                <w14:textFill>
                  <w14:solidFill>
                    <w14:srgbClr w14:val="000000">
                      <w14:alpha w14:val="100000"/>
                    </w14:srgbClr>
                  </w14:solidFill>
                </w14:textFill>
              </w:rPr>
              <w:t>|</w:t>
            </w:r>
            <w:r w:rsidR="00686555">
              <w:rPr>
                <w:vertAlign w:val="superscript"/>
              </w:rPr>
              <w:t>6</w:t>
            </w:r>
          </w:p>
          <w:p w14:paraId="43B3B752" w14:textId="3222F5AA"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81"/>
                <w14:textFill>
                  <w14:solidFill>
                    <w14:srgbClr w14:val="000000">
                      <w14:alpha w14:val="100000"/>
                    </w14:srgbClr>
                  </w14:solidFill>
                </w14:textFill>
              </w:rPr>
              <w:t>|||</w:t>
            </w:r>
            <w:r w:rsidR="00640EC9" w:rsidRPr="00640EC9">
              <w:rPr>
                <w:color w:val="000000"/>
                <w:spacing w:val="1"/>
                <w:shd w:val="solid" w:color="000000" w:fill="000000"/>
                <w:fitText w:val="324" w:id="-961889781"/>
                <w14:textFill>
                  <w14:solidFill>
                    <w14:srgbClr w14:val="000000">
                      <w14:alpha w14:val="100000"/>
                    </w14:srgbClr>
                  </w14:solidFill>
                </w14:textFill>
              </w:rPr>
              <w:t>|</w:t>
            </w:r>
            <w:r w:rsidRPr="009941F8">
              <w:t xml:space="preserve"> </w:t>
            </w:r>
            <w:r w:rsidR="00686555">
              <w:rPr>
                <w:vertAlign w:val="superscript"/>
              </w:rPr>
              <w:t>6</w:t>
            </w:r>
          </w:p>
          <w:p w14:paraId="608CA7D8" w14:textId="4F281CED"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80"/>
                <w14:textFill>
                  <w14:solidFill>
                    <w14:srgbClr w14:val="000000">
                      <w14:alpha w14:val="100000"/>
                    </w14:srgbClr>
                  </w14:solidFill>
                </w14:textFill>
              </w:rPr>
              <w:t>|||</w:t>
            </w:r>
            <w:r w:rsidR="00640EC9" w:rsidRPr="00640EC9">
              <w:rPr>
                <w:color w:val="000000"/>
                <w:spacing w:val="1"/>
                <w:shd w:val="solid" w:color="000000" w:fill="000000"/>
                <w:fitText w:val="324" w:id="-961889780"/>
                <w14:textFill>
                  <w14:solidFill>
                    <w14:srgbClr w14:val="000000">
                      <w14:alpha w14:val="100000"/>
                    </w14:srgbClr>
                  </w14:solidFill>
                </w14:textFill>
              </w:rPr>
              <w:t>|</w:t>
            </w:r>
            <w:r w:rsidR="00686555">
              <w:rPr>
                <w:vertAlign w:val="superscript"/>
              </w:rPr>
              <w:t>6</w:t>
            </w:r>
          </w:p>
        </w:tc>
        <w:tc>
          <w:tcPr>
            <w:tcW w:w="704" w:type="pct"/>
            <w:shd w:val="clear" w:color="auto" w:fill="auto"/>
            <w:vAlign w:val="center"/>
          </w:tcPr>
          <w:p w14:paraId="0F0FE842" w14:textId="7AF02567" w:rsidR="00A26972" w:rsidRPr="009941F8" w:rsidRDefault="00A26972" w:rsidP="00FA3EC9">
            <w:pPr>
              <w:pStyle w:val="TableText0"/>
            </w:pPr>
            <w:r w:rsidRPr="009941F8">
              <w:t xml:space="preserve">Yr 1: </w:t>
            </w:r>
            <w:r w:rsidR="00640EC9" w:rsidRPr="00640EC9">
              <w:rPr>
                <w:color w:val="000000"/>
                <w:spacing w:val="51"/>
                <w:shd w:val="solid" w:color="000000" w:fill="000000"/>
                <w:fitText w:val="324" w:id="-961889779"/>
                <w14:textFill>
                  <w14:solidFill>
                    <w14:srgbClr w14:val="000000">
                      <w14:alpha w14:val="100000"/>
                    </w14:srgbClr>
                  </w14:solidFill>
                </w14:textFill>
              </w:rPr>
              <w:t>|||</w:t>
            </w:r>
            <w:r w:rsidR="00640EC9" w:rsidRPr="00640EC9">
              <w:rPr>
                <w:color w:val="000000"/>
                <w:spacing w:val="1"/>
                <w:shd w:val="solid" w:color="000000" w:fill="000000"/>
                <w:fitText w:val="324" w:id="-961889779"/>
                <w14:textFill>
                  <w14:solidFill>
                    <w14:srgbClr w14:val="000000">
                      <w14:alpha w14:val="100000"/>
                    </w14:srgbClr>
                  </w14:solidFill>
                </w14:textFill>
              </w:rPr>
              <w:t>|</w:t>
            </w:r>
            <w:r w:rsidR="00686555">
              <w:rPr>
                <w:vertAlign w:val="superscript"/>
              </w:rPr>
              <w:t>5</w:t>
            </w:r>
          </w:p>
          <w:p w14:paraId="704DD6D5" w14:textId="002F1B69" w:rsidR="00A26972" w:rsidRPr="009941F8" w:rsidRDefault="00A26972" w:rsidP="00FA3EC9">
            <w:pPr>
              <w:pStyle w:val="TableText0"/>
            </w:pPr>
            <w:r w:rsidRPr="009941F8">
              <w:t xml:space="preserve">Yr 2: </w:t>
            </w:r>
            <w:r w:rsidR="00640EC9" w:rsidRPr="00640EC9">
              <w:rPr>
                <w:color w:val="000000"/>
                <w:spacing w:val="51"/>
                <w:shd w:val="solid" w:color="000000" w:fill="000000"/>
                <w:fitText w:val="324" w:id="-961889778"/>
                <w14:textFill>
                  <w14:solidFill>
                    <w14:srgbClr w14:val="000000">
                      <w14:alpha w14:val="100000"/>
                    </w14:srgbClr>
                  </w14:solidFill>
                </w14:textFill>
              </w:rPr>
              <w:t>|||</w:t>
            </w:r>
            <w:r w:rsidR="00640EC9" w:rsidRPr="00640EC9">
              <w:rPr>
                <w:color w:val="000000"/>
                <w:spacing w:val="1"/>
                <w:shd w:val="solid" w:color="000000" w:fill="000000"/>
                <w:fitText w:val="324" w:id="-961889778"/>
                <w14:textFill>
                  <w14:solidFill>
                    <w14:srgbClr w14:val="000000">
                      <w14:alpha w14:val="100000"/>
                    </w14:srgbClr>
                  </w14:solidFill>
                </w14:textFill>
              </w:rPr>
              <w:t>|</w:t>
            </w:r>
            <w:r w:rsidR="00686555">
              <w:rPr>
                <w:vertAlign w:val="superscript"/>
              </w:rPr>
              <w:t>5</w:t>
            </w:r>
          </w:p>
          <w:p w14:paraId="7537A5AF" w14:textId="14D15029" w:rsidR="00A26972" w:rsidRPr="009941F8" w:rsidRDefault="00A26972" w:rsidP="00FA3EC9">
            <w:pPr>
              <w:pStyle w:val="TableText0"/>
            </w:pPr>
            <w:r w:rsidRPr="009941F8">
              <w:t xml:space="preserve">Yr 3: </w:t>
            </w:r>
            <w:r w:rsidR="00640EC9" w:rsidRPr="00640EC9">
              <w:rPr>
                <w:color w:val="000000"/>
                <w:spacing w:val="51"/>
                <w:shd w:val="solid" w:color="000000" w:fill="000000"/>
                <w:fitText w:val="324" w:id="-961889777"/>
                <w14:textFill>
                  <w14:solidFill>
                    <w14:srgbClr w14:val="000000">
                      <w14:alpha w14:val="100000"/>
                    </w14:srgbClr>
                  </w14:solidFill>
                </w14:textFill>
              </w:rPr>
              <w:t>|||</w:t>
            </w:r>
            <w:r w:rsidR="00640EC9" w:rsidRPr="00640EC9">
              <w:rPr>
                <w:color w:val="000000"/>
                <w:spacing w:val="1"/>
                <w:shd w:val="solid" w:color="000000" w:fill="000000"/>
                <w:fitText w:val="324" w:id="-961889777"/>
                <w14:textFill>
                  <w14:solidFill>
                    <w14:srgbClr w14:val="000000">
                      <w14:alpha w14:val="100000"/>
                    </w14:srgbClr>
                  </w14:solidFill>
                </w14:textFill>
              </w:rPr>
              <w:t>|</w:t>
            </w:r>
            <w:r w:rsidR="00686555">
              <w:rPr>
                <w:vertAlign w:val="superscript"/>
              </w:rPr>
              <w:t>5</w:t>
            </w:r>
          </w:p>
          <w:p w14:paraId="72DC1199" w14:textId="52084FD3" w:rsidR="00A26972" w:rsidRPr="009941F8" w:rsidRDefault="00A26972" w:rsidP="00FA3EC9">
            <w:pPr>
              <w:pStyle w:val="TableText0"/>
            </w:pPr>
            <w:r w:rsidRPr="009941F8">
              <w:t xml:space="preserve">Yr 4: </w:t>
            </w:r>
            <w:r w:rsidR="00640EC9" w:rsidRPr="00640EC9">
              <w:rPr>
                <w:color w:val="000000"/>
                <w:spacing w:val="51"/>
                <w:shd w:val="solid" w:color="000000" w:fill="000000"/>
                <w:fitText w:val="324" w:id="-961889776"/>
                <w14:textFill>
                  <w14:solidFill>
                    <w14:srgbClr w14:val="000000">
                      <w14:alpha w14:val="100000"/>
                    </w14:srgbClr>
                  </w14:solidFill>
                </w14:textFill>
              </w:rPr>
              <w:t>|||</w:t>
            </w:r>
            <w:r w:rsidR="00640EC9" w:rsidRPr="00640EC9">
              <w:rPr>
                <w:color w:val="000000"/>
                <w:spacing w:val="1"/>
                <w:shd w:val="solid" w:color="000000" w:fill="000000"/>
                <w:fitText w:val="324" w:id="-961889776"/>
                <w14:textFill>
                  <w14:solidFill>
                    <w14:srgbClr w14:val="000000">
                      <w14:alpha w14:val="100000"/>
                    </w14:srgbClr>
                  </w14:solidFill>
                </w14:textFill>
              </w:rPr>
              <w:t>|</w:t>
            </w:r>
            <w:r w:rsidR="00AE67DA" w:rsidRPr="00AE67DA">
              <w:rPr>
                <w:vertAlign w:val="superscript"/>
              </w:rPr>
              <w:t>1</w:t>
            </w:r>
          </w:p>
          <w:p w14:paraId="7F9C117D" w14:textId="79803CFC" w:rsidR="00A26972" w:rsidRPr="009941F8" w:rsidRDefault="00A26972" w:rsidP="00FA3EC9">
            <w:pPr>
              <w:pStyle w:val="TableText0"/>
            </w:pPr>
            <w:r w:rsidRPr="009941F8">
              <w:t xml:space="preserve">Yr 5: </w:t>
            </w:r>
            <w:r w:rsidR="00640EC9" w:rsidRPr="00640EC9">
              <w:rPr>
                <w:color w:val="000000"/>
                <w:spacing w:val="51"/>
                <w:shd w:val="solid" w:color="000000" w:fill="000000"/>
                <w:fitText w:val="324" w:id="-961889792"/>
                <w14:textFill>
                  <w14:solidFill>
                    <w14:srgbClr w14:val="000000">
                      <w14:alpha w14:val="100000"/>
                    </w14:srgbClr>
                  </w14:solidFill>
                </w14:textFill>
              </w:rPr>
              <w:t>|||</w:t>
            </w:r>
            <w:r w:rsidR="00640EC9" w:rsidRPr="00640EC9">
              <w:rPr>
                <w:color w:val="000000"/>
                <w:spacing w:val="1"/>
                <w:shd w:val="solid" w:color="000000" w:fill="000000"/>
                <w:fitText w:val="324" w:id="-961889792"/>
                <w14:textFill>
                  <w14:solidFill>
                    <w14:srgbClr w14:val="000000">
                      <w14:alpha w14:val="100000"/>
                    </w14:srgbClr>
                  </w14:solidFill>
                </w14:textFill>
              </w:rPr>
              <w:t>|</w:t>
            </w:r>
            <w:r w:rsidR="00AE67DA" w:rsidRPr="00AE67DA">
              <w:rPr>
                <w:vertAlign w:val="superscript"/>
              </w:rPr>
              <w:t>1</w:t>
            </w:r>
          </w:p>
          <w:p w14:paraId="2157F2CE" w14:textId="15487843" w:rsidR="00A26972" w:rsidRPr="009941F8" w:rsidRDefault="00A26972" w:rsidP="00FA3EC9">
            <w:pPr>
              <w:pStyle w:val="TableText0"/>
            </w:pPr>
            <w:r w:rsidRPr="009941F8">
              <w:t xml:space="preserve">Yr 6: </w:t>
            </w:r>
            <w:r w:rsidR="00640EC9" w:rsidRPr="00640EC9">
              <w:rPr>
                <w:color w:val="000000"/>
                <w:spacing w:val="51"/>
                <w:shd w:val="solid" w:color="000000" w:fill="000000"/>
                <w:fitText w:val="324" w:id="-961889791"/>
                <w14:textFill>
                  <w14:solidFill>
                    <w14:srgbClr w14:val="000000">
                      <w14:alpha w14:val="100000"/>
                    </w14:srgbClr>
                  </w14:solidFill>
                </w14:textFill>
              </w:rPr>
              <w:t>|||</w:t>
            </w:r>
            <w:r w:rsidR="00640EC9" w:rsidRPr="00640EC9">
              <w:rPr>
                <w:color w:val="000000"/>
                <w:spacing w:val="1"/>
                <w:shd w:val="solid" w:color="000000" w:fill="000000"/>
                <w:fitText w:val="324" w:id="-961889791"/>
                <w14:textFill>
                  <w14:solidFill>
                    <w14:srgbClr w14:val="000000">
                      <w14:alpha w14:val="100000"/>
                    </w14:srgbClr>
                  </w14:solidFill>
                </w14:textFill>
              </w:rPr>
              <w:t>|</w:t>
            </w:r>
            <w:r w:rsidR="00AE67DA" w:rsidRPr="00AE67DA">
              <w:rPr>
                <w:vertAlign w:val="superscript"/>
              </w:rPr>
              <w:t>1</w:t>
            </w:r>
          </w:p>
        </w:tc>
        <w:tc>
          <w:tcPr>
            <w:tcW w:w="1329" w:type="pct"/>
            <w:shd w:val="clear" w:color="auto" w:fill="auto"/>
            <w:vAlign w:val="center"/>
          </w:tcPr>
          <w:p w14:paraId="460A8F32" w14:textId="77777777" w:rsidR="00A26972" w:rsidRPr="009941F8" w:rsidRDefault="00A26972" w:rsidP="00FA3EC9">
            <w:pPr>
              <w:pStyle w:val="TableText0"/>
            </w:pPr>
            <w:r w:rsidRPr="009941F8">
              <w:t xml:space="preserve">12.39 scripts per patient-year (13.04 scripts assuming 95% compliance). </w:t>
            </w:r>
          </w:p>
        </w:tc>
        <w:tc>
          <w:tcPr>
            <w:tcW w:w="1641" w:type="pct"/>
            <w:shd w:val="clear" w:color="auto" w:fill="auto"/>
            <w:vAlign w:val="center"/>
          </w:tcPr>
          <w:p w14:paraId="1E243A26" w14:textId="77777777" w:rsidR="00A26972" w:rsidRPr="009941F8" w:rsidRDefault="00A26972" w:rsidP="00FA3EC9">
            <w:pPr>
              <w:pStyle w:val="TableText0"/>
            </w:pPr>
            <w:r w:rsidRPr="009941F8">
              <w:t>Calculations arithmetically correct. As with previous resubmission this differed to the assumed 100% compliance in the model with 13 scripts per patient year.</w:t>
            </w:r>
          </w:p>
        </w:tc>
      </w:tr>
      <w:tr w:rsidR="00A26972" w:rsidRPr="009941F8" w14:paraId="3F3BFCFF" w14:textId="77777777" w:rsidTr="00E706BA">
        <w:tc>
          <w:tcPr>
            <w:tcW w:w="5000" w:type="pct"/>
            <w:gridSpan w:val="5"/>
            <w:shd w:val="clear" w:color="auto" w:fill="auto"/>
            <w:vAlign w:val="center"/>
          </w:tcPr>
          <w:p w14:paraId="5A8F1C42" w14:textId="77777777" w:rsidR="00A26972" w:rsidRPr="009941F8" w:rsidRDefault="00A26972" w:rsidP="00FA3EC9">
            <w:pPr>
              <w:pStyle w:val="TableText0"/>
              <w:rPr>
                <w:b/>
              </w:rPr>
            </w:pPr>
            <w:r w:rsidRPr="009941F8">
              <w:rPr>
                <w:b/>
              </w:rPr>
              <w:t>Costs</w:t>
            </w:r>
          </w:p>
        </w:tc>
      </w:tr>
      <w:tr w:rsidR="00A26972" w:rsidRPr="009941F8" w14:paraId="7DF63803" w14:textId="77777777" w:rsidTr="00233562">
        <w:tc>
          <w:tcPr>
            <w:tcW w:w="701" w:type="pct"/>
            <w:shd w:val="clear" w:color="auto" w:fill="auto"/>
            <w:vAlign w:val="center"/>
          </w:tcPr>
          <w:p w14:paraId="7B65A77D" w14:textId="77777777" w:rsidR="00A26972" w:rsidRPr="009941F8" w:rsidRDefault="00A26972" w:rsidP="00FA3EC9">
            <w:pPr>
              <w:pStyle w:val="TableText0"/>
            </w:pPr>
            <w:r w:rsidRPr="009941F8">
              <w:t>Public/private split</w:t>
            </w:r>
          </w:p>
        </w:tc>
        <w:tc>
          <w:tcPr>
            <w:tcW w:w="625" w:type="pct"/>
            <w:shd w:val="clear" w:color="auto" w:fill="auto"/>
            <w:vAlign w:val="center"/>
          </w:tcPr>
          <w:p w14:paraId="05D752FC" w14:textId="77777777" w:rsidR="00A26972" w:rsidRPr="009941F8" w:rsidRDefault="00A26972" w:rsidP="00FA3EC9">
            <w:pPr>
              <w:pStyle w:val="TableText0"/>
            </w:pPr>
            <w:r w:rsidRPr="009941F8">
              <w:t>Public: 65.96%</w:t>
            </w:r>
          </w:p>
          <w:p w14:paraId="309748AB" w14:textId="33704634" w:rsidR="00A26972" w:rsidRPr="009941F8" w:rsidRDefault="00A26972" w:rsidP="00FA3EC9">
            <w:pPr>
              <w:pStyle w:val="TableText0"/>
            </w:pPr>
            <w:r w:rsidRPr="009941F8">
              <w:t>Private:</w:t>
            </w:r>
            <w:r w:rsidR="004F2B97">
              <w:t xml:space="preserve"> </w:t>
            </w:r>
            <w:r w:rsidRPr="009941F8">
              <w:t>34.04%</w:t>
            </w:r>
          </w:p>
        </w:tc>
        <w:tc>
          <w:tcPr>
            <w:tcW w:w="704" w:type="pct"/>
            <w:shd w:val="clear" w:color="auto" w:fill="auto"/>
            <w:vAlign w:val="center"/>
          </w:tcPr>
          <w:p w14:paraId="36CB87A9" w14:textId="77777777" w:rsidR="00A26972" w:rsidRPr="009941F8" w:rsidRDefault="00A26972" w:rsidP="00FA3EC9">
            <w:pPr>
              <w:pStyle w:val="TableText0"/>
            </w:pPr>
            <w:r w:rsidRPr="009941F8">
              <w:t>Public: 55.98%</w:t>
            </w:r>
          </w:p>
          <w:p w14:paraId="3920396F" w14:textId="77777777" w:rsidR="00A26972" w:rsidRPr="009941F8" w:rsidRDefault="00A26972" w:rsidP="00FA3EC9">
            <w:pPr>
              <w:pStyle w:val="TableText0"/>
            </w:pPr>
            <w:r w:rsidRPr="009941F8">
              <w:t>Private:44.02%</w:t>
            </w:r>
          </w:p>
        </w:tc>
        <w:tc>
          <w:tcPr>
            <w:tcW w:w="1329" w:type="pct"/>
            <w:shd w:val="clear" w:color="auto" w:fill="auto"/>
            <w:vAlign w:val="center"/>
          </w:tcPr>
          <w:p w14:paraId="24482567" w14:textId="77777777" w:rsidR="00A26972" w:rsidRPr="009941F8" w:rsidRDefault="00A26972" w:rsidP="00FA3EC9">
            <w:pPr>
              <w:pStyle w:val="TableText0"/>
            </w:pPr>
            <w:r w:rsidRPr="009941F8">
              <w:t>Infliximab use 2022 (PBS items 6397Q, 11483J, 11487N, 5757B, 11481G, 11490R)</w:t>
            </w:r>
          </w:p>
        </w:tc>
        <w:tc>
          <w:tcPr>
            <w:tcW w:w="1641" w:type="pct"/>
            <w:vMerge w:val="restart"/>
            <w:shd w:val="clear" w:color="auto" w:fill="auto"/>
            <w:vAlign w:val="center"/>
          </w:tcPr>
          <w:p w14:paraId="7ECF9E3B" w14:textId="77777777" w:rsidR="00A26972" w:rsidRPr="009941F8" w:rsidRDefault="00A26972" w:rsidP="00FA3EC9">
            <w:pPr>
              <w:pStyle w:val="TableText0"/>
            </w:pPr>
            <w:r w:rsidRPr="009941F8">
              <w:t>Rituximab is now unrestricted on the PBS. However, as the year the data was taken from (2022) was not updated, it was unclear why the estimates would no longer be applicable. Difference in splits does not have a significant effect on the financial estimates.</w:t>
            </w:r>
          </w:p>
        </w:tc>
      </w:tr>
      <w:tr w:rsidR="00A26972" w:rsidRPr="009941F8" w14:paraId="6C717D67" w14:textId="77777777" w:rsidTr="00233562">
        <w:tc>
          <w:tcPr>
            <w:tcW w:w="701" w:type="pct"/>
            <w:shd w:val="clear" w:color="auto" w:fill="auto"/>
            <w:vAlign w:val="center"/>
          </w:tcPr>
          <w:p w14:paraId="69CFD195" w14:textId="77777777" w:rsidR="00A26972" w:rsidRPr="009941F8" w:rsidRDefault="00A26972" w:rsidP="00FA3EC9">
            <w:pPr>
              <w:pStyle w:val="TableText0"/>
            </w:pPr>
            <w:r w:rsidRPr="009941F8">
              <w:t>PBS/RPBS split</w:t>
            </w:r>
          </w:p>
        </w:tc>
        <w:tc>
          <w:tcPr>
            <w:tcW w:w="625" w:type="pct"/>
            <w:shd w:val="clear" w:color="auto" w:fill="auto"/>
            <w:vAlign w:val="center"/>
          </w:tcPr>
          <w:p w14:paraId="64A84321" w14:textId="77777777" w:rsidR="00A26972" w:rsidRPr="009941F8" w:rsidRDefault="00A26972" w:rsidP="00FA3EC9">
            <w:pPr>
              <w:pStyle w:val="TableText0"/>
            </w:pPr>
            <w:r w:rsidRPr="009941F8">
              <w:t>PBS: 98.28%</w:t>
            </w:r>
          </w:p>
          <w:p w14:paraId="26242873" w14:textId="0EB30AE6" w:rsidR="00A26972" w:rsidRPr="009941F8" w:rsidRDefault="00A26972" w:rsidP="00FA3EC9">
            <w:pPr>
              <w:pStyle w:val="TableText0"/>
            </w:pPr>
            <w:r w:rsidRPr="009941F8">
              <w:t>RPBS:</w:t>
            </w:r>
            <w:r w:rsidR="004F2B97">
              <w:t xml:space="preserve"> </w:t>
            </w:r>
            <w:r w:rsidRPr="009941F8">
              <w:t>1.72%</w:t>
            </w:r>
          </w:p>
        </w:tc>
        <w:tc>
          <w:tcPr>
            <w:tcW w:w="704" w:type="pct"/>
            <w:shd w:val="clear" w:color="auto" w:fill="auto"/>
            <w:vAlign w:val="center"/>
          </w:tcPr>
          <w:p w14:paraId="543086FD" w14:textId="77777777" w:rsidR="00A26972" w:rsidRPr="009941F8" w:rsidRDefault="00A26972" w:rsidP="00FA3EC9">
            <w:pPr>
              <w:pStyle w:val="TableText0"/>
            </w:pPr>
            <w:r w:rsidRPr="009941F8">
              <w:t>PBS: 98.99%</w:t>
            </w:r>
          </w:p>
          <w:p w14:paraId="64B76F20" w14:textId="77777777" w:rsidR="00A26972" w:rsidRPr="009941F8" w:rsidRDefault="00A26972" w:rsidP="00FA3EC9">
            <w:pPr>
              <w:pStyle w:val="TableText0"/>
            </w:pPr>
            <w:r w:rsidRPr="009941F8">
              <w:t>RPBS: 1.01%</w:t>
            </w:r>
          </w:p>
        </w:tc>
        <w:tc>
          <w:tcPr>
            <w:tcW w:w="1329" w:type="pct"/>
            <w:shd w:val="clear" w:color="auto" w:fill="auto"/>
            <w:vAlign w:val="center"/>
          </w:tcPr>
          <w:p w14:paraId="6C2F08F2" w14:textId="77777777" w:rsidR="00A26972" w:rsidRPr="009941F8" w:rsidRDefault="00A26972" w:rsidP="00FA3EC9">
            <w:pPr>
              <w:pStyle w:val="TableText0"/>
            </w:pPr>
            <w:r w:rsidRPr="009941F8">
              <w:t>Infliximab use 2022 (PBS items 6397Q, 11483J, 11487N, 5757B, 11481G, 11490R)</w:t>
            </w:r>
          </w:p>
        </w:tc>
        <w:tc>
          <w:tcPr>
            <w:tcW w:w="1641" w:type="pct"/>
            <w:vMerge/>
            <w:shd w:val="clear" w:color="auto" w:fill="auto"/>
            <w:vAlign w:val="center"/>
          </w:tcPr>
          <w:p w14:paraId="63772273" w14:textId="77777777" w:rsidR="00A26972" w:rsidRPr="009941F8" w:rsidRDefault="00A26972" w:rsidP="00FA3EC9">
            <w:pPr>
              <w:pStyle w:val="TableText0"/>
            </w:pPr>
          </w:p>
        </w:tc>
      </w:tr>
      <w:tr w:rsidR="00A26972" w:rsidRPr="009941F8" w14:paraId="56D919D5" w14:textId="77777777" w:rsidTr="00233562">
        <w:tc>
          <w:tcPr>
            <w:tcW w:w="701" w:type="pct"/>
            <w:shd w:val="clear" w:color="auto" w:fill="auto"/>
            <w:vAlign w:val="center"/>
          </w:tcPr>
          <w:p w14:paraId="58E4BA46" w14:textId="77777777" w:rsidR="00A26972" w:rsidRPr="009941F8" w:rsidRDefault="00A26972" w:rsidP="00FA3EC9">
            <w:pPr>
              <w:pStyle w:val="TableText0"/>
            </w:pPr>
            <w:r w:rsidRPr="009941F8">
              <w:t>Anifrolumab</w:t>
            </w:r>
          </w:p>
        </w:tc>
        <w:tc>
          <w:tcPr>
            <w:tcW w:w="625" w:type="pct"/>
            <w:shd w:val="clear" w:color="auto" w:fill="auto"/>
            <w:vAlign w:val="center"/>
          </w:tcPr>
          <w:p w14:paraId="59CAF1F6" w14:textId="65669779" w:rsidR="00A26972" w:rsidRPr="009941F8" w:rsidRDefault="00A26972" w:rsidP="00FA3EC9">
            <w:pPr>
              <w:pStyle w:val="TableText0"/>
            </w:pPr>
            <w:r w:rsidRPr="009941F8">
              <w:t>$</w:t>
            </w:r>
            <w:r w:rsidR="00640EC9" w:rsidRPr="00640EC9">
              <w:rPr>
                <w:color w:val="000000"/>
                <w:spacing w:val="51"/>
                <w:shd w:val="solid" w:color="000000" w:fill="000000"/>
                <w:fitText w:val="324" w:id="-961889790"/>
                <w14:textFill>
                  <w14:solidFill>
                    <w14:srgbClr w14:val="000000">
                      <w14:alpha w14:val="100000"/>
                    </w14:srgbClr>
                  </w14:solidFill>
                </w14:textFill>
              </w:rPr>
              <w:t>|||</w:t>
            </w:r>
            <w:r w:rsidR="00640EC9" w:rsidRPr="00640EC9">
              <w:rPr>
                <w:color w:val="000000"/>
                <w:spacing w:val="1"/>
                <w:shd w:val="solid" w:color="000000" w:fill="000000"/>
                <w:fitText w:val="324" w:id="-961889790"/>
                <w14:textFill>
                  <w14:solidFill>
                    <w14:srgbClr w14:val="000000">
                      <w14:alpha w14:val="100000"/>
                    </w14:srgbClr>
                  </w14:solidFill>
                </w14:textFill>
              </w:rPr>
              <w:t>|</w:t>
            </w:r>
          </w:p>
        </w:tc>
        <w:tc>
          <w:tcPr>
            <w:tcW w:w="704" w:type="pct"/>
            <w:shd w:val="clear" w:color="auto" w:fill="auto"/>
            <w:vAlign w:val="center"/>
          </w:tcPr>
          <w:p w14:paraId="59B13EBC" w14:textId="6185479F" w:rsidR="00A26972" w:rsidRPr="009941F8" w:rsidRDefault="00A26972" w:rsidP="00FA3EC9">
            <w:pPr>
              <w:pStyle w:val="TableText0"/>
            </w:pPr>
            <w:r w:rsidRPr="009941F8">
              <w:t>$</w:t>
            </w:r>
            <w:r w:rsidR="00640EC9" w:rsidRPr="00640EC9">
              <w:rPr>
                <w:color w:val="000000"/>
                <w:spacing w:val="51"/>
                <w:shd w:val="solid" w:color="000000" w:fill="000000"/>
                <w:fitText w:val="324" w:id="-961889789"/>
                <w14:textFill>
                  <w14:solidFill>
                    <w14:srgbClr w14:val="000000">
                      <w14:alpha w14:val="100000"/>
                    </w14:srgbClr>
                  </w14:solidFill>
                </w14:textFill>
              </w:rPr>
              <w:t>|||</w:t>
            </w:r>
            <w:r w:rsidR="00640EC9" w:rsidRPr="00640EC9">
              <w:rPr>
                <w:color w:val="000000"/>
                <w:spacing w:val="1"/>
                <w:shd w:val="solid" w:color="000000" w:fill="000000"/>
                <w:fitText w:val="324" w:id="-961889789"/>
                <w14:textFill>
                  <w14:solidFill>
                    <w14:srgbClr w14:val="000000">
                      <w14:alpha w14:val="100000"/>
                    </w14:srgbClr>
                  </w14:solidFill>
                </w14:textFill>
              </w:rPr>
              <w:t>|</w:t>
            </w:r>
          </w:p>
        </w:tc>
        <w:tc>
          <w:tcPr>
            <w:tcW w:w="1329" w:type="pct"/>
            <w:shd w:val="clear" w:color="auto" w:fill="auto"/>
            <w:vAlign w:val="center"/>
          </w:tcPr>
          <w:p w14:paraId="7FC0A05D" w14:textId="63E2F47D" w:rsidR="00A26972" w:rsidRPr="009941F8" w:rsidRDefault="00A26972" w:rsidP="00FA3EC9">
            <w:pPr>
              <w:pStyle w:val="TableText0"/>
            </w:pPr>
            <w:r w:rsidRPr="009941F8">
              <w:t>Revised requested price weighted public $</w:t>
            </w:r>
            <w:r w:rsidR="00640EC9" w:rsidRPr="00640EC9">
              <w:rPr>
                <w:color w:val="000000"/>
                <w:spacing w:val="51"/>
                <w:shd w:val="solid" w:color="000000" w:fill="000000"/>
                <w:fitText w:val="324" w:id="-961889788"/>
                <w14:textFill>
                  <w14:solidFill>
                    <w14:srgbClr w14:val="000000">
                      <w14:alpha w14:val="100000"/>
                    </w14:srgbClr>
                  </w14:solidFill>
                </w14:textFill>
              </w:rPr>
              <w:t>|||</w:t>
            </w:r>
            <w:r w:rsidR="00640EC9" w:rsidRPr="00640EC9">
              <w:rPr>
                <w:color w:val="000000"/>
                <w:spacing w:val="1"/>
                <w:shd w:val="solid" w:color="000000" w:fill="000000"/>
                <w:fitText w:val="324" w:id="-961889788"/>
                <w14:textFill>
                  <w14:solidFill>
                    <w14:srgbClr w14:val="000000">
                      <w14:alpha w14:val="100000"/>
                    </w14:srgbClr>
                  </w14:solidFill>
                </w14:textFill>
              </w:rPr>
              <w:t>|</w:t>
            </w:r>
            <w:r w:rsidRPr="009941F8">
              <w:t>, private $</w:t>
            </w:r>
            <w:r w:rsidR="00640EC9" w:rsidRPr="00640EC9">
              <w:rPr>
                <w:color w:val="000000"/>
                <w:spacing w:val="51"/>
                <w:shd w:val="solid" w:color="000000" w:fill="000000"/>
                <w:fitText w:val="324" w:id="-961889787"/>
                <w14:textFill>
                  <w14:solidFill>
                    <w14:srgbClr w14:val="000000">
                      <w14:alpha w14:val="100000"/>
                    </w14:srgbClr>
                  </w14:solidFill>
                </w14:textFill>
              </w:rPr>
              <w:t>|||</w:t>
            </w:r>
            <w:r w:rsidR="00640EC9" w:rsidRPr="00640EC9">
              <w:rPr>
                <w:color w:val="000000"/>
                <w:spacing w:val="1"/>
                <w:shd w:val="solid" w:color="000000" w:fill="000000"/>
                <w:fitText w:val="324" w:id="-961889787"/>
                <w14:textFill>
                  <w14:solidFill>
                    <w14:srgbClr w14:val="000000">
                      <w14:alpha w14:val="100000"/>
                    </w14:srgbClr>
                  </w14:solidFill>
                </w14:textFill>
              </w:rPr>
              <w:t>|</w:t>
            </w:r>
            <w:r w:rsidRPr="009941F8">
              <w:t>, based on infliximab weights.</w:t>
            </w:r>
          </w:p>
        </w:tc>
        <w:tc>
          <w:tcPr>
            <w:tcW w:w="1641" w:type="pct"/>
            <w:shd w:val="clear" w:color="auto" w:fill="auto"/>
            <w:vAlign w:val="center"/>
          </w:tcPr>
          <w:p w14:paraId="1BD50979" w14:textId="4B0D7F99" w:rsidR="00A26972" w:rsidRPr="009941F8" w:rsidRDefault="00A26972" w:rsidP="00FA3EC9">
            <w:pPr>
              <w:pStyle w:val="TableText0"/>
            </w:pPr>
            <w:r w:rsidRPr="009941F8">
              <w:t>Reasonable, although the March 2023 pre-PBAC response requested price was $</w:t>
            </w:r>
            <w:r w:rsidR="00640EC9" w:rsidRPr="00640EC9">
              <w:rPr>
                <w:color w:val="000000"/>
                <w:spacing w:val="51"/>
                <w:shd w:val="solid" w:color="000000" w:fill="000000"/>
                <w:fitText w:val="324" w:id="-961889786"/>
                <w14:textFill>
                  <w14:solidFill>
                    <w14:srgbClr w14:val="000000">
                      <w14:alpha w14:val="100000"/>
                    </w14:srgbClr>
                  </w14:solidFill>
                </w14:textFill>
              </w:rPr>
              <w:t>|||</w:t>
            </w:r>
            <w:r w:rsidR="00640EC9" w:rsidRPr="00640EC9">
              <w:rPr>
                <w:color w:val="000000"/>
                <w:spacing w:val="1"/>
                <w:shd w:val="solid" w:color="000000" w:fill="000000"/>
                <w:fitText w:val="324" w:id="-961889786"/>
                <w14:textFill>
                  <w14:solidFill>
                    <w14:srgbClr w14:val="000000">
                      <w14:alpha w14:val="100000"/>
                    </w14:srgbClr>
                  </w14:solidFill>
                </w14:textFill>
              </w:rPr>
              <w:t>|</w:t>
            </w:r>
            <w:r w:rsidRPr="009941F8">
              <w:t xml:space="preserve"> (public)</w:t>
            </w:r>
            <w:r w:rsidR="00B27268" w:rsidRPr="009941F8">
              <w:t>.</w:t>
            </w:r>
          </w:p>
        </w:tc>
      </w:tr>
      <w:tr w:rsidR="00A26972" w:rsidRPr="009941F8" w14:paraId="1991DDDA" w14:textId="77777777" w:rsidTr="00233562">
        <w:tc>
          <w:tcPr>
            <w:tcW w:w="701" w:type="pct"/>
            <w:shd w:val="clear" w:color="auto" w:fill="auto"/>
            <w:vAlign w:val="center"/>
          </w:tcPr>
          <w:p w14:paraId="61C0E707" w14:textId="77777777" w:rsidR="00A26972" w:rsidRPr="009941F8" w:rsidRDefault="00A26972" w:rsidP="00FA3EC9">
            <w:pPr>
              <w:pStyle w:val="TableText0"/>
            </w:pPr>
            <w:r w:rsidRPr="009941F8">
              <w:t>Patient copayment</w:t>
            </w:r>
          </w:p>
        </w:tc>
        <w:tc>
          <w:tcPr>
            <w:tcW w:w="625" w:type="pct"/>
            <w:shd w:val="clear" w:color="auto" w:fill="auto"/>
            <w:vAlign w:val="center"/>
          </w:tcPr>
          <w:p w14:paraId="406BF1E7" w14:textId="77777777" w:rsidR="00A26972" w:rsidRPr="009941F8" w:rsidRDefault="00A26972" w:rsidP="00FA3EC9">
            <w:pPr>
              <w:pStyle w:val="TableText0"/>
            </w:pPr>
            <w:r w:rsidRPr="009941F8">
              <w:t>PBS $18.03</w:t>
            </w:r>
          </w:p>
          <w:p w14:paraId="082BF626" w14:textId="77777777" w:rsidR="00A26972" w:rsidRPr="009941F8" w:rsidRDefault="00A26972" w:rsidP="00FA3EC9">
            <w:pPr>
              <w:pStyle w:val="TableText0"/>
            </w:pPr>
            <w:r w:rsidRPr="009941F8">
              <w:t>RPBS $6.36</w:t>
            </w:r>
          </w:p>
        </w:tc>
        <w:tc>
          <w:tcPr>
            <w:tcW w:w="704" w:type="pct"/>
            <w:shd w:val="clear" w:color="auto" w:fill="auto"/>
            <w:vAlign w:val="center"/>
          </w:tcPr>
          <w:p w14:paraId="198ED15F" w14:textId="77777777" w:rsidR="00A26972" w:rsidRPr="009941F8" w:rsidRDefault="00A26972" w:rsidP="00FA3EC9">
            <w:pPr>
              <w:pStyle w:val="TableText0"/>
            </w:pPr>
            <w:r w:rsidRPr="009941F8">
              <w:t>PBS $20.58</w:t>
            </w:r>
          </w:p>
          <w:p w14:paraId="1702DA85" w14:textId="77777777" w:rsidR="00A26972" w:rsidRPr="009941F8" w:rsidRDefault="00A26972" w:rsidP="00FA3EC9">
            <w:pPr>
              <w:pStyle w:val="TableText0"/>
            </w:pPr>
            <w:r w:rsidRPr="009941F8">
              <w:t>RPBS $6.60</w:t>
            </w:r>
          </w:p>
        </w:tc>
        <w:tc>
          <w:tcPr>
            <w:tcW w:w="1329" w:type="pct"/>
            <w:shd w:val="clear" w:color="auto" w:fill="auto"/>
            <w:vAlign w:val="center"/>
          </w:tcPr>
          <w:p w14:paraId="6385CBD9" w14:textId="77777777" w:rsidR="00A26972" w:rsidRPr="009941F8" w:rsidRDefault="00A26972" w:rsidP="00FA3EC9">
            <w:pPr>
              <w:pStyle w:val="TableText0"/>
            </w:pPr>
            <w:r w:rsidRPr="009941F8">
              <w:t>Calculation based on infliximab PBS copayment weights using updated PBS copayments.</w:t>
            </w:r>
          </w:p>
        </w:tc>
        <w:tc>
          <w:tcPr>
            <w:tcW w:w="1641" w:type="pct"/>
            <w:shd w:val="clear" w:color="auto" w:fill="auto"/>
            <w:vAlign w:val="center"/>
          </w:tcPr>
          <w:p w14:paraId="1EEA3221" w14:textId="77777777" w:rsidR="00A26972" w:rsidRPr="009941F8" w:rsidRDefault="00A26972" w:rsidP="00FA3EC9">
            <w:pPr>
              <w:pStyle w:val="TableText0"/>
            </w:pPr>
            <w:r w:rsidRPr="009941F8">
              <w:t>Reasonable.</w:t>
            </w:r>
          </w:p>
        </w:tc>
      </w:tr>
      <w:tr w:rsidR="00A26972" w:rsidRPr="009941F8" w14:paraId="100418AD" w14:textId="77777777" w:rsidTr="00233562">
        <w:tc>
          <w:tcPr>
            <w:tcW w:w="701" w:type="pct"/>
            <w:shd w:val="clear" w:color="auto" w:fill="auto"/>
            <w:vAlign w:val="center"/>
          </w:tcPr>
          <w:p w14:paraId="0BF8C113" w14:textId="77777777" w:rsidR="00A26972" w:rsidRPr="009941F8" w:rsidRDefault="00A26972" w:rsidP="00FA3EC9">
            <w:pPr>
              <w:pStyle w:val="TableText0"/>
            </w:pPr>
            <w:r w:rsidRPr="009941F8">
              <w:t>MBS costs</w:t>
            </w:r>
          </w:p>
        </w:tc>
        <w:tc>
          <w:tcPr>
            <w:tcW w:w="625" w:type="pct"/>
            <w:shd w:val="clear" w:color="auto" w:fill="auto"/>
            <w:vAlign w:val="center"/>
          </w:tcPr>
          <w:p w14:paraId="6113B750" w14:textId="77777777" w:rsidR="00A26972" w:rsidRPr="009941F8" w:rsidRDefault="00A26972" w:rsidP="00FA3EC9">
            <w:pPr>
              <w:pStyle w:val="TableText0"/>
            </w:pPr>
            <w:r w:rsidRPr="009941F8">
              <w:t>$82.84</w:t>
            </w:r>
          </w:p>
        </w:tc>
        <w:tc>
          <w:tcPr>
            <w:tcW w:w="704" w:type="pct"/>
            <w:shd w:val="clear" w:color="auto" w:fill="auto"/>
            <w:vAlign w:val="center"/>
          </w:tcPr>
          <w:p w14:paraId="4C6C67DB" w14:textId="77777777" w:rsidR="00A26972" w:rsidRPr="009941F8" w:rsidRDefault="00A26972" w:rsidP="00FA3EC9">
            <w:pPr>
              <w:pStyle w:val="TableText0"/>
            </w:pPr>
            <w:r w:rsidRPr="009941F8">
              <w:t>$25.90</w:t>
            </w:r>
          </w:p>
        </w:tc>
        <w:tc>
          <w:tcPr>
            <w:tcW w:w="1329" w:type="pct"/>
            <w:shd w:val="clear" w:color="auto" w:fill="auto"/>
            <w:vAlign w:val="center"/>
          </w:tcPr>
          <w:p w14:paraId="75D916B2" w14:textId="77777777" w:rsidR="00A26972" w:rsidRPr="009941F8" w:rsidRDefault="00A26972" w:rsidP="00FA3EC9">
            <w:pPr>
              <w:pStyle w:val="TableText0"/>
            </w:pPr>
            <w:r w:rsidRPr="009941F8">
              <w:t xml:space="preserve">MBS fees for item 105 (specialist </w:t>
            </w:r>
            <w:r w:rsidRPr="00F8396F">
              <w:t>visit) at 80% rebate ($47.80</w:t>
            </w:r>
            <w:r w:rsidRPr="009941F8">
              <w:t xml:space="preserve"> full fee), adjusted for 0.68 additional MBS services per script (4 out of 12.39 consultations per year assumed to be routine; 8.39/12.39=0.68) </w:t>
            </w:r>
          </w:p>
        </w:tc>
        <w:tc>
          <w:tcPr>
            <w:tcW w:w="1641" w:type="pct"/>
            <w:shd w:val="clear" w:color="auto" w:fill="auto"/>
            <w:vAlign w:val="center"/>
          </w:tcPr>
          <w:p w14:paraId="24489836" w14:textId="77777777" w:rsidR="00A26972" w:rsidRPr="009941F8" w:rsidRDefault="00A26972" w:rsidP="00FA3EC9">
            <w:pPr>
              <w:pStyle w:val="TableText0"/>
            </w:pPr>
            <w:r w:rsidRPr="009941F8">
              <w:t>The infusion duration for anifrolumab was anticipated to take a maximum of 30 mins and therefore the resubmission argued that this could be done at a specialist visit (rather than the previous resubmission fee of $82.84 based on MBS item 14245 for IV infusion of immunomodulating agent of at least 2 hours)</w:t>
            </w:r>
          </w:p>
        </w:tc>
      </w:tr>
    </w:tbl>
    <w:p w14:paraId="3562D33B" w14:textId="323578B4" w:rsidR="00A26972" w:rsidRPr="009941F8" w:rsidRDefault="00A26972" w:rsidP="00FA3EC9">
      <w:pPr>
        <w:pStyle w:val="TableFigureFooter"/>
        <w:keepNext/>
      </w:pPr>
      <w:r w:rsidRPr="009941F8">
        <w:lastRenderedPageBreak/>
        <w:t xml:space="preserve">Source: Tables 4-1, 4-2, 4-3, 4-4, 4-5, 4-13 and Section 4.2.2-4.2.3, pp309-310 of the resubmission and </w:t>
      </w:r>
      <w:r w:rsidRPr="009941F8">
        <w:rPr>
          <w:iCs/>
        </w:rPr>
        <w:t>complied during the evaluation</w:t>
      </w:r>
    </w:p>
    <w:p w14:paraId="2B4E4578" w14:textId="77777777" w:rsidR="00A26972" w:rsidRPr="009941F8" w:rsidRDefault="00A26972" w:rsidP="00FA3EC9">
      <w:pPr>
        <w:pStyle w:val="TableFigureFooter"/>
        <w:keepNext/>
      </w:pPr>
      <w:r w:rsidRPr="009941F8">
        <w:t>ALRB=Australian Lupus Registry and Biobank; IV=intravenous; PAP=patient access program; RSA=risk share arrangement, SLEDAI-2K=Systemic Lupus Erythematosus Disease Activity Index 2000; SOC=standard of care consisting of triple therapy, Yr = year; mth = month</w:t>
      </w:r>
    </w:p>
    <w:p w14:paraId="74CBC78F" w14:textId="77777777" w:rsidR="00A26972" w:rsidRDefault="00A26972" w:rsidP="00FA3EC9">
      <w:pPr>
        <w:pStyle w:val="TableFigureFooter"/>
        <w:keepNext/>
      </w:pPr>
      <w:r w:rsidRPr="009941F8">
        <w:t>Table 4-12 of the March 2024 resubmission was not updated to report the cost of MBS item 105, instead reporting MBS item 14245. The resubmission used item 105 throughout in its analysis.</w:t>
      </w:r>
    </w:p>
    <w:p w14:paraId="773FF20E" w14:textId="77777777" w:rsidR="00AE67DA" w:rsidRPr="0031580A" w:rsidRDefault="00AE67DA" w:rsidP="00FA3EC9">
      <w:pPr>
        <w:pStyle w:val="TableFigureFooter"/>
        <w:keepNext/>
        <w:rPr>
          <w:i/>
          <w:iCs/>
        </w:rPr>
      </w:pPr>
      <w:r w:rsidRPr="0031580A">
        <w:rPr>
          <w:i/>
          <w:iCs/>
        </w:rPr>
        <w:t>The redacted values correspond to the following ranges:</w:t>
      </w:r>
    </w:p>
    <w:p w14:paraId="6B35E8D6" w14:textId="77777777" w:rsidR="00AE67DA" w:rsidRPr="0031580A" w:rsidRDefault="00AE67DA" w:rsidP="00FA3EC9">
      <w:pPr>
        <w:pStyle w:val="TableFigureFooter"/>
        <w:keepNext/>
        <w:rPr>
          <w:i/>
          <w:iCs/>
        </w:rPr>
      </w:pPr>
      <w:r w:rsidRPr="0031580A">
        <w:rPr>
          <w:i/>
          <w:iCs/>
          <w:vertAlign w:val="superscript"/>
        </w:rPr>
        <w:t>1</w:t>
      </w:r>
      <w:r w:rsidRPr="0031580A">
        <w:rPr>
          <w:i/>
          <w:iCs/>
        </w:rPr>
        <w:t xml:space="preserve"> 10,000 to &lt; 20,000</w:t>
      </w:r>
    </w:p>
    <w:p w14:paraId="0E324D5C" w14:textId="77777777" w:rsidR="00AE67DA" w:rsidRPr="0031580A" w:rsidRDefault="00AE67DA" w:rsidP="00FA3EC9">
      <w:pPr>
        <w:pStyle w:val="TableFigureFooter"/>
        <w:keepNext/>
        <w:rPr>
          <w:i/>
          <w:iCs/>
        </w:rPr>
      </w:pPr>
      <w:r w:rsidRPr="0031580A">
        <w:rPr>
          <w:i/>
          <w:iCs/>
          <w:vertAlign w:val="superscript"/>
        </w:rPr>
        <w:t>2</w:t>
      </w:r>
      <w:r w:rsidRPr="0031580A">
        <w:rPr>
          <w:i/>
          <w:iCs/>
        </w:rPr>
        <w:t xml:space="preserve"> 20,000 to &lt; 30,000</w:t>
      </w:r>
    </w:p>
    <w:p w14:paraId="1CE837DF" w14:textId="2BDD08C1" w:rsidR="00AE67DA" w:rsidRPr="0031580A" w:rsidRDefault="00AE67DA" w:rsidP="00FA3EC9">
      <w:pPr>
        <w:pStyle w:val="TableFigureFooter"/>
        <w:keepNext/>
        <w:rPr>
          <w:i/>
          <w:iCs/>
        </w:rPr>
      </w:pPr>
      <w:r w:rsidRPr="0031580A">
        <w:rPr>
          <w:i/>
          <w:iCs/>
          <w:vertAlign w:val="superscript"/>
        </w:rPr>
        <w:t>3</w:t>
      </w:r>
      <w:r w:rsidRPr="0031580A">
        <w:rPr>
          <w:i/>
          <w:iCs/>
        </w:rPr>
        <w:t xml:space="preserve"> 500 to &lt; 5,000</w:t>
      </w:r>
    </w:p>
    <w:p w14:paraId="3ACE8063" w14:textId="563079E6" w:rsidR="00AE67DA" w:rsidRPr="0031580A" w:rsidRDefault="00686555" w:rsidP="00FA3EC9">
      <w:pPr>
        <w:pStyle w:val="TableFigureFooter"/>
        <w:keepNext/>
        <w:rPr>
          <w:i/>
          <w:iCs/>
        </w:rPr>
      </w:pPr>
      <w:r w:rsidRPr="0031580A">
        <w:rPr>
          <w:i/>
          <w:iCs/>
          <w:vertAlign w:val="superscript"/>
        </w:rPr>
        <w:t>4</w:t>
      </w:r>
      <w:r w:rsidR="00AE67DA" w:rsidRPr="0031580A">
        <w:rPr>
          <w:i/>
          <w:iCs/>
          <w:vertAlign w:val="superscript"/>
        </w:rPr>
        <w:t xml:space="preserve"> </w:t>
      </w:r>
      <w:r w:rsidR="00AE67DA" w:rsidRPr="0031580A">
        <w:rPr>
          <w:i/>
          <w:iCs/>
        </w:rPr>
        <w:t>&lt;</w:t>
      </w:r>
      <w:r w:rsidRPr="0031580A">
        <w:rPr>
          <w:i/>
          <w:iCs/>
        </w:rPr>
        <w:t>5</w:t>
      </w:r>
      <w:r w:rsidR="00AE67DA" w:rsidRPr="0031580A">
        <w:rPr>
          <w:i/>
          <w:iCs/>
        </w:rPr>
        <w:t>00</w:t>
      </w:r>
    </w:p>
    <w:p w14:paraId="1F203820" w14:textId="6C1DB43F" w:rsidR="00AE67DA" w:rsidRPr="0031580A" w:rsidRDefault="00686555" w:rsidP="00FA3EC9">
      <w:pPr>
        <w:pStyle w:val="TableFigureFooter"/>
        <w:keepNext/>
        <w:rPr>
          <w:i/>
          <w:iCs/>
        </w:rPr>
      </w:pPr>
      <w:r w:rsidRPr="0031580A">
        <w:rPr>
          <w:i/>
          <w:iCs/>
          <w:vertAlign w:val="superscript"/>
        </w:rPr>
        <w:t>5</w:t>
      </w:r>
      <w:r w:rsidR="00AE67DA" w:rsidRPr="0031580A">
        <w:rPr>
          <w:i/>
          <w:iCs/>
        </w:rPr>
        <w:t xml:space="preserve"> 5,000 to &lt; 10,000</w:t>
      </w:r>
    </w:p>
    <w:p w14:paraId="0A9F157C" w14:textId="77777777" w:rsidR="00AE67DA" w:rsidRPr="0031580A" w:rsidRDefault="00AE67DA" w:rsidP="00AE67DA">
      <w:pPr>
        <w:pStyle w:val="TableFigureFooter"/>
        <w:rPr>
          <w:i/>
          <w:iCs/>
        </w:rPr>
      </w:pPr>
      <w:r w:rsidRPr="0031580A">
        <w:rPr>
          <w:i/>
          <w:iCs/>
          <w:vertAlign w:val="superscript"/>
        </w:rPr>
        <w:t xml:space="preserve">6 </w:t>
      </w:r>
      <w:r w:rsidRPr="0031580A">
        <w:rPr>
          <w:i/>
          <w:iCs/>
        </w:rPr>
        <w:t>30,000 to &lt; 40,000</w:t>
      </w:r>
    </w:p>
    <w:p w14:paraId="48B3B747" w14:textId="1358836F" w:rsidR="00A26972" w:rsidRPr="009941F8" w:rsidRDefault="00A26972" w:rsidP="00A244E2">
      <w:pPr>
        <w:pStyle w:val="3-BodyText"/>
      </w:pPr>
      <w:r w:rsidRPr="009941F8">
        <w:t xml:space="preserve">A summary of the financial impact of anifrolumab for SLE is presented in </w:t>
      </w:r>
      <w:r w:rsidRPr="009941F8">
        <w:fldChar w:fldCharType="begin" w:fldLock="1"/>
      </w:r>
      <w:r w:rsidRPr="009941F8">
        <w:instrText xml:space="preserve"> REF _Ref121662510 \h </w:instrText>
      </w:r>
      <w:r w:rsidR="00A244E2" w:rsidRPr="009941F8">
        <w:instrText xml:space="preserve"> \* MERGEFORMAT </w:instrText>
      </w:r>
      <w:r w:rsidRPr="009941F8">
        <w:fldChar w:fldCharType="separate"/>
      </w:r>
      <w:r w:rsidR="00F07501" w:rsidRPr="009941F8">
        <w:t xml:space="preserve">Table </w:t>
      </w:r>
      <w:r w:rsidR="00F07501">
        <w:t>17</w:t>
      </w:r>
      <w:r w:rsidRPr="009941F8">
        <w:fldChar w:fldCharType="end"/>
      </w:r>
      <w:r w:rsidRPr="009941F8">
        <w:t xml:space="preserve">. </w:t>
      </w:r>
      <w:r w:rsidR="003F4569" w:rsidRPr="009941F8">
        <w:t xml:space="preserve">The pre-PBAC response provided revised estimates </w:t>
      </w:r>
      <w:r w:rsidR="008036EB" w:rsidRPr="009941F8">
        <w:t>which were based on the revised proposed price of an</w:t>
      </w:r>
      <w:r w:rsidR="009239EE">
        <w:t>ifrolumab</w:t>
      </w:r>
      <w:r w:rsidR="003F4569" w:rsidRPr="009941F8">
        <w:t>.</w:t>
      </w:r>
    </w:p>
    <w:p w14:paraId="318B0239" w14:textId="3A493A09" w:rsidR="00A26972" w:rsidRPr="009941F8" w:rsidRDefault="00A26972" w:rsidP="00233562">
      <w:pPr>
        <w:pStyle w:val="Caption"/>
        <w:keepNext w:val="0"/>
        <w:keepLines w:val="0"/>
        <w:widowControl w:val="0"/>
        <w:jc w:val="left"/>
      </w:pPr>
      <w:bookmarkStart w:id="89" w:name="_Ref121662510"/>
      <w:r w:rsidRPr="009941F8">
        <w:t xml:space="preserve">Table </w:t>
      </w:r>
      <w:r w:rsidR="00CE7EC7">
        <w:fldChar w:fldCharType="begin" w:fldLock="1"/>
      </w:r>
      <w:r w:rsidR="00CE7EC7">
        <w:instrText xml:space="preserve"> SEQ Table \* ARABIC </w:instrText>
      </w:r>
      <w:r w:rsidR="00CE7EC7">
        <w:fldChar w:fldCharType="separate"/>
      </w:r>
      <w:r w:rsidR="00F07501">
        <w:rPr>
          <w:noProof/>
        </w:rPr>
        <w:t>17</w:t>
      </w:r>
      <w:r w:rsidR="00CE7EC7">
        <w:rPr>
          <w:noProof/>
        </w:rPr>
        <w:fldChar w:fldCharType="end"/>
      </w:r>
      <w:bookmarkEnd w:id="89"/>
      <w:r w:rsidRPr="009941F8">
        <w:t>: Estimation of number of treated patients and prescriptions</w:t>
      </w:r>
    </w:p>
    <w:tbl>
      <w:tblPr>
        <w:tblStyle w:val="TableGrid"/>
        <w:tblW w:w="0" w:type="auto"/>
        <w:tblLayout w:type="fixed"/>
        <w:tblCellMar>
          <w:left w:w="28" w:type="dxa"/>
          <w:right w:w="28" w:type="dxa"/>
        </w:tblCellMar>
        <w:tblLook w:val="04A0" w:firstRow="1" w:lastRow="0" w:firstColumn="1" w:lastColumn="0" w:noHBand="0" w:noVBand="1"/>
        <w:tblCaption w:val="Table 17: Estimation of number of treated patients and prescriptions"/>
      </w:tblPr>
      <w:tblGrid>
        <w:gridCol w:w="2122"/>
        <w:gridCol w:w="992"/>
        <w:gridCol w:w="992"/>
        <w:gridCol w:w="992"/>
        <w:gridCol w:w="993"/>
        <w:gridCol w:w="992"/>
        <w:gridCol w:w="992"/>
        <w:gridCol w:w="920"/>
      </w:tblGrid>
      <w:tr w:rsidR="002C1990" w:rsidRPr="009941F8" w14:paraId="0AF628A2" w14:textId="77777777" w:rsidTr="00233562">
        <w:trPr>
          <w:tblHeader/>
        </w:trPr>
        <w:tc>
          <w:tcPr>
            <w:tcW w:w="2122" w:type="dxa"/>
            <w:shd w:val="clear" w:color="auto" w:fill="auto"/>
            <w:vAlign w:val="center"/>
          </w:tcPr>
          <w:p w14:paraId="3CE11FF8" w14:textId="77777777" w:rsidR="00A26972" w:rsidRPr="009941F8" w:rsidRDefault="00A26972" w:rsidP="00233562">
            <w:pPr>
              <w:pStyle w:val="TableText0"/>
              <w:keepNext w:val="0"/>
              <w:widowControl w:val="0"/>
              <w:rPr>
                <w:szCs w:val="20"/>
              </w:rPr>
            </w:pPr>
          </w:p>
        </w:tc>
        <w:tc>
          <w:tcPr>
            <w:tcW w:w="992" w:type="dxa"/>
            <w:shd w:val="clear" w:color="auto" w:fill="auto"/>
            <w:vAlign w:val="center"/>
          </w:tcPr>
          <w:p w14:paraId="23945013" w14:textId="77777777" w:rsidR="00A26972" w:rsidRPr="009941F8" w:rsidRDefault="00A26972" w:rsidP="00233562">
            <w:pPr>
              <w:pStyle w:val="TableFigureHeading"/>
              <w:keepNext w:val="0"/>
              <w:widowControl w:val="0"/>
              <w:jc w:val="center"/>
              <w:rPr>
                <w:szCs w:val="20"/>
              </w:rPr>
            </w:pPr>
            <w:r w:rsidRPr="009941F8">
              <w:rPr>
                <w:szCs w:val="20"/>
              </w:rPr>
              <w:t>Year 1</w:t>
            </w:r>
          </w:p>
        </w:tc>
        <w:tc>
          <w:tcPr>
            <w:tcW w:w="992" w:type="dxa"/>
            <w:shd w:val="clear" w:color="auto" w:fill="auto"/>
            <w:vAlign w:val="center"/>
          </w:tcPr>
          <w:p w14:paraId="0BD0C0B9" w14:textId="77777777" w:rsidR="00A26972" w:rsidRPr="009941F8" w:rsidRDefault="00A26972" w:rsidP="00233562">
            <w:pPr>
              <w:pStyle w:val="TableFigureHeading"/>
              <w:keepNext w:val="0"/>
              <w:widowControl w:val="0"/>
              <w:jc w:val="center"/>
              <w:rPr>
                <w:szCs w:val="20"/>
              </w:rPr>
            </w:pPr>
            <w:r w:rsidRPr="009941F8">
              <w:rPr>
                <w:szCs w:val="20"/>
              </w:rPr>
              <w:t>Year 2</w:t>
            </w:r>
          </w:p>
        </w:tc>
        <w:tc>
          <w:tcPr>
            <w:tcW w:w="992" w:type="dxa"/>
            <w:shd w:val="clear" w:color="auto" w:fill="auto"/>
            <w:vAlign w:val="center"/>
          </w:tcPr>
          <w:p w14:paraId="627E282F" w14:textId="77777777" w:rsidR="00A26972" w:rsidRPr="009941F8" w:rsidRDefault="00A26972" w:rsidP="00233562">
            <w:pPr>
              <w:pStyle w:val="TableFigureHeading"/>
              <w:keepNext w:val="0"/>
              <w:widowControl w:val="0"/>
              <w:jc w:val="center"/>
              <w:rPr>
                <w:szCs w:val="20"/>
              </w:rPr>
            </w:pPr>
            <w:r w:rsidRPr="009941F8">
              <w:rPr>
                <w:szCs w:val="20"/>
              </w:rPr>
              <w:t>Year 3</w:t>
            </w:r>
          </w:p>
        </w:tc>
        <w:tc>
          <w:tcPr>
            <w:tcW w:w="993" w:type="dxa"/>
            <w:shd w:val="clear" w:color="auto" w:fill="auto"/>
            <w:vAlign w:val="center"/>
          </w:tcPr>
          <w:p w14:paraId="1CD88F02" w14:textId="77777777" w:rsidR="00A26972" w:rsidRPr="009941F8" w:rsidRDefault="00A26972" w:rsidP="00233562">
            <w:pPr>
              <w:pStyle w:val="TableFigureHeading"/>
              <w:keepNext w:val="0"/>
              <w:widowControl w:val="0"/>
              <w:jc w:val="center"/>
              <w:rPr>
                <w:szCs w:val="20"/>
              </w:rPr>
            </w:pPr>
            <w:r w:rsidRPr="009941F8">
              <w:rPr>
                <w:szCs w:val="20"/>
              </w:rPr>
              <w:t>Year 4</w:t>
            </w:r>
          </w:p>
        </w:tc>
        <w:tc>
          <w:tcPr>
            <w:tcW w:w="992" w:type="dxa"/>
            <w:shd w:val="clear" w:color="auto" w:fill="auto"/>
            <w:vAlign w:val="center"/>
          </w:tcPr>
          <w:p w14:paraId="3AF303D6" w14:textId="77777777" w:rsidR="00A26972" w:rsidRPr="009941F8" w:rsidRDefault="00A26972" w:rsidP="00233562">
            <w:pPr>
              <w:pStyle w:val="TableFigureHeading"/>
              <w:keepNext w:val="0"/>
              <w:widowControl w:val="0"/>
              <w:jc w:val="center"/>
              <w:rPr>
                <w:szCs w:val="20"/>
              </w:rPr>
            </w:pPr>
            <w:r w:rsidRPr="009941F8">
              <w:rPr>
                <w:szCs w:val="20"/>
              </w:rPr>
              <w:t>Year 5</w:t>
            </w:r>
          </w:p>
        </w:tc>
        <w:tc>
          <w:tcPr>
            <w:tcW w:w="992" w:type="dxa"/>
            <w:shd w:val="clear" w:color="auto" w:fill="auto"/>
            <w:vAlign w:val="center"/>
          </w:tcPr>
          <w:p w14:paraId="17E706DB" w14:textId="77777777" w:rsidR="00A26972" w:rsidRPr="009941F8" w:rsidRDefault="00A26972" w:rsidP="00233562">
            <w:pPr>
              <w:pStyle w:val="TableFigureHeading"/>
              <w:keepNext w:val="0"/>
              <w:widowControl w:val="0"/>
              <w:jc w:val="center"/>
              <w:rPr>
                <w:szCs w:val="20"/>
              </w:rPr>
            </w:pPr>
            <w:r w:rsidRPr="009941F8">
              <w:rPr>
                <w:szCs w:val="20"/>
              </w:rPr>
              <w:t>Year 6</w:t>
            </w:r>
          </w:p>
        </w:tc>
        <w:tc>
          <w:tcPr>
            <w:tcW w:w="920" w:type="dxa"/>
            <w:vAlign w:val="center"/>
          </w:tcPr>
          <w:p w14:paraId="14FEB86F" w14:textId="77777777" w:rsidR="00A26972" w:rsidRPr="009941F8" w:rsidRDefault="00A26972" w:rsidP="00233562">
            <w:pPr>
              <w:pStyle w:val="TableFigureHeading"/>
              <w:keepNext w:val="0"/>
              <w:widowControl w:val="0"/>
              <w:jc w:val="center"/>
              <w:rPr>
                <w:szCs w:val="20"/>
              </w:rPr>
            </w:pPr>
            <w:r w:rsidRPr="009941F8">
              <w:rPr>
                <w:szCs w:val="20"/>
              </w:rPr>
              <w:t>Total</w:t>
            </w:r>
          </w:p>
        </w:tc>
      </w:tr>
      <w:tr w:rsidR="003F4569" w:rsidRPr="009941F8" w14:paraId="2DFB3397" w14:textId="77777777" w:rsidTr="00460084">
        <w:tblPrEx>
          <w:tblCellMar>
            <w:left w:w="108" w:type="dxa"/>
            <w:right w:w="108" w:type="dxa"/>
          </w:tblCellMar>
        </w:tblPrEx>
        <w:tc>
          <w:tcPr>
            <w:tcW w:w="8995" w:type="dxa"/>
            <w:gridSpan w:val="8"/>
            <w:shd w:val="clear" w:color="auto" w:fill="auto"/>
            <w:tcMar>
              <w:left w:w="20" w:type="dxa"/>
              <w:right w:w="20" w:type="dxa"/>
            </w:tcMar>
          </w:tcPr>
          <w:p w14:paraId="40162E4E" w14:textId="1CE52A90" w:rsidR="003F4569" w:rsidRPr="009941F8" w:rsidRDefault="003F4569" w:rsidP="00233562">
            <w:pPr>
              <w:pStyle w:val="TableFigureHeading"/>
              <w:keepNext w:val="0"/>
              <w:widowControl w:val="0"/>
              <w:rPr>
                <w:szCs w:val="20"/>
              </w:rPr>
            </w:pPr>
            <w:r w:rsidRPr="009941F8">
              <w:rPr>
                <w:szCs w:val="20"/>
              </w:rPr>
              <w:t>March 2024 resubmission</w:t>
            </w:r>
          </w:p>
        </w:tc>
      </w:tr>
      <w:tr w:rsidR="00A26972" w:rsidRPr="009941F8" w14:paraId="24E75161" w14:textId="77777777" w:rsidTr="001D4FAC">
        <w:tc>
          <w:tcPr>
            <w:tcW w:w="8995" w:type="dxa"/>
            <w:gridSpan w:val="8"/>
            <w:shd w:val="clear" w:color="auto" w:fill="auto"/>
          </w:tcPr>
          <w:p w14:paraId="20818C12" w14:textId="77777777" w:rsidR="00A26972" w:rsidRPr="009941F8" w:rsidRDefault="00A26972" w:rsidP="00233562">
            <w:pPr>
              <w:pStyle w:val="In-tableHeading"/>
              <w:keepNext w:val="0"/>
              <w:widowControl w:val="0"/>
              <w:rPr>
                <w:szCs w:val="20"/>
                <w:lang w:val="en-AU"/>
              </w:rPr>
            </w:pPr>
            <w:r w:rsidRPr="009941F8">
              <w:rPr>
                <w:szCs w:val="20"/>
                <w:lang w:val="en-AU"/>
              </w:rPr>
              <w:t>Patients</w:t>
            </w:r>
          </w:p>
        </w:tc>
      </w:tr>
      <w:tr w:rsidR="002C1990" w:rsidRPr="009941F8" w14:paraId="4A51192E" w14:textId="77777777" w:rsidTr="00233562">
        <w:tc>
          <w:tcPr>
            <w:tcW w:w="2122" w:type="dxa"/>
            <w:shd w:val="clear" w:color="auto" w:fill="auto"/>
          </w:tcPr>
          <w:p w14:paraId="75A570BC" w14:textId="3DF85A53" w:rsidR="00A26972" w:rsidRPr="009941F8" w:rsidRDefault="001D4FAC" w:rsidP="00233562">
            <w:pPr>
              <w:pStyle w:val="TableText0"/>
              <w:keepNext w:val="0"/>
              <w:widowControl w:val="0"/>
              <w:rPr>
                <w:szCs w:val="20"/>
              </w:rPr>
            </w:pPr>
            <w:r w:rsidRPr="009941F8">
              <w:rPr>
                <w:szCs w:val="20"/>
              </w:rPr>
              <w:t>SLE pop.</w:t>
            </w:r>
          </w:p>
        </w:tc>
        <w:tc>
          <w:tcPr>
            <w:tcW w:w="992" w:type="dxa"/>
            <w:shd w:val="clear" w:color="auto" w:fill="auto"/>
            <w:vAlign w:val="center"/>
          </w:tcPr>
          <w:p w14:paraId="66E2C81E" w14:textId="270DA12D"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5"/>
                <w14:textFill>
                  <w14:solidFill>
                    <w14:srgbClr w14:val="000000">
                      <w14:alpha w14:val="100000"/>
                    </w14:srgbClr>
                  </w14:solidFill>
                </w14:textFill>
              </w:rPr>
              <w:t xml:space="preserve">　</w:t>
            </w:r>
            <w:r w:rsidRPr="00640EC9">
              <w:rPr>
                <w:color w:val="000000"/>
                <w:w w:val="15"/>
                <w:shd w:val="solid" w:color="000000" w:fill="000000"/>
                <w:fitText w:val="60" w:id="-961889785"/>
                <w14:textFill>
                  <w14:solidFill>
                    <w14:srgbClr w14:val="000000">
                      <w14:alpha w14:val="100000"/>
                    </w14:srgbClr>
                  </w14:solidFill>
                </w14:textFill>
              </w:rPr>
              <w:t>|</w:t>
            </w:r>
            <w:r w:rsidRPr="00640EC9">
              <w:rPr>
                <w:rFonts w:hint="eastAsia"/>
                <w:color w:val="000000"/>
                <w:spacing w:val="-5"/>
                <w:w w:val="15"/>
                <w:shd w:val="solid" w:color="000000" w:fill="000000"/>
                <w:fitText w:val="60" w:id="-961889785"/>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vAlign w:val="center"/>
          </w:tcPr>
          <w:p w14:paraId="25240F6D" w14:textId="601AF741"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4"/>
                <w14:textFill>
                  <w14:solidFill>
                    <w14:srgbClr w14:val="000000">
                      <w14:alpha w14:val="100000"/>
                    </w14:srgbClr>
                  </w14:solidFill>
                </w14:textFill>
              </w:rPr>
              <w:t xml:space="preserve">　</w:t>
            </w:r>
            <w:r w:rsidRPr="00640EC9">
              <w:rPr>
                <w:color w:val="000000"/>
                <w:w w:val="15"/>
                <w:shd w:val="solid" w:color="000000" w:fill="000000"/>
                <w:fitText w:val="60" w:id="-961889784"/>
                <w14:textFill>
                  <w14:solidFill>
                    <w14:srgbClr w14:val="000000">
                      <w14:alpha w14:val="100000"/>
                    </w14:srgbClr>
                  </w14:solidFill>
                </w14:textFill>
              </w:rPr>
              <w:t>|</w:t>
            </w:r>
            <w:r w:rsidRPr="00640EC9">
              <w:rPr>
                <w:rFonts w:hint="eastAsia"/>
                <w:color w:val="000000"/>
                <w:spacing w:val="-5"/>
                <w:w w:val="15"/>
                <w:shd w:val="solid" w:color="000000" w:fill="000000"/>
                <w:fitText w:val="60" w:id="-961889784"/>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vAlign w:val="center"/>
          </w:tcPr>
          <w:p w14:paraId="73708AFB" w14:textId="0E66D1D7"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3"/>
                <w14:textFill>
                  <w14:solidFill>
                    <w14:srgbClr w14:val="000000">
                      <w14:alpha w14:val="100000"/>
                    </w14:srgbClr>
                  </w14:solidFill>
                </w14:textFill>
              </w:rPr>
              <w:t xml:space="preserve">　</w:t>
            </w:r>
            <w:r w:rsidRPr="00640EC9">
              <w:rPr>
                <w:color w:val="000000"/>
                <w:w w:val="15"/>
                <w:shd w:val="solid" w:color="000000" w:fill="000000"/>
                <w:fitText w:val="60" w:id="-961889783"/>
                <w14:textFill>
                  <w14:solidFill>
                    <w14:srgbClr w14:val="000000">
                      <w14:alpha w14:val="100000"/>
                    </w14:srgbClr>
                  </w14:solidFill>
                </w14:textFill>
              </w:rPr>
              <w:t>|</w:t>
            </w:r>
            <w:r w:rsidRPr="00640EC9">
              <w:rPr>
                <w:rFonts w:hint="eastAsia"/>
                <w:color w:val="000000"/>
                <w:spacing w:val="-5"/>
                <w:w w:val="15"/>
                <w:shd w:val="solid" w:color="000000" w:fill="000000"/>
                <w:fitText w:val="60" w:id="-961889783"/>
                <w14:textFill>
                  <w14:solidFill>
                    <w14:srgbClr w14:val="000000">
                      <w14:alpha w14:val="100000"/>
                    </w14:srgbClr>
                  </w14:solidFill>
                </w14:textFill>
              </w:rPr>
              <w:t xml:space="preserve">　</w:t>
            </w:r>
            <w:r w:rsidR="00DB0472" w:rsidRPr="00DB0472">
              <w:rPr>
                <w:vertAlign w:val="superscript"/>
              </w:rPr>
              <w:t>1</w:t>
            </w:r>
          </w:p>
        </w:tc>
        <w:tc>
          <w:tcPr>
            <w:tcW w:w="993" w:type="dxa"/>
            <w:shd w:val="clear" w:color="auto" w:fill="auto"/>
            <w:vAlign w:val="center"/>
          </w:tcPr>
          <w:p w14:paraId="3F90BCD7" w14:textId="29470AC9"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2"/>
                <w14:textFill>
                  <w14:solidFill>
                    <w14:srgbClr w14:val="000000">
                      <w14:alpha w14:val="100000"/>
                    </w14:srgbClr>
                  </w14:solidFill>
                </w14:textFill>
              </w:rPr>
              <w:t xml:space="preserve">　</w:t>
            </w:r>
            <w:r w:rsidRPr="00640EC9">
              <w:rPr>
                <w:color w:val="000000"/>
                <w:w w:val="15"/>
                <w:shd w:val="solid" w:color="000000" w:fill="000000"/>
                <w:fitText w:val="60" w:id="-961889782"/>
                <w14:textFill>
                  <w14:solidFill>
                    <w14:srgbClr w14:val="000000">
                      <w14:alpha w14:val="100000"/>
                    </w14:srgbClr>
                  </w14:solidFill>
                </w14:textFill>
              </w:rPr>
              <w:t>|</w:t>
            </w:r>
            <w:r w:rsidRPr="00640EC9">
              <w:rPr>
                <w:rFonts w:hint="eastAsia"/>
                <w:color w:val="000000"/>
                <w:spacing w:val="-5"/>
                <w:w w:val="15"/>
                <w:shd w:val="solid" w:color="000000" w:fill="000000"/>
                <w:fitText w:val="60" w:id="-961889782"/>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vAlign w:val="center"/>
          </w:tcPr>
          <w:p w14:paraId="2EA94F1C" w14:textId="6884374C"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1"/>
                <w14:textFill>
                  <w14:solidFill>
                    <w14:srgbClr w14:val="000000">
                      <w14:alpha w14:val="100000"/>
                    </w14:srgbClr>
                  </w14:solidFill>
                </w14:textFill>
              </w:rPr>
              <w:t xml:space="preserve">　</w:t>
            </w:r>
            <w:r w:rsidRPr="00640EC9">
              <w:rPr>
                <w:color w:val="000000"/>
                <w:w w:val="15"/>
                <w:shd w:val="solid" w:color="000000" w:fill="000000"/>
                <w:fitText w:val="60" w:id="-961889781"/>
                <w14:textFill>
                  <w14:solidFill>
                    <w14:srgbClr w14:val="000000">
                      <w14:alpha w14:val="100000"/>
                    </w14:srgbClr>
                  </w14:solidFill>
                </w14:textFill>
              </w:rPr>
              <w:t>|</w:t>
            </w:r>
            <w:r w:rsidRPr="00640EC9">
              <w:rPr>
                <w:rFonts w:hint="eastAsia"/>
                <w:color w:val="000000"/>
                <w:spacing w:val="-5"/>
                <w:w w:val="15"/>
                <w:shd w:val="solid" w:color="000000" w:fill="000000"/>
                <w:fitText w:val="60" w:id="-961889781"/>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vAlign w:val="center"/>
          </w:tcPr>
          <w:p w14:paraId="304CB832" w14:textId="23C14DE4" w:rsidR="00A26972"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60" w:id="-961889780"/>
                <w14:textFill>
                  <w14:solidFill>
                    <w14:srgbClr w14:val="000000">
                      <w14:alpha w14:val="100000"/>
                    </w14:srgbClr>
                  </w14:solidFill>
                </w14:textFill>
              </w:rPr>
              <w:t xml:space="preserve">　</w:t>
            </w:r>
            <w:r w:rsidRPr="00640EC9">
              <w:rPr>
                <w:color w:val="000000"/>
                <w:w w:val="15"/>
                <w:szCs w:val="20"/>
                <w:shd w:val="solid" w:color="000000" w:fill="000000"/>
                <w:fitText w:val="60" w:id="-961889780"/>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9780"/>
                <w14:textFill>
                  <w14:solidFill>
                    <w14:srgbClr w14:val="000000">
                      <w14:alpha w14:val="100000"/>
                    </w14:srgbClr>
                  </w14:solidFill>
                </w14:textFill>
              </w:rPr>
              <w:t xml:space="preserve">　</w:t>
            </w:r>
            <w:r w:rsidR="00DB0472" w:rsidRPr="00DB0472">
              <w:rPr>
                <w:vertAlign w:val="superscript"/>
              </w:rPr>
              <w:t>1</w:t>
            </w:r>
          </w:p>
        </w:tc>
        <w:tc>
          <w:tcPr>
            <w:tcW w:w="920" w:type="dxa"/>
            <w:shd w:val="clear" w:color="auto" w:fill="auto"/>
            <w:vAlign w:val="center"/>
          </w:tcPr>
          <w:p w14:paraId="0A431389" w14:textId="04DE1519" w:rsidR="00A26972" w:rsidRPr="00AB3F41" w:rsidRDefault="00640EC9" w:rsidP="00233562">
            <w:pPr>
              <w:pStyle w:val="TableText0"/>
              <w:keepNext w:val="0"/>
              <w:widowControl w:val="0"/>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DB0472" w:rsidRPr="00DB0472">
              <w:rPr>
                <w:szCs w:val="20"/>
                <w:vertAlign w:val="superscript"/>
              </w:rPr>
              <w:t>2</w:t>
            </w:r>
          </w:p>
        </w:tc>
      </w:tr>
      <w:tr w:rsidR="002C1990" w:rsidRPr="009941F8" w14:paraId="00F9E80C" w14:textId="77777777" w:rsidTr="00233562">
        <w:tc>
          <w:tcPr>
            <w:tcW w:w="2122" w:type="dxa"/>
            <w:shd w:val="clear" w:color="auto" w:fill="auto"/>
            <w:vAlign w:val="center"/>
          </w:tcPr>
          <w:p w14:paraId="328F11EF" w14:textId="274C9F9C" w:rsidR="00A26972" w:rsidRPr="009941F8" w:rsidRDefault="001D4FAC" w:rsidP="00233562">
            <w:pPr>
              <w:pStyle w:val="TableText0"/>
              <w:keepNext w:val="0"/>
              <w:widowControl w:val="0"/>
              <w:rPr>
                <w:szCs w:val="20"/>
              </w:rPr>
            </w:pPr>
            <w:r w:rsidRPr="009941F8">
              <w:rPr>
                <w:szCs w:val="20"/>
              </w:rPr>
              <w:t>Eligible pop.</w:t>
            </w:r>
          </w:p>
        </w:tc>
        <w:tc>
          <w:tcPr>
            <w:tcW w:w="992" w:type="dxa"/>
            <w:shd w:val="clear" w:color="auto" w:fill="auto"/>
            <w:vAlign w:val="center"/>
          </w:tcPr>
          <w:p w14:paraId="35AFD411" w14:textId="713EC66B"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79"/>
                <w14:textFill>
                  <w14:solidFill>
                    <w14:srgbClr w14:val="000000">
                      <w14:alpha w14:val="100000"/>
                    </w14:srgbClr>
                  </w14:solidFill>
                </w14:textFill>
              </w:rPr>
              <w:t xml:space="preserve">　</w:t>
            </w:r>
            <w:r w:rsidRPr="00640EC9">
              <w:rPr>
                <w:color w:val="000000"/>
                <w:w w:val="15"/>
                <w:shd w:val="solid" w:color="000000" w:fill="000000"/>
                <w:fitText w:val="60" w:id="-961889779"/>
                <w14:textFill>
                  <w14:solidFill>
                    <w14:srgbClr w14:val="000000">
                      <w14:alpha w14:val="100000"/>
                    </w14:srgbClr>
                  </w14:solidFill>
                </w14:textFill>
              </w:rPr>
              <w:t>|</w:t>
            </w:r>
            <w:r w:rsidRPr="00640EC9">
              <w:rPr>
                <w:rFonts w:hint="eastAsia"/>
                <w:color w:val="000000"/>
                <w:spacing w:val="-5"/>
                <w:w w:val="15"/>
                <w:shd w:val="solid" w:color="000000" w:fill="000000"/>
                <w:fitText w:val="60" w:id="-961889779"/>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35676CA3" w14:textId="66E56546"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78"/>
                <w14:textFill>
                  <w14:solidFill>
                    <w14:srgbClr w14:val="000000">
                      <w14:alpha w14:val="100000"/>
                    </w14:srgbClr>
                  </w14:solidFill>
                </w14:textFill>
              </w:rPr>
              <w:t xml:space="preserve">　</w:t>
            </w:r>
            <w:r w:rsidRPr="00640EC9">
              <w:rPr>
                <w:color w:val="000000"/>
                <w:w w:val="15"/>
                <w:shd w:val="solid" w:color="000000" w:fill="000000"/>
                <w:fitText w:val="60" w:id="-961889778"/>
                <w14:textFill>
                  <w14:solidFill>
                    <w14:srgbClr w14:val="000000">
                      <w14:alpha w14:val="100000"/>
                    </w14:srgbClr>
                  </w14:solidFill>
                </w14:textFill>
              </w:rPr>
              <w:t>|</w:t>
            </w:r>
            <w:r w:rsidRPr="00640EC9">
              <w:rPr>
                <w:rFonts w:hint="eastAsia"/>
                <w:color w:val="000000"/>
                <w:spacing w:val="-5"/>
                <w:w w:val="15"/>
                <w:shd w:val="solid" w:color="000000" w:fill="000000"/>
                <w:fitText w:val="60" w:id="-961889778"/>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5BBF8899" w14:textId="715FFCCE"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77"/>
                <w14:textFill>
                  <w14:solidFill>
                    <w14:srgbClr w14:val="000000">
                      <w14:alpha w14:val="100000"/>
                    </w14:srgbClr>
                  </w14:solidFill>
                </w14:textFill>
              </w:rPr>
              <w:t xml:space="preserve">　</w:t>
            </w:r>
            <w:r w:rsidRPr="00640EC9">
              <w:rPr>
                <w:color w:val="000000"/>
                <w:w w:val="15"/>
                <w:shd w:val="solid" w:color="000000" w:fill="000000"/>
                <w:fitText w:val="60" w:id="-961889777"/>
                <w14:textFill>
                  <w14:solidFill>
                    <w14:srgbClr w14:val="000000">
                      <w14:alpha w14:val="100000"/>
                    </w14:srgbClr>
                  </w14:solidFill>
                </w14:textFill>
              </w:rPr>
              <w:t>|</w:t>
            </w:r>
            <w:r w:rsidRPr="00640EC9">
              <w:rPr>
                <w:rFonts w:hint="eastAsia"/>
                <w:color w:val="000000"/>
                <w:spacing w:val="-5"/>
                <w:w w:val="15"/>
                <w:shd w:val="solid" w:color="000000" w:fill="000000"/>
                <w:fitText w:val="60" w:id="-961889777"/>
                <w14:textFill>
                  <w14:solidFill>
                    <w14:srgbClr w14:val="000000">
                      <w14:alpha w14:val="100000"/>
                    </w14:srgbClr>
                  </w14:solidFill>
                </w14:textFill>
              </w:rPr>
              <w:t xml:space="preserve">　</w:t>
            </w:r>
            <w:r w:rsidR="00DB0472" w:rsidRPr="00DB0472">
              <w:rPr>
                <w:vertAlign w:val="superscript"/>
              </w:rPr>
              <w:t>3</w:t>
            </w:r>
          </w:p>
        </w:tc>
        <w:tc>
          <w:tcPr>
            <w:tcW w:w="993" w:type="dxa"/>
            <w:shd w:val="clear" w:color="auto" w:fill="auto"/>
            <w:vAlign w:val="center"/>
          </w:tcPr>
          <w:p w14:paraId="5DE83830" w14:textId="713B733A"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76"/>
                <w14:textFill>
                  <w14:solidFill>
                    <w14:srgbClr w14:val="000000">
                      <w14:alpha w14:val="100000"/>
                    </w14:srgbClr>
                  </w14:solidFill>
                </w14:textFill>
              </w:rPr>
              <w:t xml:space="preserve">　</w:t>
            </w:r>
            <w:r w:rsidRPr="00640EC9">
              <w:rPr>
                <w:color w:val="000000"/>
                <w:w w:val="15"/>
                <w:shd w:val="solid" w:color="000000" w:fill="000000"/>
                <w:fitText w:val="60" w:id="-961889776"/>
                <w14:textFill>
                  <w14:solidFill>
                    <w14:srgbClr w14:val="000000">
                      <w14:alpha w14:val="100000"/>
                    </w14:srgbClr>
                  </w14:solidFill>
                </w14:textFill>
              </w:rPr>
              <w:t>|</w:t>
            </w:r>
            <w:r w:rsidRPr="00640EC9">
              <w:rPr>
                <w:rFonts w:hint="eastAsia"/>
                <w:color w:val="000000"/>
                <w:spacing w:val="-5"/>
                <w:w w:val="15"/>
                <w:shd w:val="solid" w:color="000000" w:fill="000000"/>
                <w:fitText w:val="60" w:id="-961889776"/>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30C064C7" w14:textId="7EEC473B"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92"/>
                <w14:textFill>
                  <w14:solidFill>
                    <w14:srgbClr w14:val="000000">
                      <w14:alpha w14:val="100000"/>
                    </w14:srgbClr>
                  </w14:solidFill>
                </w14:textFill>
              </w:rPr>
              <w:t xml:space="preserve">　</w:t>
            </w:r>
            <w:r w:rsidRPr="00640EC9">
              <w:rPr>
                <w:color w:val="000000"/>
                <w:w w:val="15"/>
                <w:shd w:val="solid" w:color="000000" w:fill="000000"/>
                <w:fitText w:val="60" w:id="-961889792"/>
                <w14:textFill>
                  <w14:solidFill>
                    <w14:srgbClr w14:val="000000">
                      <w14:alpha w14:val="100000"/>
                    </w14:srgbClr>
                  </w14:solidFill>
                </w14:textFill>
              </w:rPr>
              <w:t>|</w:t>
            </w:r>
            <w:r w:rsidRPr="00640EC9">
              <w:rPr>
                <w:rFonts w:hint="eastAsia"/>
                <w:color w:val="000000"/>
                <w:spacing w:val="-5"/>
                <w:w w:val="15"/>
                <w:shd w:val="solid" w:color="000000" w:fill="000000"/>
                <w:fitText w:val="60" w:id="-961889792"/>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5FE6E9E0" w14:textId="55E6027B"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91"/>
                <w14:textFill>
                  <w14:solidFill>
                    <w14:srgbClr w14:val="000000">
                      <w14:alpha w14:val="100000"/>
                    </w14:srgbClr>
                  </w14:solidFill>
                </w14:textFill>
              </w:rPr>
              <w:t xml:space="preserve">　</w:t>
            </w:r>
            <w:r w:rsidRPr="00640EC9">
              <w:rPr>
                <w:color w:val="000000"/>
                <w:w w:val="15"/>
                <w:shd w:val="solid" w:color="000000" w:fill="000000"/>
                <w:fitText w:val="60" w:id="-961889791"/>
                <w14:textFill>
                  <w14:solidFill>
                    <w14:srgbClr w14:val="000000">
                      <w14:alpha w14:val="100000"/>
                    </w14:srgbClr>
                  </w14:solidFill>
                </w14:textFill>
              </w:rPr>
              <w:t>|</w:t>
            </w:r>
            <w:r w:rsidRPr="00640EC9">
              <w:rPr>
                <w:rFonts w:hint="eastAsia"/>
                <w:color w:val="000000"/>
                <w:spacing w:val="-5"/>
                <w:w w:val="15"/>
                <w:shd w:val="solid" w:color="000000" w:fill="000000"/>
                <w:fitText w:val="60" w:id="-961889791"/>
                <w14:textFill>
                  <w14:solidFill>
                    <w14:srgbClr w14:val="000000">
                      <w14:alpha w14:val="100000"/>
                    </w14:srgbClr>
                  </w14:solidFill>
                </w14:textFill>
              </w:rPr>
              <w:t xml:space="preserve">　</w:t>
            </w:r>
            <w:r w:rsidR="00DB0472" w:rsidRPr="00DB0472">
              <w:rPr>
                <w:vertAlign w:val="superscript"/>
              </w:rPr>
              <w:t>3</w:t>
            </w:r>
          </w:p>
        </w:tc>
        <w:tc>
          <w:tcPr>
            <w:tcW w:w="920" w:type="dxa"/>
            <w:tcBorders>
              <w:bottom w:val="single" w:sz="4" w:space="0" w:color="auto"/>
            </w:tcBorders>
            <w:shd w:val="clear" w:color="auto" w:fill="auto"/>
            <w:vAlign w:val="center"/>
          </w:tcPr>
          <w:p w14:paraId="38A7306F" w14:textId="47BE7BD7" w:rsidR="00A26972"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AD60E5" w:rsidRPr="00AD60E5">
              <w:rPr>
                <w:vertAlign w:val="superscript"/>
              </w:rPr>
              <w:t>6</w:t>
            </w:r>
          </w:p>
        </w:tc>
      </w:tr>
      <w:tr w:rsidR="002C1990" w:rsidRPr="009941F8" w14:paraId="18CBB31A" w14:textId="77777777" w:rsidTr="00233562">
        <w:tc>
          <w:tcPr>
            <w:tcW w:w="2122" w:type="dxa"/>
            <w:shd w:val="clear" w:color="auto" w:fill="auto"/>
            <w:vAlign w:val="center"/>
          </w:tcPr>
          <w:p w14:paraId="284DEA4F" w14:textId="2E88062C" w:rsidR="00A26972" w:rsidRPr="009941F8" w:rsidRDefault="001D4FAC" w:rsidP="00233562">
            <w:pPr>
              <w:pStyle w:val="TableText0"/>
              <w:keepNext w:val="0"/>
              <w:widowControl w:val="0"/>
              <w:rPr>
                <w:szCs w:val="20"/>
              </w:rPr>
            </w:pPr>
            <w:r w:rsidRPr="009941F8">
              <w:rPr>
                <w:szCs w:val="20"/>
              </w:rPr>
              <w:t>Uptake rate</w:t>
            </w:r>
          </w:p>
        </w:tc>
        <w:tc>
          <w:tcPr>
            <w:tcW w:w="992" w:type="dxa"/>
            <w:shd w:val="clear" w:color="auto" w:fill="auto"/>
            <w:vAlign w:val="center"/>
          </w:tcPr>
          <w:p w14:paraId="5022929E" w14:textId="356B9F41" w:rsidR="00A26972" w:rsidRPr="009941F8" w:rsidRDefault="00640EC9" w:rsidP="00233562">
            <w:pPr>
              <w:pStyle w:val="TableText0"/>
              <w:keepNext w:val="0"/>
              <w:widowControl w:val="0"/>
              <w:jc w:val="center"/>
              <w:rPr>
                <w:szCs w:val="20"/>
              </w:rPr>
            </w:pPr>
            <w:r w:rsidRPr="00640EC9">
              <w:rPr>
                <w:rFonts w:hint="eastAsia"/>
                <w:color w:val="000000"/>
                <w:w w:val="27"/>
                <w:shd w:val="solid" w:color="000000" w:fill="000000"/>
                <w:fitText w:val="120" w:id="-961889790"/>
                <w14:textFill>
                  <w14:solidFill>
                    <w14:srgbClr w14:val="000000">
                      <w14:alpha w14:val="100000"/>
                    </w14:srgbClr>
                  </w14:solidFill>
                </w14:textFill>
              </w:rPr>
              <w:t xml:space="preserve">　</w:t>
            </w:r>
            <w:r w:rsidRPr="00640EC9">
              <w:rPr>
                <w:color w:val="000000"/>
                <w:w w:val="27"/>
                <w:shd w:val="solid" w:color="000000" w:fill="000000"/>
                <w:fitText w:val="120" w:id="-961889790"/>
                <w14:textFill>
                  <w14:solidFill>
                    <w14:srgbClr w14:val="000000">
                      <w14:alpha w14:val="100000"/>
                    </w14:srgbClr>
                  </w14:solidFill>
                </w14:textFill>
              </w:rPr>
              <w:t>|</w:t>
            </w:r>
            <w:r w:rsidRPr="00640EC9">
              <w:rPr>
                <w:rFonts w:hint="eastAsia"/>
                <w:color w:val="000000"/>
                <w:spacing w:val="2"/>
                <w:w w:val="27"/>
                <w:shd w:val="solid" w:color="000000" w:fill="000000"/>
                <w:fitText w:val="120" w:id="-961889790"/>
                <w14:textFill>
                  <w14:solidFill>
                    <w14:srgbClr w14:val="000000">
                      <w14:alpha w14:val="100000"/>
                    </w14:srgbClr>
                  </w14:solidFill>
                </w14:textFill>
              </w:rPr>
              <w:t xml:space="preserve">　</w:t>
            </w:r>
            <w:r w:rsidR="00A26972" w:rsidRPr="009941F8">
              <w:t>%</w:t>
            </w:r>
          </w:p>
        </w:tc>
        <w:tc>
          <w:tcPr>
            <w:tcW w:w="992" w:type="dxa"/>
            <w:shd w:val="clear" w:color="auto" w:fill="auto"/>
            <w:vAlign w:val="center"/>
          </w:tcPr>
          <w:p w14:paraId="595FA0E5" w14:textId="3F23BE71" w:rsidR="00A26972" w:rsidRPr="009941F8" w:rsidRDefault="00640EC9" w:rsidP="00233562">
            <w:pPr>
              <w:pStyle w:val="TableText0"/>
              <w:keepNext w:val="0"/>
              <w:widowControl w:val="0"/>
              <w:jc w:val="center"/>
              <w:rPr>
                <w:szCs w:val="20"/>
              </w:rPr>
            </w:pPr>
            <w:r w:rsidRPr="00640EC9">
              <w:rPr>
                <w:rFonts w:hint="eastAsia"/>
                <w:color w:val="000000"/>
                <w:w w:val="27"/>
                <w:shd w:val="solid" w:color="000000" w:fill="000000"/>
                <w:fitText w:val="120" w:id="-961889789"/>
                <w14:textFill>
                  <w14:solidFill>
                    <w14:srgbClr w14:val="000000">
                      <w14:alpha w14:val="100000"/>
                    </w14:srgbClr>
                  </w14:solidFill>
                </w14:textFill>
              </w:rPr>
              <w:t xml:space="preserve">　</w:t>
            </w:r>
            <w:r w:rsidRPr="00640EC9">
              <w:rPr>
                <w:color w:val="000000"/>
                <w:w w:val="27"/>
                <w:shd w:val="solid" w:color="000000" w:fill="000000"/>
                <w:fitText w:val="120" w:id="-961889789"/>
                <w14:textFill>
                  <w14:solidFill>
                    <w14:srgbClr w14:val="000000">
                      <w14:alpha w14:val="100000"/>
                    </w14:srgbClr>
                  </w14:solidFill>
                </w14:textFill>
              </w:rPr>
              <w:t>|</w:t>
            </w:r>
            <w:r w:rsidRPr="00640EC9">
              <w:rPr>
                <w:rFonts w:hint="eastAsia"/>
                <w:color w:val="000000"/>
                <w:spacing w:val="2"/>
                <w:w w:val="27"/>
                <w:shd w:val="solid" w:color="000000" w:fill="000000"/>
                <w:fitText w:val="120" w:id="-961889789"/>
                <w14:textFill>
                  <w14:solidFill>
                    <w14:srgbClr w14:val="000000">
                      <w14:alpha w14:val="100000"/>
                    </w14:srgbClr>
                  </w14:solidFill>
                </w14:textFill>
              </w:rPr>
              <w:t xml:space="preserve">　</w:t>
            </w:r>
            <w:r w:rsidR="00A26972" w:rsidRPr="009941F8">
              <w:t>%</w:t>
            </w:r>
          </w:p>
        </w:tc>
        <w:tc>
          <w:tcPr>
            <w:tcW w:w="992" w:type="dxa"/>
            <w:shd w:val="clear" w:color="auto" w:fill="auto"/>
            <w:vAlign w:val="center"/>
          </w:tcPr>
          <w:p w14:paraId="44AC67CE" w14:textId="747DAF06" w:rsidR="00A26972" w:rsidRPr="009941F8" w:rsidRDefault="00640EC9" w:rsidP="00233562">
            <w:pPr>
              <w:pStyle w:val="TableText0"/>
              <w:keepNext w:val="0"/>
              <w:widowControl w:val="0"/>
              <w:jc w:val="center"/>
              <w:rPr>
                <w:szCs w:val="20"/>
              </w:rPr>
            </w:pPr>
            <w:r w:rsidRPr="00640EC9">
              <w:rPr>
                <w:rFonts w:hint="eastAsia"/>
                <w:color w:val="000000"/>
                <w:w w:val="27"/>
                <w:shd w:val="solid" w:color="000000" w:fill="000000"/>
                <w:fitText w:val="120" w:id="-961889788"/>
                <w14:textFill>
                  <w14:solidFill>
                    <w14:srgbClr w14:val="000000">
                      <w14:alpha w14:val="100000"/>
                    </w14:srgbClr>
                  </w14:solidFill>
                </w14:textFill>
              </w:rPr>
              <w:t xml:space="preserve">　</w:t>
            </w:r>
            <w:r w:rsidRPr="00640EC9">
              <w:rPr>
                <w:color w:val="000000"/>
                <w:w w:val="27"/>
                <w:shd w:val="solid" w:color="000000" w:fill="000000"/>
                <w:fitText w:val="120" w:id="-961889788"/>
                <w14:textFill>
                  <w14:solidFill>
                    <w14:srgbClr w14:val="000000">
                      <w14:alpha w14:val="100000"/>
                    </w14:srgbClr>
                  </w14:solidFill>
                </w14:textFill>
              </w:rPr>
              <w:t>|</w:t>
            </w:r>
            <w:r w:rsidRPr="00640EC9">
              <w:rPr>
                <w:rFonts w:hint="eastAsia"/>
                <w:color w:val="000000"/>
                <w:spacing w:val="2"/>
                <w:w w:val="27"/>
                <w:shd w:val="solid" w:color="000000" w:fill="000000"/>
                <w:fitText w:val="120" w:id="-961889788"/>
                <w14:textFill>
                  <w14:solidFill>
                    <w14:srgbClr w14:val="000000">
                      <w14:alpha w14:val="100000"/>
                    </w14:srgbClr>
                  </w14:solidFill>
                </w14:textFill>
              </w:rPr>
              <w:t xml:space="preserve">　</w:t>
            </w:r>
            <w:r w:rsidR="00A26972" w:rsidRPr="009941F8">
              <w:t>%</w:t>
            </w:r>
          </w:p>
        </w:tc>
        <w:tc>
          <w:tcPr>
            <w:tcW w:w="993" w:type="dxa"/>
            <w:shd w:val="clear" w:color="auto" w:fill="auto"/>
            <w:vAlign w:val="center"/>
          </w:tcPr>
          <w:p w14:paraId="251711EB" w14:textId="23238776" w:rsidR="00A26972" w:rsidRPr="009941F8" w:rsidRDefault="00640EC9" w:rsidP="00233562">
            <w:pPr>
              <w:pStyle w:val="TableText0"/>
              <w:keepNext w:val="0"/>
              <w:widowControl w:val="0"/>
              <w:jc w:val="center"/>
              <w:rPr>
                <w:szCs w:val="20"/>
              </w:rPr>
            </w:pPr>
            <w:r w:rsidRPr="00640EC9">
              <w:rPr>
                <w:rFonts w:hint="eastAsia"/>
                <w:color w:val="000000"/>
                <w:w w:val="27"/>
                <w:shd w:val="solid" w:color="000000" w:fill="000000"/>
                <w:fitText w:val="120" w:id="-961889787"/>
                <w14:textFill>
                  <w14:solidFill>
                    <w14:srgbClr w14:val="000000">
                      <w14:alpha w14:val="100000"/>
                    </w14:srgbClr>
                  </w14:solidFill>
                </w14:textFill>
              </w:rPr>
              <w:t xml:space="preserve">　</w:t>
            </w:r>
            <w:r w:rsidRPr="00640EC9">
              <w:rPr>
                <w:color w:val="000000"/>
                <w:w w:val="27"/>
                <w:shd w:val="solid" w:color="000000" w:fill="000000"/>
                <w:fitText w:val="120" w:id="-961889787"/>
                <w14:textFill>
                  <w14:solidFill>
                    <w14:srgbClr w14:val="000000">
                      <w14:alpha w14:val="100000"/>
                    </w14:srgbClr>
                  </w14:solidFill>
                </w14:textFill>
              </w:rPr>
              <w:t>|</w:t>
            </w:r>
            <w:r w:rsidRPr="00640EC9">
              <w:rPr>
                <w:rFonts w:hint="eastAsia"/>
                <w:color w:val="000000"/>
                <w:spacing w:val="2"/>
                <w:w w:val="27"/>
                <w:shd w:val="solid" w:color="000000" w:fill="000000"/>
                <w:fitText w:val="120" w:id="-961889787"/>
                <w14:textFill>
                  <w14:solidFill>
                    <w14:srgbClr w14:val="000000">
                      <w14:alpha w14:val="100000"/>
                    </w14:srgbClr>
                  </w14:solidFill>
                </w14:textFill>
              </w:rPr>
              <w:t xml:space="preserve">　</w:t>
            </w:r>
            <w:r w:rsidR="00A26972" w:rsidRPr="009941F8">
              <w:t>%</w:t>
            </w:r>
          </w:p>
        </w:tc>
        <w:tc>
          <w:tcPr>
            <w:tcW w:w="992" w:type="dxa"/>
            <w:shd w:val="clear" w:color="auto" w:fill="auto"/>
            <w:vAlign w:val="center"/>
          </w:tcPr>
          <w:p w14:paraId="0117342D" w14:textId="477DD84B" w:rsidR="00A26972" w:rsidRPr="009941F8" w:rsidRDefault="00640EC9" w:rsidP="00233562">
            <w:pPr>
              <w:pStyle w:val="TableText0"/>
              <w:keepNext w:val="0"/>
              <w:widowControl w:val="0"/>
              <w:jc w:val="center"/>
              <w:rPr>
                <w:szCs w:val="20"/>
              </w:rPr>
            </w:pPr>
            <w:r w:rsidRPr="00640EC9">
              <w:rPr>
                <w:rFonts w:hint="eastAsia"/>
                <w:color w:val="000000"/>
                <w:w w:val="27"/>
                <w:shd w:val="solid" w:color="000000" w:fill="000000"/>
                <w:fitText w:val="120" w:id="-961889786"/>
                <w14:textFill>
                  <w14:solidFill>
                    <w14:srgbClr w14:val="000000">
                      <w14:alpha w14:val="100000"/>
                    </w14:srgbClr>
                  </w14:solidFill>
                </w14:textFill>
              </w:rPr>
              <w:t xml:space="preserve">　</w:t>
            </w:r>
            <w:r w:rsidRPr="00640EC9">
              <w:rPr>
                <w:color w:val="000000"/>
                <w:w w:val="27"/>
                <w:shd w:val="solid" w:color="000000" w:fill="000000"/>
                <w:fitText w:val="120" w:id="-961889786"/>
                <w14:textFill>
                  <w14:solidFill>
                    <w14:srgbClr w14:val="000000">
                      <w14:alpha w14:val="100000"/>
                    </w14:srgbClr>
                  </w14:solidFill>
                </w14:textFill>
              </w:rPr>
              <w:t>|</w:t>
            </w:r>
            <w:r w:rsidRPr="00640EC9">
              <w:rPr>
                <w:rFonts w:hint="eastAsia"/>
                <w:color w:val="000000"/>
                <w:spacing w:val="2"/>
                <w:w w:val="27"/>
                <w:shd w:val="solid" w:color="000000" w:fill="000000"/>
                <w:fitText w:val="120" w:id="-961889786"/>
                <w14:textFill>
                  <w14:solidFill>
                    <w14:srgbClr w14:val="000000">
                      <w14:alpha w14:val="100000"/>
                    </w14:srgbClr>
                  </w14:solidFill>
                </w14:textFill>
              </w:rPr>
              <w:t xml:space="preserve">　</w:t>
            </w:r>
            <w:r w:rsidR="00A26972" w:rsidRPr="009941F8">
              <w:t>%</w:t>
            </w:r>
          </w:p>
        </w:tc>
        <w:tc>
          <w:tcPr>
            <w:tcW w:w="992" w:type="dxa"/>
            <w:shd w:val="clear" w:color="auto" w:fill="auto"/>
            <w:vAlign w:val="center"/>
          </w:tcPr>
          <w:p w14:paraId="7239409E" w14:textId="3A719E1B" w:rsidR="00A26972" w:rsidRPr="009941F8" w:rsidRDefault="00640EC9" w:rsidP="00233562">
            <w:pPr>
              <w:pStyle w:val="TableText0"/>
              <w:keepNext w:val="0"/>
              <w:widowControl w:val="0"/>
              <w:jc w:val="center"/>
              <w:rPr>
                <w:szCs w:val="20"/>
              </w:rPr>
            </w:pPr>
            <w:r w:rsidRPr="00640EC9">
              <w:rPr>
                <w:rFonts w:hint="eastAsia"/>
                <w:color w:val="000000"/>
                <w:w w:val="27"/>
                <w:shd w:val="solid" w:color="000000" w:fill="000000"/>
                <w:fitText w:val="120" w:id="-961889785"/>
                <w14:textFill>
                  <w14:solidFill>
                    <w14:srgbClr w14:val="000000">
                      <w14:alpha w14:val="100000"/>
                    </w14:srgbClr>
                  </w14:solidFill>
                </w14:textFill>
              </w:rPr>
              <w:t xml:space="preserve">　</w:t>
            </w:r>
            <w:r w:rsidRPr="00640EC9">
              <w:rPr>
                <w:color w:val="000000"/>
                <w:w w:val="27"/>
                <w:shd w:val="solid" w:color="000000" w:fill="000000"/>
                <w:fitText w:val="120" w:id="-961889785"/>
                <w14:textFill>
                  <w14:solidFill>
                    <w14:srgbClr w14:val="000000">
                      <w14:alpha w14:val="100000"/>
                    </w14:srgbClr>
                  </w14:solidFill>
                </w14:textFill>
              </w:rPr>
              <w:t>|</w:t>
            </w:r>
            <w:r w:rsidRPr="00640EC9">
              <w:rPr>
                <w:rFonts w:hint="eastAsia"/>
                <w:color w:val="000000"/>
                <w:spacing w:val="2"/>
                <w:w w:val="27"/>
                <w:shd w:val="solid" w:color="000000" w:fill="000000"/>
                <w:fitText w:val="120" w:id="-961889785"/>
                <w14:textFill>
                  <w14:solidFill>
                    <w14:srgbClr w14:val="000000">
                      <w14:alpha w14:val="100000"/>
                    </w14:srgbClr>
                  </w14:solidFill>
                </w14:textFill>
              </w:rPr>
              <w:t xml:space="preserve">　</w:t>
            </w:r>
            <w:r w:rsidR="00A26972" w:rsidRPr="009941F8">
              <w:t>%</w:t>
            </w:r>
          </w:p>
        </w:tc>
        <w:tc>
          <w:tcPr>
            <w:tcW w:w="920" w:type="dxa"/>
            <w:shd w:val="clear" w:color="auto" w:fill="auto"/>
            <w:vAlign w:val="center"/>
          </w:tcPr>
          <w:p w14:paraId="1970D5ED" w14:textId="5F723A25" w:rsidR="00A26972" w:rsidRPr="00AB3F41" w:rsidRDefault="002C1990" w:rsidP="00233562">
            <w:pPr>
              <w:pStyle w:val="TableText0"/>
              <w:keepNext w:val="0"/>
              <w:widowControl w:val="0"/>
              <w:jc w:val="center"/>
              <w:rPr>
                <w:szCs w:val="20"/>
                <w:highlight w:val="lightGray"/>
              </w:rPr>
            </w:pPr>
            <w:r w:rsidRPr="00640EC9">
              <w:rPr>
                <w:rFonts w:hint="eastAsia"/>
                <w:color w:val="000000"/>
                <w:w w:val="27"/>
                <w:shd w:val="solid" w:color="000000" w:fill="000000"/>
                <w:fitText w:val="120" w:id="-961889785"/>
                <w14:textFill>
                  <w14:solidFill>
                    <w14:srgbClr w14:val="000000">
                      <w14:alpha w14:val="100000"/>
                    </w14:srgbClr>
                  </w14:solidFill>
                </w14:textFill>
              </w:rPr>
              <w:t xml:space="preserve">　</w:t>
            </w:r>
            <w:r w:rsidRPr="00640EC9">
              <w:rPr>
                <w:color w:val="000000"/>
                <w:w w:val="27"/>
                <w:shd w:val="solid" w:color="000000" w:fill="000000"/>
                <w:fitText w:val="120" w:id="-961889785"/>
                <w14:textFill>
                  <w14:solidFill>
                    <w14:srgbClr w14:val="000000">
                      <w14:alpha w14:val="100000"/>
                    </w14:srgbClr>
                  </w14:solidFill>
                </w14:textFill>
              </w:rPr>
              <w:t>|</w:t>
            </w:r>
            <w:r w:rsidRPr="00640EC9">
              <w:rPr>
                <w:rFonts w:hint="eastAsia"/>
                <w:color w:val="000000"/>
                <w:spacing w:val="2"/>
                <w:w w:val="27"/>
                <w:shd w:val="solid" w:color="000000" w:fill="000000"/>
                <w:fitText w:val="120" w:id="-961889785"/>
                <w14:textFill>
                  <w14:solidFill>
                    <w14:srgbClr w14:val="000000">
                      <w14:alpha w14:val="100000"/>
                    </w14:srgbClr>
                  </w14:solidFill>
                </w14:textFill>
              </w:rPr>
              <w:t xml:space="preserve">　</w:t>
            </w:r>
            <w:r w:rsidRPr="009941F8">
              <w:t>%</w:t>
            </w:r>
          </w:p>
        </w:tc>
      </w:tr>
      <w:tr w:rsidR="002C1990" w:rsidRPr="009941F8" w14:paraId="336068F3" w14:textId="77777777" w:rsidTr="00233562">
        <w:tc>
          <w:tcPr>
            <w:tcW w:w="2122" w:type="dxa"/>
            <w:shd w:val="clear" w:color="auto" w:fill="auto"/>
          </w:tcPr>
          <w:p w14:paraId="2E8DCC82" w14:textId="39FF1076" w:rsidR="00A26972" w:rsidRPr="009941F8" w:rsidRDefault="001D4FAC" w:rsidP="00233562">
            <w:pPr>
              <w:pStyle w:val="TableText0"/>
              <w:keepNext w:val="0"/>
              <w:widowControl w:val="0"/>
              <w:rPr>
                <w:szCs w:val="20"/>
              </w:rPr>
            </w:pPr>
            <w:r w:rsidRPr="009941F8">
              <w:rPr>
                <w:szCs w:val="20"/>
              </w:rPr>
              <w:t>Initiating patients</w:t>
            </w:r>
          </w:p>
        </w:tc>
        <w:tc>
          <w:tcPr>
            <w:tcW w:w="992" w:type="dxa"/>
            <w:shd w:val="clear" w:color="auto" w:fill="auto"/>
            <w:vAlign w:val="center"/>
          </w:tcPr>
          <w:p w14:paraId="10EB6348" w14:textId="75BB7A3D"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4"/>
                <w14:textFill>
                  <w14:solidFill>
                    <w14:srgbClr w14:val="000000">
                      <w14:alpha w14:val="100000"/>
                    </w14:srgbClr>
                  </w14:solidFill>
                </w14:textFill>
              </w:rPr>
              <w:t xml:space="preserve">　</w:t>
            </w:r>
            <w:r w:rsidRPr="00640EC9">
              <w:rPr>
                <w:color w:val="000000"/>
                <w:w w:val="15"/>
                <w:shd w:val="solid" w:color="000000" w:fill="000000"/>
                <w:fitText w:val="60" w:id="-961889784"/>
                <w14:textFill>
                  <w14:solidFill>
                    <w14:srgbClr w14:val="000000">
                      <w14:alpha w14:val="100000"/>
                    </w14:srgbClr>
                  </w14:solidFill>
                </w14:textFill>
              </w:rPr>
              <w:t>|</w:t>
            </w:r>
            <w:r w:rsidRPr="00640EC9">
              <w:rPr>
                <w:rFonts w:hint="eastAsia"/>
                <w:color w:val="000000"/>
                <w:spacing w:val="-5"/>
                <w:w w:val="15"/>
                <w:shd w:val="solid" w:color="000000" w:fill="000000"/>
                <w:fitText w:val="60" w:id="-961889784"/>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314C82A5" w14:textId="0DD3C4F5"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3"/>
                <w14:textFill>
                  <w14:solidFill>
                    <w14:srgbClr w14:val="000000">
                      <w14:alpha w14:val="100000"/>
                    </w14:srgbClr>
                  </w14:solidFill>
                </w14:textFill>
              </w:rPr>
              <w:t xml:space="preserve">　</w:t>
            </w:r>
            <w:r w:rsidRPr="00640EC9">
              <w:rPr>
                <w:color w:val="000000"/>
                <w:w w:val="15"/>
                <w:shd w:val="solid" w:color="000000" w:fill="000000"/>
                <w:fitText w:val="60" w:id="-961889783"/>
                <w14:textFill>
                  <w14:solidFill>
                    <w14:srgbClr w14:val="000000">
                      <w14:alpha w14:val="100000"/>
                    </w14:srgbClr>
                  </w14:solidFill>
                </w14:textFill>
              </w:rPr>
              <w:t>|</w:t>
            </w:r>
            <w:r w:rsidRPr="00640EC9">
              <w:rPr>
                <w:rFonts w:hint="eastAsia"/>
                <w:color w:val="000000"/>
                <w:spacing w:val="-5"/>
                <w:w w:val="15"/>
                <w:shd w:val="solid" w:color="000000" w:fill="000000"/>
                <w:fitText w:val="60" w:id="-961889783"/>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5F3CC456" w14:textId="10B44F6D"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2"/>
                <w14:textFill>
                  <w14:solidFill>
                    <w14:srgbClr w14:val="000000">
                      <w14:alpha w14:val="100000"/>
                    </w14:srgbClr>
                  </w14:solidFill>
                </w14:textFill>
              </w:rPr>
              <w:t xml:space="preserve">　</w:t>
            </w:r>
            <w:r w:rsidRPr="00640EC9">
              <w:rPr>
                <w:color w:val="000000"/>
                <w:w w:val="15"/>
                <w:shd w:val="solid" w:color="000000" w:fill="000000"/>
                <w:fitText w:val="60" w:id="-961889782"/>
                <w14:textFill>
                  <w14:solidFill>
                    <w14:srgbClr w14:val="000000">
                      <w14:alpha w14:val="100000"/>
                    </w14:srgbClr>
                  </w14:solidFill>
                </w14:textFill>
              </w:rPr>
              <w:t>|</w:t>
            </w:r>
            <w:r w:rsidRPr="00640EC9">
              <w:rPr>
                <w:rFonts w:hint="eastAsia"/>
                <w:color w:val="000000"/>
                <w:spacing w:val="-5"/>
                <w:w w:val="15"/>
                <w:shd w:val="solid" w:color="000000" w:fill="000000"/>
                <w:fitText w:val="60" w:id="-961889782"/>
                <w14:textFill>
                  <w14:solidFill>
                    <w14:srgbClr w14:val="000000">
                      <w14:alpha w14:val="100000"/>
                    </w14:srgbClr>
                  </w14:solidFill>
                </w14:textFill>
              </w:rPr>
              <w:t xml:space="preserve">　</w:t>
            </w:r>
            <w:r w:rsidR="00DB0472" w:rsidRPr="00DB0472">
              <w:rPr>
                <w:vertAlign w:val="superscript"/>
              </w:rPr>
              <w:t>3</w:t>
            </w:r>
          </w:p>
        </w:tc>
        <w:tc>
          <w:tcPr>
            <w:tcW w:w="993" w:type="dxa"/>
            <w:shd w:val="clear" w:color="auto" w:fill="auto"/>
            <w:vAlign w:val="center"/>
          </w:tcPr>
          <w:p w14:paraId="394513A0" w14:textId="51503DFF"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1"/>
                <w14:textFill>
                  <w14:solidFill>
                    <w14:srgbClr w14:val="000000">
                      <w14:alpha w14:val="100000"/>
                    </w14:srgbClr>
                  </w14:solidFill>
                </w14:textFill>
              </w:rPr>
              <w:t xml:space="preserve">　</w:t>
            </w:r>
            <w:r w:rsidRPr="00640EC9">
              <w:rPr>
                <w:color w:val="000000"/>
                <w:w w:val="15"/>
                <w:shd w:val="solid" w:color="000000" w:fill="000000"/>
                <w:fitText w:val="60" w:id="-961889781"/>
                <w14:textFill>
                  <w14:solidFill>
                    <w14:srgbClr w14:val="000000">
                      <w14:alpha w14:val="100000"/>
                    </w14:srgbClr>
                  </w14:solidFill>
                </w14:textFill>
              </w:rPr>
              <w:t>|</w:t>
            </w:r>
            <w:r w:rsidRPr="00640EC9">
              <w:rPr>
                <w:rFonts w:hint="eastAsia"/>
                <w:color w:val="000000"/>
                <w:spacing w:val="-5"/>
                <w:w w:val="15"/>
                <w:shd w:val="solid" w:color="000000" w:fill="000000"/>
                <w:fitText w:val="60" w:id="-961889781"/>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2A0EA8AF" w14:textId="1FBC9894"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0"/>
                <w14:textFill>
                  <w14:solidFill>
                    <w14:srgbClr w14:val="000000">
                      <w14:alpha w14:val="100000"/>
                    </w14:srgbClr>
                  </w14:solidFill>
                </w14:textFill>
              </w:rPr>
              <w:t xml:space="preserve">　</w:t>
            </w:r>
            <w:r w:rsidRPr="00640EC9">
              <w:rPr>
                <w:color w:val="000000"/>
                <w:w w:val="15"/>
                <w:shd w:val="solid" w:color="000000" w:fill="000000"/>
                <w:fitText w:val="60" w:id="-961889780"/>
                <w14:textFill>
                  <w14:solidFill>
                    <w14:srgbClr w14:val="000000">
                      <w14:alpha w14:val="100000"/>
                    </w14:srgbClr>
                  </w14:solidFill>
                </w14:textFill>
              </w:rPr>
              <w:t>|</w:t>
            </w:r>
            <w:r w:rsidRPr="00640EC9">
              <w:rPr>
                <w:rFonts w:hint="eastAsia"/>
                <w:color w:val="000000"/>
                <w:spacing w:val="-5"/>
                <w:w w:val="15"/>
                <w:shd w:val="solid" w:color="000000" w:fill="000000"/>
                <w:fitText w:val="60" w:id="-961889780"/>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0F6A06F6" w14:textId="39709DDE" w:rsidR="00A26972" w:rsidRPr="00AB3F41" w:rsidRDefault="00640EC9" w:rsidP="00233562">
            <w:pPr>
              <w:pStyle w:val="TableText0"/>
              <w:keepNext w:val="0"/>
              <w:widowControl w:val="0"/>
              <w:jc w:val="center"/>
              <w:rPr>
                <w:szCs w:val="20"/>
                <w:highlight w:val="lightGray"/>
              </w:rPr>
            </w:pPr>
            <w:r w:rsidRPr="00640EC9">
              <w:rPr>
                <w:color w:val="000000"/>
                <w:spacing w:val="190"/>
                <w:shd w:val="solid" w:color="000000" w:fill="000000"/>
                <w:fitText w:val="276" w:id="-961889779"/>
                <w14:textFill>
                  <w14:solidFill>
                    <w14:srgbClr w14:val="000000">
                      <w14:alpha w14:val="100000"/>
                    </w14:srgbClr>
                  </w14:solidFill>
                </w14:textFill>
              </w:rPr>
              <w:t>|</w:t>
            </w:r>
            <w:r w:rsidRPr="00640EC9">
              <w:rPr>
                <w:color w:val="000000"/>
                <w:spacing w:val="1"/>
                <w:shd w:val="solid" w:color="000000" w:fill="000000"/>
                <w:fitText w:val="276" w:id="-961889779"/>
                <w14:textFill>
                  <w14:solidFill>
                    <w14:srgbClr w14:val="000000">
                      <w14:alpha w14:val="100000"/>
                    </w14:srgbClr>
                  </w14:solidFill>
                </w14:textFill>
              </w:rPr>
              <w:t>|</w:t>
            </w:r>
            <w:r w:rsidR="00DB0472" w:rsidRPr="00DB0472">
              <w:rPr>
                <w:vertAlign w:val="superscript"/>
              </w:rPr>
              <w:t>3</w:t>
            </w:r>
          </w:p>
        </w:tc>
        <w:tc>
          <w:tcPr>
            <w:tcW w:w="920" w:type="dxa"/>
            <w:shd w:val="clear" w:color="auto" w:fill="auto"/>
            <w:vAlign w:val="center"/>
          </w:tcPr>
          <w:p w14:paraId="7199C67C" w14:textId="52540830" w:rsidR="00A26972"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216520" w:rsidRPr="00216520">
              <w:rPr>
                <w:vertAlign w:val="superscript"/>
              </w:rPr>
              <w:t>5</w:t>
            </w:r>
          </w:p>
        </w:tc>
      </w:tr>
      <w:tr w:rsidR="002C1990" w:rsidRPr="009941F8" w14:paraId="3ABF6872" w14:textId="77777777" w:rsidTr="00233562">
        <w:tc>
          <w:tcPr>
            <w:tcW w:w="2122" w:type="dxa"/>
            <w:shd w:val="clear" w:color="auto" w:fill="auto"/>
            <w:vAlign w:val="center"/>
          </w:tcPr>
          <w:p w14:paraId="01007757" w14:textId="6BD7D721" w:rsidR="00A26972" w:rsidRPr="009941F8" w:rsidRDefault="001D4FAC" w:rsidP="00233562">
            <w:pPr>
              <w:pStyle w:val="TableText0"/>
              <w:keepNext w:val="0"/>
              <w:widowControl w:val="0"/>
              <w:rPr>
                <w:szCs w:val="20"/>
              </w:rPr>
            </w:pPr>
            <w:r w:rsidRPr="009941F8">
              <w:rPr>
                <w:szCs w:val="20"/>
              </w:rPr>
              <w:t>Continuing patients</w:t>
            </w:r>
          </w:p>
        </w:tc>
        <w:tc>
          <w:tcPr>
            <w:tcW w:w="992" w:type="dxa"/>
            <w:shd w:val="clear" w:color="auto" w:fill="auto"/>
            <w:vAlign w:val="center"/>
          </w:tcPr>
          <w:p w14:paraId="09EEFBFB" w14:textId="55757137"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77"/>
                <w14:textFill>
                  <w14:solidFill>
                    <w14:srgbClr w14:val="000000">
                      <w14:alpha w14:val="100000"/>
                    </w14:srgbClr>
                  </w14:solidFill>
                </w14:textFill>
              </w:rPr>
              <w:t xml:space="preserve">　</w:t>
            </w:r>
            <w:r w:rsidRPr="00640EC9">
              <w:rPr>
                <w:color w:val="000000"/>
                <w:w w:val="15"/>
                <w:shd w:val="solid" w:color="000000" w:fill="000000"/>
                <w:fitText w:val="60" w:id="-961889777"/>
                <w14:textFill>
                  <w14:solidFill>
                    <w14:srgbClr w14:val="000000">
                      <w14:alpha w14:val="100000"/>
                    </w14:srgbClr>
                  </w14:solidFill>
                </w14:textFill>
              </w:rPr>
              <w:t>|</w:t>
            </w:r>
            <w:r w:rsidRPr="00640EC9">
              <w:rPr>
                <w:rFonts w:hint="eastAsia"/>
                <w:color w:val="000000"/>
                <w:spacing w:val="-5"/>
                <w:w w:val="15"/>
                <w:shd w:val="solid" w:color="000000" w:fill="000000"/>
                <w:fitText w:val="60" w:id="-961889777"/>
                <w14:textFill>
                  <w14:solidFill>
                    <w14:srgbClr w14:val="000000">
                      <w14:alpha w14:val="100000"/>
                    </w14:srgbClr>
                  </w14:solidFill>
                </w14:textFill>
              </w:rPr>
              <w:t xml:space="preserve">　</w:t>
            </w:r>
            <w:r w:rsidR="00216520" w:rsidRPr="00216520">
              <w:rPr>
                <w:vertAlign w:val="superscript"/>
              </w:rPr>
              <w:t>4</w:t>
            </w:r>
          </w:p>
        </w:tc>
        <w:tc>
          <w:tcPr>
            <w:tcW w:w="992" w:type="dxa"/>
            <w:shd w:val="clear" w:color="auto" w:fill="auto"/>
            <w:vAlign w:val="center"/>
          </w:tcPr>
          <w:p w14:paraId="30458894" w14:textId="650546CB"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76"/>
                <w14:textFill>
                  <w14:solidFill>
                    <w14:srgbClr w14:val="000000">
                      <w14:alpha w14:val="100000"/>
                    </w14:srgbClr>
                  </w14:solidFill>
                </w14:textFill>
              </w:rPr>
              <w:t xml:space="preserve">　</w:t>
            </w:r>
            <w:r w:rsidRPr="00640EC9">
              <w:rPr>
                <w:color w:val="000000"/>
                <w:w w:val="15"/>
                <w:shd w:val="solid" w:color="000000" w:fill="000000"/>
                <w:fitText w:val="60" w:id="-961889776"/>
                <w14:textFill>
                  <w14:solidFill>
                    <w14:srgbClr w14:val="000000">
                      <w14:alpha w14:val="100000"/>
                    </w14:srgbClr>
                  </w14:solidFill>
                </w14:textFill>
              </w:rPr>
              <w:t>|</w:t>
            </w:r>
            <w:r w:rsidRPr="00640EC9">
              <w:rPr>
                <w:rFonts w:hint="eastAsia"/>
                <w:color w:val="000000"/>
                <w:spacing w:val="-5"/>
                <w:w w:val="15"/>
                <w:shd w:val="solid" w:color="000000" w:fill="000000"/>
                <w:fitText w:val="60" w:id="-961889776"/>
                <w14:textFill>
                  <w14:solidFill>
                    <w14:srgbClr w14:val="000000">
                      <w14:alpha w14:val="100000"/>
                    </w14:srgbClr>
                  </w14:solidFill>
                </w14:textFill>
              </w:rPr>
              <w:t xml:space="preserve">　</w:t>
            </w:r>
            <w:r w:rsidR="00216520" w:rsidRPr="00216520">
              <w:rPr>
                <w:vertAlign w:val="superscript"/>
              </w:rPr>
              <w:t>4</w:t>
            </w:r>
          </w:p>
        </w:tc>
        <w:tc>
          <w:tcPr>
            <w:tcW w:w="992" w:type="dxa"/>
            <w:shd w:val="clear" w:color="auto" w:fill="auto"/>
            <w:vAlign w:val="center"/>
          </w:tcPr>
          <w:p w14:paraId="7695642D" w14:textId="16134DCA"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92"/>
                <w14:textFill>
                  <w14:solidFill>
                    <w14:srgbClr w14:val="000000">
                      <w14:alpha w14:val="100000"/>
                    </w14:srgbClr>
                  </w14:solidFill>
                </w14:textFill>
              </w:rPr>
              <w:t xml:space="preserve">　</w:t>
            </w:r>
            <w:r w:rsidRPr="00640EC9">
              <w:rPr>
                <w:color w:val="000000"/>
                <w:w w:val="15"/>
                <w:shd w:val="solid" w:color="000000" w:fill="000000"/>
                <w:fitText w:val="60" w:id="-961889792"/>
                <w14:textFill>
                  <w14:solidFill>
                    <w14:srgbClr w14:val="000000">
                      <w14:alpha w14:val="100000"/>
                    </w14:srgbClr>
                  </w14:solidFill>
                </w14:textFill>
              </w:rPr>
              <w:t>|</w:t>
            </w:r>
            <w:r w:rsidRPr="00640EC9">
              <w:rPr>
                <w:rFonts w:hint="eastAsia"/>
                <w:color w:val="000000"/>
                <w:spacing w:val="-5"/>
                <w:w w:val="15"/>
                <w:shd w:val="solid" w:color="000000" w:fill="000000"/>
                <w:fitText w:val="60" w:id="-961889792"/>
                <w14:textFill>
                  <w14:solidFill>
                    <w14:srgbClr w14:val="000000">
                      <w14:alpha w14:val="100000"/>
                    </w14:srgbClr>
                  </w14:solidFill>
                </w14:textFill>
              </w:rPr>
              <w:t xml:space="preserve">　</w:t>
            </w:r>
            <w:r w:rsidR="00216520" w:rsidRPr="00216520">
              <w:rPr>
                <w:vertAlign w:val="superscript"/>
              </w:rPr>
              <w:t>4</w:t>
            </w:r>
          </w:p>
        </w:tc>
        <w:tc>
          <w:tcPr>
            <w:tcW w:w="993" w:type="dxa"/>
            <w:shd w:val="clear" w:color="auto" w:fill="auto"/>
            <w:vAlign w:val="center"/>
          </w:tcPr>
          <w:p w14:paraId="5C3102B4" w14:textId="32FC181F"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91"/>
                <w14:textFill>
                  <w14:solidFill>
                    <w14:srgbClr w14:val="000000">
                      <w14:alpha w14:val="100000"/>
                    </w14:srgbClr>
                  </w14:solidFill>
                </w14:textFill>
              </w:rPr>
              <w:t xml:space="preserve">　</w:t>
            </w:r>
            <w:r w:rsidRPr="00640EC9">
              <w:rPr>
                <w:color w:val="000000"/>
                <w:w w:val="15"/>
                <w:shd w:val="solid" w:color="000000" w:fill="000000"/>
                <w:fitText w:val="60" w:id="-961889791"/>
                <w14:textFill>
                  <w14:solidFill>
                    <w14:srgbClr w14:val="000000">
                      <w14:alpha w14:val="100000"/>
                    </w14:srgbClr>
                  </w14:solidFill>
                </w14:textFill>
              </w:rPr>
              <w:t>|</w:t>
            </w:r>
            <w:r w:rsidRPr="00640EC9">
              <w:rPr>
                <w:rFonts w:hint="eastAsia"/>
                <w:color w:val="000000"/>
                <w:spacing w:val="-5"/>
                <w:w w:val="15"/>
                <w:shd w:val="solid" w:color="000000" w:fill="000000"/>
                <w:fitText w:val="60" w:id="-961889791"/>
                <w14:textFill>
                  <w14:solidFill>
                    <w14:srgbClr w14:val="000000">
                      <w14:alpha w14:val="100000"/>
                    </w14:srgbClr>
                  </w14:solidFill>
                </w14:textFill>
              </w:rPr>
              <w:t xml:space="preserve">　</w:t>
            </w:r>
            <w:r w:rsidR="00216520" w:rsidRPr="00216520">
              <w:rPr>
                <w:vertAlign w:val="superscript"/>
              </w:rPr>
              <w:t>4</w:t>
            </w:r>
          </w:p>
        </w:tc>
        <w:tc>
          <w:tcPr>
            <w:tcW w:w="992" w:type="dxa"/>
            <w:shd w:val="clear" w:color="auto" w:fill="auto"/>
            <w:vAlign w:val="center"/>
          </w:tcPr>
          <w:p w14:paraId="5F418848" w14:textId="119D3C26"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90"/>
                <w14:textFill>
                  <w14:solidFill>
                    <w14:srgbClr w14:val="000000">
                      <w14:alpha w14:val="100000"/>
                    </w14:srgbClr>
                  </w14:solidFill>
                </w14:textFill>
              </w:rPr>
              <w:t xml:space="preserve">　</w:t>
            </w:r>
            <w:r w:rsidRPr="00640EC9">
              <w:rPr>
                <w:color w:val="000000"/>
                <w:w w:val="15"/>
                <w:shd w:val="solid" w:color="000000" w:fill="000000"/>
                <w:fitText w:val="60" w:id="-961889790"/>
                <w14:textFill>
                  <w14:solidFill>
                    <w14:srgbClr w14:val="000000">
                      <w14:alpha w14:val="100000"/>
                    </w14:srgbClr>
                  </w14:solidFill>
                </w14:textFill>
              </w:rPr>
              <w:t>|</w:t>
            </w:r>
            <w:r w:rsidRPr="00640EC9">
              <w:rPr>
                <w:rFonts w:hint="eastAsia"/>
                <w:color w:val="000000"/>
                <w:spacing w:val="-5"/>
                <w:w w:val="15"/>
                <w:shd w:val="solid" w:color="000000" w:fill="000000"/>
                <w:fitText w:val="60" w:id="-961889790"/>
                <w14:textFill>
                  <w14:solidFill>
                    <w14:srgbClr w14:val="000000">
                      <w14:alpha w14:val="100000"/>
                    </w14:srgbClr>
                  </w14:solidFill>
                </w14:textFill>
              </w:rPr>
              <w:t xml:space="preserve">　</w:t>
            </w:r>
            <w:r w:rsidR="00216520" w:rsidRPr="00216520">
              <w:rPr>
                <w:vertAlign w:val="superscript"/>
              </w:rPr>
              <w:t>4</w:t>
            </w:r>
          </w:p>
        </w:tc>
        <w:tc>
          <w:tcPr>
            <w:tcW w:w="992" w:type="dxa"/>
            <w:shd w:val="clear" w:color="auto" w:fill="auto"/>
            <w:vAlign w:val="center"/>
          </w:tcPr>
          <w:p w14:paraId="70162AA3" w14:textId="146AC18C"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789"/>
                <w14:textFill>
                  <w14:solidFill>
                    <w14:srgbClr w14:val="000000">
                      <w14:alpha w14:val="100000"/>
                    </w14:srgbClr>
                  </w14:solidFill>
                </w14:textFill>
              </w:rPr>
              <w:t xml:space="preserve">　</w:t>
            </w:r>
            <w:r w:rsidRPr="00640EC9">
              <w:rPr>
                <w:color w:val="000000"/>
                <w:w w:val="15"/>
                <w:shd w:val="solid" w:color="000000" w:fill="000000"/>
                <w:fitText w:val="60" w:id="-961889789"/>
                <w14:textFill>
                  <w14:solidFill>
                    <w14:srgbClr w14:val="000000">
                      <w14:alpha w14:val="100000"/>
                    </w14:srgbClr>
                  </w14:solidFill>
                </w14:textFill>
              </w:rPr>
              <w:t>|</w:t>
            </w:r>
            <w:r w:rsidRPr="00640EC9">
              <w:rPr>
                <w:rFonts w:hint="eastAsia"/>
                <w:color w:val="000000"/>
                <w:spacing w:val="-5"/>
                <w:w w:val="15"/>
                <w:shd w:val="solid" w:color="000000" w:fill="000000"/>
                <w:fitText w:val="60" w:id="-961889789"/>
                <w14:textFill>
                  <w14:solidFill>
                    <w14:srgbClr w14:val="000000">
                      <w14:alpha w14:val="100000"/>
                    </w14:srgbClr>
                  </w14:solidFill>
                </w14:textFill>
              </w:rPr>
              <w:t xml:space="preserve">　</w:t>
            </w:r>
            <w:r w:rsidR="00216520" w:rsidRPr="00216520">
              <w:rPr>
                <w:vertAlign w:val="superscript"/>
              </w:rPr>
              <w:t>4</w:t>
            </w:r>
          </w:p>
        </w:tc>
        <w:tc>
          <w:tcPr>
            <w:tcW w:w="920" w:type="dxa"/>
            <w:shd w:val="clear" w:color="auto" w:fill="auto"/>
            <w:vAlign w:val="center"/>
          </w:tcPr>
          <w:p w14:paraId="1D6EB26B" w14:textId="17669585" w:rsidR="00A26972"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DB0472" w:rsidRPr="00DB0472">
              <w:rPr>
                <w:vertAlign w:val="superscript"/>
              </w:rPr>
              <w:t>3</w:t>
            </w:r>
          </w:p>
        </w:tc>
      </w:tr>
      <w:tr w:rsidR="002C1990" w:rsidRPr="009941F8" w14:paraId="54D53975" w14:textId="77777777" w:rsidTr="00233562">
        <w:tc>
          <w:tcPr>
            <w:tcW w:w="2122" w:type="dxa"/>
            <w:shd w:val="clear" w:color="auto" w:fill="auto"/>
            <w:vAlign w:val="center"/>
          </w:tcPr>
          <w:p w14:paraId="50C07C83" w14:textId="3D876B3B" w:rsidR="00A26972" w:rsidRPr="009941F8" w:rsidRDefault="001D4FAC" w:rsidP="00233562">
            <w:pPr>
              <w:pStyle w:val="TableText0"/>
              <w:keepNext w:val="0"/>
              <w:widowControl w:val="0"/>
              <w:rPr>
                <w:b/>
                <w:szCs w:val="20"/>
              </w:rPr>
            </w:pPr>
            <w:r w:rsidRPr="009941F8">
              <w:rPr>
                <w:b/>
                <w:szCs w:val="20"/>
              </w:rPr>
              <w:t>Total patient years</w:t>
            </w:r>
          </w:p>
        </w:tc>
        <w:tc>
          <w:tcPr>
            <w:tcW w:w="992" w:type="dxa"/>
            <w:shd w:val="clear" w:color="auto" w:fill="auto"/>
            <w:vAlign w:val="center"/>
          </w:tcPr>
          <w:p w14:paraId="03758E1A" w14:textId="3C9ADD11" w:rsidR="00A26972" w:rsidRPr="00AB3F41" w:rsidRDefault="00640EC9" w:rsidP="00233562">
            <w:pPr>
              <w:pStyle w:val="TableText0"/>
              <w:keepNext w:val="0"/>
              <w:widowControl w:val="0"/>
              <w:jc w:val="center"/>
              <w:rPr>
                <w:b/>
                <w:bCs w:val="0"/>
                <w:szCs w:val="20"/>
                <w:highlight w:val="lightGray"/>
              </w:rPr>
            </w:pPr>
            <w:r w:rsidRPr="00640EC9">
              <w:rPr>
                <w:rFonts w:hint="eastAsia"/>
                <w:color w:val="000000"/>
                <w:w w:val="15"/>
                <w:shd w:val="solid" w:color="000000" w:fill="000000"/>
                <w:fitText w:val="60" w:id="-961889788"/>
                <w14:textFill>
                  <w14:solidFill>
                    <w14:srgbClr w14:val="000000">
                      <w14:alpha w14:val="100000"/>
                    </w14:srgbClr>
                  </w14:solidFill>
                </w14:textFill>
              </w:rPr>
              <w:t xml:space="preserve">　</w:t>
            </w:r>
            <w:r w:rsidRPr="00640EC9">
              <w:rPr>
                <w:color w:val="000000"/>
                <w:w w:val="15"/>
                <w:shd w:val="solid" w:color="000000" w:fill="000000"/>
                <w:fitText w:val="60" w:id="-961889788"/>
                <w14:textFill>
                  <w14:solidFill>
                    <w14:srgbClr w14:val="000000">
                      <w14:alpha w14:val="100000"/>
                    </w14:srgbClr>
                  </w14:solidFill>
                </w14:textFill>
              </w:rPr>
              <w:t>|</w:t>
            </w:r>
            <w:r w:rsidRPr="00640EC9">
              <w:rPr>
                <w:rFonts w:hint="eastAsia"/>
                <w:color w:val="000000"/>
                <w:spacing w:val="-5"/>
                <w:w w:val="15"/>
                <w:shd w:val="solid" w:color="000000" w:fill="000000"/>
                <w:fitText w:val="60" w:id="-961889788"/>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4FD92D1F" w14:textId="6B03637E" w:rsidR="00A26972" w:rsidRPr="00AB3F41" w:rsidRDefault="00640EC9" w:rsidP="00233562">
            <w:pPr>
              <w:pStyle w:val="TableText0"/>
              <w:keepNext w:val="0"/>
              <w:widowControl w:val="0"/>
              <w:jc w:val="center"/>
              <w:rPr>
                <w:b/>
                <w:bCs w:val="0"/>
                <w:szCs w:val="20"/>
                <w:highlight w:val="lightGray"/>
              </w:rPr>
            </w:pPr>
            <w:r w:rsidRPr="00640EC9">
              <w:rPr>
                <w:rFonts w:hint="eastAsia"/>
                <w:color w:val="000000"/>
                <w:w w:val="15"/>
                <w:shd w:val="solid" w:color="000000" w:fill="000000"/>
                <w:fitText w:val="60" w:id="-961889787"/>
                <w14:textFill>
                  <w14:solidFill>
                    <w14:srgbClr w14:val="000000">
                      <w14:alpha w14:val="100000"/>
                    </w14:srgbClr>
                  </w14:solidFill>
                </w14:textFill>
              </w:rPr>
              <w:t xml:space="preserve">　</w:t>
            </w:r>
            <w:r w:rsidRPr="00640EC9">
              <w:rPr>
                <w:color w:val="000000"/>
                <w:w w:val="15"/>
                <w:shd w:val="solid" w:color="000000" w:fill="000000"/>
                <w:fitText w:val="60" w:id="-961889787"/>
                <w14:textFill>
                  <w14:solidFill>
                    <w14:srgbClr w14:val="000000">
                      <w14:alpha w14:val="100000"/>
                    </w14:srgbClr>
                  </w14:solidFill>
                </w14:textFill>
              </w:rPr>
              <w:t>|</w:t>
            </w:r>
            <w:r w:rsidRPr="00640EC9">
              <w:rPr>
                <w:rFonts w:hint="eastAsia"/>
                <w:color w:val="000000"/>
                <w:spacing w:val="-5"/>
                <w:w w:val="15"/>
                <w:shd w:val="solid" w:color="000000" w:fill="000000"/>
                <w:fitText w:val="60" w:id="-961889787"/>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59A4E882" w14:textId="1C2F6F49" w:rsidR="00A26972" w:rsidRPr="00AB3F41" w:rsidRDefault="00640EC9" w:rsidP="00233562">
            <w:pPr>
              <w:pStyle w:val="TableText0"/>
              <w:keepNext w:val="0"/>
              <w:widowControl w:val="0"/>
              <w:jc w:val="center"/>
              <w:rPr>
                <w:b/>
                <w:bCs w:val="0"/>
                <w:szCs w:val="20"/>
                <w:highlight w:val="lightGray"/>
              </w:rPr>
            </w:pPr>
            <w:r w:rsidRPr="00640EC9">
              <w:rPr>
                <w:rFonts w:hint="eastAsia"/>
                <w:color w:val="000000"/>
                <w:w w:val="15"/>
                <w:shd w:val="solid" w:color="000000" w:fill="000000"/>
                <w:fitText w:val="60" w:id="-961889786"/>
                <w14:textFill>
                  <w14:solidFill>
                    <w14:srgbClr w14:val="000000">
                      <w14:alpha w14:val="100000"/>
                    </w14:srgbClr>
                  </w14:solidFill>
                </w14:textFill>
              </w:rPr>
              <w:t xml:space="preserve">　</w:t>
            </w:r>
            <w:r w:rsidRPr="00640EC9">
              <w:rPr>
                <w:color w:val="000000"/>
                <w:w w:val="15"/>
                <w:shd w:val="solid" w:color="000000" w:fill="000000"/>
                <w:fitText w:val="60" w:id="-961889786"/>
                <w14:textFill>
                  <w14:solidFill>
                    <w14:srgbClr w14:val="000000">
                      <w14:alpha w14:val="100000"/>
                    </w14:srgbClr>
                  </w14:solidFill>
                </w14:textFill>
              </w:rPr>
              <w:t>|</w:t>
            </w:r>
            <w:r w:rsidRPr="00640EC9">
              <w:rPr>
                <w:rFonts w:hint="eastAsia"/>
                <w:color w:val="000000"/>
                <w:spacing w:val="-5"/>
                <w:w w:val="15"/>
                <w:shd w:val="solid" w:color="000000" w:fill="000000"/>
                <w:fitText w:val="60" w:id="-961889786"/>
                <w14:textFill>
                  <w14:solidFill>
                    <w14:srgbClr w14:val="000000">
                      <w14:alpha w14:val="100000"/>
                    </w14:srgbClr>
                  </w14:solidFill>
                </w14:textFill>
              </w:rPr>
              <w:t xml:space="preserve">　</w:t>
            </w:r>
            <w:r w:rsidR="00DB0472" w:rsidRPr="00DB0472">
              <w:rPr>
                <w:vertAlign w:val="superscript"/>
              </w:rPr>
              <w:t>3</w:t>
            </w:r>
          </w:p>
        </w:tc>
        <w:tc>
          <w:tcPr>
            <w:tcW w:w="993" w:type="dxa"/>
            <w:shd w:val="clear" w:color="auto" w:fill="auto"/>
            <w:vAlign w:val="center"/>
          </w:tcPr>
          <w:p w14:paraId="2678B2CC" w14:textId="162730CE" w:rsidR="00A26972" w:rsidRPr="00AB3F41" w:rsidRDefault="00640EC9" w:rsidP="00233562">
            <w:pPr>
              <w:pStyle w:val="TableText0"/>
              <w:keepNext w:val="0"/>
              <w:widowControl w:val="0"/>
              <w:jc w:val="center"/>
              <w:rPr>
                <w:b/>
                <w:bCs w:val="0"/>
                <w:szCs w:val="20"/>
                <w:highlight w:val="lightGray"/>
              </w:rPr>
            </w:pPr>
            <w:r w:rsidRPr="00640EC9">
              <w:rPr>
                <w:rFonts w:hint="eastAsia"/>
                <w:color w:val="000000"/>
                <w:w w:val="15"/>
                <w:shd w:val="solid" w:color="000000" w:fill="000000"/>
                <w:fitText w:val="60" w:id="-961889785"/>
                <w14:textFill>
                  <w14:solidFill>
                    <w14:srgbClr w14:val="000000">
                      <w14:alpha w14:val="100000"/>
                    </w14:srgbClr>
                  </w14:solidFill>
                </w14:textFill>
              </w:rPr>
              <w:t xml:space="preserve">　</w:t>
            </w:r>
            <w:r w:rsidRPr="00640EC9">
              <w:rPr>
                <w:color w:val="000000"/>
                <w:w w:val="15"/>
                <w:shd w:val="solid" w:color="000000" w:fill="000000"/>
                <w:fitText w:val="60" w:id="-961889785"/>
                <w14:textFill>
                  <w14:solidFill>
                    <w14:srgbClr w14:val="000000">
                      <w14:alpha w14:val="100000"/>
                    </w14:srgbClr>
                  </w14:solidFill>
                </w14:textFill>
              </w:rPr>
              <w:t>|</w:t>
            </w:r>
            <w:r w:rsidRPr="00640EC9">
              <w:rPr>
                <w:rFonts w:hint="eastAsia"/>
                <w:color w:val="000000"/>
                <w:spacing w:val="-5"/>
                <w:w w:val="15"/>
                <w:shd w:val="solid" w:color="000000" w:fill="000000"/>
                <w:fitText w:val="60" w:id="-961889785"/>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vAlign w:val="center"/>
          </w:tcPr>
          <w:p w14:paraId="7F700157" w14:textId="35214724" w:rsidR="00A26972" w:rsidRPr="00AB3F41" w:rsidRDefault="00640EC9" w:rsidP="00233562">
            <w:pPr>
              <w:pStyle w:val="TableText0"/>
              <w:keepNext w:val="0"/>
              <w:widowControl w:val="0"/>
              <w:jc w:val="center"/>
              <w:rPr>
                <w:b/>
                <w:bCs w:val="0"/>
                <w:szCs w:val="20"/>
                <w:highlight w:val="lightGray"/>
              </w:rPr>
            </w:pPr>
            <w:r w:rsidRPr="00640EC9">
              <w:rPr>
                <w:color w:val="000000"/>
                <w:spacing w:val="190"/>
                <w:shd w:val="solid" w:color="000000" w:fill="000000"/>
                <w:fitText w:val="276" w:id="-961889784"/>
                <w14:textFill>
                  <w14:solidFill>
                    <w14:srgbClr w14:val="000000">
                      <w14:alpha w14:val="100000"/>
                    </w14:srgbClr>
                  </w14:solidFill>
                </w14:textFill>
              </w:rPr>
              <w:t>|</w:t>
            </w:r>
            <w:r w:rsidRPr="00640EC9">
              <w:rPr>
                <w:color w:val="000000"/>
                <w:spacing w:val="1"/>
                <w:shd w:val="solid" w:color="000000" w:fill="000000"/>
                <w:fitText w:val="276" w:id="-961889784"/>
                <w14:textFill>
                  <w14:solidFill>
                    <w14:srgbClr w14:val="000000">
                      <w14:alpha w14:val="100000"/>
                    </w14:srgbClr>
                  </w14:solidFill>
                </w14:textFill>
              </w:rPr>
              <w:t>|</w:t>
            </w:r>
            <w:r w:rsidR="00DB0472" w:rsidRPr="00DB0472">
              <w:rPr>
                <w:vertAlign w:val="superscript"/>
              </w:rPr>
              <w:t>3</w:t>
            </w:r>
          </w:p>
        </w:tc>
        <w:tc>
          <w:tcPr>
            <w:tcW w:w="992" w:type="dxa"/>
            <w:shd w:val="clear" w:color="auto" w:fill="auto"/>
            <w:vAlign w:val="center"/>
          </w:tcPr>
          <w:p w14:paraId="06F06085" w14:textId="6881CB93" w:rsidR="00A26972" w:rsidRPr="00AB3F41" w:rsidRDefault="00640EC9" w:rsidP="00233562">
            <w:pPr>
              <w:pStyle w:val="TableText0"/>
              <w:keepNext w:val="0"/>
              <w:widowControl w:val="0"/>
              <w:jc w:val="center"/>
              <w:rPr>
                <w:b/>
                <w:bCs w:val="0"/>
                <w:szCs w:val="20"/>
                <w:highlight w:val="lightGray"/>
              </w:rPr>
            </w:pPr>
            <w:r w:rsidRPr="00640EC9">
              <w:rPr>
                <w:rFonts w:hint="eastAsia"/>
                <w:color w:val="000000"/>
                <w:w w:val="15"/>
                <w:shd w:val="solid" w:color="000000" w:fill="000000"/>
                <w:fitText w:val="60" w:id="-961889782"/>
                <w14:textFill>
                  <w14:solidFill>
                    <w14:srgbClr w14:val="000000">
                      <w14:alpha w14:val="100000"/>
                    </w14:srgbClr>
                  </w14:solidFill>
                </w14:textFill>
              </w:rPr>
              <w:t xml:space="preserve">　</w:t>
            </w:r>
            <w:r w:rsidRPr="00640EC9">
              <w:rPr>
                <w:color w:val="000000"/>
                <w:w w:val="15"/>
                <w:shd w:val="solid" w:color="000000" w:fill="000000"/>
                <w:fitText w:val="60" w:id="-961889782"/>
                <w14:textFill>
                  <w14:solidFill>
                    <w14:srgbClr w14:val="000000">
                      <w14:alpha w14:val="100000"/>
                    </w14:srgbClr>
                  </w14:solidFill>
                </w14:textFill>
              </w:rPr>
              <w:t>|</w:t>
            </w:r>
            <w:r w:rsidRPr="00640EC9">
              <w:rPr>
                <w:rFonts w:hint="eastAsia"/>
                <w:color w:val="000000"/>
                <w:spacing w:val="-5"/>
                <w:w w:val="15"/>
                <w:shd w:val="solid" w:color="000000" w:fill="000000"/>
                <w:fitText w:val="60" w:id="-961889782"/>
                <w14:textFill>
                  <w14:solidFill>
                    <w14:srgbClr w14:val="000000">
                      <w14:alpha w14:val="100000"/>
                    </w14:srgbClr>
                  </w14:solidFill>
                </w14:textFill>
              </w:rPr>
              <w:t xml:space="preserve">　</w:t>
            </w:r>
            <w:r w:rsidR="00DB0472" w:rsidRPr="00DB0472">
              <w:rPr>
                <w:vertAlign w:val="superscript"/>
              </w:rPr>
              <w:t>3</w:t>
            </w:r>
          </w:p>
        </w:tc>
        <w:tc>
          <w:tcPr>
            <w:tcW w:w="920" w:type="dxa"/>
            <w:shd w:val="clear" w:color="auto" w:fill="auto"/>
            <w:vAlign w:val="center"/>
          </w:tcPr>
          <w:p w14:paraId="4EB36FCF" w14:textId="3A00F340" w:rsidR="00A26972" w:rsidRPr="00AB3F41" w:rsidRDefault="00640EC9" w:rsidP="00233562">
            <w:pPr>
              <w:pStyle w:val="TableText0"/>
              <w:keepNext w:val="0"/>
              <w:widowControl w:val="0"/>
              <w:jc w:val="center"/>
              <w:rPr>
                <w:b/>
                <w:bCs w:val="0"/>
                <w:szCs w:val="20"/>
                <w:highlight w:val="lightGray"/>
              </w:rPr>
            </w:pPr>
            <w:r w:rsidRPr="00640EC9">
              <w:rPr>
                <w:color w:val="000000"/>
                <w:shd w:val="solid" w:color="000000" w:fill="000000"/>
                <w14:textFill>
                  <w14:solidFill>
                    <w14:srgbClr w14:val="000000">
                      <w14:alpha w14:val="100000"/>
                    </w14:srgbClr>
                  </w14:solidFill>
                </w14:textFill>
              </w:rPr>
              <w:t>|</w:t>
            </w:r>
            <w:r w:rsidR="00216520" w:rsidRPr="00216520">
              <w:rPr>
                <w:vertAlign w:val="superscript"/>
              </w:rPr>
              <w:t>5</w:t>
            </w:r>
          </w:p>
        </w:tc>
      </w:tr>
      <w:tr w:rsidR="00A26972" w:rsidRPr="009941F8" w14:paraId="03DB2BE8" w14:textId="77777777" w:rsidTr="001D4FAC">
        <w:tc>
          <w:tcPr>
            <w:tcW w:w="8995" w:type="dxa"/>
            <w:gridSpan w:val="8"/>
            <w:tcBorders>
              <w:top w:val="nil"/>
              <w:left w:val="single" w:sz="4" w:space="0" w:color="auto"/>
              <w:bottom w:val="single" w:sz="4" w:space="0" w:color="auto"/>
              <w:right w:val="single" w:sz="4" w:space="0" w:color="auto"/>
            </w:tcBorders>
            <w:shd w:val="clear" w:color="auto" w:fill="auto"/>
            <w:vAlign w:val="bottom"/>
          </w:tcPr>
          <w:p w14:paraId="130A0E81" w14:textId="77777777" w:rsidR="00A26972" w:rsidRPr="009941F8" w:rsidRDefault="00A26972" w:rsidP="00233562">
            <w:pPr>
              <w:pStyle w:val="In-tableHeading"/>
              <w:keepNext w:val="0"/>
              <w:widowControl w:val="0"/>
              <w:rPr>
                <w:szCs w:val="20"/>
                <w:lang w:val="en-AU"/>
              </w:rPr>
            </w:pPr>
            <w:r w:rsidRPr="009941F8">
              <w:rPr>
                <w:szCs w:val="20"/>
                <w:lang w:val="en-AU"/>
              </w:rPr>
              <w:t>Scripts</w:t>
            </w:r>
          </w:p>
        </w:tc>
      </w:tr>
      <w:tr w:rsidR="00A26972" w:rsidRPr="009941F8" w14:paraId="6FF77864" w14:textId="77777777" w:rsidTr="001D4FAC">
        <w:tc>
          <w:tcPr>
            <w:tcW w:w="8995" w:type="dxa"/>
            <w:gridSpan w:val="8"/>
            <w:tcBorders>
              <w:top w:val="nil"/>
              <w:left w:val="single" w:sz="4" w:space="0" w:color="auto"/>
              <w:bottom w:val="single" w:sz="4" w:space="0" w:color="auto"/>
              <w:right w:val="single" w:sz="4" w:space="0" w:color="auto"/>
            </w:tcBorders>
            <w:shd w:val="clear" w:color="auto" w:fill="auto"/>
            <w:vAlign w:val="bottom"/>
          </w:tcPr>
          <w:p w14:paraId="0A3009DF" w14:textId="77777777" w:rsidR="00A26972" w:rsidRPr="009941F8" w:rsidRDefault="00A26972" w:rsidP="00233562">
            <w:pPr>
              <w:pStyle w:val="In-tableHeading"/>
              <w:keepNext w:val="0"/>
              <w:widowControl w:val="0"/>
              <w:rPr>
                <w:szCs w:val="20"/>
                <w:lang w:val="en-AU"/>
              </w:rPr>
            </w:pPr>
            <w:r w:rsidRPr="009941F8">
              <w:rPr>
                <w:szCs w:val="20"/>
                <w:lang w:val="en-AU"/>
              </w:rPr>
              <w:t>Number of anifrolumab scripts</w:t>
            </w:r>
          </w:p>
        </w:tc>
      </w:tr>
      <w:tr w:rsidR="002C1990" w:rsidRPr="009941F8" w14:paraId="5D7CA67F"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5E61F6D2" w14:textId="78F5305D" w:rsidR="00A26972" w:rsidRPr="009941F8" w:rsidRDefault="001D4FAC" w:rsidP="00233562">
            <w:pPr>
              <w:pStyle w:val="In-tableHeading"/>
              <w:keepNext w:val="0"/>
              <w:widowControl w:val="0"/>
              <w:rPr>
                <w:b w:val="0"/>
                <w:szCs w:val="20"/>
                <w:lang w:val="en-AU"/>
              </w:rPr>
            </w:pPr>
            <w:r w:rsidRPr="009941F8">
              <w:rPr>
                <w:b w:val="0"/>
                <w:szCs w:val="20"/>
                <w:lang w:val="en-AU"/>
              </w:rPr>
              <w:t>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46AEC7" w14:textId="5533158A"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81"/>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81"/>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81"/>
                <w:lang w:val="en-AU"/>
                <w14:textFill>
                  <w14:solidFill>
                    <w14:srgbClr w14:val="000000">
                      <w14:alpha w14:val="100000"/>
                    </w14:srgbClr>
                  </w14:solidFill>
                </w14:textFill>
              </w:rPr>
              <w:t xml:space="preserve">　</w:t>
            </w:r>
            <w:r w:rsidR="00216520" w:rsidRPr="00216520">
              <w:rPr>
                <w:vertAlign w:val="superscript"/>
              </w:rPr>
              <w:t>5</w:t>
            </w:r>
          </w:p>
        </w:tc>
        <w:tc>
          <w:tcPr>
            <w:tcW w:w="992" w:type="dxa"/>
            <w:tcBorders>
              <w:top w:val="nil"/>
              <w:left w:val="nil"/>
              <w:bottom w:val="single" w:sz="4" w:space="0" w:color="auto"/>
              <w:right w:val="single" w:sz="4" w:space="0" w:color="auto"/>
            </w:tcBorders>
            <w:shd w:val="clear" w:color="auto" w:fill="auto"/>
          </w:tcPr>
          <w:p w14:paraId="05ABF5FE" w14:textId="3773B843"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80"/>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80"/>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80"/>
                <w:lang w:val="en-AU"/>
                <w14:textFill>
                  <w14:solidFill>
                    <w14:srgbClr w14:val="000000">
                      <w14:alpha w14:val="100000"/>
                    </w14:srgbClr>
                  </w14:solidFill>
                </w14:textFill>
              </w:rPr>
              <w:t xml:space="preserve">　</w:t>
            </w:r>
            <w:r w:rsidR="00216520" w:rsidRPr="00216520">
              <w:rPr>
                <w:vertAlign w:val="superscript"/>
              </w:rPr>
              <w:t>5</w:t>
            </w:r>
          </w:p>
        </w:tc>
        <w:tc>
          <w:tcPr>
            <w:tcW w:w="992" w:type="dxa"/>
            <w:tcBorders>
              <w:top w:val="nil"/>
              <w:left w:val="nil"/>
              <w:bottom w:val="single" w:sz="4" w:space="0" w:color="auto"/>
              <w:right w:val="single" w:sz="4" w:space="0" w:color="auto"/>
            </w:tcBorders>
            <w:shd w:val="clear" w:color="auto" w:fill="auto"/>
          </w:tcPr>
          <w:p w14:paraId="3108C1C1" w14:textId="1EF5DB50"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79"/>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79"/>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79"/>
                <w:lang w:val="en-AU"/>
                <w14:textFill>
                  <w14:solidFill>
                    <w14:srgbClr w14:val="000000">
                      <w14:alpha w14:val="100000"/>
                    </w14:srgbClr>
                  </w14:solidFill>
                </w14:textFill>
              </w:rPr>
              <w:t xml:space="preserve">　</w:t>
            </w:r>
            <w:r w:rsidR="00216520" w:rsidRPr="00216520">
              <w:rPr>
                <w:vertAlign w:val="superscript"/>
              </w:rPr>
              <w:t>5</w:t>
            </w:r>
          </w:p>
        </w:tc>
        <w:tc>
          <w:tcPr>
            <w:tcW w:w="993" w:type="dxa"/>
            <w:tcBorders>
              <w:top w:val="nil"/>
              <w:left w:val="nil"/>
              <w:bottom w:val="single" w:sz="4" w:space="0" w:color="auto"/>
              <w:right w:val="single" w:sz="4" w:space="0" w:color="auto"/>
            </w:tcBorders>
            <w:shd w:val="clear" w:color="auto" w:fill="auto"/>
          </w:tcPr>
          <w:p w14:paraId="37FDD098" w14:textId="7ECD9743"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78"/>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78"/>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78"/>
                <w:lang w:val="en-AU"/>
                <w14:textFill>
                  <w14:solidFill>
                    <w14:srgbClr w14:val="000000">
                      <w14:alpha w14:val="100000"/>
                    </w14:srgbClr>
                  </w14:solidFill>
                </w14:textFill>
              </w:rPr>
              <w:t xml:space="preserve">　</w:t>
            </w:r>
            <w:r w:rsidR="00AD60E5" w:rsidRPr="00AD60E5">
              <w:rPr>
                <w:b w:val="0"/>
                <w:bCs/>
                <w:vertAlign w:val="superscript"/>
                <w:lang w:val="en-AU"/>
              </w:rPr>
              <w:t>6</w:t>
            </w:r>
          </w:p>
        </w:tc>
        <w:tc>
          <w:tcPr>
            <w:tcW w:w="992" w:type="dxa"/>
            <w:tcBorders>
              <w:top w:val="nil"/>
              <w:left w:val="nil"/>
              <w:bottom w:val="single" w:sz="4" w:space="0" w:color="auto"/>
              <w:right w:val="single" w:sz="4" w:space="0" w:color="auto"/>
            </w:tcBorders>
            <w:shd w:val="clear" w:color="auto" w:fill="auto"/>
          </w:tcPr>
          <w:p w14:paraId="1F383C00" w14:textId="5EE570F5"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77"/>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77"/>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77"/>
                <w:lang w:val="en-AU"/>
                <w14:textFill>
                  <w14:solidFill>
                    <w14:srgbClr w14:val="000000">
                      <w14:alpha w14:val="100000"/>
                    </w14:srgbClr>
                  </w14:solidFill>
                </w14:textFill>
              </w:rPr>
              <w:t xml:space="preserve">　</w:t>
            </w:r>
            <w:r w:rsidR="00AD60E5" w:rsidRPr="00AD60E5">
              <w:rPr>
                <w:b w:val="0"/>
                <w:bCs/>
                <w:vertAlign w:val="superscript"/>
                <w:lang w:val="en-AU"/>
              </w:rPr>
              <w:t>6</w:t>
            </w:r>
          </w:p>
        </w:tc>
        <w:tc>
          <w:tcPr>
            <w:tcW w:w="992" w:type="dxa"/>
            <w:tcBorders>
              <w:top w:val="nil"/>
              <w:left w:val="nil"/>
              <w:bottom w:val="single" w:sz="4" w:space="0" w:color="auto"/>
              <w:right w:val="single" w:sz="4" w:space="0" w:color="auto"/>
            </w:tcBorders>
            <w:shd w:val="clear" w:color="auto" w:fill="auto"/>
          </w:tcPr>
          <w:p w14:paraId="4B628B3D" w14:textId="5645F05C"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76"/>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76"/>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76"/>
                <w:lang w:val="en-AU"/>
                <w14:textFill>
                  <w14:solidFill>
                    <w14:srgbClr w14:val="000000">
                      <w14:alpha w14:val="100000"/>
                    </w14:srgbClr>
                  </w14:solidFill>
                </w14:textFill>
              </w:rPr>
              <w:t xml:space="preserve">　</w:t>
            </w:r>
            <w:r w:rsidR="00AD60E5" w:rsidRPr="00AD60E5">
              <w:rPr>
                <w:b w:val="0"/>
                <w:bCs/>
                <w:vertAlign w:val="superscript"/>
                <w:lang w:val="en-AU"/>
              </w:rPr>
              <w:t>6</w:t>
            </w:r>
          </w:p>
        </w:tc>
        <w:tc>
          <w:tcPr>
            <w:tcW w:w="920" w:type="dxa"/>
            <w:tcBorders>
              <w:top w:val="nil"/>
              <w:left w:val="nil"/>
              <w:bottom w:val="single" w:sz="4" w:space="0" w:color="auto"/>
              <w:right w:val="single" w:sz="4" w:space="0" w:color="auto"/>
            </w:tcBorders>
            <w:shd w:val="clear" w:color="auto" w:fill="auto"/>
          </w:tcPr>
          <w:p w14:paraId="1E8488B1" w14:textId="43BB7B5C" w:rsidR="00A26972" w:rsidRPr="00AB3F41" w:rsidRDefault="00640EC9" w:rsidP="00233562">
            <w:pPr>
              <w:pStyle w:val="In-tableHeading"/>
              <w:keepNext w:val="0"/>
              <w:widowControl w:val="0"/>
              <w:jc w:val="center"/>
              <w:rPr>
                <w:b w:val="0"/>
                <w:bCs/>
                <w:szCs w:val="20"/>
                <w:highlight w:val="lightGray"/>
                <w:vertAlign w:val="superscript"/>
                <w:lang w:val="en-AU"/>
              </w:rPr>
            </w:pPr>
            <w:r w:rsidRPr="00640EC9">
              <w:rPr>
                <w:b w:val="0"/>
                <w:bCs/>
                <w:color w:val="000000"/>
                <w:shd w:val="solid" w:color="000000" w:fill="000000"/>
                <w:lang w:val="en-AU"/>
                <w14:textFill>
                  <w14:solidFill>
                    <w14:srgbClr w14:val="000000">
                      <w14:alpha w14:val="100000"/>
                    </w14:srgbClr>
                  </w14:solidFill>
                </w14:textFill>
              </w:rPr>
              <w:t>|</w:t>
            </w:r>
            <w:r w:rsidR="00AD60E5" w:rsidRPr="00AD60E5">
              <w:rPr>
                <w:b w:val="0"/>
                <w:bCs/>
                <w:vertAlign w:val="superscript"/>
                <w:lang w:val="en-AU"/>
              </w:rPr>
              <w:t>7</w:t>
            </w:r>
          </w:p>
        </w:tc>
      </w:tr>
      <w:tr w:rsidR="002C1990" w:rsidRPr="009941F8" w14:paraId="7706D315"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6BB44FCC" w14:textId="0F163A76" w:rsidR="00A26972" w:rsidRPr="009941F8" w:rsidRDefault="001D4FAC" w:rsidP="00233562">
            <w:pPr>
              <w:pStyle w:val="In-tableHeading"/>
              <w:keepNext w:val="0"/>
              <w:widowControl w:val="0"/>
              <w:rPr>
                <w:b w:val="0"/>
                <w:szCs w:val="20"/>
                <w:lang w:val="en-AU"/>
              </w:rPr>
            </w:pPr>
            <w:r w:rsidRPr="009941F8">
              <w:rPr>
                <w:b w:val="0"/>
                <w:szCs w:val="20"/>
                <w:lang w:val="en-AU"/>
              </w:rPr>
              <w:t>RPBS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663905" w14:textId="5D9C8948"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92"/>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92"/>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92"/>
                <w:lang w:val="en-AU"/>
                <w14:textFill>
                  <w14:solidFill>
                    <w14:srgbClr w14:val="000000">
                      <w14:alpha w14:val="100000"/>
                    </w14:srgbClr>
                  </w14:solidFill>
                </w14:textFill>
              </w:rPr>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0FA67506" w14:textId="08D30D2F"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91"/>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91"/>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91"/>
                <w:lang w:val="en-AU"/>
                <w14:textFill>
                  <w14:solidFill>
                    <w14:srgbClr w14:val="000000">
                      <w14:alpha w14:val="100000"/>
                    </w14:srgbClr>
                  </w14:solidFill>
                </w14:textFill>
              </w:rPr>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7FE4128F" w14:textId="5136EE5C"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90"/>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90"/>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90"/>
                <w:lang w:val="en-AU"/>
                <w14:textFill>
                  <w14:solidFill>
                    <w14:srgbClr w14:val="000000">
                      <w14:alpha w14:val="100000"/>
                    </w14:srgbClr>
                  </w14:solidFill>
                </w14:textFill>
              </w:rPr>
              <w:t xml:space="preserve">　</w:t>
            </w:r>
            <w:r w:rsidR="00216520" w:rsidRPr="00216520">
              <w:rPr>
                <w:vertAlign w:val="superscript"/>
              </w:rPr>
              <w:t>4</w:t>
            </w:r>
          </w:p>
        </w:tc>
        <w:tc>
          <w:tcPr>
            <w:tcW w:w="993" w:type="dxa"/>
            <w:tcBorders>
              <w:top w:val="nil"/>
              <w:left w:val="nil"/>
              <w:bottom w:val="single" w:sz="4" w:space="0" w:color="auto"/>
              <w:right w:val="single" w:sz="4" w:space="0" w:color="auto"/>
            </w:tcBorders>
            <w:shd w:val="clear" w:color="auto" w:fill="auto"/>
          </w:tcPr>
          <w:p w14:paraId="6BA8FEAB" w14:textId="6F8C2622"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89"/>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89"/>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89"/>
                <w:lang w:val="en-AU"/>
                <w14:textFill>
                  <w14:solidFill>
                    <w14:srgbClr w14:val="000000">
                      <w14:alpha w14:val="100000"/>
                    </w14:srgbClr>
                  </w14:solidFill>
                </w14:textFill>
              </w:rPr>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4D3ED6BD" w14:textId="1D42A2E0"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88"/>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88"/>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88"/>
                <w:lang w:val="en-AU"/>
                <w14:textFill>
                  <w14:solidFill>
                    <w14:srgbClr w14:val="000000">
                      <w14:alpha w14:val="100000"/>
                    </w14:srgbClr>
                  </w14:solidFill>
                </w14:textFill>
              </w:rPr>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7EC0EACC" w14:textId="4288CB4B" w:rsidR="00A26972"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60" w:id="-961889787"/>
                <w:lang w:val="en-AU"/>
                <w14:textFill>
                  <w14:solidFill>
                    <w14:srgbClr w14:val="000000">
                      <w14:alpha w14:val="100000"/>
                    </w14:srgbClr>
                  </w14:solidFill>
                </w14:textFill>
              </w:rPr>
              <w:t xml:space="preserve">　</w:t>
            </w:r>
            <w:r w:rsidRPr="00640EC9">
              <w:rPr>
                <w:b w:val="0"/>
                <w:bCs/>
                <w:color w:val="000000"/>
                <w:w w:val="15"/>
                <w:shd w:val="solid" w:color="000000" w:fill="000000"/>
                <w:fitText w:val="60" w:id="-961889787"/>
                <w:lang w:val="en-AU"/>
                <w14:textFill>
                  <w14:solidFill>
                    <w14:srgbClr w14:val="000000">
                      <w14:alpha w14:val="100000"/>
                    </w14:srgbClr>
                  </w14:solidFill>
                </w14:textFill>
              </w:rPr>
              <w:t>|</w:t>
            </w:r>
            <w:r w:rsidRPr="00640EC9">
              <w:rPr>
                <w:rFonts w:hint="eastAsia"/>
                <w:b w:val="0"/>
                <w:bCs/>
                <w:color w:val="000000"/>
                <w:spacing w:val="-5"/>
                <w:w w:val="15"/>
                <w:shd w:val="solid" w:color="000000" w:fill="000000"/>
                <w:fitText w:val="60" w:id="-961889787"/>
                <w:lang w:val="en-AU"/>
                <w14:textFill>
                  <w14:solidFill>
                    <w14:srgbClr w14:val="000000">
                      <w14:alpha w14:val="100000"/>
                    </w14:srgbClr>
                  </w14:solidFill>
                </w14:textFill>
              </w:rPr>
              <w:t xml:space="preserve">　</w:t>
            </w:r>
            <w:r w:rsidR="00216520" w:rsidRPr="00216520">
              <w:rPr>
                <w:vertAlign w:val="superscript"/>
              </w:rPr>
              <w:t>4</w:t>
            </w:r>
          </w:p>
        </w:tc>
        <w:tc>
          <w:tcPr>
            <w:tcW w:w="920" w:type="dxa"/>
            <w:tcBorders>
              <w:top w:val="nil"/>
              <w:left w:val="nil"/>
              <w:bottom w:val="single" w:sz="4" w:space="0" w:color="auto"/>
              <w:right w:val="single" w:sz="4" w:space="0" w:color="auto"/>
            </w:tcBorders>
            <w:shd w:val="clear" w:color="auto" w:fill="auto"/>
          </w:tcPr>
          <w:p w14:paraId="49FC81A7" w14:textId="26BA787D" w:rsidR="00A26972" w:rsidRPr="00AB3F41" w:rsidRDefault="00640EC9" w:rsidP="00233562">
            <w:pPr>
              <w:pStyle w:val="In-tableHeading"/>
              <w:keepNext w:val="0"/>
              <w:widowControl w:val="0"/>
              <w:jc w:val="center"/>
              <w:rPr>
                <w:b w:val="0"/>
                <w:bCs/>
                <w:szCs w:val="20"/>
                <w:highlight w:val="lightGray"/>
                <w:lang w:val="en-AU"/>
              </w:rPr>
            </w:pPr>
            <w:r w:rsidRPr="00640EC9">
              <w:rPr>
                <w:b w:val="0"/>
                <w:bCs/>
                <w:color w:val="000000"/>
                <w:shd w:val="solid" w:color="000000" w:fill="000000"/>
                <w:lang w:val="en-AU"/>
                <w14:textFill>
                  <w14:solidFill>
                    <w14:srgbClr w14:val="000000">
                      <w14:alpha w14:val="100000"/>
                    </w14:srgbClr>
                  </w14:solidFill>
                </w14:textFill>
              </w:rPr>
              <w:t>|</w:t>
            </w:r>
            <w:r w:rsidR="00DB0472" w:rsidRPr="00DB0472">
              <w:rPr>
                <w:vertAlign w:val="superscript"/>
              </w:rPr>
              <w:t>3</w:t>
            </w:r>
          </w:p>
        </w:tc>
      </w:tr>
      <w:tr w:rsidR="002C1990" w:rsidRPr="009941F8" w14:paraId="18B4D87D" w14:textId="77777777" w:rsidTr="00233562">
        <w:tc>
          <w:tcPr>
            <w:tcW w:w="2122" w:type="dxa"/>
            <w:tcBorders>
              <w:left w:val="single" w:sz="4" w:space="0" w:color="auto"/>
              <w:bottom w:val="single" w:sz="4" w:space="0" w:color="auto"/>
              <w:right w:val="single" w:sz="4" w:space="0" w:color="auto"/>
            </w:tcBorders>
            <w:shd w:val="clear" w:color="auto" w:fill="auto"/>
            <w:vAlign w:val="bottom"/>
          </w:tcPr>
          <w:p w14:paraId="20FE72CD" w14:textId="1023A725" w:rsidR="00A26972" w:rsidRPr="009941F8" w:rsidRDefault="001D4FAC" w:rsidP="00233562">
            <w:pPr>
              <w:pStyle w:val="TableText0"/>
              <w:keepNext w:val="0"/>
              <w:widowControl w:val="0"/>
              <w:rPr>
                <w:b/>
                <w:szCs w:val="20"/>
              </w:rPr>
            </w:pPr>
            <w:r w:rsidRPr="009941F8">
              <w:rPr>
                <w:b/>
                <w:szCs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86D499" w14:textId="18F9D479"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786"/>
                <w14:textFill>
                  <w14:solidFill>
                    <w14:srgbClr w14:val="000000">
                      <w14:alpha w14:val="100000"/>
                    </w14:srgbClr>
                  </w14:solidFill>
                </w14:textFill>
              </w:rPr>
              <w:t xml:space="preserve">　</w:t>
            </w:r>
            <w:r w:rsidRPr="00640EC9">
              <w:rPr>
                <w:b/>
                <w:bCs w:val="0"/>
                <w:color w:val="000000"/>
                <w:w w:val="26"/>
                <w:shd w:val="solid" w:color="000000" w:fill="000000"/>
                <w:fitText w:val="120" w:id="-961889786"/>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786"/>
                <w14:textFill>
                  <w14:solidFill>
                    <w14:srgbClr w14:val="000000">
                      <w14:alpha w14:val="100000"/>
                    </w14:srgbClr>
                  </w14:solidFill>
                </w14:textFill>
              </w:rPr>
              <w:t xml:space="preserve">　</w:t>
            </w:r>
            <w:r w:rsidR="00216520" w:rsidRPr="00216520">
              <w:rPr>
                <w:vertAlign w:val="superscript"/>
              </w:rPr>
              <w:t>5</w:t>
            </w:r>
          </w:p>
        </w:tc>
        <w:tc>
          <w:tcPr>
            <w:tcW w:w="992" w:type="dxa"/>
            <w:tcBorders>
              <w:top w:val="nil"/>
              <w:left w:val="nil"/>
              <w:bottom w:val="single" w:sz="4" w:space="0" w:color="auto"/>
              <w:right w:val="single" w:sz="4" w:space="0" w:color="auto"/>
            </w:tcBorders>
            <w:shd w:val="clear" w:color="auto" w:fill="auto"/>
          </w:tcPr>
          <w:p w14:paraId="3B96DF47" w14:textId="0951BC4E"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785"/>
                <w14:textFill>
                  <w14:solidFill>
                    <w14:srgbClr w14:val="000000">
                      <w14:alpha w14:val="100000"/>
                    </w14:srgbClr>
                  </w14:solidFill>
                </w14:textFill>
              </w:rPr>
              <w:t xml:space="preserve">　</w:t>
            </w:r>
            <w:r w:rsidRPr="00640EC9">
              <w:rPr>
                <w:b/>
                <w:bCs w:val="0"/>
                <w:color w:val="000000"/>
                <w:w w:val="26"/>
                <w:shd w:val="solid" w:color="000000" w:fill="000000"/>
                <w:fitText w:val="120" w:id="-961889785"/>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785"/>
                <w14:textFill>
                  <w14:solidFill>
                    <w14:srgbClr w14:val="000000">
                      <w14:alpha w14:val="100000"/>
                    </w14:srgbClr>
                  </w14:solidFill>
                </w14:textFill>
              </w:rPr>
              <w:t xml:space="preserve">　</w:t>
            </w:r>
            <w:r w:rsidR="00216520" w:rsidRPr="00216520">
              <w:rPr>
                <w:vertAlign w:val="superscript"/>
              </w:rPr>
              <w:t>5</w:t>
            </w:r>
          </w:p>
        </w:tc>
        <w:tc>
          <w:tcPr>
            <w:tcW w:w="992" w:type="dxa"/>
            <w:tcBorders>
              <w:top w:val="nil"/>
              <w:left w:val="nil"/>
              <w:bottom w:val="single" w:sz="4" w:space="0" w:color="auto"/>
              <w:right w:val="single" w:sz="4" w:space="0" w:color="auto"/>
            </w:tcBorders>
            <w:shd w:val="clear" w:color="auto" w:fill="auto"/>
          </w:tcPr>
          <w:p w14:paraId="26007DA3" w14:textId="142A2733"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784"/>
                <w14:textFill>
                  <w14:solidFill>
                    <w14:srgbClr w14:val="000000">
                      <w14:alpha w14:val="100000"/>
                    </w14:srgbClr>
                  </w14:solidFill>
                </w14:textFill>
              </w:rPr>
              <w:t xml:space="preserve">　</w:t>
            </w:r>
            <w:r w:rsidRPr="00640EC9">
              <w:rPr>
                <w:b/>
                <w:bCs w:val="0"/>
                <w:color w:val="000000"/>
                <w:w w:val="26"/>
                <w:shd w:val="solid" w:color="000000" w:fill="000000"/>
                <w:fitText w:val="120" w:id="-961889784"/>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784"/>
                <w14:textFill>
                  <w14:solidFill>
                    <w14:srgbClr w14:val="000000">
                      <w14:alpha w14:val="100000"/>
                    </w14:srgbClr>
                  </w14:solidFill>
                </w14:textFill>
              </w:rPr>
              <w:t xml:space="preserve">　</w:t>
            </w:r>
            <w:r w:rsidR="00216520" w:rsidRPr="00216520">
              <w:rPr>
                <w:vertAlign w:val="superscript"/>
              </w:rPr>
              <w:t>5</w:t>
            </w:r>
          </w:p>
        </w:tc>
        <w:tc>
          <w:tcPr>
            <w:tcW w:w="993" w:type="dxa"/>
            <w:tcBorders>
              <w:top w:val="nil"/>
              <w:left w:val="nil"/>
              <w:bottom w:val="single" w:sz="4" w:space="0" w:color="auto"/>
              <w:right w:val="single" w:sz="4" w:space="0" w:color="auto"/>
            </w:tcBorders>
            <w:shd w:val="clear" w:color="auto" w:fill="auto"/>
          </w:tcPr>
          <w:p w14:paraId="7BE09DB1" w14:textId="106E458B"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783"/>
                <w14:textFill>
                  <w14:solidFill>
                    <w14:srgbClr w14:val="000000">
                      <w14:alpha w14:val="100000"/>
                    </w14:srgbClr>
                  </w14:solidFill>
                </w14:textFill>
              </w:rPr>
              <w:t xml:space="preserve">　</w:t>
            </w:r>
            <w:r w:rsidRPr="00640EC9">
              <w:rPr>
                <w:b/>
                <w:bCs w:val="0"/>
                <w:color w:val="000000"/>
                <w:w w:val="26"/>
                <w:shd w:val="solid" w:color="000000" w:fill="000000"/>
                <w:fitText w:val="120" w:id="-961889783"/>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783"/>
                <w14:textFill>
                  <w14:solidFill>
                    <w14:srgbClr w14:val="000000">
                      <w14:alpha w14:val="100000"/>
                    </w14:srgbClr>
                  </w14:solidFill>
                </w14:textFill>
              </w:rPr>
              <w:t xml:space="preserve">　</w:t>
            </w:r>
            <w:r w:rsidR="00AD60E5" w:rsidRPr="00AD60E5">
              <w:rPr>
                <w:b/>
                <w:bCs w:val="0"/>
                <w:vertAlign w:val="superscript"/>
              </w:rPr>
              <w:t>6</w:t>
            </w:r>
          </w:p>
        </w:tc>
        <w:tc>
          <w:tcPr>
            <w:tcW w:w="992" w:type="dxa"/>
            <w:tcBorders>
              <w:top w:val="nil"/>
              <w:left w:val="nil"/>
              <w:bottom w:val="single" w:sz="4" w:space="0" w:color="auto"/>
              <w:right w:val="single" w:sz="4" w:space="0" w:color="auto"/>
            </w:tcBorders>
            <w:shd w:val="clear" w:color="auto" w:fill="auto"/>
          </w:tcPr>
          <w:p w14:paraId="730E9A71" w14:textId="7AFE60A8"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782"/>
                <w14:textFill>
                  <w14:solidFill>
                    <w14:srgbClr w14:val="000000">
                      <w14:alpha w14:val="100000"/>
                    </w14:srgbClr>
                  </w14:solidFill>
                </w14:textFill>
              </w:rPr>
              <w:t xml:space="preserve">　</w:t>
            </w:r>
            <w:r w:rsidRPr="00640EC9">
              <w:rPr>
                <w:b/>
                <w:bCs w:val="0"/>
                <w:color w:val="000000"/>
                <w:w w:val="26"/>
                <w:shd w:val="solid" w:color="000000" w:fill="000000"/>
                <w:fitText w:val="120" w:id="-961889782"/>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782"/>
                <w14:textFill>
                  <w14:solidFill>
                    <w14:srgbClr w14:val="000000">
                      <w14:alpha w14:val="100000"/>
                    </w14:srgbClr>
                  </w14:solidFill>
                </w14:textFill>
              </w:rPr>
              <w:t xml:space="preserve">　</w:t>
            </w:r>
            <w:r w:rsidR="00AD60E5" w:rsidRPr="00AD60E5">
              <w:rPr>
                <w:b/>
                <w:bCs w:val="0"/>
                <w:vertAlign w:val="superscript"/>
              </w:rPr>
              <w:t>6</w:t>
            </w:r>
          </w:p>
        </w:tc>
        <w:tc>
          <w:tcPr>
            <w:tcW w:w="992" w:type="dxa"/>
            <w:tcBorders>
              <w:top w:val="nil"/>
              <w:left w:val="nil"/>
              <w:bottom w:val="single" w:sz="4" w:space="0" w:color="auto"/>
              <w:right w:val="single" w:sz="4" w:space="0" w:color="auto"/>
            </w:tcBorders>
            <w:shd w:val="clear" w:color="auto" w:fill="auto"/>
          </w:tcPr>
          <w:p w14:paraId="1247C6BB" w14:textId="6520C0CB"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781"/>
                <w14:textFill>
                  <w14:solidFill>
                    <w14:srgbClr w14:val="000000">
                      <w14:alpha w14:val="100000"/>
                    </w14:srgbClr>
                  </w14:solidFill>
                </w14:textFill>
              </w:rPr>
              <w:t xml:space="preserve">　</w:t>
            </w:r>
            <w:r w:rsidRPr="00640EC9">
              <w:rPr>
                <w:b/>
                <w:bCs w:val="0"/>
                <w:color w:val="000000"/>
                <w:w w:val="26"/>
                <w:shd w:val="solid" w:color="000000" w:fill="000000"/>
                <w:fitText w:val="120" w:id="-961889781"/>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781"/>
                <w14:textFill>
                  <w14:solidFill>
                    <w14:srgbClr w14:val="000000">
                      <w14:alpha w14:val="100000"/>
                    </w14:srgbClr>
                  </w14:solidFill>
                </w14:textFill>
              </w:rPr>
              <w:t xml:space="preserve">　</w:t>
            </w:r>
            <w:r w:rsidR="00AD60E5" w:rsidRPr="00AD60E5">
              <w:rPr>
                <w:b/>
                <w:bCs w:val="0"/>
                <w:vertAlign w:val="superscript"/>
              </w:rPr>
              <w:t>6</w:t>
            </w:r>
          </w:p>
        </w:tc>
        <w:tc>
          <w:tcPr>
            <w:tcW w:w="920" w:type="dxa"/>
            <w:tcBorders>
              <w:top w:val="nil"/>
              <w:left w:val="nil"/>
              <w:bottom w:val="single" w:sz="4" w:space="0" w:color="auto"/>
              <w:right w:val="single" w:sz="4" w:space="0" w:color="auto"/>
            </w:tcBorders>
            <w:shd w:val="clear" w:color="auto" w:fill="auto"/>
          </w:tcPr>
          <w:p w14:paraId="669FBA24" w14:textId="7738C7D5"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5"/>
                <w:shd w:val="solid" w:color="000000" w:fill="000000"/>
                <w:fitText w:val="60" w:id="-961889780"/>
                <w14:textFill>
                  <w14:solidFill>
                    <w14:srgbClr w14:val="000000">
                      <w14:alpha w14:val="100000"/>
                    </w14:srgbClr>
                  </w14:solidFill>
                </w14:textFill>
              </w:rPr>
              <w:t xml:space="preserve">　</w:t>
            </w:r>
            <w:r w:rsidRPr="00640EC9">
              <w:rPr>
                <w:b/>
                <w:bCs w:val="0"/>
                <w:color w:val="000000"/>
                <w:w w:val="15"/>
                <w:shd w:val="solid" w:color="000000" w:fill="000000"/>
                <w:fitText w:val="60" w:id="-961889780"/>
                <w14:textFill>
                  <w14:solidFill>
                    <w14:srgbClr w14:val="000000">
                      <w14:alpha w14:val="100000"/>
                    </w14:srgbClr>
                  </w14:solidFill>
                </w14:textFill>
              </w:rPr>
              <w:t>|</w:t>
            </w:r>
            <w:r w:rsidRPr="00640EC9">
              <w:rPr>
                <w:rFonts w:hint="eastAsia"/>
                <w:b/>
                <w:bCs w:val="0"/>
                <w:color w:val="000000"/>
                <w:spacing w:val="-6"/>
                <w:w w:val="15"/>
                <w:shd w:val="solid" w:color="000000" w:fill="000000"/>
                <w:fitText w:val="60" w:id="-961889780"/>
                <w14:textFill>
                  <w14:solidFill>
                    <w14:srgbClr w14:val="000000">
                      <w14:alpha w14:val="100000"/>
                    </w14:srgbClr>
                  </w14:solidFill>
                </w14:textFill>
              </w:rPr>
              <w:t xml:space="preserve">　</w:t>
            </w:r>
            <w:r w:rsidR="00AD60E5" w:rsidRPr="00AD60E5">
              <w:rPr>
                <w:b/>
                <w:bCs w:val="0"/>
                <w:vertAlign w:val="superscript"/>
              </w:rPr>
              <w:t>7</w:t>
            </w:r>
          </w:p>
        </w:tc>
      </w:tr>
      <w:tr w:rsidR="00A26972" w:rsidRPr="009941F8" w14:paraId="3226DB58" w14:textId="77777777" w:rsidTr="001D4FAC">
        <w:tc>
          <w:tcPr>
            <w:tcW w:w="8995" w:type="dxa"/>
            <w:gridSpan w:val="8"/>
            <w:tcBorders>
              <w:top w:val="nil"/>
              <w:left w:val="single" w:sz="4" w:space="0" w:color="auto"/>
              <w:bottom w:val="single" w:sz="4" w:space="0" w:color="auto"/>
              <w:right w:val="single" w:sz="4" w:space="0" w:color="auto"/>
            </w:tcBorders>
            <w:shd w:val="clear" w:color="auto" w:fill="auto"/>
            <w:vAlign w:val="bottom"/>
          </w:tcPr>
          <w:p w14:paraId="6CE1EBFB" w14:textId="77777777" w:rsidR="00A26972" w:rsidRPr="009941F8" w:rsidRDefault="00A26972" w:rsidP="00233562">
            <w:pPr>
              <w:pStyle w:val="TableText0"/>
              <w:keepNext w:val="0"/>
              <w:widowControl w:val="0"/>
              <w:rPr>
                <w:b/>
                <w:szCs w:val="20"/>
              </w:rPr>
            </w:pPr>
            <w:r w:rsidRPr="009941F8">
              <w:rPr>
                <w:b/>
                <w:szCs w:val="20"/>
              </w:rPr>
              <w:t>Change in no. of authorities</w:t>
            </w:r>
          </w:p>
        </w:tc>
      </w:tr>
      <w:tr w:rsidR="002C1990" w:rsidRPr="009941F8" w14:paraId="1EDC08AB"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56D6AE17" w14:textId="231B4104" w:rsidR="00A26972" w:rsidRPr="009941F8" w:rsidRDefault="001D4FAC" w:rsidP="00233562">
            <w:pPr>
              <w:pStyle w:val="TableText0"/>
              <w:keepNext w:val="0"/>
              <w:widowControl w:val="0"/>
              <w:rPr>
                <w:szCs w:val="20"/>
              </w:rPr>
            </w:pPr>
            <w:r w:rsidRPr="009941F8">
              <w:rPr>
                <w:szCs w:val="20"/>
              </w:rPr>
              <w:t>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E18280" w14:textId="7406B477"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79"/>
                <w14:textFill>
                  <w14:solidFill>
                    <w14:srgbClr w14:val="000000">
                      <w14:alpha w14:val="100000"/>
                    </w14:srgbClr>
                  </w14:solidFill>
                </w14:textFill>
              </w:rPr>
              <w:t xml:space="preserve">　</w:t>
            </w:r>
            <w:r w:rsidRPr="00640EC9">
              <w:rPr>
                <w:color w:val="000000"/>
                <w:w w:val="21"/>
                <w:shd w:val="solid" w:color="000000" w:fill="000000"/>
                <w:fitText w:val="96" w:id="-961889779"/>
                <w14:textFill>
                  <w14:solidFill>
                    <w14:srgbClr w14:val="000000">
                      <w14:alpha w14:val="100000"/>
                    </w14:srgbClr>
                  </w14:solidFill>
                </w14:textFill>
              </w:rPr>
              <w:t>|</w:t>
            </w:r>
            <w:r w:rsidRPr="00640EC9">
              <w:rPr>
                <w:rFonts w:hint="eastAsia"/>
                <w:color w:val="000000"/>
                <w:spacing w:val="5"/>
                <w:w w:val="21"/>
                <w:shd w:val="solid" w:color="000000" w:fill="000000"/>
                <w:fitText w:val="96" w:id="-961889779"/>
                <w14:textFill>
                  <w14:solidFill>
                    <w14:srgbClr w14:val="000000">
                      <w14:alpha w14:val="100000"/>
                    </w14:srgbClr>
                  </w14:solidFill>
                </w14:textFill>
              </w:rPr>
              <w:t xml:space="preserve">　</w:t>
            </w:r>
            <w:r w:rsidR="00357D22" w:rsidRPr="00357D22">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5A580951" w14:textId="5FDC5996"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78"/>
                <w14:textFill>
                  <w14:solidFill>
                    <w14:srgbClr w14:val="000000">
                      <w14:alpha w14:val="100000"/>
                    </w14:srgbClr>
                  </w14:solidFill>
                </w14:textFill>
              </w:rPr>
              <w:t xml:space="preserve">　</w:t>
            </w:r>
            <w:r w:rsidRPr="00640EC9">
              <w:rPr>
                <w:color w:val="000000"/>
                <w:w w:val="21"/>
                <w:shd w:val="solid" w:color="000000" w:fill="000000"/>
                <w:fitText w:val="96" w:id="-961889778"/>
                <w14:textFill>
                  <w14:solidFill>
                    <w14:srgbClr w14:val="000000">
                      <w14:alpha w14:val="100000"/>
                    </w14:srgbClr>
                  </w14:solidFill>
                </w14:textFill>
              </w:rPr>
              <w:t>|</w:t>
            </w:r>
            <w:r w:rsidRPr="00640EC9">
              <w:rPr>
                <w:rFonts w:hint="eastAsia"/>
                <w:color w:val="000000"/>
                <w:spacing w:val="5"/>
                <w:w w:val="21"/>
                <w:shd w:val="solid" w:color="000000" w:fill="000000"/>
                <w:fitText w:val="96" w:id="-961889778"/>
                <w14:textFill>
                  <w14:solidFill>
                    <w14:srgbClr w14:val="000000">
                      <w14:alpha w14:val="100000"/>
                    </w14:srgbClr>
                  </w14:solidFill>
                </w14:textFill>
              </w:rPr>
              <w:t xml:space="preserve">　</w:t>
            </w:r>
            <w:r w:rsidR="00357D22" w:rsidRPr="00357D22">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7E6A57B1" w14:textId="1CE586C2"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77"/>
                <w14:textFill>
                  <w14:solidFill>
                    <w14:srgbClr w14:val="000000">
                      <w14:alpha w14:val="100000"/>
                    </w14:srgbClr>
                  </w14:solidFill>
                </w14:textFill>
              </w:rPr>
              <w:t xml:space="preserve">　</w:t>
            </w:r>
            <w:r w:rsidRPr="00640EC9">
              <w:rPr>
                <w:color w:val="000000"/>
                <w:w w:val="21"/>
                <w:shd w:val="solid" w:color="000000" w:fill="000000"/>
                <w:fitText w:val="96" w:id="-961889777"/>
                <w14:textFill>
                  <w14:solidFill>
                    <w14:srgbClr w14:val="000000">
                      <w14:alpha w14:val="100000"/>
                    </w14:srgbClr>
                  </w14:solidFill>
                </w14:textFill>
              </w:rPr>
              <w:t>|</w:t>
            </w:r>
            <w:r w:rsidRPr="00640EC9">
              <w:rPr>
                <w:rFonts w:hint="eastAsia"/>
                <w:color w:val="000000"/>
                <w:spacing w:val="5"/>
                <w:w w:val="21"/>
                <w:shd w:val="solid" w:color="000000" w:fill="000000"/>
                <w:fitText w:val="96" w:id="-961889777"/>
                <w14:textFill>
                  <w14:solidFill>
                    <w14:srgbClr w14:val="000000">
                      <w14:alpha w14:val="100000"/>
                    </w14:srgbClr>
                  </w14:solidFill>
                </w14:textFill>
              </w:rPr>
              <w:t xml:space="preserve">　</w:t>
            </w:r>
            <w:r w:rsidR="00357D22" w:rsidRPr="00357D22">
              <w:t xml:space="preserve"> </w:t>
            </w:r>
            <w:r w:rsidR="00DB0472" w:rsidRPr="00DB0472">
              <w:rPr>
                <w:vertAlign w:val="superscript"/>
              </w:rPr>
              <w:t>3</w:t>
            </w:r>
          </w:p>
        </w:tc>
        <w:tc>
          <w:tcPr>
            <w:tcW w:w="993" w:type="dxa"/>
            <w:tcBorders>
              <w:top w:val="nil"/>
              <w:left w:val="nil"/>
              <w:bottom w:val="single" w:sz="4" w:space="0" w:color="auto"/>
              <w:right w:val="single" w:sz="4" w:space="0" w:color="auto"/>
            </w:tcBorders>
            <w:shd w:val="clear" w:color="auto" w:fill="auto"/>
          </w:tcPr>
          <w:p w14:paraId="50B31763" w14:textId="04A443D2"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76"/>
                <w14:textFill>
                  <w14:solidFill>
                    <w14:srgbClr w14:val="000000">
                      <w14:alpha w14:val="100000"/>
                    </w14:srgbClr>
                  </w14:solidFill>
                </w14:textFill>
              </w:rPr>
              <w:t xml:space="preserve">　</w:t>
            </w:r>
            <w:r w:rsidRPr="00640EC9">
              <w:rPr>
                <w:color w:val="000000"/>
                <w:w w:val="21"/>
                <w:shd w:val="solid" w:color="000000" w:fill="000000"/>
                <w:fitText w:val="96" w:id="-961889776"/>
                <w14:textFill>
                  <w14:solidFill>
                    <w14:srgbClr w14:val="000000">
                      <w14:alpha w14:val="100000"/>
                    </w14:srgbClr>
                  </w14:solidFill>
                </w14:textFill>
              </w:rPr>
              <w:t>|</w:t>
            </w:r>
            <w:r w:rsidRPr="00640EC9">
              <w:rPr>
                <w:rFonts w:hint="eastAsia"/>
                <w:color w:val="000000"/>
                <w:spacing w:val="5"/>
                <w:w w:val="21"/>
                <w:shd w:val="solid" w:color="000000" w:fill="000000"/>
                <w:fitText w:val="96" w:id="-961889776"/>
                <w14:textFill>
                  <w14:solidFill>
                    <w14:srgbClr w14:val="000000">
                      <w14:alpha w14:val="100000"/>
                    </w14:srgbClr>
                  </w14:solidFill>
                </w14:textFill>
              </w:rPr>
              <w:t xml:space="preserve">　</w:t>
            </w:r>
            <w:r w:rsidR="00357D22" w:rsidRPr="00357D22">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01951500" w14:textId="615E4C15"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92"/>
                <w14:textFill>
                  <w14:solidFill>
                    <w14:srgbClr w14:val="000000">
                      <w14:alpha w14:val="100000"/>
                    </w14:srgbClr>
                  </w14:solidFill>
                </w14:textFill>
              </w:rPr>
              <w:t xml:space="preserve">　</w:t>
            </w:r>
            <w:r w:rsidRPr="00640EC9">
              <w:rPr>
                <w:color w:val="000000"/>
                <w:w w:val="21"/>
                <w:shd w:val="solid" w:color="000000" w:fill="000000"/>
                <w:fitText w:val="96" w:id="-961889792"/>
                <w14:textFill>
                  <w14:solidFill>
                    <w14:srgbClr w14:val="000000">
                      <w14:alpha w14:val="100000"/>
                    </w14:srgbClr>
                  </w14:solidFill>
                </w14:textFill>
              </w:rPr>
              <w:t>|</w:t>
            </w:r>
            <w:r w:rsidRPr="00640EC9">
              <w:rPr>
                <w:rFonts w:hint="eastAsia"/>
                <w:color w:val="000000"/>
                <w:spacing w:val="5"/>
                <w:w w:val="21"/>
                <w:shd w:val="solid" w:color="000000" w:fill="000000"/>
                <w:fitText w:val="96" w:id="-961889792"/>
                <w14:textFill>
                  <w14:solidFill>
                    <w14:srgbClr w14:val="000000">
                      <w14:alpha w14:val="100000"/>
                    </w14:srgbClr>
                  </w14:solidFill>
                </w14:textFill>
              </w:rPr>
              <w:t xml:space="preserve">　</w:t>
            </w:r>
            <w:r w:rsidR="00357D22" w:rsidRPr="00357D22">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4F5340EB" w14:textId="10FF1750"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91"/>
                <w14:textFill>
                  <w14:solidFill>
                    <w14:srgbClr w14:val="000000">
                      <w14:alpha w14:val="100000"/>
                    </w14:srgbClr>
                  </w14:solidFill>
                </w14:textFill>
              </w:rPr>
              <w:t xml:space="preserve">　</w:t>
            </w:r>
            <w:r w:rsidRPr="00640EC9">
              <w:rPr>
                <w:color w:val="000000"/>
                <w:w w:val="21"/>
                <w:shd w:val="solid" w:color="000000" w:fill="000000"/>
                <w:fitText w:val="96" w:id="-961889791"/>
                <w14:textFill>
                  <w14:solidFill>
                    <w14:srgbClr w14:val="000000">
                      <w14:alpha w14:val="100000"/>
                    </w14:srgbClr>
                  </w14:solidFill>
                </w14:textFill>
              </w:rPr>
              <w:t>|</w:t>
            </w:r>
            <w:r w:rsidRPr="00640EC9">
              <w:rPr>
                <w:rFonts w:hint="eastAsia"/>
                <w:color w:val="000000"/>
                <w:spacing w:val="5"/>
                <w:w w:val="21"/>
                <w:shd w:val="solid" w:color="000000" w:fill="000000"/>
                <w:fitText w:val="96" w:id="-961889791"/>
                <w14:textFill>
                  <w14:solidFill>
                    <w14:srgbClr w14:val="000000">
                      <w14:alpha w14:val="100000"/>
                    </w14:srgbClr>
                  </w14:solidFill>
                </w14:textFill>
              </w:rPr>
              <w:t xml:space="preserve">　</w:t>
            </w:r>
            <w:r w:rsidR="00357D22" w:rsidRPr="00357D22">
              <w:t xml:space="preserve"> </w:t>
            </w:r>
            <w:r w:rsidR="00DB0472" w:rsidRPr="00DB0472">
              <w:rPr>
                <w:vertAlign w:val="superscript"/>
              </w:rPr>
              <w:t>3</w:t>
            </w:r>
          </w:p>
        </w:tc>
        <w:tc>
          <w:tcPr>
            <w:tcW w:w="920" w:type="dxa"/>
            <w:tcBorders>
              <w:top w:val="nil"/>
              <w:left w:val="nil"/>
              <w:bottom w:val="single" w:sz="4" w:space="0" w:color="auto"/>
              <w:right w:val="single" w:sz="4" w:space="0" w:color="auto"/>
            </w:tcBorders>
            <w:shd w:val="clear" w:color="auto" w:fill="auto"/>
          </w:tcPr>
          <w:p w14:paraId="47EE5FBF" w14:textId="6075486C"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36" w:id="-961889790"/>
                <w14:textFill>
                  <w14:solidFill>
                    <w14:srgbClr w14:val="000000">
                      <w14:alpha w14:val="100000"/>
                    </w14:srgbClr>
                  </w14:solidFill>
                </w14:textFill>
              </w:rPr>
              <w:t xml:space="preserve">　</w:t>
            </w:r>
            <w:r w:rsidRPr="00640EC9">
              <w:rPr>
                <w:color w:val="000000"/>
                <w:w w:val="15"/>
                <w:shd w:val="solid" w:color="000000" w:fill="000000"/>
                <w:fitText w:val="36" w:id="-961889790"/>
                <w14:textFill>
                  <w14:solidFill>
                    <w14:srgbClr w14:val="000000">
                      <w14:alpha w14:val="100000"/>
                    </w14:srgbClr>
                  </w14:solidFill>
                </w14:textFill>
              </w:rPr>
              <w:t>|</w:t>
            </w:r>
            <w:r w:rsidRPr="00640EC9">
              <w:rPr>
                <w:rFonts w:hint="eastAsia"/>
                <w:color w:val="000000"/>
                <w:spacing w:val="-29"/>
                <w:w w:val="15"/>
                <w:shd w:val="solid" w:color="000000" w:fill="000000"/>
                <w:fitText w:val="36" w:id="-961889790"/>
                <w14:textFill>
                  <w14:solidFill>
                    <w14:srgbClr w14:val="000000">
                      <w14:alpha w14:val="100000"/>
                    </w14:srgbClr>
                  </w14:solidFill>
                </w14:textFill>
              </w:rPr>
              <w:t xml:space="preserve">　</w:t>
            </w:r>
            <w:r w:rsidR="00357D22" w:rsidRPr="00357D22">
              <w:t xml:space="preserve"> </w:t>
            </w:r>
            <w:r w:rsidR="00216520" w:rsidRPr="00216520">
              <w:rPr>
                <w:vertAlign w:val="superscript"/>
              </w:rPr>
              <w:t>5</w:t>
            </w:r>
          </w:p>
        </w:tc>
      </w:tr>
      <w:tr w:rsidR="002C1990" w:rsidRPr="009941F8" w14:paraId="4F9DE6F9"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45CBFCC8" w14:textId="2684D660" w:rsidR="00A26972" w:rsidRPr="009941F8" w:rsidRDefault="001D4FAC" w:rsidP="00233562">
            <w:pPr>
              <w:pStyle w:val="TableText0"/>
              <w:keepNext w:val="0"/>
              <w:widowControl w:val="0"/>
              <w:rPr>
                <w:szCs w:val="20"/>
              </w:rPr>
            </w:pPr>
            <w:r w:rsidRPr="009941F8">
              <w:rPr>
                <w:szCs w:val="20"/>
              </w:rPr>
              <w:t>RPBS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AD5F78" w14:textId="71ECF245"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89"/>
                <w14:textFill>
                  <w14:solidFill>
                    <w14:srgbClr w14:val="000000">
                      <w14:alpha w14:val="100000"/>
                    </w14:srgbClr>
                  </w14:solidFill>
                </w14:textFill>
              </w:rPr>
              <w:t xml:space="preserve">　</w:t>
            </w:r>
            <w:r w:rsidRPr="00640EC9">
              <w:rPr>
                <w:color w:val="000000"/>
                <w:w w:val="21"/>
                <w:shd w:val="solid" w:color="000000" w:fill="000000"/>
                <w:fitText w:val="96" w:id="-961889789"/>
                <w14:textFill>
                  <w14:solidFill>
                    <w14:srgbClr w14:val="000000">
                      <w14:alpha w14:val="100000"/>
                    </w14:srgbClr>
                  </w14:solidFill>
                </w14:textFill>
              </w:rPr>
              <w:t>|</w:t>
            </w:r>
            <w:r w:rsidRPr="00640EC9">
              <w:rPr>
                <w:rFonts w:hint="eastAsia"/>
                <w:color w:val="000000"/>
                <w:spacing w:val="5"/>
                <w:w w:val="21"/>
                <w:shd w:val="solid" w:color="000000" w:fill="000000"/>
                <w:fitText w:val="96" w:id="-961889789"/>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3F345E21" w14:textId="541E0B5E"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88"/>
                <w14:textFill>
                  <w14:solidFill>
                    <w14:srgbClr w14:val="000000">
                      <w14:alpha w14:val="100000"/>
                    </w14:srgbClr>
                  </w14:solidFill>
                </w14:textFill>
              </w:rPr>
              <w:t xml:space="preserve">　</w:t>
            </w:r>
            <w:r w:rsidRPr="00640EC9">
              <w:rPr>
                <w:color w:val="000000"/>
                <w:w w:val="21"/>
                <w:shd w:val="solid" w:color="000000" w:fill="000000"/>
                <w:fitText w:val="96" w:id="-961889788"/>
                <w14:textFill>
                  <w14:solidFill>
                    <w14:srgbClr w14:val="000000">
                      <w14:alpha w14:val="100000"/>
                    </w14:srgbClr>
                  </w14:solidFill>
                </w14:textFill>
              </w:rPr>
              <w:t>|</w:t>
            </w:r>
            <w:r w:rsidRPr="00640EC9">
              <w:rPr>
                <w:rFonts w:hint="eastAsia"/>
                <w:color w:val="000000"/>
                <w:spacing w:val="5"/>
                <w:w w:val="21"/>
                <w:shd w:val="solid" w:color="000000" w:fill="000000"/>
                <w:fitText w:val="96" w:id="-961889788"/>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570BE22B" w14:textId="4FE25952"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87"/>
                <w14:textFill>
                  <w14:solidFill>
                    <w14:srgbClr w14:val="000000">
                      <w14:alpha w14:val="100000"/>
                    </w14:srgbClr>
                  </w14:solidFill>
                </w14:textFill>
              </w:rPr>
              <w:t xml:space="preserve">　</w:t>
            </w:r>
            <w:r w:rsidRPr="00640EC9">
              <w:rPr>
                <w:color w:val="000000"/>
                <w:w w:val="21"/>
                <w:shd w:val="solid" w:color="000000" w:fill="000000"/>
                <w:fitText w:val="96" w:id="-961889787"/>
                <w14:textFill>
                  <w14:solidFill>
                    <w14:srgbClr w14:val="000000">
                      <w14:alpha w14:val="100000"/>
                    </w14:srgbClr>
                  </w14:solidFill>
                </w14:textFill>
              </w:rPr>
              <w:t>|</w:t>
            </w:r>
            <w:r w:rsidRPr="00640EC9">
              <w:rPr>
                <w:rFonts w:hint="eastAsia"/>
                <w:color w:val="000000"/>
                <w:spacing w:val="5"/>
                <w:w w:val="21"/>
                <w:shd w:val="solid" w:color="000000" w:fill="000000"/>
                <w:fitText w:val="96" w:id="-961889787"/>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3" w:type="dxa"/>
            <w:tcBorders>
              <w:top w:val="nil"/>
              <w:left w:val="nil"/>
              <w:bottom w:val="single" w:sz="4" w:space="0" w:color="auto"/>
              <w:right w:val="single" w:sz="4" w:space="0" w:color="auto"/>
            </w:tcBorders>
            <w:shd w:val="clear" w:color="auto" w:fill="auto"/>
          </w:tcPr>
          <w:p w14:paraId="7DF05EB7" w14:textId="07F11381"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86"/>
                <w14:textFill>
                  <w14:solidFill>
                    <w14:srgbClr w14:val="000000">
                      <w14:alpha w14:val="100000"/>
                    </w14:srgbClr>
                  </w14:solidFill>
                </w14:textFill>
              </w:rPr>
              <w:t xml:space="preserve">　</w:t>
            </w:r>
            <w:r w:rsidRPr="00640EC9">
              <w:rPr>
                <w:color w:val="000000"/>
                <w:w w:val="21"/>
                <w:shd w:val="solid" w:color="000000" w:fill="000000"/>
                <w:fitText w:val="96" w:id="-961889786"/>
                <w14:textFill>
                  <w14:solidFill>
                    <w14:srgbClr w14:val="000000">
                      <w14:alpha w14:val="100000"/>
                    </w14:srgbClr>
                  </w14:solidFill>
                </w14:textFill>
              </w:rPr>
              <w:t>|</w:t>
            </w:r>
            <w:r w:rsidRPr="00640EC9">
              <w:rPr>
                <w:rFonts w:hint="eastAsia"/>
                <w:color w:val="000000"/>
                <w:spacing w:val="5"/>
                <w:w w:val="21"/>
                <w:shd w:val="solid" w:color="000000" w:fill="000000"/>
                <w:fitText w:val="96" w:id="-961889786"/>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096E7D2F" w14:textId="09AB9B9E"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85"/>
                <w14:textFill>
                  <w14:solidFill>
                    <w14:srgbClr w14:val="000000">
                      <w14:alpha w14:val="100000"/>
                    </w14:srgbClr>
                  </w14:solidFill>
                </w14:textFill>
              </w:rPr>
              <w:t xml:space="preserve">　</w:t>
            </w:r>
            <w:r w:rsidRPr="00640EC9">
              <w:rPr>
                <w:color w:val="000000"/>
                <w:w w:val="21"/>
                <w:shd w:val="solid" w:color="000000" w:fill="000000"/>
                <w:fitText w:val="96" w:id="-961889785"/>
                <w14:textFill>
                  <w14:solidFill>
                    <w14:srgbClr w14:val="000000">
                      <w14:alpha w14:val="100000"/>
                    </w14:srgbClr>
                  </w14:solidFill>
                </w14:textFill>
              </w:rPr>
              <w:t>|</w:t>
            </w:r>
            <w:r w:rsidRPr="00640EC9">
              <w:rPr>
                <w:rFonts w:hint="eastAsia"/>
                <w:color w:val="000000"/>
                <w:spacing w:val="5"/>
                <w:w w:val="21"/>
                <w:shd w:val="solid" w:color="000000" w:fill="000000"/>
                <w:fitText w:val="96" w:id="-961889785"/>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tcBorders>
              <w:top w:val="nil"/>
              <w:left w:val="nil"/>
              <w:bottom w:val="single" w:sz="4" w:space="0" w:color="auto"/>
              <w:right w:val="single" w:sz="4" w:space="0" w:color="auto"/>
            </w:tcBorders>
            <w:shd w:val="clear" w:color="auto" w:fill="auto"/>
          </w:tcPr>
          <w:p w14:paraId="6EC51A5C" w14:textId="29DF1540"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784"/>
                <w14:textFill>
                  <w14:solidFill>
                    <w14:srgbClr w14:val="000000">
                      <w14:alpha w14:val="100000"/>
                    </w14:srgbClr>
                  </w14:solidFill>
                </w14:textFill>
              </w:rPr>
              <w:t xml:space="preserve">　</w:t>
            </w:r>
            <w:r w:rsidRPr="00640EC9">
              <w:rPr>
                <w:color w:val="000000"/>
                <w:w w:val="21"/>
                <w:shd w:val="solid" w:color="000000" w:fill="000000"/>
                <w:fitText w:val="96" w:id="-961889784"/>
                <w14:textFill>
                  <w14:solidFill>
                    <w14:srgbClr w14:val="000000">
                      <w14:alpha w14:val="100000"/>
                    </w14:srgbClr>
                  </w14:solidFill>
                </w14:textFill>
              </w:rPr>
              <w:t>|</w:t>
            </w:r>
            <w:r w:rsidRPr="00640EC9">
              <w:rPr>
                <w:rFonts w:hint="eastAsia"/>
                <w:color w:val="000000"/>
                <w:spacing w:val="5"/>
                <w:w w:val="21"/>
                <w:shd w:val="solid" w:color="000000" w:fill="000000"/>
                <w:fitText w:val="96" w:id="-961889784"/>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20" w:type="dxa"/>
            <w:tcBorders>
              <w:top w:val="nil"/>
              <w:left w:val="nil"/>
              <w:bottom w:val="single" w:sz="4" w:space="0" w:color="auto"/>
              <w:right w:val="single" w:sz="4" w:space="0" w:color="auto"/>
            </w:tcBorders>
            <w:shd w:val="clear" w:color="auto" w:fill="auto"/>
          </w:tcPr>
          <w:p w14:paraId="1A9134A9" w14:textId="4AE1021F"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36" w:id="-961889783"/>
                <w14:textFill>
                  <w14:solidFill>
                    <w14:srgbClr w14:val="000000">
                      <w14:alpha w14:val="100000"/>
                    </w14:srgbClr>
                  </w14:solidFill>
                </w14:textFill>
              </w:rPr>
              <w:t xml:space="preserve">　</w:t>
            </w:r>
            <w:r w:rsidRPr="00640EC9">
              <w:rPr>
                <w:color w:val="000000"/>
                <w:w w:val="15"/>
                <w:shd w:val="solid" w:color="000000" w:fill="000000"/>
                <w:fitText w:val="36" w:id="-961889783"/>
                <w14:textFill>
                  <w14:solidFill>
                    <w14:srgbClr w14:val="000000">
                      <w14:alpha w14:val="100000"/>
                    </w14:srgbClr>
                  </w14:solidFill>
                </w14:textFill>
              </w:rPr>
              <w:t>|</w:t>
            </w:r>
            <w:r w:rsidRPr="00640EC9">
              <w:rPr>
                <w:rFonts w:hint="eastAsia"/>
                <w:color w:val="000000"/>
                <w:spacing w:val="-29"/>
                <w:w w:val="15"/>
                <w:shd w:val="solid" w:color="000000" w:fill="000000"/>
                <w:fitText w:val="36" w:id="-961889783"/>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r>
      <w:tr w:rsidR="002C1990" w:rsidRPr="009941F8" w14:paraId="3D7F12C5" w14:textId="77777777" w:rsidTr="00233562">
        <w:tc>
          <w:tcPr>
            <w:tcW w:w="2122" w:type="dxa"/>
            <w:tcBorders>
              <w:left w:val="single" w:sz="4" w:space="0" w:color="auto"/>
              <w:bottom w:val="single" w:sz="4" w:space="0" w:color="auto"/>
              <w:right w:val="single" w:sz="4" w:space="0" w:color="auto"/>
            </w:tcBorders>
            <w:shd w:val="clear" w:color="auto" w:fill="auto"/>
            <w:vAlign w:val="bottom"/>
          </w:tcPr>
          <w:p w14:paraId="0AAA4FCD" w14:textId="614FD7BF" w:rsidR="00A26972" w:rsidRPr="009941F8" w:rsidRDefault="001D4FAC" w:rsidP="00233562">
            <w:pPr>
              <w:pStyle w:val="TableText0"/>
              <w:keepNext w:val="0"/>
              <w:widowControl w:val="0"/>
              <w:rPr>
                <w:b/>
                <w:szCs w:val="20"/>
              </w:rPr>
            </w:pPr>
            <w:r w:rsidRPr="009941F8">
              <w:rPr>
                <w:b/>
                <w:szCs w:val="20"/>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C41415" w14:textId="502578E0"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9536"/>
                <w14:textFill>
                  <w14:solidFill>
                    <w14:srgbClr w14:val="000000">
                      <w14:alpha w14:val="100000"/>
                    </w14:srgbClr>
                  </w14:solidFill>
                </w14:textFill>
              </w:rPr>
              <w:t xml:space="preserve">　</w:t>
            </w:r>
            <w:r w:rsidRPr="00640EC9">
              <w:rPr>
                <w:b/>
                <w:bCs w:val="0"/>
                <w:color w:val="000000"/>
                <w:w w:val="29"/>
                <w:shd w:val="solid" w:color="000000" w:fill="000000"/>
                <w:fitText w:val="132" w:id="-961889536"/>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9536"/>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774354B3" w14:textId="715E03C0"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9535"/>
                <w14:textFill>
                  <w14:solidFill>
                    <w14:srgbClr w14:val="000000">
                      <w14:alpha w14:val="100000"/>
                    </w14:srgbClr>
                  </w14:solidFill>
                </w14:textFill>
              </w:rPr>
              <w:t xml:space="preserve">　</w:t>
            </w:r>
            <w:r w:rsidRPr="00640EC9">
              <w:rPr>
                <w:b/>
                <w:bCs w:val="0"/>
                <w:color w:val="000000"/>
                <w:w w:val="29"/>
                <w:shd w:val="solid" w:color="000000" w:fill="000000"/>
                <w:fitText w:val="132" w:id="-961889535"/>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9535"/>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6D154685" w14:textId="76985054"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9534"/>
                <w14:textFill>
                  <w14:solidFill>
                    <w14:srgbClr w14:val="000000">
                      <w14:alpha w14:val="100000"/>
                    </w14:srgbClr>
                  </w14:solidFill>
                </w14:textFill>
              </w:rPr>
              <w:t xml:space="preserve">　</w:t>
            </w:r>
            <w:r w:rsidRPr="00640EC9">
              <w:rPr>
                <w:b/>
                <w:bCs w:val="0"/>
                <w:color w:val="000000"/>
                <w:w w:val="26"/>
                <w:shd w:val="solid" w:color="000000" w:fill="000000"/>
                <w:fitText w:val="120" w:id="-961889534"/>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34"/>
                <w14:textFill>
                  <w14:solidFill>
                    <w14:srgbClr w14:val="000000">
                      <w14:alpha w14:val="100000"/>
                    </w14:srgbClr>
                  </w14:solidFill>
                </w14:textFill>
              </w:rPr>
              <w:t xml:space="preserve">　</w:t>
            </w:r>
            <w:r w:rsidR="00DB0472" w:rsidRPr="00DB0472">
              <w:rPr>
                <w:vertAlign w:val="superscript"/>
              </w:rPr>
              <w:t>3</w:t>
            </w:r>
            <w:r w:rsidR="00357D22" w:rsidRPr="00357D22">
              <w:rPr>
                <w:b/>
                <w:bCs w:val="0"/>
              </w:rPr>
              <w:t xml:space="preserve"> </w:t>
            </w:r>
          </w:p>
        </w:tc>
        <w:tc>
          <w:tcPr>
            <w:tcW w:w="993" w:type="dxa"/>
            <w:tcBorders>
              <w:top w:val="nil"/>
              <w:left w:val="nil"/>
              <w:bottom w:val="single" w:sz="4" w:space="0" w:color="auto"/>
              <w:right w:val="single" w:sz="4" w:space="0" w:color="auto"/>
            </w:tcBorders>
            <w:shd w:val="clear" w:color="auto" w:fill="auto"/>
          </w:tcPr>
          <w:p w14:paraId="643F40F1" w14:textId="07806C03"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9533"/>
                <w14:textFill>
                  <w14:solidFill>
                    <w14:srgbClr w14:val="000000">
                      <w14:alpha w14:val="100000"/>
                    </w14:srgbClr>
                  </w14:solidFill>
                </w14:textFill>
              </w:rPr>
              <w:t xml:space="preserve">　</w:t>
            </w:r>
            <w:r w:rsidRPr="00640EC9">
              <w:rPr>
                <w:b/>
                <w:bCs w:val="0"/>
                <w:color w:val="000000"/>
                <w:w w:val="29"/>
                <w:shd w:val="solid" w:color="000000" w:fill="000000"/>
                <w:fitText w:val="132" w:id="-961889533"/>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9533"/>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69AB5BA7" w14:textId="6E68DF38"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9532"/>
                <w14:textFill>
                  <w14:solidFill>
                    <w14:srgbClr w14:val="000000">
                      <w14:alpha w14:val="100000"/>
                    </w14:srgbClr>
                  </w14:solidFill>
                </w14:textFill>
              </w:rPr>
              <w:t xml:space="preserve">　</w:t>
            </w:r>
            <w:r w:rsidRPr="00640EC9">
              <w:rPr>
                <w:b/>
                <w:bCs w:val="0"/>
                <w:color w:val="000000"/>
                <w:w w:val="29"/>
                <w:shd w:val="solid" w:color="000000" w:fill="000000"/>
                <w:fitText w:val="132" w:id="-961889532"/>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9532"/>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3</w:t>
            </w:r>
          </w:p>
        </w:tc>
        <w:tc>
          <w:tcPr>
            <w:tcW w:w="992" w:type="dxa"/>
            <w:tcBorders>
              <w:top w:val="nil"/>
              <w:left w:val="nil"/>
              <w:bottom w:val="single" w:sz="4" w:space="0" w:color="auto"/>
              <w:right w:val="single" w:sz="4" w:space="0" w:color="auto"/>
            </w:tcBorders>
            <w:shd w:val="clear" w:color="auto" w:fill="auto"/>
          </w:tcPr>
          <w:p w14:paraId="6DE80A67" w14:textId="232AA5EF"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9531"/>
                <w14:textFill>
                  <w14:solidFill>
                    <w14:srgbClr w14:val="000000">
                      <w14:alpha w14:val="100000"/>
                    </w14:srgbClr>
                  </w14:solidFill>
                </w14:textFill>
              </w:rPr>
              <w:t xml:space="preserve">　</w:t>
            </w:r>
            <w:r w:rsidRPr="00640EC9">
              <w:rPr>
                <w:b/>
                <w:bCs w:val="0"/>
                <w:color w:val="000000"/>
                <w:w w:val="29"/>
                <w:shd w:val="solid" w:color="000000" w:fill="000000"/>
                <w:fitText w:val="132" w:id="-961889531"/>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9531"/>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3</w:t>
            </w:r>
          </w:p>
        </w:tc>
        <w:tc>
          <w:tcPr>
            <w:tcW w:w="920" w:type="dxa"/>
            <w:tcBorders>
              <w:top w:val="nil"/>
              <w:left w:val="nil"/>
              <w:bottom w:val="single" w:sz="4" w:space="0" w:color="auto"/>
              <w:right w:val="single" w:sz="4" w:space="0" w:color="auto"/>
            </w:tcBorders>
            <w:shd w:val="clear" w:color="auto" w:fill="auto"/>
          </w:tcPr>
          <w:p w14:paraId="79E41178" w14:textId="39A70DB1" w:rsidR="00A26972"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6"/>
                <w:shd w:val="solid" w:color="000000" w:fill="000000"/>
                <w:fitText w:val="72" w:id="-961889530"/>
                <w14:textFill>
                  <w14:solidFill>
                    <w14:srgbClr w14:val="000000">
                      <w14:alpha w14:val="100000"/>
                    </w14:srgbClr>
                  </w14:solidFill>
                </w14:textFill>
              </w:rPr>
              <w:t xml:space="preserve">　</w:t>
            </w:r>
            <w:r w:rsidRPr="00640EC9">
              <w:rPr>
                <w:b/>
                <w:bCs w:val="0"/>
                <w:color w:val="000000"/>
                <w:w w:val="16"/>
                <w:shd w:val="solid" w:color="000000" w:fill="000000"/>
                <w:fitText w:val="72" w:id="-961889530"/>
                <w14:textFill>
                  <w14:solidFill>
                    <w14:srgbClr w14:val="000000">
                      <w14:alpha w14:val="100000"/>
                    </w14:srgbClr>
                  </w14:solidFill>
                </w14:textFill>
              </w:rPr>
              <w:t>|</w:t>
            </w:r>
            <w:r w:rsidRPr="00640EC9">
              <w:rPr>
                <w:rFonts w:hint="eastAsia"/>
                <w:b/>
                <w:bCs w:val="0"/>
                <w:color w:val="000000"/>
                <w:spacing w:val="2"/>
                <w:w w:val="16"/>
                <w:shd w:val="solid" w:color="000000" w:fill="000000"/>
                <w:fitText w:val="72" w:id="-961889530"/>
                <w14:textFill>
                  <w14:solidFill>
                    <w14:srgbClr w14:val="000000">
                      <w14:alpha w14:val="100000"/>
                    </w14:srgbClr>
                  </w14:solidFill>
                </w14:textFill>
              </w:rPr>
              <w:t xml:space="preserve">　</w:t>
            </w:r>
            <w:r w:rsidR="00357D22" w:rsidRPr="00357D22">
              <w:rPr>
                <w:b/>
                <w:bCs w:val="0"/>
              </w:rPr>
              <w:t xml:space="preserve"> </w:t>
            </w:r>
            <w:r w:rsidR="00216520" w:rsidRPr="00216520">
              <w:rPr>
                <w:vertAlign w:val="superscript"/>
              </w:rPr>
              <w:t>5</w:t>
            </w:r>
          </w:p>
        </w:tc>
      </w:tr>
      <w:tr w:rsidR="00A26972" w:rsidRPr="009941F8" w14:paraId="47237510" w14:textId="77777777" w:rsidTr="001D4FAC">
        <w:tc>
          <w:tcPr>
            <w:tcW w:w="8995" w:type="dxa"/>
            <w:gridSpan w:val="8"/>
            <w:tcBorders>
              <w:top w:val="nil"/>
              <w:left w:val="single" w:sz="4" w:space="0" w:color="auto"/>
              <w:bottom w:val="single" w:sz="4" w:space="0" w:color="auto"/>
              <w:right w:val="single" w:sz="4" w:space="0" w:color="auto"/>
            </w:tcBorders>
            <w:shd w:val="clear" w:color="auto" w:fill="auto"/>
            <w:vAlign w:val="bottom"/>
          </w:tcPr>
          <w:p w14:paraId="4EFFD1E1" w14:textId="77777777" w:rsidR="00A26972" w:rsidRPr="009941F8" w:rsidRDefault="00A26972" w:rsidP="00233562">
            <w:pPr>
              <w:pStyle w:val="TableText0"/>
              <w:keepNext w:val="0"/>
              <w:widowControl w:val="0"/>
              <w:rPr>
                <w:szCs w:val="20"/>
              </w:rPr>
            </w:pPr>
            <w:r w:rsidRPr="009941F8">
              <w:rPr>
                <w:b/>
                <w:szCs w:val="20"/>
              </w:rPr>
              <w:t>Costs</w:t>
            </w:r>
          </w:p>
        </w:tc>
      </w:tr>
      <w:tr w:rsidR="00A26972" w:rsidRPr="009941F8" w14:paraId="04A3AAF7" w14:textId="77777777" w:rsidTr="001D4FAC">
        <w:tc>
          <w:tcPr>
            <w:tcW w:w="89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64EB5DD" w14:textId="0DD13BFD" w:rsidR="00A26972" w:rsidRPr="009941F8" w:rsidRDefault="00A26972" w:rsidP="00233562">
            <w:pPr>
              <w:pStyle w:val="TableText0"/>
              <w:keepNext w:val="0"/>
              <w:widowControl w:val="0"/>
              <w:rPr>
                <w:b/>
                <w:szCs w:val="20"/>
              </w:rPr>
            </w:pPr>
            <w:r w:rsidRPr="009941F8">
              <w:rPr>
                <w:b/>
                <w:szCs w:val="20"/>
              </w:rPr>
              <w:t xml:space="preserve">Anifrolumab </w:t>
            </w:r>
            <w:r w:rsidR="00BC1294" w:rsidRPr="00BC1294">
              <w:rPr>
                <w:vertAlign w:val="superscript"/>
              </w:rPr>
              <w:t>8</w:t>
            </w:r>
          </w:p>
        </w:tc>
      </w:tr>
      <w:tr w:rsidR="002C1990" w:rsidRPr="009941F8" w14:paraId="184AC00D"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05ADD282" w14:textId="2227A6C4" w:rsidR="00A26972" w:rsidRPr="009941F8" w:rsidRDefault="001D4FAC" w:rsidP="00233562">
            <w:pPr>
              <w:pStyle w:val="TableText0"/>
              <w:keepNext w:val="0"/>
              <w:widowControl w:val="0"/>
              <w:rPr>
                <w:szCs w:val="20"/>
              </w:rPr>
            </w:pPr>
            <w:r w:rsidRPr="009941F8">
              <w:rPr>
                <w:szCs w:val="20"/>
              </w:rPr>
              <w:t>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717C85" w14:textId="1DCC00A1"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9"/>
                <w14:textFill>
                  <w14:solidFill>
                    <w14:srgbClr w14:val="000000">
                      <w14:alpha w14:val="100000"/>
                    </w14:srgbClr>
                  </w14:solidFill>
                </w14:textFill>
              </w:rPr>
              <w:t xml:space="preserve">　</w:t>
            </w:r>
            <w:r w:rsidRPr="00640EC9">
              <w:rPr>
                <w:color w:val="000000"/>
                <w:w w:val="15"/>
                <w:shd w:val="solid" w:color="000000" w:fill="000000"/>
                <w:fitText w:val="60" w:id="-961889529"/>
                <w14:textFill>
                  <w14:solidFill>
                    <w14:srgbClr w14:val="000000">
                      <w14:alpha w14:val="100000"/>
                    </w14:srgbClr>
                  </w14:solidFill>
                </w14:textFill>
              </w:rPr>
              <w:t>|</w:t>
            </w:r>
            <w:r w:rsidRPr="00640EC9">
              <w:rPr>
                <w:rFonts w:hint="eastAsia"/>
                <w:color w:val="000000"/>
                <w:spacing w:val="-5"/>
                <w:w w:val="15"/>
                <w:shd w:val="solid" w:color="000000" w:fill="000000"/>
                <w:fitText w:val="60" w:id="-961889529"/>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34C2FC78" w14:textId="0A3F6FD2"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8"/>
                <w14:textFill>
                  <w14:solidFill>
                    <w14:srgbClr w14:val="000000">
                      <w14:alpha w14:val="100000"/>
                    </w14:srgbClr>
                  </w14:solidFill>
                </w14:textFill>
              </w:rPr>
              <w:t xml:space="preserve">　</w:t>
            </w:r>
            <w:r w:rsidRPr="00640EC9">
              <w:rPr>
                <w:color w:val="000000"/>
                <w:w w:val="15"/>
                <w:shd w:val="solid" w:color="000000" w:fill="000000"/>
                <w:fitText w:val="60" w:id="-961889528"/>
                <w14:textFill>
                  <w14:solidFill>
                    <w14:srgbClr w14:val="000000">
                      <w14:alpha w14:val="100000"/>
                    </w14:srgbClr>
                  </w14:solidFill>
                </w14:textFill>
              </w:rPr>
              <w:t>|</w:t>
            </w:r>
            <w:r w:rsidRPr="00640EC9">
              <w:rPr>
                <w:rFonts w:hint="eastAsia"/>
                <w:color w:val="000000"/>
                <w:spacing w:val="-5"/>
                <w:w w:val="15"/>
                <w:shd w:val="solid" w:color="000000" w:fill="000000"/>
                <w:fitText w:val="60" w:id="-961889528"/>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375C4EB4" w14:textId="27D02897"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7"/>
                <w14:textFill>
                  <w14:solidFill>
                    <w14:srgbClr w14:val="000000">
                      <w14:alpha w14:val="100000"/>
                    </w14:srgbClr>
                  </w14:solidFill>
                </w14:textFill>
              </w:rPr>
              <w:t xml:space="preserve">　</w:t>
            </w:r>
            <w:r w:rsidRPr="00640EC9">
              <w:rPr>
                <w:color w:val="000000"/>
                <w:w w:val="15"/>
                <w:shd w:val="solid" w:color="000000" w:fill="000000"/>
                <w:fitText w:val="60" w:id="-961889527"/>
                <w14:textFill>
                  <w14:solidFill>
                    <w14:srgbClr w14:val="000000">
                      <w14:alpha w14:val="100000"/>
                    </w14:srgbClr>
                  </w14:solidFill>
                </w14:textFill>
              </w:rPr>
              <w:t>|</w:t>
            </w:r>
            <w:r w:rsidRPr="00640EC9">
              <w:rPr>
                <w:rFonts w:hint="eastAsia"/>
                <w:color w:val="000000"/>
                <w:spacing w:val="-5"/>
                <w:w w:val="15"/>
                <w:shd w:val="solid" w:color="000000" w:fill="000000"/>
                <w:fitText w:val="60" w:id="-961889527"/>
                <w14:textFill>
                  <w14:solidFill>
                    <w14:srgbClr w14:val="000000">
                      <w14:alpha w14:val="100000"/>
                    </w14:srgbClr>
                  </w14:solidFill>
                </w14:textFill>
              </w:rPr>
              <w:t xml:space="preserve">　</w:t>
            </w:r>
            <w:r w:rsidR="00BC1294" w:rsidRPr="00BC1294">
              <w:rPr>
                <w:vertAlign w:val="superscript"/>
              </w:rPr>
              <w:t>8</w:t>
            </w:r>
          </w:p>
        </w:tc>
        <w:tc>
          <w:tcPr>
            <w:tcW w:w="993" w:type="dxa"/>
            <w:tcBorders>
              <w:top w:val="single" w:sz="4" w:space="0" w:color="auto"/>
              <w:left w:val="nil"/>
              <w:bottom w:val="single" w:sz="4" w:space="0" w:color="auto"/>
              <w:right w:val="single" w:sz="4" w:space="0" w:color="auto"/>
            </w:tcBorders>
            <w:shd w:val="clear" w:color="auto" w:fill="auto"/>
          </w:tcPr>
          <w:p w14:paraId="6B441153" w14:textId="54F3833A"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6"/>
                <w14:textFill>
                  <w14:solidFill>
                    <w14:srgbClr w14:val="000000">
                      <w14:alpha w14:val="100000"/>
                    </w14:srgbClr>
                  </w14:solidFill>
                </w14:textFill>
              </w:rPr>
              <w:t xml:space="preserve">　</w:t>
            </w:r>
            <w:r w:rsidRPr="00640EC9">
              <w:rPr>
                <w:color w:val="000000"/>
                <w:w w:val="15"/>
                <w:shd w:val="solid" w:color="000000" w:fill="000000"/>
                <w:fitText w:val="60" w:id="-961889526"/>
                <w14:textFill>
                  <w14:solidFill>
                    <w14:srgbClr w14:val="000000">
                      <w14:alpha w14:val="100000"/>
                    </w14:srgbClr>
                  </w14:solidFill>
                </w14:textFill>
              </w:rPr>
              <w:t>|</w:t>
            </w:r>
            <w:r w:rsidRPr="00640EC9">
              <w:rPr>
                <w:rFonts w:hint="eastAsia"/>
                <w:color w:val="000000"/>
                <w:spacing w:val="-5"/>
                <w:w w:val="15"/>
                <w:shd w:val="solid" w:color="000000" w:fill="000000"/>
                <w:fitText w:val="60" w:id="-961889526"/>
                <w14:textFill>
                  <w14:solidFill>
                    <w14:srgbClr w14:val="000000">
                      <w14:alpha w14:val="100000"/>
                    </w14:srgbClr>
                  </w14:solidFill>
                </w14:textFill>
              </w:rPr>
              <w:t xml:space="preserve">　</w:t>
            </w:r>
            <w:r w:rsidR="00BC1294"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tcPr>
          <w:p w14:paraId="2D59975D" w14:textId="2869B7CB"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5"/>
                <w14:textFill>
                  <w14:solidFill>
                    <w14:srgbClr w14:val="000000">
                      <w14:alpha w14:val="100000"/>
                    </w14:srgbClr>
                  </w14:solidFill>
                </w14:textFill>
              </w:rPr>
              <w:t xml:space="preserve">　</w:t>
            </w:r>
            <w:r w:rsidRPr="00640EC9">
              <w:rPr>
                <w:color w:val="000000"/>
                <w:w w:val="15"/>
                <w:shd w:val="solid" w:color="000000" w:fill="000000"/>
                <w:fitText w:val="60" w:id="-961889525"/>
                <w14:textFill>
                  <w14:solidFill>
                    <w14:srgbClr w14:val="000000">
                      <w14:alpha w14:val="100000"/>
                    </w14:srgbClr>
                  </w14:solidFill>
                </w14:textFill>
              </w:rPr>
              <w:t>|</w:t>
            </w:r>
            <w:r w:rsidRPr="00640EC9">
              <w:rPr>
                <w:rFonts w:hint="eastAsia"/>
                <w:color w:val="000000"/>
                <w:spacing w:val="-5"/>
                <w:w w:val="15"/>
                <w:shd w:val="solid" w:color="000000" w:fill="000000"/>
                <w:fitText w:val="60" w:id="-961889525"/>
                <w14:textFill>
                  <w14:solidFill>
                    <w14:srgbClr w14:val="000000">
                      <w14:alpha w14:val="100000"/>
                    </w14:srgbClr>
                  </w14:solidFill>
                </w14:textFill>
              </w:rPr>
              <w:t xml:space="preserve">　</w:t>
            </w:r>
            <w:r w:rsidR="00034941" w:rsidRPr="00034941">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tcPr>
          <w:p w14:paraId="61108826" w14:textId="173B3C28"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4"/>
                <w14:textFill>
                  <w14:solidFill>
                    <w14:srgbClr w14:val="000000">
                      <w14:alpha w14:val="100000"/>
                    </w14:srgbClr>
                  </w14:solidFill>
                </w14:textFill>
              </w:rPr>
              <w:t xml:space="preserve">　</w:t>
            </w:r>
            <w:r w:rsidRPr="00640EC9">
              <w:rPr>
                <w:color w:val="000000"/>
                <w:w w:val="15"/>
                <w:shd w:val="solid" w:color="000000" w:fill="000000"/>
                <w:fitText w:val="60" w:id="-961889524"/>
                <w14:textFill>
                  <w14:solidFill>
                    <w14:srgbClr w14:val="000000">
                      <w14:alpha w14:val="100000"/>
                    </w14:srgbClr>
                  </w14:solidFill>
                </w14:textFill>
              </w:rPr>
              <w:t>|</w:t>
            </w:r>
            <w:r w:rsidRPr="00640EC9">
              <w:rPr>
                <w:rFonts w:hint="eastAsia"/>
                <w:color w:val="000000"/>
                <w:spacing w:val="-5"/>
                <w:w w:val="15"/>
                <w:shd w:val="solid" w:color="000000" w:fill="000000"/>
                <w:fitText w:val="60" w:id="-961889524"/>
                <w14:textFill>
                  <w14:solidFill>
                    <w14:srgbClr w14:val="000000">
                      <w14:alpha w14:val="100000"/>
                    </w14:srgbClr>
                  </w14:solidFill>
                </w14:textFill>
              </w:rPr>
              <w:t xml:space="preserve">　</w:t>
            </w:r>
            <w:r w:rsidR="00034941" w:rsidRPr="00BC1294">
              <w:rPr>
                <w:vertAlign w:val="superscript"/>
              </w:rPr>
              <w:t>9</w:t>
            </w:r>
          </w:p>
        </w:tc>
        <w:tc>
          <w:tcPr>
            <w:tcW w:w="920" w:type="dxa"/>
            <w:tcBorders>
              <w:top w:val="single" w:sz="4" w:space="0" w:color="auto"/>
              <w:left w:val="nil"/>
              <w:bottom w:val="single" w:sz="4" w:space="0" w:color="auto"/>
              <w:right w:val="single" w:sz="4" w:space="0" w:color="auto"/>
            </w:tcBorders>
            <w:shd w:val="clear" w:color="auto" w:fill="auto"/>
          </w:tcPr>
          <w:p w14:paraId="524410F1" w14:textId="18D7D300"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36" w:id="-961889523"/>
                <w14:textFill>
                  <w14:solidFill>
                    <w14:srgbClr w14:val="000000">
                      <w14:alpha w14:val="100000"/>
                    </w14:srgbClr>
                  </w14:solidFill>
                </w14:textFill>
              </w:rPr>
              <w:t xml:space="preserve">　</w:t>
            </w:r>
            <w:r w:rsidRPr="00640EC9">
              <w:rPr>
                <w:color w:val="000000"/>
                <w:w w:val="15"/>
                <w:shd w:val="solid" w:color="000000" w:fill="000000"/>
                <w:fitText w:val="36" w:id="-961889523"/>
                <w14:textFill>
                  <w14:solidFill>
                    <w14:srgbClr w14:val="000000">
                      <w14:alpha w14:val="100000"/>
                    </w14:srgbClr>
                  </w14:solidFill>
                </w14:textFill>
              </w:rPr>
              <w:t>|</w:t>
            </w:r>
            <w:r w:rsidRPr="00640EC9">
              <w:rPr>
                <w:rFonts w:hint="eastAsia"/>
                <w:color w:val="000000"/>
                <w:spacing w:val="-29"/>
                <w:w w:val="15"/>
                <w:shd w:val="solid" w:color="000000" w:fill="000000"/>
                <w:fitText w:val="36" w:id="-961889523"/>
                <w14:textFill>
                  <w14:solidFill>
                    <w14:srgbClr w14:val="000000">
                      <w14:alpha w14:val="100000"/>
                    </w14:srgbClr>
                  </w14:solidFill>
                </w14:textFill>
              </w:rPr>
              <w:t xml:space="preserve">　</w:t>
            </w:r>
            <w:r w:rsidR="00034941" w:rsidRPr="00034941">
              <w:rPr>
                <w:b/>
                <w:bCs w:val="0"/>
                <w:vertAlign w:val="superscript"/>
              </w:rPr>
              <w:t>10</w:t>
            </w:r>
          </w:p>
        </w:tc>
      </w:tr>
      <w:tr w:rsidR="002C1990" w:rsidRPr="009941F8" w14:paraId="6B10C55F"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5EDFD846" w14:textId="0973407F" w:rsidR="00A26972" w:rsidRPr="009941F8" w:rsidRDefault="001D4FAC" w:rsidP="00233562">
            <w:pPr>
              <w:pStyle w:val="TableText0"/>
              <w:keepNext w:val="0"/>
              <w:widowControl w:val="0"/>
              <w:rPr>
                <w:szCs w:val="20"/>
              </w:rPr>
            </w:pPr>
            <w:r w:rsidRPr="009941F8">
              <w:rPr>
                <w:szCs w:val="20"/>
              </w:rPr>
              <w:t>RPBS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78CEF8" w14:textId="7C372BBD"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2"/>
                <w14:textFill>
                  <w14:solidFill>
                    <w14:srgbClr w14:val="000000">
                      <w14:alpha w14:val="100000"/>
                    </w14:srgbClr>
                  </w14:solidFill>
                </w14:textFill>
              </w:rPr>
              <w:t xml:space="preserve">　</w:t>
            </w:r>
            <w:r w:rsidRPr="00640EC9">
              <w:rPr>
                <w:color w:val="000000"/>
                <w:w w:val="15"/>
                <w:shd w:val="solid" w:color="000000" w:fill="000000"/>
                <w:fitText w:val="60" w:id="-961889522"/>
                <w14:textFill>
                  <w14:solidFill>
                    <w14:srgbClr w14:val="000000">
                      <w14:alpha w14:val="100000"/>
                    </w14:srgbClr>
                  </w14:solidFill>
                </w14:textFill>
              </w:rPr>
              <w:t>|</w:t>
            </w:r>
            <w:r w:rsidRPr="00640EC9">
              <w:rPr>
                <w:rFonts w:hint="eastAsia"/>
                <w:color w:val="000000"/>
                <w:spacing w:val="-5"/>
                <w:w w:val="15"/>
                <w:shd w:val="solid" w:color="000000" w:fill="000000"/>
                <w:fitText w:val="60" w:id="-961889522"/>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51A8DC41" w14:textId="0DE4966F"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1"/>
                <w14:textFill>
                  <w14:solidFill>
                    <w14:srgbClr w14:val="000000">
                      <w14:alpha w14:val="100000"/>
                    </w14:srgbClr>
                  </w14:solidFill>
                </w14:textFill>
              </w:rPr>
              <w:t xml:space="preserve">　</w:t>
            </w:r>
            <w:r w:rsidRPr="00640EC9">
              <w:rPr>
                <w:color w:val="000000"/>
                <w:w w:val="15"/>
                <w:shd w:val="solid" w:color="000000" w:fill="000000"/>
                <w:fitText w:val="60" w:id="-961889521"/>
                <w14:textFill>
                  <w14:solidFill>
                    <w14:srgbClr w14:val="000000">
                      <w14:alpha w14:val="100000"/>
                    </w14:srgbClr>
                  </w14:solidFill>
                </w14:textFill>
              </w:rPr>
              <w:t>|</w:t>
            </w:r>
            <w:r w:rsidRPr="00640EC9">
              <w:rPr>
                <w:rFonts w:hint="eastAsia"/>
                <w:color w:val="000000"/>
                <w:spacing w:val="-5"/>
                <w:w w:val="15"/>
                <w:shd w:val="solid" w:color="000000" w:fill="000000"/>
                <w:fitText w:val="60" w:id="-961889521"/>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5616937C" w14:textId="5DB1F965"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20"/>
                <w14:textFill>
                  <w14:solidFill>
                    <w14:srgbClr w14:val="000000">
                      <w14:alpha w14:val="100000"/>
                    </w14:srgbClr>
                  </w14:solidFill>
                </w14:textFill>
              </w:rPr>
              <w:t xml:space="preserve">　</w:t>
            </w:r>
            <w:r w:rsidRPr="00640EC9">
              <w:rPr>
                <w:color w:val="000000"/>
                <w:w w:val="15"/>
                <w:shd w:val="solid" w:color="000000" w:fill="000000"/>
                <w:fitText w:val="60" w:id="-961889520"/>
                <w14:textFill>
                  <w14:solidFill>
                    <w14:srgbClr w14:val="000000">
                      <w14:alpha w14:val="100000"/>
                    </w14:srgbClr>
                  </w14:solidFill>
                </w14:textFill>
              </w:rPr>
              <w:t>|</w:t>
            </w:r>
            <w:r w:rsidRPr="00640EC9">
              <w:rPr>
                <w:rFonts w:hint="eastAsia"/>
                <w:color w:val="000000"/>
                <w:spacing w:val="-5"/>
                <w:w w:val="15"/>
                <w:shd w:val="solid" w:color="000000" w:fill="000000"/>
                <w:fitText w:val="60" w:id="-961889520"/>
                <w14:textFill>
                  <w14:solidFill>
                    <w14:srgbClr w14:val="000000">
                      <w14:alpha w14:val="100000"/>
                    </w14:srgbClr>
                  </w14:solidFill>
                </w14:textFill>
              </w:rPr>
              <w:t xml:space="preserve">　</w:t>
            </w:r>
            <w:r w:rsidR="00BC1294" w:rsidRPr="00BC1294">
              <w:rPr>
                <w:vertAlign w:val="superscript"/>
              </w:rPr>
              <w:t>8</w:t>
            </w:r>
          </w:p>
        </w:tc>
        <w:tc>
          <w:tcPr>
            <w:tcW w:w="993" w:type="dxa"/>
            <w:tcBorders>
              <w:top w:val="single" w:sz="4" w:space="0" w:color="auto"/>
              <w:left w:val="nil"/>
              <w:bottom w:val="single" w:sz="4" w:space="0" w:color="auto"/>
              <w:right w:val="single" w:sz="4" w:space="0" w:color="auto"/>
            </w:tcBorders>
            <w:shd w:val="clear" w:color="auto" w:fill="auto"/>
          </w:tcPr>
          <w:p w14:paraId="3B24EF23" w14:textId="1BF9AB50"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6"/>
                <w14:textFill>
                  <w14:solidFill>
                    <w14:srgbClr w14:val="000000">
                      <w14:alpha w14:val="100000"/>
                    </w14:srgbClr>
                  </w14:solidFill>
                </w14:textFill>
              </w:rPr>
              <w:t xml:space="preserve">　</w:t>
            </w:r>
            <w:r w:rsidRPr="00640EC9">
              <w:rPr>
                <w:color w:val="000000"/>
                <w:w w:val="15"/>
                <w:shd w:val="solid" w:color="000000" w:fill="000000"/>
                <w:fitText w:val="60" w:id="-961889536"/>
                <w14:textFill>
                  <w14:solidFill>
                    <w14:srgbClr w14:val="000000">
                      <w14:alpha w14:val="100000"/>
                    </w14:srgbClr>
                  </w14:solidFill>
                </w14:textFill>
              </w:rPr>
              <w:t>|</w:t>
            </w:r>
            <w:r w:rsidRPr="00640EC9">
              <w:rPr>
                <w:rFonts w:hint="eastAsia"/>
                <w:color w:val="000000"/>
                <w:spacing w:val="-5"/>
                <w:w w:val="15"/>
                <w:shd w:val="solid" w:color="000000" w:fill="000000"/>
                <w:fitText w:val="60" w:id="-961889536"/>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12F6EB8F" w14:textId="2783911A"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5"/>
                <w14:textFill>
                  <w14:solidFill>
                    <w14:srgbClr w14:val="000000">
                      <w14:alpha w14:val="100000"/>
                    </w14:srgbClr>
                  </w14:solidFill>
                </w14:textFill>
              </w:rPr>
              <w:t xml:space="preserve">　</w:t>
            </w:r>
            <w:r w:rsidRPr="00640EC9">
              <w:rPr>
                <w:color w:val="000000"/>
                <w:w w:val="15"/>
                <w:shd w:val="solid" w:color="000000" w:fill="000000"/>
                <w:fitText w:val="60" w:id="-961889535"/>
                <w14:textFill>
                  <w14:solidFill>
                    <w14:srgbClr w14:val="000000">
                      <w14:alpha w14:val="100000"/>
                    </w14:srgbClr>
                  </w14:solidFill>
                </w14:textFill>
              </w:rPr>
              <w:t>|</w:t>
            </w:r>
            <w:r w:rsidRPr="00640EC9">
              <w:rPr>
                <w:rFonts w:hint="eastAsia"/>
                <w:color w:val="000000"/>
                <w:spacing w:val="-5"/>
                <w:w w:val="15"/>
                <w:shd w:val="solid" w:color="000000" w:fill="000000"/>
                <w:fitText w:val="60" w:id="-961889535"/>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25B77842" w14:textId="3FBEE896"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4"/>
                <w14:textFill>
                  <w14:solidFill>
                    <w14:srgbClr w14:val="000000">
                      <w14:alpha w14:val="100000"/>
                    </w14:srgbClr>
                  </w14:solidFill>
                </w14:textFill>
              </w:rPr>
              <w:t xml:space="preserve">　</w:t>
            </w:r>
            <w:r w:rsidRPr="00640EC9">
              <w:rPr>
                <w:color w:val="000000"/>
                <w:w w:val="15"/>
                <w:shd w:val="solid" w:color="000000" w:fill="000000"/>
                <w:fitText w:val="60" w:id="-961889534"/>
                <w14:textFill>
                  <w14:solidFill>
                    <w14:srgbClr w14:val="000000">
                      <w14:alpha w14:val="100000"/>
                    </w14:srgbClr>
                  </w14:solidFill>
                </w14:textFill>
              </w:rPr>
              <w:t>|</w:t>
            </w:r>
            <w:r w:rsidRPr="00640EC9">
              <w:rPr>
                <w:rFonts w:hint="eastAsia"/>
                <w:color w:val="000000"/>
                <w:spacing w:val="-5"/>
                <w:w w:val="15"/>
                <w:shd w:val="solid" w:color="000000" w:fill="000000"/>
                <w:fitText w:val="60" w:id="-961889534"/>
                <w14:textFill>
                  <w14:solidFill>
                    <w14:srgbClr w14:val="000000">
                      <w14:alpha w14:val="100000"/>
                    </w14:srgbClr>
                  </w14:solidFill>
                </w14:textFill>
              </w:rPr>
              <w:t xml:space="preserve">　</w:t>
            </w:r>
            <w:r w:rsidR="00BC1294" w:rsidRPr="00BC1294">
              <w:rPr>
                <w:vertAlign w:val="superscript"/>
              </w:rPr>
              <w:t>8</w:t>
            </w:r>
          </w:p>
        </w:tc>
        <w:tc>
          <w:tcPr>
            <w:tcW w:w="920" w:type="dxa"/>
            <w:tcBorders>
              <w:top w:val="single" w:sz="4" w:space="0" w:color="auto"/>
              <w:left w:val="nil"/>
              <w:bottom w:val="single" w:sz="4" w:space="0" w:color="auto"/>
              <w:right w:val="single" w:sz="4" w:space="0" w:color="auto"/>
            </w:tcBorders>
            <w:shd w:val="clear" w:color="auto" w:fill="auto"/>
          </w:tcPr>
          <w:p w14:paraId="0A8D555F" w14:textId="6F403F45" w:rsidR="00A26972"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BC1294" w:rsidRPr="00BC1294">
              <w:rPr>
                <w:vertAlign w:val="superscript"/>
              </w:rPr>
              <w:t>8</w:t>
            </w:r>
          </w:p>
        </w:tc>
      </w:tr>
      <w:tr w:rsidR="002C1990" w:rsidRPr="009941F8" w14:paraId="16DB65FD"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43BD4244" w14:textId="128F6441" w:rsidR="00A26972" w:rsidRPr="009941F8" w:rsidRDefault="001D4FAC" w:rsidP="00233562">
            <w:pPr>
              <w:pStyle w:val="TableText0"/>
              <w:keepNext w:val="0"/>
              <w:widowControl w:val="0"/>
              <w:rPr>
                <w:szCs w:val="20"/>
              </w:rPr>
            </w:pPr>
            <w:r w:rsidRPr="009941F8">
              <w:rPr>
                <w:szCs w:val="20"/>
              </w:rPr>
              <w:t>Less co-pay</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A40537" w14:textId="33ADF2C5"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533"/>
                <w14:textFill>
                  <w14:solidFill>
                    <w14:srgbClr w14:val="000000">
                      <w14:alpha w14:val="100000"/>
                    </w14:srgbClr>
                  </w14:solidFill>
                </w14:textFill>
              </w:rPr>
              <w:t xml:space="preserve">　</w:t>
            </w:r>
            <w:r w:rsidRPr="00640EC9">
              <w:rPr>
                <w:color w:val="000000"/>
                <w:w w:val="21"/>
                <w:shd w:val="solid" w:color="000000" w:fill="000000"/>
                <w:fitText w:val="96" w:id="-961889533"/>
                <w14:textFill>
                  <w14:solidFill>
                    <w14:srgbClr w14:val="000000">
                      <w14:alpha w14:val="100000"/>
                    </w14:srgbClr>
                  </w14:solidFill>
                </w14:textFill>
              </w:rPr>
              <w:t>|</w:t>
            </w:r>
            <w:r w:rsidRPr="00640EC9">
              <w:rPr>
                <w:rFonts w:hint="eastAsia"/>
                <w:color w:val="000000"/>
                <w:spacing w:val="5"/>
                <w:w w:val="21"/>
                <w:shd w:val="solid" w:color="000000" w:fill="000000"/>
                <w:fitText w:val="96" w:id="-961889533"/>
                <w14:textFill>
                  <w14:solidFill>
                    <w14:srgbClr w14:val="000000">
                      <w14:alpha w14:val="100000"/>
                    </w14:srgbClr>
                  </w14:solidFill>
                </w14:textFill>
              </w:rPr>
              <w:t xml:space="preserve">　</w:t>
            </w:r>
            <w:r w:rsidR="00034941">
              <w:rPr>
                <w:vertAlign w:val="superscript"/>
              </w:rPr>
              <w:t>11</w:t>
            </w:r>
          </w:p>
        </w:tc>
        <w:tc>
          <w:tcPr>
            <w:tcW w:w="992" w:type="dxa"/>
            <w:tcBorders>
              <w:top w:val="single" w:sz="4" w:space="0" w:color="auto"/>
              <w:left w:val="nil"/>
              <w:bottom w:val="single" w:sz="4" w:space="0" w:color="auto"/>
              <w:right w:val="single" w:sz="4" w:space="0" w:color="auto"/>
            </w:tcBorders>
            <w:shd w:val="clear" w:color="auto" w:fill="auto"/>
          </w:tcPr>
          <w:p w14:paraId="0568F902" w14:textId="2C07C1DB"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532"/>
                <w14:textFill>
                  <w14:solidFill>
                    <w14:srgbClr w14:val="000000">
                      <w14:alpha w14:val="100000"/>
                    </w14:srgbClr>
                  </w14:solidFill>
                </w14:textFill>
              </w:rPr>
              <w:t xml:space="preserve">　</w:t>
            </w:r>
            <w:r w:rsidRPr="00640EC9">
              <w:rPr>
                <w:color w:val="000000"/>
                <w:w w:val="21"/>
                <w:shd w:val="solid" w:color="000000" w:fill="000000"/>
                <w:fitText w:val="96" w:id="-961889532"/>
                <w14:textFill>
                  <w14:solidFill>
                    <w14:srgbClr w14:val="000000">
                      <w14:alpha w14:val="100000"/>
                    </w14:srgbClr>
                  </w14:solidFill>
                </w14:textFill>
              </w:rPr>
              <w:t>|</w:t>
            </w:r>
            <w:r w:rsidRPr="00640EC9">
              <w:rPr>
                <w:rFonts w:hint="eastAsia"/>
                <w:color w:val="000000"/>
                <w:spacing w:val="5"/>
                <w:w w:val="21"/>
                <w:shd w:val="solid" w:color="000000" w:fill="000000"/>
                <w:fitText w:val="96" w:id="-961889532"/>
                <w14:textFill>
                  <w14:solidFill>
                    <w14:srgbClr w14:val="000000">
                      <w14:alpha w14:val="100000"/>
                    </w14:srgbClr>
                  </w14:solidFill>
                </w14:textFill>
              </w:rPr>
              <w:t xml:space="preserve">　</w:t>
            </w:r>
            <w:r w:rsidR="00034941">
              <w:rPr>
                <w:vertAlign w:val="superscript"/>
              </w:rPr>
              <w:t>11</w:t>
            </w:r>
          </w:p>
        </w:tc>
        <w:tc>
          <w:tcPr>
            <w:tcW w:w="992" w:type="dxa"/>
            <w:tcBorders>
              <w:top w:val="single" w:sz="4" w:space="0" w:color="auto"/>
              <w:left w:val="nil"/>
              <w:bottom w:val="single" w:sz="4" w:space="0" w:color="auto"/>
              <w:right w:val="single" w:sz="4" w:space="0" w:color="auto"/>
            </w:tcBorders>
            <w:shd w:val="clear" w:color="auto" w:fill="auto"/>
          </w:tcPr>
          <w:p w14:paraId="27257607" w14:textId="358B402C"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531"/>
                <w14:textFill>
                  <w14:solidFill>
                    <w14:srgbClr w14:val="000000">
                      <w14:alpha w14:val="100000"/>
                    </w14:srgbClr>
                  </w14:solidFill>
                </w14:textFill>
              </w:rPr>
              <w:t xml:space="preserve">　</w:t>
            </w:r>
            <w:r w:rsidRPr="00640EC9">
              <w:rPr>
                <w:color w:val="000000"/>
                <w:w w:val="21"/>
                <w:shd w:val="solid" w:color="000000" w:fill="000000"/>
                <w:fitText w:val="96" w:id="-961889531"/>
                <w14:textFill>
                  <w14:solidFill>
                    <w14:srgbClr w14:val="000000">
                      <w14:alpha w14:val="100000"/>
                    </w14:srgbClr>
                  </w14:solidFill>
                </w14:textFill>
              </w:rPr>
              <w:t>|</w:t>
            </w:r>
            <w:r w:rsidRPr="00640EC9">
              <w:rPr>
                <w:rFonts w:hint="eastAsia"/>
                <w:color w:val="000000"/>
                <w:spacing w:val="5"/>
                <w:w w:val="21"/>
                <w:shd w:val="solid" w:color="000000" w:fill="000000"/>
                <w:fitText w:val="96" w:id="-961889531"/>
                <w14:textFill>
                  <w14:solidFill>
                    <w14:srgbClr w14:val="000000">
                      <w14:alpha w14:val="100000"/>
                    </w14:srgbClr>
                  </w14:solidFill>
                </w14:textFill>
              </w:rPr>
              <w:t xml:space="preserve">　</w:t>
            </w:r>
            <w:r w:rsidR="00034941">
              <w:rPr>
                <w:vertAlign w:val="superscript"/>
              </w:rPr>
              <w:t>11</w:t>
            </w:r>
          </w:p>
        </w:tc>
        <w:tc>
          <w:tcPr>
            <w:tcW w:w="993" w:type="dxa"/>
            <w:tcBorders>
              <w:top w:val="single" w:sz="4" w:space="0" w:color="auto"/>
              <w:left w:val="nil"/>
              <w:bottom w:val="single" w:sz="4" w:space="0" w:color="auto"/>
              <w:right w:val="single" w:sz="4" w:space="0" w:color="auto"/>
            </w:tcBorders>
            <w:shd w:val="clear" w:color="auto" w:fill="auto"/>
          </w:tcPr>
          <w:p w14:paraId="632DBC23" w14:textId="123EA2EA"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530"/>
                <w14:textFill>
                  <w14:solidFill>
                    <w14:srgbClr w14:val="000000">
                      <w14:alpha w14:val="100000"/>
                    </w14:srgbClr>
                  </w14:solidFill>
                </w14:textFill>
              </w:rPr>
              <w:t xml:space="preserve">　</w:t>
            </w:r>
            <w:r w:rsidRPr="00640EC9">
              <w:rPr>
                <w:color w:val="000000"/>
                <w:w w:val="21"/>
                <w:shd w:val="solid" w:color="000000" w:fill="000000"/>
                <w:fitText w:val="96" w:id="-961889530"/>
                <w14:textFill>
                  <w14:solidFill>
                    <w14:srgbClr w14:val="000000">
                      <w14:alpha w14:val="100000"/>
                    </w14:srgbClr>
                  </w14:solidFill>
                </w14:textFill>
              </w:rPr>
              <w:t>|</w:t>
            </w:r>
            <w:r w:rsidRPr="00640EC9">
              <w:rPr>
                <w:rFonts w:hint="eastAsia"/>
                <w:color w:val="000000"/>
                <w:spacing w:val="5"/>
                <w:w w:val="21"/>
                <w:shd w:val="solid" w:color="000000" w:fill="000000"/>
                <w:fitText w:val="96" w:id="-961889530"/>
                <w14:textFill>
                  <w14:solidFill>
                    <w14:srgbClr w14:val="000000">
                      <w14:alpha w14:val="100000"/>
                    </w14:srgbClr>
                  </w14:solidFill>
                </w14:textFill>
              </w:rPr>
              <w:t xml:space="preserve">　</w:t>
            </w:r>
            <w:r w:rsidR="00034941">
              <w:rPr>
                <w:vertAlign w:val="superscript"/>
              </w:rPr>
              <w:t>11</w:t>
            </w:r>
          </w:p>
        </w:tc>
        <w:tc>
          <w:tcPr>
            <w:tcW w:w="992" w:type="dxa"/>
            <w:tcBorders>
              <w:top w:val="single" w:sz="4" w:space="0" w:color="auto"/>
              <w:left w:val="nil"/>
              <w:bottom w:val="single" w:sz="4" w:space="0" w:color="auto"/>
              <w:right w:val="single" w:sz="4" w:space="0" w:color="auto"/>
            </w:tcBorders>
            <w:shd w:val="clear" w:color="auto" w:fill="auto"/>
          </w:tcPr>
          <w:p w14:paraId="6C97837F" w14:textId="60F3ABE1"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529"/>
                <w14:textFill>
                  <w14:solidFill>
                    <w14:srgbClr w14:val="000000">
                      <w14:alpha w14:val="100000"/>
                    </w14:srgbClr>
                  </w14:solidFill>
                </w14:textFill>
              </w:rPr>
              <w:t xml:space="preserve">　</w:t>
            </w:r>
            <w:r w:rsidRPr="00640EC9">
              <w:rPr>
                <w:color w:val="000000"/>
                <w:w w:val="21"/>
                <w:shd w:val="solid" w:color="000000" w:fill="000000"/>
                <w:fitText w:val="96" w:id="-961889529"/>
                <w14:textFill>
                  <w14:solidFill>
                    <w14:srgbClr w14:val="000000">
                      <w14:alpha w14:val="100000"/>
                    </w14:srgbClr>
                  </w14:solidFill>
                </w14:textFill>
              </w:rPr>
              <w:t>|</w:t>
            </w:r>
            <w:r w:rsidRPr="00640EC9">
              <w:rPr>
                <w:rFonts w:hint="eastAsia"/>
                <w:color w:val="000000"/>
                <w:spacing w:val="5"/>
                <w:w w:val="21"/>
                <w:shd w:val="solid" w:color="000000" w:fill="000000"/>
                <w:fitText w:val="96" w:id="-961889529"/>
                <w14:textFill>
                  <w14:solidFill>
                    <w14:srgbClr w14:val="000000">
                      <w14:alpha w14:val="100000"/>
                    </w14:srgbClr>
                  </w14:solidFill>
                </w14:textFill>
              </w:rPr>
              <w:t xml:space="preserve">　</w:t>
            </w:r>
            <w:r w:rsidR="00034941">
              <w:rPr>
                <w:vertAlign w:val="superscript"/>
              </w:rPr>
              <w:t>11</w:t>
            </w:r>
          </w:p>
        </w:tc>
        <w:tc>
          <w:tcPr>
            <w:tcW w:w="992" w:type="dxa"/>
            <w:tcBorders>
              <w:top w:val="single" w:sz="4" w:space="0" w:color="auto"/>
              <w:left w:val="nil"/>
              <w:bottom w:val="single" w:sz="4" w:space="0" w:color="auto"/>
              <w:right w:val="single" w:sz="4" w:space="0" w:color="auto"/>
            </w:tcBorders>
            <w:shd w:val="clear" w:color="auto" w:fill="auto"/>
          </w:tcPr>
          <w:p w14:paraId="0B9C97DA" w14:textId="5683B618" w:rsidR="00A26972"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9528"/>
                <w14:textFill>
                  <w14:solidFill>
                    <w14:srgbClr w14:val="000000">
                      <w14:alpha w14:val="100000"/>
                    </w14:srgbClr>
                  </w14:solidFill>
                </w14:textFill>
              </w:rPr>
              <w:t xml:space="preserve">　</w:t>
            </w:r>
            <w:r w:rsidRPr="00640EC9">
              <w:rPr>
                <w:color w:val="000000"/>
                <w:w w:val="21"/>
                <w:shd w:val="solid" w:color="000000" w:fill="000000"/>
                <w:fitText w:val="96" w:id="-961889528"/>
                <w14:textFill>
                  <w14:solidFill>
                    <w14:srgbClr w14:val="000000">
                      <w14:alpha w14:val="100000"/>
                    </w14:srgbClr>
                  </w14:solidFill>
                </w14:textFill>
              </w:rPr>
              <w:t>|</w:t>
            </w:r>
            <w:r w:rsidRPr="00640EC9">
              <w:rPr>
                <w:rFonts w:hint="eastAsia"/>
                <w:color w:val="000000"/>
                <w:spacing w:val="5"/>
                <w:w w:val="21"/>
                <w:shd w:val="solid" w:color="000000" w:fill="000000"/>
                <w:fitText w:val="96" w:id="-961889528"/>
                <w14:textFill>
                  <w14:solidFill>
                    <w14:srgbClr w14:val="000000">
                      <w14:alpha w14:val="100000"/>
                    </w14:srgbClr>
                  </w14:solidFill>
                </w14:textFill>
              </w:rPr>
              <w:t xml:space="preserve">　</w:t>
            </w:r>
            <w:r w:rsidR="00034941">
              <w:rPr>
                <w:vertAlign w:val="superscript"/>
              </w:rPr>
              <w:t>11</w:t>
            </w:r>
          </w:p>
        </w:tc>
        <w:tc>
          <w:tcPr>
            <w:tcW w:w="920" w:type="dxa"/>
            <w:tcBorders>
              <w:top w:val="single" w:sz="4" w:space="0" w:color="auto"/>
              <w:left w:val="nil"/>
              <w:bottom w:val="single" w:sz="4" w:space="0" w:color="auto"/>
              <w:right w:val="single" w:sz="4" w:space="0" w:color="auto"/>
            </w:tcBorders>
            <w:shd w:val="clear" w:color="auto" w:fill="auto"/>
          </w:tcPr>
          <w:p w14:paraId="117A2B4A" w14:textId="4E4AF49B"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36" w:id="-961889527"/>
                <w14:textFill>
                  <w14:solidFill>
                    <w14:srgbClr w14:val="000000">
                      <w14:alpha w14:val="100000"/>
                    </w14:srgbClr>
                  </w14:solidFill>
                </w14:textFill>
              </w:rPr>
              <w:t xml:space="preserve">　</w:t>
            </w:r>
            <w:r w:rsidRPr="00640EC9">
              <w:rPr>
                <w:color w:val="000000"/>
                <w:w w:val="15"/>
                <w:shd w:val="solid" w:color="000000" w:fill="000000"/>
                <w:fitText w:val="36" w:id="-961889527"/>
                <w14:textFill>
                  <w14:solidFill>
                    <w14:srgbClr w14:val="000000">
                      <w14:alpha w14:val="100000"/>
                    </w14:srgbClr>
                  </w14:solidFill>
                </w14:textFill>
              </w:rPr>
              <w:t>|</w:t>
            </w:r>
            <w:r w:rsidRPr="00640EC9">
              <w:rPr>
                <w:rFonts w:hint="eastAsia"/>
                <w:color w:val="000000"/>
                <w:spacing w:val="-29"/>
                <w:w w:val="15"/>
                <w:shd w:val="solid" w:color="000000" w:fill="000000"/>
                <w:fitText w:val="36" w:id="-961889527"/>
                <w14:textFill>
                  <w14:solidFill>
                    <w14:srgbClr w14:val="000000">
                      <w14:alpha w14:val="100000"/>
                    </w14:srgbClr>
                  </w14:solidFill>
                </w14:textFill>
              </w:rPr>
              <w:t xml:space="preserve">　</w:t>
            </w:r>
            <w:r w:rsidR="00034941">
              <w:rPr>
                <w:vertAlign w:val="superscript"/>
              </w:rPr>
              <w:t>11</w:t>
            </w:r>
          </w:p>
        </w:tc>
      </w:tr>
      <w:tr w:rsidR="002C1990" w:rsidRPr="009941F8" w14:paraId="31DEA1A2"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703D305E" w14:textId="7398FC51" w:rsidR="00A26972" w:rsidRPr="009941F8" w:rsidRDefault="001D4FAC" w:rsidP="00233562">
            <w:pPr>
              <w:pStyle w:val="TableText0"/>
              <w:keepNext w:val="0"/>
              <w:widowControl w:val="0"/>
              <w:rPr>
                <w:b/>
                <w:szCs w:val="20"/>
              </w:rPr>
            </w:pPr>
            <w:r w:rsidRPr="009941F8">
              <w:rPr>
                <w:b/>
                <w:szCs w:val="20"/>
              </w:rPr>
              <w:t>Net cost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75763D" w14:textId="36E742C0"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6"/>
                <w14:textFill>
                  <w14:solidFill>
                    <w14:srgbClr w14:val="000000">
                      <w14:alpha w14:val="100000"/>
                    </w14:srgbClr>
                  </w14:solidFill>
                </w14:textFill>
              </w:rPr>
              <w:t xml:space="preserve">　</w:t>
            </w:r>
            <w:r w:rsidRPr="00640EC9">
              <w:rPr>
                <w:b/>
                <w:bCs w:val="0"/>
                <w:color w:val="000000"/>
                <w:w w:val="26"/>
                <w:shd w:val="solid" w:color="000000" w:fill="000000"/>
                <w:fitText w:val="120" w:id="-961889526"/>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6"/>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1345F82D" w14:textId="53208306"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5"/>
                <w14:textFill>
                  <w14:solidFill>
                    <w14:srgbClr w14:val="000000">
                      <w14:alpha w14:val="100000"/>
                    </w14:srgbClr>
                  </w14:solidFill>
                </w14:textFill>
              </w:rPr>
              <w:t xml:space="preserve">　</w:t>
            </w:r>
            <w:r w:rsidRPr="00640EC9">
              <w:rPr>
                <w:b/>
                <w:bCs w:val="0"/>
                <w:color w:val="000000"/>
                <w:w w:val="26"/>
                <w:shd w:val="solid" w:color="000000" w:fill="000000"/>
                <w:fitText w:val="120" w:id="-961889525"/>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5"/>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tcPr>
          <w:p w14:paraId="7E4E8D1E" w14:textId="1C1B09F8"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4"/>
                <w14:textFill>
                  <w14:solidFill>
                    <w14:srgbClr w14:val="000000">
                      <w14:alpha w14:val="100000"/>
                    </w14:srgbClr>
                  </w14:solidFill>
                </w14:textFill>
              </w:rPr>
              <w:t xml:space="preserve">　</w:t>
            </w:r>
            <w:r w:rsidRPr="00640EC9">
              <w:rPr>
                <w:b/>
                <w:bCs w:val="0"/>
                <w:color w:val="000000"/>
                <w:w w:val="26"/>
                <w:shd w:val="solid" w:color="000000" w:fill="000000"/>
                <w:fitText w:val="120" w:id="-961889524"/>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4"/>
                <w14:textFill>
                  <w14:solidFill>
                    <w14:srgbClr w14:val="000000">
                      <w14:alpha w14:val="100000"/>
                    </w14:srgbClr>
                  </w14:solidFill>
                </w14:textFill>
              </w:rPr>
              <w:t xml:space="preserve">　</w:t>
            </w:r>
            <w:r w:rsidR="00BC1294" w:rsidRPr="00BC1294">
              <w:rPr>
                <w:vertAlign w:val="superscript"/>
              </w:rPr>
              <w:t>8</w:t>
            </w:r>
          </w:p>
        </w:tc>
        <w:tc>
          <w:tcPr>
            <w:tcW w:w="993" w:type="dxa"/>
            <w:tcBorders>
              <w:top w:val="single" w:sz="4" w:space="0" w:color="auto"/>
              <w:left w:val="nil"/>
              <w:bottom w:val="single" w:sz="4" w:space="0" w:color="auto"/>
              <w:right w:val="single" w:sz="4" w:space="0" w:color="auto"/>
            </w:tcBorders>
            <w:shd w:val="clear" w:color="auto" w:fill="auto"/>
          </w:tcPr>
          <w:p w14:paraId="2688AFA3" w14:textId="4FFDE30A"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3"/>
                <w14:textFill>
                  <w14:solidFill>
                    <w14:srgbClr w14:val="000000">
                      <w14:alpha w14:val="100000"/>
                    </w14:srgbClr>
                  </w14:solidFill>
                </w14:textFill>
              </w:rPr>
              <w:t xml:space="preserve">　</w:t>
            </w:r>
            <w:r w:rsidRPr="00640EC9">
              <w:rPr>
                <w:b/>
                <w:bCs w:val="0"/>
                <w:color w:val="000000"/>
                <w:w w:val="26"/>
                <w:shd w:val="solid" w:color="000000" w:fill="000000"/>
                <w:fitText w:val="120" w:id="-961889523"/>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3"/>
                <w14:textFill>
                  <w14:solidFill>
                    <w14:srgbClr w14:val="000000">
                      <w14:alpha w14:val="100000"/>
                    </w14:srgbClr>
                  </w14:solidFill>
                </w14:textFill>
              </w:rPr>
              <w:t xml:space="preserve">　</w:t>
            </w:r>
            <w:r w:rsidR="00034941"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tcPr>
          <w:p w14:paraId="64C6BDE1" w14:textId="37127AB1"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2"/>
                <w14:textFill>
                  <w14:solidFill>
                    <w14:srgbClr w14:val="000000">
                      <w14:alpha w14:val="100000"/>
                    </w14:srgbClr>
                  </w14:solidFill>
                </w14:textFill>
              </w:rPr>
              <w:t xml:space="preserve">　</w:t>
            </w:r>
            <w:r w:rsidRPr="00640EC9">
              <w:rPr>
                <w:b/>
                <w:bCs w:val="0"/>
                <w:color w:val="000000"/>
                <w:w w:val="26"/>
                <w:shd w:val="solid" w:color="000000" w:fill="000000"/>
                <w:fitText w:val="120" w:id="-961889522"/>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2"/>
                <w14:textFill>
                  <w14:solidFill>
                    <w14:srgbClr w14:val="000000">
                      <w14:alpha w14:val="100000"/>
                    </w14:srgbClr>
                  </w14:solidFill>
                </w14:textFill>
              </w:rPr>
              <w:t xml:space="preserve">　</w:t>
            </w:r>
            <w:r w:rsidR="00034941"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tcPr>
          <w:p w14:paraId="376F4D63" w14:textId="1F354833"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1"/>
                <w14:textFill>
                  <w14:solidFill>
                    <w14:srgbClr w14:val="000000">
                      <w14:alpha w14:val="100000"/>
                    </w14:srgbClr>
                  </w14:solidFill>
                </w14:textFill>
              </w:rPr>
              <w:t xml:space="preserve">　</w:t>
            </w:r>
            <w:r w:rsidRPr="00640EC9">
              <w:rPr>
                <w:b/>
                <w:bCs w:val="0"/>
                <w:color w:val="000000"/>
                <w:w w:val="26"/>
                <w:shd w:val="solid" w:color="000000" w:fill="000000"/>
                <w:fitText w:val="120" w:id="-961889521"/>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1"/>
                <w14:textFill>
                  <w14:solidFill>
                    <w14:srgbClr w14:val="000000">
                      <w14:alpha w14:val="100000"/>
                    </w14:srgbClr>
                  </w14:solidFill>
                </w14:textFill>
              </w:rPr>
              <w:t xml:space="preserve">　</w:t>
            </w:r>
            <w:r w:rsidR="00034941" w:rsidRPr="00BC1294">
              <w:rPr>
                <w:vertAlign w:val="superscript"/>
              </w:rPr>
              <w:t>9</w:t>
            </w:r>
          </w:p>
        </w:tc>
        <w:tc>
          <w:tcPr>
            <w:tcW w:w="920" w:type="dxa"/>
            <w:tcBorders>
              <w:top w:val="single" w:sz="4" w:space="0" w:color="auto"/>
              <w:left w:val="nil"/>
              <w:bottom w:val="single" w:sz="4" w:space="0" w:color="auto"/>
              <w:right w:val="single" w:sz="4" w:space="0" w:color="auto"/>
            </w:tcBorders>
            <w:shd w:val="clear" w:color="auto" w:fill="auto"/>
          </w:tcPr>
          <w:p w14:paraId="43F890FA" w14:textId="65233BE1"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16"/>
                <w:shd w:val="solid" w:color="000000" w:fill="000000"/>
                <w:fitText w:val="72" w:id="-961889520"/>
                <w14:textFill>
                  <w14:solidFill>
                    <w14:srgbClr w14:val="000000">
                      <w14:alpha w14:val="100000"/>
                    </w14:srgbClr>
                  </w14:solidFill>
                </w14:textFill>
              </w:rPr>
              <w:t xml:space="preserve">　</w:t>
            </w:r>
            <w:r w:rsidRPr="00640EC9">
              <w:rPr>
                <w:b/>
                <w:bCs w:val="0"/>
                <w:color w:val="000000"/>
                <w:w w:val="16"/>
                <w:shd w:val="solid" w:color="000000" w:fill="000000"/>
                <w:fitText w:val="72" w:id="-961889520"/>
                <w14:textFill>
                  <w14:solidFill>
                    <w14:srgbClr w14:val="000000">
                      <w14:alpha w14:val="100000"/>
                    </w14:srgbClr>
                  </w14:solidFill>
                </w14:textFill>
              </w:rPr>
              <w:t>|</w:t>
            </w:r>
            <w:r w:rsidRPr="00640EC9">
              <w:rPr>
                <w:rFonts w:hint="eastAsia"/>
                <w:b/>
                <w:bCs w:val="0"/>
                <w:color w:val="000000"/>
                <w:spacing w:val="2"/>
                <w:w w:val="16"/>
                <w:shd w:val="solid" w:color="000000" w:fill="000000"/>
                <w:fitText w:val="72" w:id="-961889520"/>
                <w14:textFill>
                  <w14:solidFill>
                    <w14:srgbClr w14:val="000000">
                      <w14:alpha w14:val="100000"/>
                    </w14:srgbClr>
                  </w14:solidFill>
                </w14:textFill>
              </w:rPr>
              <w:t xml:space="preserve">　</w:t>
            </w:r>
            <w:r w:rsidR="00034941" w:rsidRPr="00034941">
              <w:rPr>
                <w:b/>
                <w:bCs w:val="0"/>
                <w:vertAlign w:val="superscript"/>
              </w:rPr>
              <w:t>10</w:t>
            </w:r>
          </w:p>
        </w:tc>
      </w:tr>
      <w:tr w:rsidR="00A26972" w:rsidRPr="009941F8" w14:paraId="1EE7D725" w14:textId="77777777" w:rsidTr="001D4FAC">
        <w:tc>
          <w:tcPr>
            <w:tcW w:w="89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4EBA363" w14:textId="77777777" w:rsidR="00A26972" w:rsidRPr="009941F8" w:rsidRDefault="00A26972" w:rsidP="00233562">
            <w:pPr>
              <w:pStyle w:val="TableText0"/>
              <w:keepNext w:val="0"/>
              <w:widowControl w:val="0"/>
              <w:rPr>
                <w:b/>
                <w:szCs w:val="20"/>
              </w:rPr>
            </w:pPr>
            <w:r w:rsidRPr="009941F8">
              <w:rPr>
                <w:b/>
                <w:szCs w:val="20"/>
              </w:rPr>
              <w:t>Net cost MBS item</w:t>
            </w:r>
          </w:p>
        </w:tc>
      </w:tr>
      <w:tr w:rsidR="002C1990" w:rsidRPr="009941F8" w14:paraId="5CF4F46E"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3A5BB19A" w14:textId="77777777" w:rsidR="00A26972" w:rsidRPr="009941F8" w:rsidRDefault="00A26972" w:rsidP="00233562">
            <w:pPr>
              <w:pStyle w:val="TableText0"/>
              <w:keepNext w:val="0"/>
              <w:widowControl w:val="0"/>
              <w:rPr>
                <w:szCs w:val="20"/>
              </w:rPr>
            </w:pPr>
            <w:r w:rsidRPr="009941F8">
              <w:rPr>
                <w:szCs w:val="20"/>
              </w:rPr>
              <w:t>105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B93756" w14:textId="0411EA79"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6"/>
                <w14:textFill>
                  <w14:solidFill>
                    <w14:srgbClr w14:val="000000">
                      <w14:alpha w14:val="100000"/>
                    </w14:srgbClr>
                  </w14:solidFill>
                </w14:textFill>
              </w:rPr>
              <w:t xml:space="preserve">　</w:t>
            </w:r>
            <w:r w:rsidRPr="00640EC9">
              <w:rPr>
                <w:color w:val="000000"/>
                <w:w w:val="15"/>
                <w:shd w:val="solid" w:color="000000" w:fill="000000"/>
                <w:fitText w:val="60" w:id="-961889536"/>
                <w14:textFill>
                  <w14:solidFill>
                    <w14:srgbClr w14:val="000000">
                      <w14:alpha w14:val="100000"/>
                    </w14:srgbClr>
                  </w14:solidFill>
                </w14:textFill>
              </w:rPr>
              <w:t>|</w:t>
            </w:r>
            <w:r w:rsidRPr="00640EC9">
              <w:rPr>
                <w:rFonts w:hint="eastAsia"/>
                <w:color w:val="000000"/>
                <w:spacing w:val="-5"/>
                <w:w w:val="15"/>
                <w:shd w:val="solid" w:color="000000" w:fill="000000"/>
                <w:fitText w:val="60" w:id="-961889536"/>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5E8CC8A4" w14:textId="6981A1F2"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5"/>
                <w14:textFill>
                  <w14:solidFill>
                    <w14:srgbClr w14:val="000000">
                      <w14:alpha w14:val="100000"/>
                    </w14:srgbClr>
                  </w14:solidFill>
                </w14:textFill>
              </w:rPr>
              <w:t xml:space="preserve">　</w:t>
            </w:r>
            <w:r w:rsidRPr="00640EC9">
              <w:rPr>
                <w:color w:val="000000"/>
                <w:w w:val="15"/>
                <w:shd w:val="solid" w:color="000000" w:fill="000000"/>
                <w:fitText w:val="60" w:id="-961889535"/>
                <w14:textFill>
                  <w14:solidFill>
                    <w14:srgbClr w14:val="000000">
                      <w14:alpha w14:val="100000"/>
                    </w14:srgbClr>
                  </w14:solidFill>
                </w14:textFill>
              </w:rPr>
              <w:t>|</w:t>
            </w:r>
            <w:r w:rsidRPr="00640EC9">
              <w:rPr>
                <w:rFonts w:hint="eastAsia"/>
                <w:color w:val="000000"/>
                <w:spacing w:val="-5"/>
                <w:w w:val="15"/>
                <w:shd w:val="solid" w:color="000000" w:fill="000000"/>
                <w:fitText w:val="60" w:id="-961889535"/>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59FA12B8" w14:textId="764A7CDD"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4"/>
                <w14:textFill>
                  <w14:solidFill>
                    <w14:srgbClr w14:val="000000">
                      <w14:alpha w14:val="100000"/>
                    </w14:srgbClr>
                  </w14:solidFill>
                </w14:textFill>
              </w:rPr>
              <w:t xml:space="preserve">　</w:t>
            </w:r>
            <w:r w:rsidRPr="00640EC9">
              <w:rPr>
                <w:color w:val="000000"/>
                <w:w w:val="15"/>
                <w:shd w:val="solid" w:color="000000" w:fill="000000"/>
                <w:fitText w:val="60" w:id="-961889534"/>
                <w14:textFill>
                  <w14:solidFill>
                    <w14:srgbClr w14:val="000000">
                      <w14:alpha w14:val="100000"/>
                    </w14:srgbClr>
                  </w14:solidFill>
                </w14:textFill>
              </w:rPr>
              <w:t>|</w:t>
            </w:r>
            <w:r w:rsidRPr="00640EC9">
              <w:rPr>
                <w:rFonts w:hint="eastAsia"/>
                <w:color w:val="000000"/>
                <w:spacing w:val="-5"/>
                <w:w w:val="15"/>
                <w:shd w:val="solid" w:color="000000" w:fill="000000"/>
                <w:fitText w:val="60" w:id="-961889534"/>
                <w14:textFill>
                  <w14:solidFill>
                    <w14:srgbClr w14:val="000000">
                      <w14:alpha w14:val="100000"/>
                    </w14:srgbClr>
                  </w14:solidFill>
                </w14:textFill>
              </w:rPr>
              <w:t xml:space="preserve">　</w:t>
            </w:r>
            <w:r w:rsidR="00BC1294" w:rsidRPr="00BC1294">
              <w:rPr>
                <w:vertAlign w:val="superscript"/>
              </w:rPr>
              <w:t>8</w:t>
            </w:r>
          </w:p>
        </w:tc>
        <w:tc>
          <w:tcPr>
            <w:tcW w:w="993" w:type="dxa"/>
            <w:tcBorders>
              <w:top w:val="single" w:sz="4" w:space="0" w:color="auto"/>
              <w:left w:val="nil"/>
              <w:bottom w:val="single" w:sz="4" w:space="0" w:color="auto"/>
              <w:right w:val="single" w:sz="4" w:space="0" w:color="auto"/>
            </w:tcBorders>
            <w:shd w:val="clear" w:color="auto" w:fill="auto"/>
            <w:vAlign w:val="center"/>
          </w:tcPr>
          <w:p w14:paraId="69AD0032" w14:textId="5ABFD841"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3"/>
                <w14:textFill>
                  <w14:solidFill>
                    <w14:srgbClr w14:val="000000">
                      <w14:alpha w14:val="100000"/>
                    </w14:srgbClr>
                  </w14:solidFill>
                </w14:textFill>
              </w:rPr>
              <w:t xml:space="preserve">　</w:t>
            </w:r>
            <w:r w:rsidRPr="00640EC9">
              <w:rPr>
                <w:color w:val="000000"/>
                <w:w w:val="15"/>
                <w:shd w:val="solid" w:color="000000" w:fill="000000"/>
                <w:fitText w:val="60" w:id="-961889533"/>
                <w14:textFill>
                  <w14:solidFill>
                    <w14:srgbClr w14:val="000000">
                      <w14:alpha w14:val="100000"/>
                    </w14:srgbClr>
                  </w14:solidFill>
                </w14:textFill>
              </w:rPr>
              <w:t>|</w:t>
            </w:r>
            <w:r w:rsidRPr="00640EC9">
              <w:rPr>
                <w:rFonts w:hint="eastAsia"/>
                <w:color w:val="000000"/>
                <w:spacing w:val="-5"/>
                <w:w w:val="15"/>
                <w:shd w:val="solid" w:color="000000" w:fill="000000"/>
                <w:fitText w:val="60" w:id="-961889533"/>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2CED78D3" w14:textId="09C7B1A0"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2"/>
                <w14:textFill>
                  <w14:solidFill>
                    <w14:srgbClr w14:val="000000">
                      <w14:alpha w14:val="100000"/>
                    </w14:srgbClr>
                  </w14:solidFill>
                </w14:textFill>
              </w:rPr>
              <w:t xml:space="preserve">　</w:t>
            </w:r>
            <w:r w:rsidRPr="00640EC9">
              <w:rPr>
                <w:color w:val="000000"/>
                <w:w w:val="15"/>
                <w:shd w:val="solid" w:color="000000" w:fill="000000"/>
                <w:fitText w:val="60" w:id="-961889532"/>
                <w14:textFill>
                  <w14:solidFill>
                    <w14:srgbClr w14:val="000000">
                      <w14:alpha w14:val="100000"/>
                    </w14:srgbClr>
                  </w14:solidFill>
                </w14:textFill>
              </w:rPr>
              <w:t>|</w:t>
            </w:r>
            <w:r w:rsidRPr="00640EC9">
              <w:rPr>
                <w:rFonts w:hint="eastAsia"/>
                <w:color w:val="000000"/>
                <w:spacing w:val="-5"/>
                <w:w w:val="15"/>
                <w:shd w:val="solid" w:color="000000" w:fill="000000"/>
                <w:fitText w:val="60" w:id="-961889532"/>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2D40F764" w14:textId="2BCED5C8" w:rsidR="00A26972"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60" w:id="-961889531"/>
                <w14:textFill>
                  <w14:solidFill>
                    <w14:srgbClr w14:val="000000">
                      <w14:alpha w14:val="100000"/>
                    </w14:srgbClr>
                  </w14:solidFill>
                </w14:textFill>
              </w:rPr>
              <w:t xml:space="preserve">　</w:t>
            </w:r>
            <w:r w:rsidRPr="00640EC9">
              <w:rPr>
                <w:color w:val="000000"/>
                <w:w w:val="15"/>
                <w:shd w:val="solid" w:color="000000" w:fill="000000"/>
                <w:fitText w:val="60" w:id="-961889531"/>
                <w14:textFill>
                  <w14:solidFill>
                    <w14:srgbClr w14:val="000000">
                      <w14:alpha w14:val="100000"/>
                    </w14:srgbClr>
                  </w14:solidFill>
                </w14:textFill>
              </w:rPr>
              <w:t>|</w:t>
            </w:r>
            <w:r w:rsidRPr="00640EC9">
              <w:rPr>
                <w:rFonts w:hint="eastAsia"/>
                <w:color w:val="000000"/>
                <w:spacing w:val="-5"/>
                <w:w w:val="15"/>
                <w:shd w:val="solid" w:color="000000" w:fill="000000"/>
                <w:fitText w:val="60" w:id="-961889531"/>
                <w14:textFill>
                  <w14:solidFill>
                    <w14:srgbClr w14:val="000000">
                      <w14:alpha w14:val="100000"/>
                    </w14:srgbClr>
                  </w14:solidFill>
                </w14:textFill>
              </w:rPr>
              <w:t xml:space="preserve">　</w:t>
            </w:r>
            <w:r w:rsidR="00BC1294" w:rsidRPr="00BC1294">
              <w:rPr>
                <w:vertAlign w:val="superscript"/>
              </w:rPr>
              <w:t>8</w:t>
            </w:r>
          </w:p>
        </w:tc>
        <w:tc>
          <w:tcPr>
            <w:tcW w:w="920" w:type="dxa"/>
            <w:tcBorders>
              <w:top w:val="single" w:sz="4" w:space="0" w:color="auto"/>
              <w:left w:val="nil"/>
              <w:bottom w:val="single" w:sz="4" w:space="0" w:color="auto"/>
              <w:right w:val="single" w:sz="4" w:space="0" w:color="auto"/>
            </w:tcBorders>
            <w:shd w:val="clear" w:color="auto" w:fill="auto"/>
            <w:vAlign w:val="center"/>
          </w:tcPr>
          <w:p w14:paraId="305F8EC5" w14:textId="5C87F7E8" w:rsidR="00A26972" w:rsidRPr="00AB3F41" w:rsidRDefault="00640EC9" w:rsidP="00233562">
            <w:pPr>
              <w:pStyle w:val="TableText0"/>
              <w:keepNext w:val="0"/>
              <w:widowControl w:val="0"/>
              <w:jc w:val="center"/>
              <w:rPr>
                <w:i/>
                <w:szCs w:val="20"/>
                <w:highlight w:val="lightGray"/>
              </w:rPr>
            </w:pPr>
            <w:r w:rsidRPr="00640EC9">
              <w:rPr>
                <w:color w:val="000000"/>
                <w:shd w:val="solid" w:color="000000" w:fill="000000"/>
                <w14:textFill>
                  <w14:solidFill>
                    <w14:srgbClr w14:val="000000">
                      <w14:alpha w14:val="100000"/>
                    </w14:srgbClr>
                  </w14:solidFill>
                </w14:textFill>
              </w:rPr>
              <w:t>|</w:t>
            </w:r>
            <w:r w:rsidR="00BC1294" w:rsidRPr="00BC1294">
              <w:rPr>
                <w:vertAlign w:val="superscript"/>
              </w:rPr>
              <w:t>8</w:t>
            </w:r>
          </w:p>
        </w:tc>
      </w:tr>
      <w:tr w:rsidR="002C1990" w:rsidRPr="009941F8" w14:paraId="0C24B198" w14:textId="77777777" w:rsidTr="00233562">
        <w:tc>
          <w:tcPr>
            <w:tcW w:w="2122" w:type="dxa"/>
            <w:tcBorders>
              <w:left w:val="single" w:sz="4" w:space="0" w:color="auto"/>
              <w:bottom w:val="single" w:sz="4" w:space="0" w:color="auto"/>
              <w:right w:val="single" w:sz="4" w:space="0" w:color="auto"/>
            </w:tcBorders>
            <w:shd w:val="clear" w:color="auto" w:fill="auto"/>
            <w:vAlign w:val="center"/>
          </w:tcPr>
          <w:p w14:paraId="0852DCDF" w14:textId="30D1B766" w:rsidR="00A26972" w:rsidRPr="009941F8" w:rsidRDefault="001D4FAC" w:rsidP="00233562">
            <w:pPr>
              <w:pStyle w:val="TableText0"/>
              <w:keepNext w:val="0"/>
              <w:widowControl w:val="0"/>
              <w:rPr>
                <w:b/>
                <w:szCs w:val="20"/>
              </w:rPr>
            </w:pPr>
            <w:r w:rsidRPr="009941F8">
              <w:rPr>
                <w:b/>
                <w:szCs w:val="20"/>
              </w:rPr>
              <w:t>Total net cost to Govt.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F01F04" w14:textId="08772E94" w:rsidR="00A26972" w:rsidRPr="00AB3F41" w:rsidRDefault="00640EC9" w:rsidP="00233562">
            <w:pPr>
              <w:pStyle w:val="TableText0"/>
              <w:keepNext w:val="0"/>
              <w:widowControl w:val="0"/>
              <w:jc w:val="center"/>
              <w:rPr>
                <w:b/>
                <w:i/>
                <w:iCs/>
                <w:szCs w:val="20"/>
                <w:highlight w:val="lightGray"/>
              </w:rPr>
            </w:pPr>
            <w:r w:rsidRPr="00640EC9">
              <w:rPr>
                <w:rFonts w:hint="eastAsia"/>
                <w:b/>
                <w:bCs w:val="0"/>
                <w:color w:val="000000"/>
                <w:w w:val="26"/>
                <w:shd w:val="solid" w:color="000000" w:fill="000000"/>
                <w:fitText w:val="120" w:id="-961889530"/>
                <w14:textFill>
                  <w14:solidFill>
                    <w14:srgbClr w14:val="000000">
                      <w14:alpha w14:val="100000"/>
                    </w14:srgbClr>
                  </w14:solidFill>
                </w14:textFill>
              </w:rPr>
              <w:t xml:space="preserve">　</w:t>
            </w:r>
            <w:r w:rsidRPr="00640EC9">
              <w:rPr>
                <w:b/>
                <w:bCs w:val="0"/>
                <w:color w:val="000000"/>
                <w:w w:val="26"/>
                <w:shd w:val="solid" w:color="000000" w:fill="000000"/>
                <w:fitText w:val="120" w:id="-961889530"/>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30"/>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2FE2CBA6" w14:textId="3A612FA8"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9"/>
                <w14:textFill>
                  <w14:solidFill>
                    <w14:srgbClr w14:val="000000">
                      <w14:alpha w14:val="100000"/>
                    </w14:srgbClr>
                  </w14:solidFill>
                </w14:textFill>
              </w:rPr>
              <w:t xml:space="preserve">　</w:t>
            </w:r>
            <w:r w:rsidRPr="00640EC9">
              <w:rPr>
                <w:b/>
                <w:bCs w:val="0"/>
                <w:color w:val="000000"/>
                <w:w w:val="26"/>
                <w:shd w:val="solid" w:color="000000" w:fill="000000"/>
                <w:fitText w:val="120" w:id="-961889529"/>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9"/>
                <w14:textFill>
                  <w14:solidFill>
                    <w14:srgbClr w14:val="000000">
                      <w14:alpha w14:val="100000"/>
                    </w14:srgb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2AAB6810" w14:textId="007E9965"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8"/>
                <w14:textFill>
                  <w14:solidFill>
                    <w14:srgbClr w14:val="000000">
                      <w14:alpha w14:val="100000"/>
                    </w14:srgbClr>
                  </w14:solidFill>
                </w14:textFill>
              </w:rPr>
              <w:t xml:space="preserve">　</w:t>
            </w:r>
            <w:r w:rsidRPr="00640EC9">
              <w:rPr>
                <w:b/>
                <w:bCs w:val="0"/>
                <w:color w:val="000000"/>
                <w:w w:val="26"/>
                <w:shd w:val="solid" w:color="000000" w:fill="000000"/>
                <w:fitText w:val="120" w:id="-961889528"/>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8"/>
                <w14:textFill>
                  <w14:solidFill>
                    <w14:srgbClr w14:val="000000">
                      <w14:alpha w14:val="100000"/>
                    </w14:srgbClr>
                  </w14:solidFill>
                </w14:textFill>
              </w:rPr>
              <w:t xml:space="preserve">　</w:t>
            </w:r>
            <w:r w:rsidR="00034941" w:rsidRPr="00BC1294">
              <w:rPr>
                <w:vertAlign w:val="superscript"/>
              </w:rPr>
              <w:t>9</w:t>
            </w:r>
          </w:p>
        </w:tc>
        <w:tc>
          <w:tcPr>
            <w:tcW w:w="993" w:type="dxa"/>
            <w:tcBorders>
              <w:top w:val="single" w:sz="4" w:space="0" w:color="auto"/>
              <w:left w:val="nil"/>
              <w:bottom w:val="single" w:sz="4" w:space="0" w:color="auto"/>
              <w:right w:val="single" w:sz="4" w:space="0" w:color="auto"/>
            </w:tcBorders>
            <w:shd w:val="clear" w:color="auto" w:fill="auto"/>
            <w:vAlign w:val="center"/>
          </w:tcPr>
          <w:p w14:paraId="0CC3EF9A" w14:textId="61A99B96"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7"/>
                <w14:textFill>
                  <w14:solidFill>
                    <w14:srgbClr w14:val="000000">
                      <w14:alpha w14:val="100000"/>
                    </w14:srgbClr>
                  </w14:solidFill>
                </w14:textFill>
              </w:rPr>
              <w:t xml:space="preserve">　</w:t>
            </w:r>
            <w:r w:rsidRPr="00640EC9">
              <w:rPr>
                <w:b/>
                <w:bCs w:val="0"/>
                <w:color w:val="000000"/>
                <w:w w:val="26"/>
                <w:shd w:val="solid" w:color="000000" w:fill="000000"/>
                <w:fitText w:val="120" w:id="-961889527"/>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7"/>
                <w14:textFill>
                  <w14:solidFill>
                    <w14:srgbClr w14:val="000000">
                      <w14:alpha w14:val="100000"/>
                    </w14:srgbClr>
                  </w14:solidFill>
                </w14:textFill>
              </w:rPr>
              <w:t xml:space="preserve">　</w:t>
            </w:r>
            <w:r w:rsidR="00034941"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vAlign w:val="center"/>
          </w:tcPr>
          <w:p w14:paraId="53CBACDA" w14:textId="4CCA6701"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6"/>
                <w14:textFill>
                  <w14:solidFill>
                    <w14:srgbClr w14:val="000000">
                      <w14:alpha w14:val="100000"/>
                    </w14:srgbClr>
                  </w14:solidFill>
                </w14:textFill>
              </w:rPr>
              <w:t xml:space="preserve">　</w:t>
            </w:r>
            <w:r w:rsidRPr="00640EC9">
              <w:rPr>
                <w:b/>
                <w:bCs w:val="0"/>
                <w:color w:val="000000"/>
                <w:w w:val="26"/>
                <w:shd w:val="solid" w:color="000000" w:fill="000000"/>
                <w:fitText w:val="120" w:id="-961889526"/>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6"/>
                <w14:textFill>
                  <w14:solidFill>
                    <w14:srgbClr w14:val="000000">
                      <w14:alpha w14:val="100000"/>
                    </w14:srgbClr>
                  </w14:solidFill>
                </w14:textFill>
              </w:rPr>
              <w:t xml:space="preserve">　</w:t>
            </w:r>
            <w:r w:rsidR="00034941"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vAlign w:val="center"/>
          </w:tcPr>
          <w:p w14:paraId="47B31318" w14:textId="10C5B4A9" w:rsidR="00A26972"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9525"/>
                <w14:textFill>
                  <w14:solidFill>
                    <w14:srgbClr w14:val="000000">
                      <w14:alpha w14:val="100000"/>
                    </w14:srgbClr>
                  </w14:solidFill>
                </w14:textFill>
              </w:rPr>
              <w:t xml:space="preserve">　</w:t>
            </w:r>
            <w:r w:rsidRPr="00640EC9">
              <w:rPr>
                <w:b/>
                <w:bCs w:val="0"/>
                <w:color w:val="000000"/>
                <w:w w:val="26"/>
                <w:shd w:val="solid" w:color="000000" w:fill="000000"/>
                <w:fitText w:val="120" w:id="-961889525"/>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9525"/>
                <w14:textFill>
                  <w14:solidFill>
                    <w14:srgbClr w14:val="000000">
                      <w14:alpha w14:val="100000"/>
                    </w14:srgbClr>
                  </w14:solidFill>
                </w14:textFill>
              </w:rPr>
              <w:t xml:space="preserve">　</w:t>
            </w:r>
            <w:r w:rsidR="00034941" w:rsidRPr="00BC1294">
              <w:rPr>
                <w:vertAlign w:val="superscript"/>
              </w:rPr>
              <w:t>9</w:t>
            </w:r>
          </w:p>
        </w:tc>
        <w:tc>
          <w:tcPr>
            <w:tcW w:w="920" w:type="dxa"/>
            <w:tcBorders>
              <w:top w:val="single" w:sz="4" w:space="0" w:color="auto"/>
              <w:left w:val="nil"/>
              <w:bottom w:val="single" w:sz="4" w:space="0" w:color="auto"/>
              <w:right w:val="single" w:sz="4" w:space="0" w:color="auto"/>
            </w:tcBorders>
            <w:shd w:val="clear" w:color="auto" w:fill="auto"/>
            <w:vAlign w:val="center"/>
          </w:tcPr>
          <w:p w14:paraId="3BF048C6" w14:textId="1ED9DE67" w:rsidR="00A26972" w:rsidRPr="00AB3F41" w:rsidRDefault="00640EC9" w:rsidP="00233562">
            <w:pPr>
              <w:pStyle w:val="TableText0"/>
              <w:keepNext w:val="0"/>
              <w:widowControl w:val="0"/>
              <w:jc w:val="center"/>
              <w:rPr>
                <w:b/>
                <w:i/>
                <w:iCs/>
                <w:szCs w:val="20"/>
                <w:highlight w:val="lightGray"/>
              </w:rPr>
            </w:pPr>
            <w:r w:rsidRPr="00640EC9">
              <w:rPr>
                <w:rFonts w:hint="eastAsia"/>
                <w:b/>
                <w:bCs w:val="0"/>
                <w:i/>
                <w:iCs/>
                <w:color w:val="000000"/>
                <w:w w:val="16"/>
                <w:shd w:val="solid" w:color="000000" w:fill="000000"/>
                <w:fitText w:val="72" w:id="-961889524"/>
                <w14:textFill>
                  <w14:solidFill>
                    <w14:srgbClr w14:val="000000">
                      <w14:alpha w14:val="100000"/>
                    </w14:srgbClr>
                  </w14:solidFill>
                </w14:textFill>
              </w:rPr>
              <w:t xml:space="preserve">　</w:t>
            </w:r>
            <w:r w:rsidRPr="00640EC9">
              <w:rPr>
                <w:b/>
                <w:bCs w:val="0"/>
                <w:i/>
                <w:iCs/>
                <w:color w:val="000000"/>
                <w:w w:val="16"/>
                <w:shd w:val="solid" w:color="000000" w:fill="000000"/>
                <w:fitText w:val="72" w:id="-961889524"/>
                <w14:textFill>
                  <w14:solidFill>
                    <w14:srgbClr w14:val="000000">
                      <w14:alpha w14:val="100000"/>
                    </w14:srgbClr>
                  </w14:solidFill>
                </w14:textFill>
              </w:rPr>
              <w:t>|</w:t>
            </w:r>
            <w:r w:rsidRPr="00640EC9">
              <w:rPr>
                <w:rFonts w:hint="eastAsia"/>
                <w:b/>
                <w:bCs w:val="0"/>
                <w:i/>
                <w:iCs/>
                <w:color w:val="000000"/>
                <w:spacing w:val="2"/>
                <w:w w:val="16"/>
                <w:shd w:val="solid" w:color="000000" w:fill="000000"/>
                <w:fitText w:val="72" w:id="-961889524"/>
                <w14:textFill>
                  <w14:solidFill>
                    <w14:srgbClr w14:val="000000">
                      <w14:alpha w14:val="100000"/>
                    </w14:srgbClr>
                  </w14:solidFill>
                </w14:textFill>
              </w:rPr>
              <w:t xml:space="preserve">　</w:t>
            </w:r>
            <w:r w:rsidR="00034941" w:rsidRPr="00034941">
              <w:rPr>
                <w:b/>
                <w:bCs w:val="0"/>
                <w:vertAlign w:val="superscript"/>
              </w:rPr>
              <w:t>10</w:t>
            </w:r>
          </w:p>
        </w:tc>
      </w:tr>
      <w:tr w:rsidR="003F4569" w:rsidRPr="009941F8" w14:paraId="35B9C474" w14:textId="77777777" w:rsidTr="00460084">
        <w:tblPrEx>
          <w:tblCellMar>
            <w:left w:w="108" w:type="dxa"/>
            <w:right w:w="108" w:type="dxa"/>
          </w:tblCellMar>
        </w:tblPrEx>
        <w:tc>
          <w:tcPr>
            <w:tcW w:w="8995" w:type="dxa"/>
            <w:gridSpan w:val="8"/>
            <w:shd w:val="clear" w:color="auto" w:fill="auto"/>
            <w:tcMar>
              <w:left w:w="20" w:type="dxa"/>
              <w:right w:w="20" w:type="dxa"/>
            </w:tcMar>
          </w:tcPr>
          <w:p w14:paraId="1A2FC588" w14:textId="0122544B" w:rsidR="003F4569" w:rsidRPr="009941F8" w:rsidRDefault="003F4569" w:rsidP="00233562">
            <w:pPr>
              <w:pStyle w:val="TableFigureHeading"/>
              <w:keepNext w:val="0"/>
              <w:widowControl w:val="0"/>
              <w:rPr>
                <w:szCs w:val="20"/>
              </w:rPr>
            </w:pPr>
            <w:r w:rsidRPr="009941F8">
              <w:rPr>
                <w:szCs w:val="20"/>
              </w:rPr>
              <w:t xml:space="preserve">March 2024 pre-PBAC response - </w:t>
            </w:r>
            <w:r w:rsidRPr="009941F8">
              <w:rPr>
                <w:color w:val="000000" w:themeColor="text1"/>
              </w:rPr>
              <w:t>Revised base case (</w:t>
            </w:r>
            <w:r w:rsidR="00EB7903" w:rsidRPr="009941F8">
              <w:rPr>
                <w:color w:val="000000" w:themeColor="text1"/>
              </w:rPr>
              <w:t>effective</w:t>
            </w:r>
            <w:r w:rsidR="004F2B97">
              <w:rPr>
                <w:color w:val="000000" w:themeColor="text1"/>
              </w:rPr>
              <w:t xml:space="preserve"> </w:t>
            </w:r>
            <w:r w:rsidRPr="009941F8">
              <w:rPr>
                <w:color w:val="000000" w:themeColor="text1"/>
              </w:rPr>
              <w:t>EMP = $</w:t>
            </w:r>
            <w:r w:rsidR="00640EC9" w:rsidRPr="00640EC9">
              <w:rPr>
                <w:color w:val="000000" w:themeColor="text1"/>
                <w:spacing w:val="58"/>
                <w:shd w:val="solid" w:color="000000" w:fill="000000"/>
                <w:fitText w:val="360" w:id="-961889523"/>
                <w14:textFill>
                  <w14:solidFill>
                    <w14:schemeClr w14:val="tx1">
                      <w14:alpha w14:val="100000"/>
                    </w14:schemeClr>
                  </w14:solidFill>
                </w14:textFill>
              </w:rPr>
              <w:t>|||</w:t>
            </w:r>
            <w:r w:rsidR="00640EC9" w:rsidRPr="00640EC9">
              <w:rPr>
                <w:color w:val="000000" w:themeColor="text1"/>
                <w:spacing w:val="3"/>
                <w:shd w:val="solid" w:color="000000" w:fill="000000"/>
                <w:fitText w:val="360" w:id="-961889523"/>
                <w14:textFill>
                  <w14:solidFill>
                    <w14:schemeClr w14:val="tx1">
                      <w14:alpha w14:val="100000"/>
                    </w14:schemeClr>
                  </w14:solidFill>
                </w14:textFill>
              </w:rPr>
              <w:t>|</w:t>
            </w:r>
            <w:r w:rsidRPr="009941F8">
              <w:rPr>
                <w:color w:val="000000" w:themeColor="text1"/>
              </w:rPr>
              <w:t>)</w:t>
            </w:r>
          </w:p>
        </w:tc>
      </w:tr>
      <w:tr w:rsidR="002C1990" w:rsidRPr="009941F8" w14:paraId="2FC20677" w14:textId="77777777" w:rsidTr="00233562">
        <w:tc>
          <w:tcPr>
            <w:tcW w:w="2122" w:type="dxa"/>
            <w:tcBorders>
              <w:left w:val="single" w:sz="4" w:space="0" w:color="auto"/>
              <w:bottom w:val="single" w:sz="4" w:space="0" w:color="auto"/>
              <w:right w:val="single" w:sz="4" w:space="0" w:color="auto"/>
            </w:tcBorders>
            <w:shd w:val="clear" w:color="auto" w:fill="auto"/>
          </w:tcPr>
          <w:p w14:paraId="37CA8D43" w14:textId="57A29B19" w:rsidR="003F4569" w:rsidRPr="009941F8" w:rsidRDefault="003F4569" w:rsidP="00233562">
            <w:pPr>
              <w:pStyle w:val="TableText0"/>
              <w:keepNext w:val="0"/>
              <w:widowControl w:val="0"/>
              <w:rPr>
                <w:b/>
                <w:szCs w:val="20"/>
              </w:rPr>
            </w:pPr>
            <w:r w:rsidRPr="009941F8">
              <w:rPr>
                <w:b/>
                <w:szCs w:val="20"/>
              </w:rPr>
              <w:t>Net cost PBS/RPBS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9A0952" w14:textId="4D515F93" w:rsidR="003F4569" w:rsidRPr="00AB3F41" w:rsidRDefault="00640EC9" w:rsidP="00233562">
            <w:pPr>
              <w:pStyle w:val="TableText0"/>
              <w:keepNext w:val="0"/>
              <w:widowControl w:val="0"/>
              <w:jc w:val="center"/>
              <w:rPr>
                <w:b/>
                <w:highlight w:val="lightGray"/>
              </w:rPr>
            </w:pPr>
            <w:r w:rsidRPr="00640EC9">
              <w:rPr>
                <w:rFonts w:hint="eastAsia"/>
                <w:b/>
                <w:color w:val="000000" w:themeColor="text1"/>
                <w:w w:val="26"/>
                <w:shd w:val="solid" w:color="000000" w:fill="000000"/>
                <w:fitText w:val="120" w:id="-961889522"/>
                <w14:textFill>
                  <w14:solidFill>
                    <w14:schemeClr w14:val="tx1">
                      <w14:alpha w14:val="100000"/>
                    </w14:schemeClr>
                  </w14:solidFill>
                </w14:textFill>
              </w:rPr>
              <w:t xml:space="preserve">　</w:t>
            </w:r>
            <w:r w:rsidRPr="00640EC9">
              <w:rPr>
                <w:b/>
                <w:color w:val="000000" w:themeColor="text1"/>
                <w:w w:val="26"/>
                <w:shd w:val="solid" w:color="000000" w:fill="000000"/>
                <w:fitText w:val="120" w:id="-961889522"/>
                <w14:textFill>
                  <w14:solidFill>
                    <w14:schemeClr w14:val="tx1">
                      <w14:alpha w14:val="100000"/>
                    </w14:schemeClr>
                  </w14:solidFill>
                </w14:textFill>
              </w:rPr>
              <w:t>|</w:t>
            </w:r>
            <w:r w:rsidRPr="00640EC9">
              <w:rPr>
                <w:rFonts w:hint="eastAsia"/>
                <w:b/>
                <w:color w:val="000000" w:themeColor="text1"/>
                <w:spacing w:val="4"/>
                <w:w w:val="26"/>
                <w:shd w:val="solid" w:color="000000" w:fill="000000"/>
                <w:fitText w:val="120" w:id="-961889522"/>
                <w14:textFill>
                  <w14:solidFill>
                    <w14:schemeClr w14:val="tx1">
                      <w14:alpha w14:val="100000"/>
                    </w14:scheme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606481A7" w14:textId="1446BDD3" w:rsidR="003F4569" w:rsidRPr="00AB3F41" w:rsidRDefault="00640EC9" w:rsidP="00233562">
            <w:pPr>
              <w:pStyle w:val="TableText0"/>
              <w:keepNext w:val="0"/>
              <w:widowControl w:val="0"/>
              <w:jc w:val="center"/>
              <w:rPr>
                <w:b/>
                <w:highlight w:val="lightGray"/>
              </w:rPr>
            </w:pPr>
            <w:r w:rsidRPr="00640EC9">
              <w:rPr>
                <w:rFonts w:hint="eastAsia"/>
                <w:b/>
                <w:color w:val="000000" w:themeColor="text1"/>
                <w:w w:val="26"/>
                <w:shd w:val="solid" w:color="000000" w:fill="000000"/>
                <w:fitText w:val="120" w:id="-961889521"/>
                <w14:textFill>
                  <w14:solidFill>
                    <w14:schemeClr w14:val="tx1">
                      <w14:alpha w14:val="100000"/>
                    </w14:schemeClr>
                  </w14:solidFill>
                </w14:textFill>
              </w:rPr>
              <w:t xml:space="preserve">　</w:t>
            </w:r>
            <w:r w:rsidRPr="00640EC9">
              <w:rPr>
                <w:b/>
                <w:color w:val="000000" w:themeColor="text1"/>
                <w:w w:val="26"/>
                <w:shd w:val="solid" w:color="000000" w:fill="000000"/>
                <w:fitText w:val="120" w:id="-961889521"/>
                <w14:textFill>
                  <w14:solidFill>
                    <w14:schemeClr w14:val="tx1">
                      <w14:alpha w14:val="100000"/>
                    </w14:schemeClr>
                  </w14:solidFill>
                </w14:textFill>
              </w:rPr>
              <w:t>|</w:t>
            </w:r>
            <w:r w:rsidRPr="00640EC9">
              <w:rPr>
                <w:rFonts w:hint="eastAsia"/>
                <w:b/>
                <w:color w:val="000000" w:themeColor="text1"/>
                <w:spacing w:val="4"/>
                <w:w w:val="26"/>
                <w:shd w:val="solid" w:color="000000" w:fill="000000"/>
                <w:fitText w:val="120" w:id="-961889521"/>
                <w14:textFill>
                  <w14:solidFill>
                    <w14:schemeClr w14:val="tx1">
                      <w14:alpha w14:val="100000"/>
                    </w14:schemeClr>
                  </w14:solidFill>
                </w14:textFill>
              </w:rPr>
              <w:t xml:space="preserve">　</w:t>
            </w:r>
            <w:r w:rsidR="00BC1294" w:rsidRPr="00BC1294">
              <w:rPr>
                <w:vertAlign w:val="superscript"/>
              </w:rPr>
              <w:t>8</w:t>
            </w:r>
          </w:p>
        </w:tc>
        <w:tc>
          <w:tcPr>
            <w:tcW w:w="992" w:type="dxa"/>
            <w:tcBorders>
              <w:top w:val="single" w:sz="4" w:space="0" w:color="auto"/>
              <w:left w:val="nil"/>
              <w:bottom w:val="single" w:sz="4" w:space="0" w:color="auto"/>
              <w:right w:val="single" w:sz="4" w:space="0" w:color="auto"/>
            </w:tcBorders>
            <w:shd w:val="clear" w:color="auto" w:fill="auto"/>
            <w:vAlign w:val="center"/>
          </w:tcPr>
          <w:p w14:paraId="0ACECF0B" w14:textId="039FE5C8" w:rsidR="003F4569" w:rsidRPr="00AB3F41" w:rsidRDefault="00640EC9" w:rsidP="00233562">
            <w:pPr>
              <w:pStyle w:val="TableText0"/>
              <w:keepNext w:val="0"/>
              <w:widowControl w:val="0"/>
              <w:jc w:val="center"/>
              <w:rPr>
                <w:b/>
                <w:highlight w:val="lightGray"/>
              </w:rPr>
            </w:pPr>
            <w:r w:rsidRPr="00640EC9">
              <w:rPr>
                <w:rFonts w:hint="eastAsia"/>
                <w:b/>
                <w:color w:val="000000" w:themeColor="text1"/>
                <w:w w:val="26"/>
                <w:shd w:val="solid" w:color="000000" w:fill="000000"/>
                <w:fitText w:val="120" w:id="-961889520"/>
                <w14:textFill>
                  <w14:solidFill>
                    <w14:schemeClr w14:val="tx1">
                      <w14:alpha w14:val="100000"/>
                    </w14:schemeClr>
                  </w14:solidFill>
                </w14:textFill>
              </w:rPr>
              <w:t xml:space="preserve">　</w:t>
            </w:r>
            <w:r w:rsidRPr="00640EC9">
              <w:rPr>
                <w:b/>
                <w:color w:val="000000" w:themeColor="text1"/>
                <w:w w:val="26"/>
                <w:shd w:val="solid" w:color="000000" w:fill="000000"/>
                <w:fitText w:val="120" w:id="-961889520"/>
                <w14:textFill>
                  <w14:solidFill>
                    <w14:schemeClr w14:val="tx1">
                      <w14:alpha w14:val="100000"/>
                    </w14:schemeClr>
                  </w14:solidFill>
                </w14:textFill>
              </w:rPr>
              <w:t>|</w:t>
            </w:r>
            <w:r w:rsidRPr="00640EC9">
              <w:rPr>
                <w:rFonts w:hint="eastAsia"/>
                <w:b/>
                <w:color w:val="000000" w:themeColor="text1"/>
                <w:spacing w:val="4"/>
                <w:w w:val="26"/>
                <w:shd w:val="solid" w:color="000000" w:fill="000000"/>
                <w:fitText w:val="120" w:id="-961889520"/>
                <w14:textFill>
                  <w14:solidFill>
                    <w14:schemeClr w14:val="tx1">
                      <w14:alpha w14:val="100000"/>
                    </w14:schemeClr>
                  </w14:solidFill>
                </w14:textFill>
              </w:rPr>
              <w:t xml:space="preserve">　</w:t>
            </w:r>
            <w:r w:rsidR="00BC1294" w:rsidRPr="00BC1294">
              <w:rPr>
                <w:vertAlign w:val="superscript"/>
              </w:rPr>
              <w:t>8</w:t>
            </w:r>
          </w:p>
        </w:tc>
        <w:tc>
          <w:tcPr>
            <w:tcW w:w="993" w:type="dxa"/>
            <w:tcBorders>
              <w:top w:val="single" w:sz="4" w:space="0" w:color="auto"/>
              <w:left w:val="nil"/>
              <w:bottom w:val="single" w:sz="4" w:space="0" w:color="auto"/>
              <w:right w:val="single" w:sz="4" w:space="0" w:color="auto"/>
            </w:tcBorders>
            <w:shd w:val="clear" w:color="auto" w:fill="auto"/>
            <w:vAlign w:val="center"/>
          </w:tcPr>
          <w:p w14:paraId="3AE997A3" w14:textId="7F2D55C1" w:rsidR="003F4569" w:rsidRPr="00AB3F41" w:rsidRDefault="00640EC9" w:rsidP="00233562">
            <w:pPr>
              <w:pStyle w:val="TableText0"/>
              <w:keepNext w:val="0"/>
              <w:widowControl w:val="0"/>
              <w:jc w:val="center"/>
              <w:rPr>
                <w:b/>
                <w:highlight w:val="lightGray"/>
              </w:rPr>
            </w:pPr>
            <w:r w:rsidRPr="00640EC9">
              <w:rPr>
                <w:rFonts w:hint="eastAsia"/>
                <w:b/>
                <w:color w:val="000000" w:themeColor="text1"/>
                <w:w w:val="26"/>
                <w:shd w:val="solid" w:color="000000" w:fill="000000"/>
                <w:fitText w:val="120" w:id="-961889536"/>
                <w14:textFill>
                  <w14:solidFill>
                    <w14:schemeClr w14:val="tx1">
                      <w14:alpha w14:val="100000"/>
                    </w14:schemeClr>
                  </w14:solidFill>
                </w14:textFill>
              </w:rPr>
              <w:t xml:space="preserve">　</w:t>
            </w:r>
            <w:r w:rsidRPr="00640EC9">
              <w:rPr>
                <w:b/>
                <w:color w:val="000000" w:themeColor="text1"/>
                <w:w w:val="26"/>
                <w:shd w:val="solid" w:color="000000" w:fill="000000"/>
                <w:fitText w:val="120" w:id="-961889536"/>
                <w14:textFill>
                  <w14:solidFill>
                    <w14:schemeClr w14:val="tx1">
                      <w14:alpha w14:val="100000"/>
                    </w14:schemeClr>
                  </w14:solidFill>
                </w14:textFill>
              </w:rPr>
              <w:t>|</w:t>
            </w:r>
            <w:r w:rsidRPr="00640EC9">
              <w:rPr>
                <w:rFonts w:hint="eastAsia"/>
                <w:b/>
                <w:color w:val="000000" w:themeColor="text1"/>
                <w:spacing w:val="4"/>
                <w:w w:val="26"/>
                <w:shd w:val="solid" w:color="000000" w:fill="000000"/>
                <w:fitText w:val="120" w:id="-961889536"/>
                <w14:textFill>
                  <w14:solidFill>
                    <w14:schemeClr w14:val="tx1">
                      <w14:alpha w14:val="100000"/>
                    </w14:schemeClr>
                  </w14:solidFill>
                </w14:textFill>
              </w:rPr>
              <w:t xml:space="preserve">　</w:t>
            </w:r>
            <w:r w:rsidR="00034941"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vAlign w:val="center"/>
          </w:tcPr>
          <w:p w14:paraId="2E6B1C5C" w14:textId="1F82CB8F" w:rsidR="003F4569" w:rsidRPr="00AB3F41" w:rsidRDefault="00640EC9" w:rsidP="00233562">
            <w:pPr>
              <w:pStyle w:val="TableText0"/>
              <w:keepNext w:val="0"/>
              <w:widowControl w:val="0"/>
              <w:jc w:val="center"/>
              <w:rPr>
                <w:b/>
                <w:highlight w:val="lightGray"/>
              </w:rPr>
            </w:pPr>
            <w:r w:rsidRPr="00640EC9">
              <w:rPr>
                <w:rFonts w:hint="eastAsia"/>
                <w:b/>
                <w:color w:val="000000" w:themeColor="text1"/>
                <w:w w:val="26"/>
                <w:shd w:val="solid" w:color="000000" w:fill="000000"/>
                <w:fitText w:val="120" w:id="-961889535"/>
                <w14:textFill>
                  <w14:solidFill>
                    <w14:schemeClr w14:val="tx1">
                      <w14:alpha w14:val="100000"/>
                    </w14:schemeClr>
                  </w14:solidFill>
                </w14:textFill>
              </w:rPr>
              <w:t xml:space="preserve">　</w:t>
            </w:r>
            <w:r w:rsidRPr="00640EC9">
              <w:rPr>
                <w:b/>
                <w:color w:val="000000" w:themeColor="text1"/>
                <w:w w:val="26"/>
                <w:shd w:val="solid" w:color="000000" w:fill="000000"/>
                <w:fitText w:val="120" w:id="-961889535"/>
                <w14:textFill>
                  <w14:solidFill>
                    <w14:schemeClr w14:val="tx1">
                      <w14:alpha w14:val="100000"/>
                    </w14:schemeClr>
                  </w14:solidFill>
                </w14:textFill>
              </w:rPr>
              <w:t>|</w:t>
            </w:r>
            <w:r w:rsidRPr="00640EC9">
              <w:rPr>
                <w:rFonts w:hint="eastAsia"/>
                <w:b/>
                <w:color w:val="000000" w:themeColor="text1"/>
                <w:spacing w:val="4"/>
                <w:w w:val="26"/>
                <w:shd w:val="solid" w:color="000000" w:fill="000000"/>
                <w:fitText w:val="120" w:id="-961889535"/>
                <w14:textFill>
                  <w14:solidFill>
                    <w14:schemeClr w14:val="tx1">
                      <w14:alpha w14:val="100000"/>
                    </w14:schemeClr>
                  </w14:solidFill>
                </w14:textFill>
              </w:rPr>
              <w:t xml:space="preserve">　</w:t>
            </w:r>
            <w:r w:rsidR="00034941" w:rsidRPr="00BC1294">
              <w:rPr>
                <w:vertAlign w:val="superscript"/>
              </w:rPr>
              <w:t>9</w:t>
            </w:r>
          </w:p>
        </w:tc>
        <w:tc>
          <w:tcPr>
            <w:tcW w:w="992" w:type="dxa"/>
            <w:tcBorders>
              <w:top w:val="single" w:sz="4" w:space="0" w:color="auto"/>
              <w:left w:val="nil"/>
              <w:bottom w:val="single" w:sz="4" w:space="0" w:color="auto"/>
              <w:right w:val="single" w:sz="4" w:space="0" w:color="auto"/>
            </w:tcBorders>
            <w:shd w:val="clear" w:color="auto" w:fill="auto"/>
            <w:vAlign w:val="center"/>
          </w:tcPr>
          <w:p w14:paraId="5E2BCE96" w14:textId="20D671CC" w:rsidR="003F4569" w:rsidRPr="00AB3F41" w:rsidRDefault="00640EC9" w:rsidP="00233562">
            <w:pPr>
              <w:pStyle w:val="TableText0"/>
              <w:keepNext w:val="0"/>
              <w:widowControl w:val="0"/>
              <w:jc w:val="center"/>
              <w:rPr>
                <w:b/>
                <w:color w:val="000000" w:themeColor="text1"/>
                <w:highlight w:val="lightGray"/>
              </w:rPr>
            </w:pPr>
            <w:r w:rsidRPr="00640EC9">
              <w:rPr>
                <w:rFonts w:hint="eastAsia"/>
                <w:b/>
                <w:color w:val="000000" w:themeColor="text1"/>
                <w:w w:val="26"/>
                <w:shd w:val="solid" w:color="000000" w:fill="000000"/>
                <w:fitText w:val="120" w:id="-961889534"/>
                <w14:textFill>
                  <w14:solidFill>
                    <w14:schemeClr w14:val="tx1">
                      <w14:alpha w14:val="100000"/>
                    </w14:schemeClr>
                  </w14:solidFill>
                </w14:textFill>
              </w:rPr>
              <w:t xml:space="preserve">　</w:t>
            </w:r>
            <w:r w:rsidRPr="00640EC9">
              <w:rPr>
                <w:b/>
                <w:color w:val="000000" w:themeColor="text1"/>
                <w:w w:val="26"/>
                <w:shd w:val="solid" w:color="000000" w:fill="000000"/>
                <w:fitText w:val="120" w:id="-961889534"/>
                <w14:textFill>
                  <w14:solidFill>
                    <w14:schemeClr w14:val="tx1">
                      <w14:alpha w14:val="100000"/>
                    </w14:schemeClr>
                  </w14:solidFill>
                </w14:textFill>
              </w:rPr>
              <w:t>|</w:t>
            </w:r>
            <w:r w:rsidRPr="00640EC9">
              <w:rPr>
                <w:rFonts w:hint="eastAsia"/>
                <w:b/>
                <w:color w:val="000000" w:themeColor="text1"/>
                <w:spacing w:val="4"/>
                <w:w w:val="26"/>
                <w:shd w:val="solid" w:color="000000" w:fill="000000"/>
                <w:fitText w:val="120" w:id="-961889534"/>
                <w14:textFill>
                  <w14:solidFill>
                    <w14:schemeClr w14:val="tx1">
                      <w14:alpha w14:val="100000"/>
                    </w14:schemeClr>
                  </w14:solidFill>
                </w14:textFill>
              </w:rPr>
              <w:t xml:space="preserve">　</w:t>
            </w:r>
            <w:r w:rsidR="00034941" w:rsidRPr="00BC1294">
              <w:rPr>
                <w:vertAlign w:val="superscript"/>
              </w:rPr>
              <w:t>9</w:t>
            </w:r>
          </w:p>
        </w:tc>
        <w:tc>
          <w:tcPr>
            <w:tcW w:w="920" w:type="dxa"/>
            <w:tcBorders>
              <w:top w:val="single" w:sz="4" w:space="0" w:color="auto"/>
              <w:left w:val="nil"/>
              <w:bottom w:val="single" w:sz="4" w:space="0" w:color="auto"/>
              <w:right w:val="single" w:sz="4" w:space="0" w:color="auto"/>
            </w:tcBorders>
            <w:shd w:val="clear" w:color="auto" w:fill="auto"/>
            <w:vAlign w:val="center"/>
          </w:tcPr>
          <w:p w14:paraId="51A1302D" w14:textId="7F84DAFE" w:rsidR="003F4569" w:rsidRPr="00AB3F41" w:rsidRDefault="00640EC9" w:rsidP="00233562">
            <w:pPr>
              <w:pStyle w:val="TableText0"/>
              <w:keepNext w:val="0"/>
              <w:widowControl w:val="0"/>
              <w:jc w:val="center"/>
              <w:rPr>
                <w:b/>
                <w:color w:val="000000" w:themeColor="text1"/>
                <w:highlight w:val="lightGray"/>
              </w:rPr>
            </w:pPr>
            <w:r w:rsidRPr="00640EC9">
              <w:rPr>
                <w:rFonts w:hint="eastAsia"/>
                <w:b/>
                <w:color w:val="000000" w:themeColor="text1"/>
                <w:w w:val="16"/>
                <w:shd w:val="solid" w:color="000000" w:fill="000000"/>
                <w:fitText w:val="72" w:id="-961889533"/>
                <w14:textFill>
                  <w14:solidFill>
                    <w14:schemeClr w14:val="tx1">
                      <w14:alpha w14:val="100000"/>
                    </w14:schemeClr>
                  </w14:solidFill>
                </w14:textFill>
              </w:rPr>
              <w:t xml:space="preserve">　</w:t>
            </w:r>
            <w:r w:rsidRPr="00640EC9">
              <w:rPr>
                <w:b/>
                <w:color w:val="000000" w:themeColor="text1"/>
                <w:w w:val="16"/>
                <w:shd w:val="solid" w:color="000000" w:fill="000000"/>
                <w:fitText w:val="72" w:id="-961889533"/>
                <w14:textFill>
                  <w14:solidFill>
                    <w14:schemeClr w14:val="tx1">
                      <w14:alpha w14:val="100000"/>
                    </w14:schemeClr>
                  </w14:solidFill>
                </w14:textFill>
              </w:rPr>
              <w:t>|</w:t>
            </w:r>
            <w:r w:rsidRPr="00640EC9">
              <w:rPr>
                <w:rFonts w:hint="eastAsia"/>
                <w:b/>
                <w:color w:val="000000" w:themeColor="text1"/>
                <w:spacing w:val="2"/>
                <w:w w:val="16"/>
                <w:shd w:val="solid" w:color="000000" w:fill="000000"/>
                <w:fitText w:val="72" w:id="-961889533"/>
                <w14:textFill>
                  <w14:solidFill>
                    <w14:schemeClr w14:val="tx1">
                      <w14:alpha w14:val="100000"/>
                    </w14:schemeClr>
                  </w14:solidFill>
                </w14:textFill>
              </w:rPr>
              <w:t xml:space="preserve">　</w:t>
            </w:r>
            <w:r w:rsidR="00D72964" w:rsidRPr="00D72964">
              <w:rPr>
                <w:b/>
                <w:color w:val="000000" w:themeColor="text1"/>
                <w:vertAlign w:val="superscript"/>
              </w:rPr>
              <w:t>12</w:t>
            </w:r>
          </w:p>
        </w:tc>
      </w:tr>
      <w:tr w:rsidR="003F4569" w:rsidRPr="009941F8" w14:paraId="7ECF32E7" w14:textId="77777777" w:rsidTr="00A244E2">
        <w:tblPrEx>
          <w:tblCellMar>
            <w:left w:w="108" w:type="dxa"/>
            <w:right w:w="108" w:type="dxa"/>
          </w:tblCellMar>
        </w:tblPrEx>
        <w:tc>
          <w:tcPr>
            <w:tcW w:w="8995" w:type="dxa"/>
            <w:gridSpan w:val="8"/>
            <w:shd w:val="clear" w:color="auto" w:fill="auto"/>
            <w:tcMar>
              <w:left w:w="20" w:type="dxa"/>
              <w:right w:w="20" w:type="dxa"/>
            </w:tcMar>
          </w:tcPr>
          <w:p w14:paraId="1A1A522C" w14:textId="6A5C20EC" w:rsidR="003F4569" w:rsidRPr="009941F8" w:rsidRDefault="003F4569" w:rsidP="00233562">
            <w:pPr>
              <w:pStyle w:val="TableFigureHeading"/>
              <w:keepNext w:val="0"/>
              <w:widowControl w:val="0"/>
              <w:rPr>
                <w:szCs w:val="20"/>
              </w:rPr>
            </w:pPr>
            <w:r w:rsidRPr="009941F8">
              <w:rPr>
                <w:szCs w:val="20"/>
              </w:rPr>
              <w:t>March 2023 resubmission</w:t>
            </w:r>
          </w:p>
        </w:tc>
      </w:tr>
      <w:tr w:rsidR="003F4569" w:rsidRPr="009941F8" w14:paraId="646713A0" w14:textId="77777777" w:rsidTr="00A244E2">
        <w:tblPrEx>
          <w:tblCellMar>
            <w:left w:w="108" w:type="dxa"/>
            <w:right w:w="108" w:type="dxa"/>
          </w:tblCellMar>
        </w:tblPrEx>
        <w:tc>
          <w:tcPr>
            <w:tcW w:w="8995" w:type="dxa"/>
            <w:gridSpan w:val="8"/>
            <w:shd w:val="clear" w:color="auto" w:fill="auto"/>
            <w:tcMar>
              <w:left w:w="20" w:type="dxa"/>
              <w:right w:w="20" w:type="dxa"/>
            </w:tcMar>
          </w:tcPr>
          <w:p w14:paraId="6DE0CEB6" w14:textId="77777777" w:rsidR="003F4569" w:rsidRPr="009941F8" w:rsidRDefault="003F4569" w:rsidP="00233562">
            <w:pPr>
              <w:pStyle w:val="In-tableHeading"/>
              <w:keepNext w:val="0"/>
              <w:widowControl w:val="0"/>
              <w:rPr>
                <w:szCs w:val="20"/>
                <w:lang w:val="en-AU"/>
              </w:rPr>
            </w:pPr>
            <w:r w:rsidRPr="009941F8">
              <w:rPr>
                <w:szCs w:val="20"/>
                <w:lang w:val="en-AU"/>
              </w:rPr>
              <w:t>Patients</w:t>
            </w:r>
          </w:p>
        </w:tc>
      </w:tr>
      <w:tr w:rsidR="002C1990" w:rsidRPr="009941F8" w14:paraId="005E6792" w14:textId="77777777" w:rsidTr="00233562">
        <w:tblPrEx>
          <w:tblCellMar>
            <w:left w:w="108" w:type="dxa"/>
            <w:right w:w="108" w:type="dxa"/>
          </w:tblCellMar>
        </w:tblPrEx>
        <w:tc>
          <w:tcPr>
            <w:tcW w:w="2122" w:type="dxa"/>
            <w:shd w:val="clear" w:color="auto" w:fill="auto"/>
            <w:tcMar>
              <w:left w:w="20" w:type="dxa"/>
              <w:right w:w="20" w:type="dxa"/>
            </w:tcMar>
          </w:tcPr>
          <w:p w14:paraId="6168D689" w14:textId="77777777" w:rsidR="003F4569" w:rsidRPr="009941F8" w:rsidRDefault="003F4569" w:rsidP="00233562">
            <w:pPr>
              <w:pStyle w:val="TableText0"/>
              <w:keepNext w:val="0"/>
              <w:widowControl w:val="0"/>
              <w:rPr>
                <w:szCs w:val="20"/>
              </w:rPr>
            </w:pPr>
            <w:r w:rsidRPr="009941F8">
              <w:rPr>
                <w:szCs w:val="20"/>
              </w:rPr>
              <w:t>SLE pop.</w:t>
            </w:r>
          </w:p>
        </w:tc>
        <w:tc>
          <w:tcPr>
            <w:tcW w:w="992" w:type="dxa"/>
            <w:shd w:val="clear" w:color="auto" w:fill="auto"/>
            <w:tcMar>
              <w:left w:w="20" w:type="dxa"/>
              <w:right w:w="20" w:type="dxa"/>
            </w:tcMar>
            <w:vAlign w:val="center"/>
          </w:tcPr>
          <w:p w14:paraId="0DFB37D0" w14:textId="68643168" w:rsidR="003F4569"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48" w:id="-961889532"/>
                <w14:textFill>
                  <w14:solidFill>
                    <w14:srgbClr w14:val="000000">
                      <w14:alpha w14:val="100000"/>
                    </w14:srgbClr>
                  </w14:solidFill>
                </w14:textFill>
              </w:rPr>
              <w:t xml:space="preserve">　</w:t>
            </w:r>
            <w:r w:rsidRPr="00640EC9">
              <w:rPr>
                <w:color w:val="000000"/>
                <w:w w:val="15"/>
                <w:szCs w:val="20"/>
                <w:shd w:val="solid" w:color="000000" w:fill="000000"/>
                <w:fitText w:val="48" w:id="-961889532"/>
                <w14:textFill>
                  <w14:solidFill>
                    <w14:srgbClr w14:val="000000">
                      <w14:alpha w14:val="100000"/>
                    </w14:srgbClr>
                  </w14:solidFill>
                </w14:textFill>
              </w:rPr>
              <w:t>|</w:t>
            </w:r>
            <w:r w:rsidRPr="00640EC9">
              <w:rPr>
                <w:rFonts w:hint="eastAsia"/>
                <w:color w:val="000000"/>
                <w:spacing w:val="-17"/>
                <w:w w:val="15"/>
                <w:szCs w:val="20"/>
                <w:shd w:val="solid" w:color="000000" w:fill="000000"/>
                <w:fitText w:val="48" w:id="-961889532"/>
                <w14:textFill>
                  <w14:solidFill>
                    <w14:srgbClr w14:val="000000">
                      <w14:alpha w14:val="100000"/>
                    </w14:srgbClr>
                  </w14:solidFill>
                </w14:textFill>
              </w:rPr>
              <w:t xml:space="preserve">　</w:t>
            </w:r>
            <w:r w:rsidR="00AD60E5" w:rsidRPr="00AD60E5">
              <w:rPr>
                <w:b/>
                <w:bCs w:val="0"/>
                <w:vertAlign w:val="superscript"/>
              </w:rPr>
              <w:t>6</w:t>
            </w:r>
          </w:p>
        </w:tc>
        <w:tc>
          <w:tcPr>
            <w:tcW w:w="992" w:type="dxa"/>
            <w:shd w:val="clear" w:color="auto" w:fill="auto"/>
            <w:tcMar>
              <w:left w:w="20" w:type="dxa"/>
              <w:right w:w="20" w:type="dxa"/>
            </w:tcMar>
            <w:vAlign w:val="center"/>
          </w:tcPr>
          <w:p w14:paraId="7998EB91" w14:textId="688D1F73" w:rsidR="003F4569"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48" w:id="-961889531"/>
                <w14:textFill>
                  <w14:solidFill>
                    <w14:srgbClr w14:val="000000">
                      <w14:alpha w14:val="100000"/>
                    </w14:srgbClr>
                  </w14:solidFill>
                </w14:textFill>
              </w:rPr>
              <w:t xml:space="preserve">　</w:t>
            </w:r>
            <w:r w:rsidRPr="00640EC9">
              <w:rPr>
                <w:color w:val="000000"/>
                <w:w w:val="15"/>
                <w:szCs w:val="20"/>
                <w:shd w:val="solid" w:color="000000" w:fill="000000"/>
                <w:fitText w:val="48" w:id="-961889531"/>
                <w14:textFill>
                  <w14:solidFill>
                    <w14:srgbClr w14:val="000000">
                      <w14:alpha w14:val="100000"/>
                    </w14:srgbClr>
                  </w14:solidFill>
                </w14:textFill>
              </w:rPr>
              <w:t>|</w:t>
            </w:r>
            <w:r w:rsidRPr="00640EC9">
              <w:rPr>
                <w:rFonts w:hint="eastAsia"/>
                <w:color w:val="000000"/>
                <w:spacing w:val="-17"/>
                <w:w w:val="15"/>
                <w:szCs w:val="20"/>
                <w:shd w:val="solid" w:color="000000" w:fill="000000"/>
                <w:fitText w:val="48" w:id="-961889531"/>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tcMar>
              <w:left w:w="20" w:type="dxa"/>
              <w:right w:w="20" w:type="dxa"/>
            </w:tcMar>
            <w:vAlign w:val="center"/>
          </w:tcPr>
          <w:p w14:paraId="7A92250A" w14:textId="20555C60" w:rsidR="003F4569"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48" w:id="-961889530"/>
                <w14:textFill>
                  <w14:solidFill>
                    <w14:srgbClr w14:val="000000">
                      <w14:alpha w14:val="100000"/>
                    </w14:srgbClr>
                  </w14:solidFill>
                </w14:textFill>
              </w:rPr>
              <w:t xml:space="preserve">　</w:t>
            </w:r>
            <w:r w:rsidRPr="00640EC9">
              <w:rPr>
                <w:color w:val="000000"/>
                <w:w w:val="15"/>
                <w:szCs w:val="20"/>
                <w:shd w:val="solid" w:color="000000" w:fill="000000"/>
                <w:fitText w:val="48" w:id="-961889530"/>
                <w14:textFill>
                  <w14:solidFill>
                    <w14:srgbClr w14:val="000000">
                      <w14:alpha w14:val="100000"/>
                    </w14:srgbClr>
                  </w14:solidFill>
                </w14:textFill>
              </w:rPr>
              <w:t>|</w:t>
            </w:r>
            <w:r w:rsidRPr="00640EC9">
              <w:rPr>
                <w:rFonts w:hint="eastAsia"/>
                <w:color w:val="000000"/>
                <w:spacing w:val="-17"/>
                <w:w w:val="15"/>
                <w:szCs w:val="20"/>
                <w:shd w:val="solid" w:color="000000" w:fill="000000"/>
                <w:fitText w:val="48" w:id="-961889530"/>
                <w14:textFill>
                  <w14:solidFill>
                    <w14:srgbClr w14:val="000000">
                      <w14:alpha w14:val="100000"/>
                    </w14:srgbClr>
                  </w14:solidFill>
                </w14:textFill>
              </w:rPr>
              <w:t xml:space="preserve">　</w:t>
            </w:r>
            <w:r w:rsidR="00DB0472" w:rsidRPr="00DB0472">
              <w:rPr>
                <w:vertAlign w:val="superscript"/>
              </w:rPr>
              <w:t>1</w:t>
            </w:r>
          </w:p>
        </w:tc>
        <w:tc>
          <w:tcPr>
            <w:tcW w:w="993" w:type="dxa"/>
            <w:shd w:val="clear" w:color="auto" w:fill="auto"/>
            <w:tcMar>
              <w:left w:w="20" w:type="dxa"/>
              <w:right w:w="20" w:type="dxa"/>
            </w:tcMar>
            <w:vAlign w:val="center"/>
          </w:tcPr>
          <w:p w14:paraId="53A3EB24" w14:textId="5968207C" w:rsidR="003F4569"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48" w:id="-961889529"/>
                <w14:textFill>
                  <w14:solidFill>
                    <w14:srgbClr w14:val="000000">
                      <w14:alpha w14:val="100000"/>
                    </w14:srgbClr>
                  </w14:solidFill>
                </w14:textFill>
              </w:rPr>
              <w:t xml:space="preserve">　</w:t>
            </w:r>
            <w:r w:rsidRPr="00640EC9">
              <w:rPr>
                <w:color w:val="000000"/>
                <w:w w:val="15"/>
                <w:szCs w:val="20"/>
                <w:shd w:val="solid" w:color="000000" w:fill="000000"/>
                <w:fitText w:val="48" w:id="-961889529"/>
                <w14:textFill>
                  <w14:solidFill>
                    <w14:srgbClr w14:val="000000">
                      <w14:alpha w14:val="100000"/>
                    </w14:srgbClr>
                  </w14:solidFill>
                </w14:textFill>
              </w:rPr>
              <w:t>|</w:t>
            </w:r>
            <w:r w:rsidRPr="00640EC9">
              <w:rPr>
                <w:rFonts w:hint="eastAsia"/>
                <w:color w:val="000000"/>
                <w:spacing w:val="-17"/>
                <w:w w:val="15"/>
                <w:szCs w:val="20"/>
                <w:shd w:val="solid" w:color="000000" w:fill="000000"/>
                <w:fitText w:val="48" w:id="-961889529"/>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tcMar>
              <w:left w:w="20" w:type="dxa"/>
              <w:right w:w="20" w:type="dxa"/>
            </w:tcMar>
            <w:vAlign w:val="center"/>
          </w:tcPr>
          <w:p w14:paraId="52809D51" w14:textId="2793B57D" w:rsidR="003F4569"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48" w:id="-961889528"/>
                <w14:textFill>
                  <w14:solidFill>
                    <w14:srgbClr w14:val="000000">
                      <w14:alpha w14:val="100000"/>
                    </w14:srgbClr>
                  </w14:solidFill>
                </w14:textFill>
              </w:rPr>
              <w:t xml:space="preserve">　</w:t>
            </w:r>
            <w:r w:rsidRPr="00640EC9">
              <w:rPr>
                <w:color w:val="000000"/>
                <w:w w:val="15"/>
                <w:szCs w:val="20"/>
                <w:shd w:val="solid" w:color="000000" w:fill="000000"/>
                <w:fitText w:val="48" w:id="-961889528"/>
                <w14:textFill>
                  <w14:solidFill>
                    <w14:srgbClr w14:val="000000">
                      <w14:alpha w14:val="100000"/>
                    </w14:srgbClr>
                  </w14:solidFill>
                </w14:textFill>
              </w:rPr>
              <w:t>|</w:t>
            </w:r>
            <w:r w:rsidRPr="00640EC9">
              <w:rPr>
                <w:rFonts w:hint="eastAsia"/>
                <w:color w:val="000000"/>
                <w:spacing w:val="-17"/>
                <w:w w:val="15"/>
                <w:szCs w:val="20"/>
                <w:shd w:val="solid" w:color="000000" w:fill="000000"/>
                <w:fitText w:val="48" w:id="-961889528"/>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tcMar>
              <w:left w:w="20" w:type="dxa"/>
              <w:right w:w="20" w:type="dxa"/>
            </w:tcMar>
            <w:vAlign w:val="center"/>
          </w:tcPr>
          <w:p w14:paraId="2B201314" w14:textId="7E134319" w:rsidR="003F4569" w:rsidRPr="00AB3F41" w:rsidRDefault="00640EC9" w:rsidP="00233562">
            <w:pPr>
              <w:pStyle w:val="TableText0"/>
              <w:keepNext w:val="0"/>
              <w:widowControl w:val="0"/>
              <w:jc w:val="center"/>
              <w:rPr>
                <w:szCs w:val="20"/>
                <w:highlight w:val="lightGray"/>
              </w:rPr>
            </w:pPr>
            <w:r w:rsidRPr="00640EC9">
              <w:rPr>
                <w:rFonts w:hint="eastAsia"/>
                <w:color w:val="000000"/>
                <w:w w:val="15"/>
                <w:szCs w:val="20"/>
                <w:shd w:val="solid" w:color="000000" w:fill="000000"/>
                <w:fitText w:val="48" w:id="-961889527"/>
                <w14:textFill>
                  <w14:solidFill>
                    <w14:srgbClr w14:val="000000">
                      <w14:alpha w14:val="100000"/>
                    </w14:srgbClr>
                  </w14:solidFill>
                </w14:textFill>
              </w:rPr>
              <w:t xml:space="preserve">　</w:t>
            </w:r>
            <w:r w:rsidRPr="00640EC9">
              <w:rPr>
                <w:color w:val="000000"/>
                <w:w w:val="15"/>
                <w:szCs w:val="20"/>
                <w:shd w:val="solid" w:color="000000" w:fill="000000"/>
                <w:fitText w:val="48" w:id="-961889527"/>
                <w14:textFill>
                  <w14:solidFill>
                    <w14:srgbClr w14:val="000000">
                      <w14:alpha w14:val="100000"/>
                    </w14:srgbClr>
                  </w14:solidFill>
                </w14:textFill>
              </w:rPr>
              <w:t>|</w:t>
            </w:r>
            <w:r w:rsidRPr="00640EC9">
              <w:rPr>
                <w:rFonts w:hint="eastAsia"/>
                <w:color w:val="000000"/>
                <w:spacing w:val="-17"/>
                <w:w w:val="15"/>
                <w:szCs w:val="20"/>
                <w:shd w:val="solid" w:color="000000" w:fill="000000"/>
                <w:fitText w:val="48" w:id="-961889527"/>
                <w14:textFill>
                  <w14:solidFill>
                    <w14:srgbClr w14:val="000000">
                      <w14:alpha w14:val="100000"/>
                    </w14:srgbClr>
                  </w14:solidFill>
                </w14:textFill>
              </w:rPr>
              <w:t xml:space="preserve">　</w:t>
            </w:r>
            <w:r w:rsidR="00DB0472" w:rsidRPr="00DB0472">
              <w:rPr>
                <w:vertAlign w:val="superscript"/>
              </w:rPr>
              <w:t>1</w:t>
            </w:r>
          </w:p>
        </w:tc>
        <w:tc>
          <w:tcPr>
            <w:tcW w:w="920" w:type="dxa"/>
            <w:shd w:val="clear" w:color="auto" w:fill="auto"/>
            <w:tcMar>
              <w:left w:w="20" w:type="dxa"/>
              <w:right w:w="20" w:type="dxa"/>
            </w:tcMar>
            <w:vAlign w:val="center"/>
          </w:tcPr>
          <w:p w14:paraId="0888BA44" w14:textId="142F502E" w:rsidR="003F4569" w:rsidRPr="00AB3F41" w:rsidRDefault="00640EC9" w:rsidP="00233562">
            <w:pPr>
              <w:pStyle w:val="TableText0"/>
              <w:keepNext w:val="0"/>
              <w:widowControl w:val="0"/>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DB0472" w:rsidRPr="00DB0472">
              <w:rPr>
                <w:szCs w:val="20"/>
                <w:vertAlign w:val="superscript"/>
              </w:rPr>
              <w:t>2</w:t>
            </w:r>
          </w:p>
        </w:tc>
      </w:tr>
      <w:tr w:rsidR="002C1990" w:rsidRPr="009941F8" w14:paraId="0C72BDA8" w14:textId="77777777" w:rsidTr="00233562">
        <w:tblPrEx>
          <w:tblCellMar>
            <w:left w:w="108" w:type="dxa"/>
            <w:right w:w="108" w:type="dxa"/>
          </w:tblCellMar>
        </w:tblPrEx>
        <w:tc>
          <w:tcPr>
            <w:tcW w:w="2122" w:type="dxa"/>
            <w:shd w:val="clear" w:color="auto" w:fill="auto"/>
            <w:tcMar>
              <w:left w:w="20" w:type="dxa"/>
              <w:right w:w="20" w:type="dxa"/>
            </w:tcMar>
          </w:tcPr>
          <w:p w14:paraId="259912E6" w14:textId="77777777" w:rsidR="003F4569" w:rsidRPr="009941F8" w:rsidRDefault="003F4569" w:rsidP="00233562">
            <w:pPr>
              <w:pStyle w:val="TableText0"/>
              <w:keepNext w:val="0"/>
              <w:widowControl w:val="0"/>
              <w:rPr>
                <w:szCs w:val="20"/>
              </w:rPr>
            </w:pPr>
            <w:r w:rsidRPr="009941F8">
              <w:rPr>
                <w:szCs w:val="20"/>
              </w:rPr>
              <w:t>Eligible pop.</w:t>
            </w:r>
          </w:p>
        </w:tc>
        <w:tc>
          <w:tcPr>
            <w:tcW w:w="992" w:type="dxa"/>
            <w:shd w:val="clear" w:color="auto" w:fill="auto"/>
            <w:tcMar>
              <w:left w:w="20" w:type="dxa"/>
              <w:right w:w="20" w:type="dxa"/>
            </w:tcMar>
            <w:vAlign w:val="center"/>
          </w:tcPr>
          <w:p w14:paraId="7C76C73C" w14:textId="543A7A39"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6"/>
                <w14:textFill>
                  <w14:solidFill>
                    <w14:srgbClr w14:val="000000">
                      <w14:alpha w14:val="100000"/>
                    </w14:srgbClr>
                  </w14:solidFill>
                </w14:textFill>
              </w:rPr>
              <w:t xml:space="preserve">　</w:t>
            </w:r>
            <w:r w:rsidRPr="00640EC9">
              <w:rPr>
                <w:color w:val="000000"/>
                <w:w w:val="15"/>
                <w:shd w:val="solid" w:color="000000" w:fill="000000"/>
                <w:fitText w:val="48" w:id="-961889526"/>
                <w14:textFill>
                  <w14:solidFill>
                    <w14:srgbClr w14:val="000000">
                      <w14:alpha w14:val="100000"/>
                    </w14:srgbClr>
                  </w14:solidFill>
                </w14:textFill>
              </w:rPr>
              <w:t>|</w:t>
            </w:r>
            <w:r w:rsidRPr="00640EC9">
              <w:rPr>
                <w:rFonts w:hint="eastAsia"/>
                <w:color w:val="000000"/>
                <w:spacing w:val="-17"/>
                <w:w w:val="15"/>
                <w:shd w:val="solid" w:color="000000" w:fill="000000"/>
                <w:fitText w:val="48" w:id="-961889526"/>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73C64626" w14:textId="5F06777F"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5"/>
                <w14:textFill>
                  <w14:solidFill>
                    <w14:srgbClr w14:val="000000">
                      <w14:alpha w14:val="100000"/>
                    </w14:srgbClr>
                  </w14:solidFill>
                </w14:textFill>
              </w:rPr>
              <w:t xml:space="preserve">　</w:t>
            </w:r>
            <w:r w:rsidRPr="00640EC9">
              <w:rPr>
                <w:color w:val="000000"/>
                <w:w w:val="15"/>
                <w:shd w:val="solid" w:color="000000" w:fill="000000"/>
                <w:fitText w:val="48" w:id="-961889525"/>
                <w14:textFill>
                  <w14:solidFill>
                    <w14:srgbClr w14:val="000000">
                      <w14:alpha w14:val="100000"/>
                    </w14:srgbClr>
                  </w14:solidFill>
                </w14:textFill>
              </w:rPr>
              <w:t>|</w:t>
            </w:r>
            <w:r w:rsidRPr="00640EC9">
              <w:rPr>
                <w:rFonts w:hint="eastAsia"/>
                <w:color w:val="000000"/>
                <w:spacing w:val="-17"/>
                <w:w w:val="15"/>
                <w:shd w:val="solid" w:color="000000" w:fill="000000"/>
                <w:fitText w:val="48" w:id="-961889525"/>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187E1BAA" w14:textId="37305538"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4"/>
                <w14:textFill>
                  <w14:solidFill>
                    <w14:srgbClr w14:val="000000">
                      <w14:alpha w14:val="100000"/>
                    </w14:srgbClr>
                  </w14:solidFill>
                </w14:textFill>
              </w:rPr>
              <w:t xml:space="preserve">　</w:t>
            </w:r>
            <w:r w:rsidRPr="00640EC9">
              <w:rPr>
                <w:color w:val="000000"/>
                <w:w w:val="15"/>
                <w:shd w:val="solid" w:color="000000" w:fill="000000"/>
                <w:fitText w:val="48" w:id="-961889524"/>
                <w14:textFill>
                  <w14:solidFill>
                    <w14:srgbClr w14:val="000000">
                      <w14:alpha w14:val="100000"/>
                    </w14:srgbClr>
                  </w14:solidFill>
                </w14:textFill>
              </w:rPr>
              <w:t>|</w:t>
            </w:r>
            <w:r w:rsidRPr="00640EC9">
              <w:rPr>
                <w:rFonts w:hint="eastAsia"/>
                <w:color w:val="000000"/>
                <w:spacing w:val="-17"/>
                <w:w w:val="15"/>
                <w:shd w:val="solid" w:color="000000" w:fill="000000"/>
                <w:fitText w:val="48" w:id="-961889524"/>
                <w14:textFill>
                  <w14:solidFill>
                    <w14:srgbClr w14:val="000000">
                      <w14:alpha w14:val="100000"/>
                    </w14:srgbClr>
                  </w14:solidFill>
                </w14:textFill>
              </w:rPr>
              <w:t xml:space="preserve">　</w:t>
            </w:r>
            <w:r w:rsidR="00DB0472" w:rsidRPr="00DB0472">
              <w:rPr>
                <w:vertAlign w:val="superscript"/>
              </w:rPr>
              <w:t>3</w:t>
            </w:r>
          </w:p>
        </w:tc>
        <w:tc>
          <w:tcPr>
            <w:tcW w:w="993" w:type="dxa"/>
            <w:shd w:val="clear" w:color="auto" w:fill="auto"/>
            <w:tcMar>
              <w:left w:w="20" w:type="dxa"/>
              <w:right w:w="20" w:type="dxa"/>
            </w:tcMar>
            <w:vAlign w:val="center"/>
          </w:tcPr>
          <w:p w14:paraId="38F805FA" w14:textId="59524E7D"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3"/>
                <w14:textFill>
                  <w14:solidFill>
                    <w14:srgbClr w14:val="000000">
                      <w14:alpha w14:val="100000"/>
                    </w14:srgbClr>
                  </w14:solidFill>
                </w14:textFill>
              </w:rPr>
              <w:t xml:space="preserve">　</w:t>
            </w:r>
            <w:r w:rsidRPr="00640EC9">
              <w:rPr>
                <w:color w:val="000000"/>
                <w:w w:val="15"/>
                <w:shd w:val="solid" w:color="000000" w:fill="000000"/>
                <w:fitText w:val="48" w:id="-961889523"/>
                <w14:textFill>
                  <w14:solidFill>
                    <w14:srgbClr w14:val="000000">
                      <w14:alpha w14:val="100000"/>
                    </w14:srgbClr>
                  </w14:solidFill>
                </w14:textFill>
              </w:rPr>
              <w:t>|</w:t>
            </w:r>
            <w:r w:rsidRPr="00640EC9">
              <w:rPr>
                <w:rFonts w:hint="eastAsia"/>
                <w:color w:val="000000"/>
                <w:spacing w:val="-17"/>
                <w:w w:val="15"/>
                <w:shd w:val="solid" w:color="000000" w:fill="000000"/>
                <w:fitText w:val="48" w:id="-961889523"/>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1E0A0AA9" w14:textId="2B14D9AB"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2"/>
                <w14:textFill>
                  <w14:solidFill>
                    <w14:srgbClr w14:val="000000">
                      <w14:alpha w14:val="100000"/>
                    </w14:srgbClr>
                  </w14:solidFill>
                </w14:textFill>
              </w:rPr>
              <w:t xml:space="preserve">　</w:t>
            </w:r>
            <w:r w:rsidRPr="00640EC9">
              <w:rPr>
                <w:color w:val="000000"/>
                <w:w w:val="15"/>
                <w:shd w:val="solid" w:color="000000" w:fill="000000"/>
                <w:fitText w:val="48" w:id="-961889522"/>
                <w14:textFill>
                  <w14:solidFill>
                    <w14:srgbClr w14:val="000000">
                      <w14:alpha w14:val="100000"/>
                    </w14:srgbClr>
                  </w14:solidFill>
                </w14:textFill>
              </w:rPr>
              <w:t>|</w:t>
            </w:r>
            <w:r w:rsidRPr="00640EC9">
              <w:rPr>
                <w:rFonts w:hint="eastAsia"/>
                <w:color w:val="000000"/>
                <w:spacing w:val="-17"/>
                <w:w w:val="15"/>
                <w:shd w:val="solid" w:color="000000" w:fill="000000"/>
                <w:fitText w:val="48" w:id="-961889522"/>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0247A9C6" w14:textId="15A8D265"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1"/>
                <w14:textFill>
                  <w14:solidFill>
                    <w14:srgbClr w14:val="000000">
                      <w14:alpha w14:val="100000"/>
                    </w14:srgbClr>
                  </w14:solidFill>
                </w14:textFill>
              </w:rPr>
              <w:t xml:space="preserve">　</w:t>
            </w:r>
            <w:r w:rsidRPr="00640EC9">
              <w:rPr>
                <w:color w:val="000000"/>
                <w:w w:val="15"/>
                <w:shd w:val="solid" w:color="000000" w:fill="000000"/>
                <w:fitText w:val="48" w:id="-961889521"/>
                <w14:textFill>
                  <w14:solidFill>
                    <w14:srgbClr w14:val="000000">
                      <w14:alpha w14:val="100000"/>
                    </w14:srgbClr>
                  </w14:solidFill>
                </w14:textFill>
              </w:rPr>
              <w:t>|</w:t>
            </w:r>
            <w:r w:rsidRPr="00640EC9">
              <w:rPr>
                <w:rFonts w:hint="eastAsia"/>
                <w:color w:val="000000"/>
                <w:spacing w:val="-17"/>
                <w:w w:val="15"/>
                <w:shd w:val="solid" w:color="000000" w:fill="000000"/>
                <w:fitText w:val="48" w:id="-961889521"/>
                <w14:textFill>
                  <w14:solidFill>
                    <w14:srgbClr w14:val="000000">
                      <w14:alpha w14:val="100000"/>
                    </w14:srgbClr>
                  </w14:solidFill>
                </w14:textFill>
              </w:rPr>
              <w:t xml:space="preserve">　</w:t>
            </w:r>
            <w:r w:rsidR="00DB0472" w:rsidRPr="00DB0472">
              <w:rPr>
                <w:vertAlign w:val="superscript"/>
              </w:rPr>
              <w:t>3</w:t>
            </w:r>
          </w:p>
        </w:tc>
        <w:tc>
          <w:tcPr>
            <w:tcW w:w="920" w:type="dxa"/>
            <w:shd w:val="clear" w:color="auto" w:fill="auto"/>
            <w:tcMar>
              <w:left w:w="20" w:type="dxa"/>
              <w:right w:w="20" w:type="dxa"/>
            </w:tcMar>
            <w:vAlign w:val="center"/>
          </w:tcPr>
          <w:p w14:paraId="1248C322" w14:textId="0A37FF87" w:rsidR="003F4569"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AD60E5" w:rsidRPr="00AD60E5">
              <w:rPr>
                <w:b/>
                <w:bCs w:val="0"/>
                <w:vertAlign w:val="superscript"/>
              </w:rPr>
              <w:t>6</w:t>
            </w:r>
          </w:p>
        </w:tc>
      </w:tr>
      <w:tr w:rsidR="002C1990" w:rsidRPr="009941F8" w14:paraId="79552991" w14:textId="77777777" w:rsidTr="00233562">
        <w:tblPrEx>
          <w:tblCellMar>
            <w:left w:w="108" w:type="dxa"/>
            <w:right w:w="108" w:type="dxa"/>
          </w:tblCellMar>
        </w:tblPrEx>
        <w:tc>
          <w:tcPr>
            <w:tcW w:w="2122" w:type="dxa"/>
            <w:shd w:val="clear" w:color="auto" w:fill="auto"/>
            <w:tcMar>
              <w:left w:w="20" w:type="dxa"/>
              <w:right w:w="20" w:type="dxa"/>
            </w:tcMar>
          </w:tcPr>
          <w:p w14:paraId="56353A20" w14:textId="77777777" w:rsidR="003F4569" w:rsidRPr="009941F8" w:rsidRDefault="003F4569" w:rsidP="00233562">
            <w:pPr>
              <w:pStyle w:val="TableText0"/>
              <w:keepNext w:val="0"/>
              <w:widowControl w:val="0"/>
              <w:rPr>
                <w:szCs w:val="20"/>
              </w:rPr>
            </w:pPr>
            <w:r w:rsidRPr="009941F8">
              <w:rPr>
                <w:szCs w:val="20"/>
              </w:rPr>
              <w:t>Uptake rate</w:t>
            </w:r>
          </w:p>
        </w:tc>
        <w:tc>
          <w:tcPr>
            <w:tcW w:w="992" w:type="dxa"/>
            <w:shd w:val="clear" w:color="auto" w:fill="auto"/>
            <w:tcMar>
              <w:left w:w="20" w:type="dxa"/>
              <w:right w:w="20" w:type="dxa"/>
            </w:tcMar>
            <w:vAlign w:val="center"/>
          </w:tcPr>
          <w:p w14:paraId="5303BA9D" w14:textId="1A72518F" w:rsidR="003F4569" w:rsidRPr="0031580A" w:rsidRDefault="00640EC9" w:rsidP="00233562">
            <w:pPr>
              <w:pStyle w:val="TableText0"/>
              <w:keepNext w:val="0"/>
              <w:widowControl w:val="0"/>
              <w:jc w:val="center"/>
              <w:rPr>
                <w:szCs w:val="20"/>
              </w:rPr>
            </w:pPr>
            <w:r w:rsidRPr="00640EC9">
              <w:rPr>
                <w:rFonts w:hint="eastAsia"/>
                <w:color w:val="000000"/>
                <w:w w:val="21"/>
                <w:shd w:val="solid" w:color="000000" w:fill="000000"/>
                <w:fitText w:val="96" w:id="-961889520"/>
                <w14:textFill>
                  <w14:solidFill>
                    <w14:srgbClr w14:val="000000">
                      <w14:alpha w14:val="100000"/>
                    </w14:srgbClr>
                  </w14:solidFill>
                </w14:textFill>
              </w:rPr>
              <w:t xml:space="preserve">　</w:t>
            </w:r>
            <w:r w:rsidRPr="00640EC9">
              <w:rPr>
                <w:color w:val="000000"/>
                <w:w w:val="21"/>
                <w:shd w:val="solid" w:color="000000" w:fill="000000"/>
                <w:fitText w:val="96" w:id="-961889520"/>
                <w14:textFill>
                  <w14:solidFill>
                    <w14:srgbClr w14:val="000000">
                      <w14:alpha w14:val="100000"/>
                    </w14:srgbClr>
                  </w14:solidFill>
                </w14:textFill>
              </w:rPr>
              <w:t>|</w:t>
            </w:r>
            <w:r w:rsidRPr="00640EC9">
              <w:rPr>
                <w:rFonts w:hint="eastAsia"/>
                <w:color w:val="000000"/>
                <w:spacing w:val="5"/>
                <w:w w:val="21"/>
                <w:shd w:val="solid" w:color="000000" w:fill="000000"/>
                <w:fitText w:val="96" w:id="-961889520"/>
                <w14:textFill>
                  <w14:solidFill>
                    <w14:srgbClr w14:val="000000">
                      <w14:alpha w14:val="100000"/>
                    </w14:srgbClr>
                  </w14:solidFill>
                </w14:textFill>
              </w:rPr>
              <w:t xml:space="preserve">　</w:t>
            </w:r>
            <w:r w:rsidR="003F4569" w:rsidRPr="0031580A">
              <w:t>%</w:t>
            </w:r>
          </w:p>
        </w:tc>
        <w:tc>
          <w:tcPr>
            <w:tcW w:w="992" w:type="dxa"/>
            <w:shd w:val="clear" w:color="auto" w:fill="auto"/>
            <w:tcMar>
              <w:left w:w="20" w:type="dxa"/>
              <w:right w:w="20" w:type="dxa"/>
            </w:tcMar>
            <w:vAlign w:val="center"/>
          </w:tcPr>
          <w:p w14:paraId="511AE7EF" w14:textId="240E4B0A" w:rsidR="003F4569" w:rsidRPr="0031580A" w:rsidRDefault="00640EC9" w:rsidP="00233562">
            <w:pPr>
              <w:pStyle w:val="TableText0"/>
              <w:keepNext w:val="0"/>
              <w:widowControl w:val="0"/>
              <w:jc w:val="center"/>
              <w:rPr>
                <w:szCs w:val="20"/>
              </w:rPr>
            </w:pPr>
            <w:r w:rsidRPr="00640EC9">
              <w:rPr>
                <w:rFonts w:hint="eastAsia"/>
                <w:color w:val="000000"/>
                <w:w w:val="21"/>
                <w:shd w:val="solid" w:color="000000" w:fill="000000"/>
                <w:fitText w:val="96" w:id="-961889536"/>
                <w14:textFill>
                  <w14:solidFill>
                    <w14:srgbClr w14:val="000000">
                      <w14:alpha w14:val="100000"/>
                    </w14:srgbClr>
                  </w14:solidFill>
                </w14:textFill>
              </w:rPr>
              <w:t xml:space="preserve">　</w:t>
            </w:r>
            <w:r w:rsidRPr="00640EC9">
              <w:rPr>
                <w:color w:val="000000"/>
                <w:w w:val="21"/>
                <w:shd w:val="solid" w:color="000000" w:fill="000000"/>
                <w:fitText w:val="96" w:id="-961889536"/>
                <w14:textFill>
                  <w14:solidFill>
                    <w14:srgbClr w14:val="000000">
                      <w14:alpha w14:val="100000"/>
                    </w14:srgbClr>
                  </w14:solidFill>
                </w14:textFill>
              </w:rPr>
              <w:t>|</w:t>
            </w:r>
            <w:r w:rsidRPr="00640EC9">
              <w:rPr>
                <w:rFonts w:hint="eastAsia"/>
                <w:color w:val="000000"/>
                <w:spacing w:val="5"/>
                <w:w w:val="21"/>
                <w:shd w:val="solid" w:color="000000" w:fill="000000"/>
                <w:fitText w:val="96" w:id="-961889536"/>
                <w14:textFill>
                  <w14:solidFill>
                    <w14:srgbClr w14:val="000000">
                      <w14:alpha w14:val="100000"/>
                    </w14:srgbClr>
                  </w14:solidFill>
                </w14:textFill>
              </w:rPr>
              <w:t xml:space="preserve">　</w:t>
            </w:r>
            <w:r w:rsidR="003F4569" w:rsidRPr="0031580A">
              <w:t>%</w:t>
            </w:r>
          </w:p>
        </w:tc>
        <w:tc>
          <w:tcPr>
            <w:tcW w:w="992" w:type="dxa"/>
            <w:shd w:val="clear" w:color="auto" w:fill="auto"/>
            <w:tcMar>
              <w:left w:w="20" w:type="dxa"/>
              <w:right w:w="20" w:type="dxa"/>
            </w:tcMar>
            <w:vAlign w:val="center"/>
          </w:tcPr>
          <w:p w14:paraId="10409FEF" w14:textId="3C5F60CA" w:rsidR="003F4569" w:rsidRPr="0031580A" w:rsidRDefault="00640EC9" w:rsidP="00233562">
            <w:pPr>
              <w:pStyle w:val="TableText0"/>
              <w:keepNext w:val="0"/>
              <w:widowControl w:val="0"/>
              <w:jc w:val="center"/>
              <w:rPr>
                <w:szCs w:val="20"/>
              </w:rPr>
            </w:pPr>
            <w:r w:rsidRPr="00640EC9">
              <w:rPr>
                <w:rFonts w:hint="eastAsia"/>
                <w:color w:val="000000"/>
                <w:w w:val="21"/>
                <w:shd w:val="solid" w:color="000000" w:fill="000000"/>
                <w:fitText w:val="96" w:id="-961889535"/>
                <w14:textFill>
                  <w14:solidFill>
                    <w14:srgbClr w14:val="000000">
                      <w14:alpha w14:val="100000"/>
                    </w14:srgbClr>
                  </w14:solidFill>
                </w14:textFill>
              </w:rPr>
              <w:t xml:space="preserve">　</w:t>
            </w:r>
            <w:r w:rsidRPr="00640EC9">
              <w:rPr>
                <w:color w:val="000000"/>
                <w:w w:val="21"/>
                <w:shd w:val="solid" w:color="000000" w:fill="000000"/>
                <w:fitText w:val="96" w:id="-961889535"/>
                <w14:textFill>
                  <w14:solidFill>
                    <w14:srgbClr w14:val="000000">
                      <w14:alpha w14:val="100000"/>
                    </w14:srgbClr>
                  </w14:solidFill>
                </w14:textFill>
              </w:rPr>
              <w:t>|</w:t>
            </w:r>
            <w:r w:rsidRPr="00640EC9">
              <w:rPr>
                <w:rFonts w:hint="eastAsia"/>
                <w:color w:val="000000"/>
                <w:spacing w:val="5"/>
                <w:w w:val="21"/>
                <w:shd w:val="solid" w:color="000000" w:fill="000000"/>
                <w:fitText w:val="96" w:id="-961889535"/>
                <w14:textFill>
                  <w14:solidFill>
                    <w14:srgbClr w14:val="000000">
                      <w14:alpha w14:val="100000"/>
                    </w14:srgbClr>
                  </w14:solidFill>
                </w14:textFill>
              </w:rPr>
              <w:t xml:space="preserve">　</w:t>
            </w:r>
            <w:r w:rsidR="003F4569" w:rsidRPr="0031580A">
              <w:t>%</w:t>
            </w:r>
          </w:p>
        </w:tc>
        <w:tc>
          <w:tcPr>
            <w:tcW w:w="993" w:type="dxa"/>
            <w:shd w:val="clear" w:color="auto" w:fill="auto"/>
            <w:tcMar>
              <w:left w:w="20" w:type="dxa"/>
              <w:right w:w="20" w:type="dxa"/>
            </w:tcMar>
            <w:vAlign w:val="center"/>
          </w:tcPr>
          <w:p w14:paraId="1A443AB7" w14:textId="03C189A0" w:rsidR="003F4569" w:rsidRPr="0031580A" w:rsidRDefault="00640EC9" w:rsidP="00233562">
            <w:pPr>
              <w:pStyle w:val="TableText0"/>
              <w:keepNext w:val="0"/>
              <w:widowControl w:val="0"/>
              <w:jc w:val="center"/>
              <w:rPr>
                <w:szCs w:val="20"/>
              </w:rPr>
            </w:pPr>
            <w:r w:rsidRPr="00640EC9">
              <w:rPr>
                <w:rFonts w:hint="eastAsia"/>
                <w:color w:val="000000"/>
                <w:w w:val="21"/>
                <w:shd w:val="solid" w:color="000000" w:fill="000000"/>
                <w:fitText w:val="96" w:id="-961889534"/>
                <w14:textFill>
                  <w14:solidFill>
                    <w14:srgbClr w14:val="000000">
                      <w14:alpha w14:val="100000"/>
                    </w14:srgbClr>
                  </w14:solidFill>
                </w14:textFill>
              </w:rPr>
              <w:t xml:space="preserve">　</w:t>
            </w:r>
            <w:r w:rsidRPr="00640EC9">
              <w:rPr>
                <w:color w:val="000000"/>
                <w:w w:val="21"/>
                <w:shd w:val="solid" w:color="000000" w:fill="000000"/>
                <w:fitText w:val="96" w:id="-961889534"/>
                <w14:textFill>
                  <w14:solidFill>
                    <w14:srgbClr w14:val="000000">
                      <w14:alpha w14:val="100000"/>
                    </w14:srgbClr>
                  </w14:solidFill>
                </w14:textFill>
              </w:rPr>
              <w:t>|</w:t>
            </w:r>
            <w:r w:rsidRPr="00640EC9">
              <w:rPr>
                <w:rFonts w:hint="eastAsia"/>
                <w:color w:val="000000"/>
                <w:spacing w:val="5"/>
                <w:w w:val="21"/>
                <w:shd w:val="solid" w:color="000000" w:fill="000000"/>
                <w:fitText w:val="96" w:id="-961889534"/>
                <w14:textFill>
                  <w14:solidFill>
                    <w14:srgbClr w14:val="000000">
                      <w14:alpha w14:val="100000"/>
                    </w14:srgbClr>
                  </w14:solidFill>
                </w14:textFill>
              </w:rPr>
              <w:t xml:space="preserve">　</w:t>
            </w:r>
            <w:r w:rsidR="003F4569" w:rsidRPr="0031580A">
              <w:t>%</w:t>
            </w:r>
          </w:p>
        </w:tc>
        <w:tc>
          <w:tcPr>
            <w:tcW w:w="992" w:type="dxa"/>
            <w:shd w:val="clear" w:color="auto" w:fill="auto"/>
            <w:tcMar>
              <w:left w:w="20" w:type="dxa"/>
              <w:right w:w="20" w:type="dxa"/>
            </w:tcMar>
            <w:vAlign w:val="center"/>
          </w:tcPr>
          <w:p w14:paraId="468D3C5F" w14:textId="472A31FF" w:rsidR="003F4569" w:rsidRPr="0031580A" w:rsidRDefault="00640EC9" w:rsidP="00233562">
            <w:pPr>
              <w:pStyle w:val="TableText0"/>
              <w:keepNext w:val="0"/>
              <w:widowControl w:val="0"/>
              <w:jc w:val="center"/>
              <w:rPr>
                <w:szCs w:val="20"/>
              </w:rPr>
            </w:pPr>
            <w:r w:rsidRPr="00640EC9">
              <w:rPr>
                <w:rFonts w:hint="eastAsia"/>
                <w:color w:val="000000"/>
                <w:w w:val="21"/>
                <w:shd w:val="solid" w:color="000000" w:fill="000000"/>
                <w:fitText w:val="96" w:id="-961889533"/>
                <w14:textFill>
                  <w14:solidFill>
                    <w14:srgbClr w14:val="000000">
                      <w14:alpha w14:val="100000"/>
                    </w14:srgbClr>
                  </w14:solidFill>
                </w14:textFill>
              </w:rPr>
              <w:t xml:space="preserve">　</w:t>
            </w:r>
            <w:r w:rsidRPr="00640EC9">
              <w:rPr>
                <w:color w:val="000000"/>
                <w:w w:val="21"/>
                <w:shd w:val="solid" w:color="000000" w:fill="000000"/>
                <w:fitText w:val="96" w:id="-961889533"/>
                <w14:textFill>
                  <w14:solidFill>
                    <w14:srgbClr w14:val="000000">
                      <w14:alpha w14:val="100000"/>
                    </w14:srgbClr>
                  </w14:solidFill>
                </w14:textFill>
              </w:rPr>
              <w:t>|</w:t>
            </w:r>
            <w:r w:rsidRPr="00640EC9">
              <w:rPr>
                <w:rFonts w:hint="eastAsia"/>
                <w:color w:val="000000"/>
                <w:spacing w:val="5"/>
                <w:w w:val="21"/>
                <w:shd w:val="solid" w:color="000000" w:fill="000000"/>
                <w:fitText w:val="96" w:id="-961889533"/>
                <w14:textFill>
                  <w14:solidFill>
                    <w14:srgbClr w14:val="000000">
                      <w14:alpha w14:val="100000"/>
                    </w14:srgbClr>
                  </w14:solidFill>
                </w14:textFill>
              </w:rPr>
              <w:t xml:space="preserve">　</w:t>
            </w:r>
            <w:r w:rsidR="003F4569" w:rsidRPr="0031580A">
              <w:t>%</w:t>
            </w:r>
          </w:p>
        </w:tc>
        <w:tc>
          <w:tcPr>
            <w:tcW w:w="992" w:type="dxa"/>
            <w:shd w:val="clear" w:color="auto" w:fill="auto"/>
            <w:tcMar>
              <w:left w:w="20" w:type="dxa"/>
              <w:right w:w="20" w:type="dxa"/>
            </w:tcMar>
            <w:vAlign w:val="center"/>
          </w:tcPr>
          <w:p w14:paraId="3351E3B3" w14:textId="45ABE227" w:rsidR="003F4569" w:rsidRPr="0031580A" w:rsidRDefault="00640EC9" w:rsidP="00233562">
            <w:pPr>
              <w:pStyle w:val="TableText0"/>
              <w:keepNext w:val="0"/>
              <w:widowControl w:val="0"/>
              <w:jc w:val="center"/>
              <w:rPr>
                <w:szCs w:val="20"/>
              </w:rPr>
            </w:pPr>
            <w:r w:rsidRPr="00640EC9">
              <w:rPr>
                <w:rFonts w:hint="eastAsia"/>
                <w:color w:val="000000"/>
                <w:w w:val="21"/>
                <w:shd w:val="solid" w:color="000000" w:fill="000000"/>
                <w:fitText w:val="96" w:id="-961889532"/>
                <w14:textFill>
                  <w14:solidFill>
                    <w14:srgbClr w14:val="000000">
                      <w14:alpha w14:val="100000"/>
                    </w14:srgbClr>
                  </w14:solidFill>
                </w14:textFill>
              </w:rPr>
              <w:t xml:space="preserve">　</w:t>
            </w:r>
            <w:r w:rsidRPr="00640EC9">
              <w:rPr>
                <w:color w:val="000000"/>
                <w:w w:val="21"/>
                <w:shd w:val="solid" w:color="000000" w:fill="000000"/>
                <w:fitText w:val="96" w:id="-961889532"/>
                <w14:textFill>
                  <w14:solidFill>
                    <w14:srgbClr w14:val="000000">
                      <w14:alpha w14:val="100000"/>
                    </w14:srgbClr>
                  </w14:solidFill>
                </w14:textFill>
              </w:rPr>
              <w:t>|</w:t>
            </w:r>
            <w:r w:rsidRPr="00640EC9">
              <w:rPr>
                <w:rFonts w:hint="eastAsia"/>
                <w:color w:val="000000"/>
                <w:spacing w:val="5"/>
                <w:w w:val="21"/>
                <w:shd w:val="solid" w:color="000000" w:fill="000000"/>
                <w:fitText w:val="96" w:id="-961889532"/>
                <w14:textFill>
                  <w14:solidFill>
                    <w14:srgbClr w14:val="000000">
                      <w14:alpha w14:val="100000"/>
                    </w14:srgbClr>
                  </w14:solidFill>
                </w14:textFill>
              </w:rPr>
              <w:t xml:space="preserve">　</w:t>
            </w:r>
            <w:r w:rsidR="003F4569" w:rsidRPr="0031580A">
              <w:t>%</w:t>
            </w:r>
          </w:p>
        </w:tc>
        <w:tc>
          <w:tcPr>
            <w:tcW w:w="920" w:type="dxa"/>
            <w:shd w:val="clear" w:color="auto" w:fill="auto"/>
            <w:tcMar>
              <w:left w:w="20" w:type="dxa"/>
              <w:right w:w="20" w:type="dxa"/>
            </w:tcMar>
            <w:vAlign w:val="center"/>
          </w:tcPr>
          <w:p w14:paraId="6799260A" w14:textId="77777777" w:rsidR="003F4569" w:rsidRPr="0031580A" w:rsidRDefault="003F4569" w:rsidP="00233562">
            <w:pPr>
              <w:pStyle w:val="TableText0"/>
              <w:keepNext w:val="0"/>
              <w:widowControl w:val="0"/>
              <w:jc w:val="center"/>
              <w:rPr>
                <w:szCs w:val="20"/>
              </w:rPr>
            </w:pPr>
            <w:r w:rsidRPr="0031580A">
              <w:rPr>
                <w:szCs w:val="20"/>
              </w:rPr>
              <w:t>-</w:t>
            </w:r>
          </w:p>
        </w:tc>
      </w:tr>
      <w:tr w:rsidR="002C1990" w:rsidRPr="009941F8" w14:paraId="3B3485C5" w14:textId="77777777" w:rsidTr="00233562">
        <w:tblPrEx>
          <w:tblCellMar>
            <w:left w:w="108" w:type="dxa"/>
            <w:right w:w="108" w:type="dxa"/>
          </w:tblCellMar>
        </w:tblPrEx>
        <w:tc>
          <w:tcPr>
            <w:tcW w:w="2122" w:type="dxa"/>
            <w:shd w:val="clear" w:color="auto" w:fill="auto"/>
            <w:tcMar>
              <w:left w:w="20" w:type="dxa"/>
              <w:right w:w="20" w:type="dxa"/>
            </w:tcMar>
          </w:tcPr>
          <w:p w14:paraId="5E3ABE1A" w14:textId="793174DA" w:rsidR="003F4569" w:rsidRPr="009941F8" w:rsidRDefault="003F4569" w:rsidP="00233562">
            <w:pPr>
              <w:pStyle w:val="TableText0"/>
              <w:keepNext w:val="0"/>
              <w:widowControl w:val="0"/>
              <w:rPr>
                <w:szCs w:val="20"/>
              </w:rPr>
            </w:pPr>
            <w:r w:rsidRPr="009941F8">
              <w:rPr>
                <w:szCs w:val="20"/>
              </w:rPr>
              <w:t>Initiating patients</w:t>
            </w:r>
          </w:p>
        </w:tc>
        <w:tc>
          <w:tcPr>
            <w:tcW w:w="992" w:type="dxa"/>
            <w:shd w:val="clear" w:color="auto" w:fill="auto"/>
            <w:tcMar>
              <w:left w:w="20" w:type="dxa"/>
              <w:right w:w="20" w:type="dxa"/>
            </w:tcMar>
            <w:vAlign w:val="center"/>
          </w:tcPr>
          <w:p w14:paraId="0E9BDA91" w14:textId="007B6D8A"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31"/>
                <w14:textFill>
                  <w14:solidFill>
                    <w14:srgbClr w14:val="000000">
                      <w14:alpha w14:val="100000"/>
                    </w14:srgbClr>
                  </w14:solidFill>
                </w14:textFill>
              </w:rPr>
              <w:t xml:space="preserve">　</w:t>
            </w:r>
            <w:r w:rsidRPr="00640EC9">
              <w:rPr>
                <w:color w:val="000000"/>
                <w:w w:val="15"/>
                <w:shd w:val="solid" w:color="000000" w:fill="000000"/>
                <w:fitText w:val="48" w:id="-961889531"/>
                <w14:textFill>
                  <w14:solidFill>
                    <w14:srgbClr w14:val="000000">
                      <w14:alpha w14:val="100000"/>
                    </w14:srgbClr>
                  </w14:solidFill>
                </w14:textFill>
              </w:rPr>
              <w:t>|</w:t>
            </w:r>
            <w:r w:rsidRPr="00640EC9">
              <w:rPr>
                <w:rFonts w:hint="eastAsia"/>
                <w:color w:val="000000"/>
                <w:spacing w:val="-17"/>
                <w:w w:val="15"/>
                <w:shd w:val="solid" w:color="000000" w:fill="000000"/>
                <w:fitText w:val="48" w:id="-961889531"/>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0C1CAE77" w14:textId="094FE6F9"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30"/>
                <w14:textFill>
                  <w14:solidFill>
                    <w14:srgbClr w14:val="000000">
                      <w14:alpha w14:val="100000"/>
                    </w14:srgbClr>
                  </w14:solidFill>
                </w14:textFill>
              </w:rPr>
              <w:t xml:space="preserve">　</w:t>
            </w:r>
            <w:r w:rsidRPr="00640EC9">
              <w:rPr>
                <w:color w:val="000000"/>
                <w:w w:val="15"/>
                <w:shd w:val="solid" w:color="000000" w:fill="000000"/>
                <w:fitText w:val="48" w:id="-961889530"/>
                <w14:textFill>
                  <w14:solidFill>
                    <w14:srgbClr w14:val="000000">
                      <w14:alpha w14:val="100000"/>
                    </w14:srgbClr>
                  </w14:solidFill>
                </w14:textFill>
              </w:rPr>
              <w:t>|</w:t>
            </w:r>
            <w:r w:rsidRPr="00640EC9">
              <w:rPr>
                <w:rFonts w:hint="eastAsia"/>
                <w:color w:val="000000"/>
                <w:spacing w:val="-17"/>
                <w:w w:val="15"/>
                <w:shd w:val="solid" w:color="000000" w:fill="000000"/>
                <w:fitText w:val="48" w:id="-961889530"/>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435DD124" w14:textId="1444D351"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9"/>
                <w14:textFill>
                  <w14:solidFill>
                    <w14:srgbClr w14:val="000000">
                      <w14:alpha w14:val="100000"/>
                    </w14:srgbClr>
                  </w14:solidFill>
                </w14:textFill>
              </w:rPr>
              <w:t xml:space="preserve">　</w:t>
            </w:r>
            <w:r w:rsidRPr="00640EC9">
              <w:rPr>
                <w:color w:val="000000"/>
                <w:w w:val="15"/>
                <w:shd w:val="solid" w:color="000000" w:fill="000000"/>
                <w:fitText w:val="48" w:id="-961889529"/>
                <w14:textFill>
                  <w14:solidFill>
                    <w14:srgbClr w14:val="000000">
                      <w14:alpha w14:val="100000"/>
                    </w14:srgbClr>
                  </w14:solidFill>
                </w14:textFill>
              </w:rPr>
              <w:t>|</w:t>
            </w:r>
            <w:r w:rsidRPr="00640EC9">
              <w:rPr>
                <w:rFonts w:hint="eastAsia"/>
                <w:color w:val="000000"/>
                <w:spacing w:val="-17"/>
                <w:w w:val="15"/>
                <w:shd w:val="solid" w:color="000000" w:fill="000000"/>
                <w:fitText w:val="48" w:id="-961889529"/>
                <w14:textFill>
                  <w14:solidFill>
                    <w14:srgbClr w14:val="000000">
                      <w14:alpha w14:val="100000"/>
                    </w14:srgbClr>
                  </w14:solidFill>
                </w14:textFill>
              </w:rPr>
              <w:t xml:space="preserve">　</w:t>
            </w:r>
            <w:r w:rsidR="00DB0472" w:rsidRPr="00DB0472">
              <w:rPr>
                <w:vertAlign w:val="superscript"/>
              </w:rPr>
              <w:t>3</w:t>
            </w:r>
          </w:p>
        </w:tc>
        <w:tc>
          <w:tcPr>
            <w:tcW w:w="993" w:type="dxa"/>
            <w:shd w:val="clear" w:color="auto" w:fill="auto"/>
            <w:tcMar>
              <w:left w:w="20" w:type="dxa"/>
              <w:right w:w="20" w:type="dxa"/>
            </w:tcMar>
            <w:vAlign w:val="center"/>
          </w:tcPr>
          <w:p w14:paraId="012D179E" w14:textId="263BBB98"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8"/>
                <w14:textFill>
                  <w14:solidFill>
                    <w14:srgbClr w14:val="000000">
                      <w14:alpha w14:val="100000"/>
                    </w14:srgbClr>
                  </w14:solidFill>
                </w14:textFill>
              </w:rPr>
              <w:t xml:space="preserve">　</w:t>
            </w:r>
            <w:r w:rsidRPr="00640EC9">
              <w:rPr>
                <w:color w:val="000000"/>
                <w:w w:val="15"/>
                <w:shd w:val="solid" w:color="000000" w:fill="000000"/>
                <w:fitText w:val="48" w:id="-961889528"/>
                <w14:textFill>
                  <w14:solidFill>
                    <w14:srgbClr w14:val="000000">
                      <w14:alpha w14:val="100000"/>
                    </w14:srgbClr>
                  </w14:solidFill>
                </w14:textFill>
              </w:rPr>
              <w:t>|</w:t>
            </w:r>
            <w:r w:rsidRPr="00640EC9">
              <w:rPr>
                <w:rFonts w:hint="eastAsia"/>
                <w:color w:val="000000"/>
                <w:spacing w:val="-17"/>
                <w:w w:val="15"/>
                <w:shd w:val="solid" w:color="000000" w:fill="000000"/>
                <w:fitText w:val="48" w:id="-961889528"/>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39EFAB17" w14:textId="446DD0DE"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7"/>
                <w14:textFill>
                  <w14:solidFill>
                    <w14:srgbClr w14:val="000000">
                      <w14:alpha w14:val="100000"/>
                    </w14:srgbClr>
                  </w14:solidFill>
                </w14:textFill>
              </w:rPr>
              <w:t xml:space="preserve">　</w:t>
            </w:r>
            <w:r w:rsidRPr="00640EC9">
              <w:rPr>
                <w:color w:val="000000"/>
                <w:w w:val="15"/>
                <w:shd w:val="solid" w:color="000000" w:fill="000000"/>
                <w:fitText w:val="48" w:id="-961889527"/>
                <w14:textFill>
                  <w14:solidFill>
                    <w14:srgbClr w14:val="000000">
                      <w14:alpha w14:val="100000"/>
                    </w14:srgbClr>
                  </w14:solidFill>
                </w14:textFill>
              </w:rPr>
              <w:t>|</w:t>
            </w:r>
            <w:r w:rsidRPr="00640EC9">
              <w:rPr>
                <w:rFonts w:hint="eastAsia"/>
                <w:color w:val="000000"/>
                <w:spacing w:val="-17"/>
                <w:w w:val="15"/>
                <w:shd w:val="solid" w:color="000000" w:fill="000000"/>
                <w:fitText w:val="48" w:id="-961889527"/>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3A836F05" w14:textId="7B3AE67D"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6"/>
                <w14:textFill>
                  <w14:solidFill>
                    <w14:srgbClr w14:val="000000">
                      <w14:alpha w14:val="100000"/>
                    </w14:srgbClr>
                  </w14:solidFill>
                </w14:textFill>
              </w:rPr>
              <w:t xml:space="preserve">　</w:t>
            </w:r>
            <w:r w:rsidRPr="00640EC9">
              <w:rPr>
                <w:color w:val="000000"/>
                <w:w w:val="15"/>
                <w:shd w:val="solid" w:color="000000" w:fill="000000"/>
                <w:fitText w:val="48" w:id="-961889526"/>
                <w14:textFill>
                  <w14:solidFill>
                    <w14:srgbClr w14:val="000000">
                      <w14:alpha w14:val="100000"/>
                    </w14:srgbClr>
                  </w14:solidFill>
                </w14:textFill>
              </w:rPr>
              <w:t>|</w:t>
            </w:r>
            <w:r w:rsidRPr="00640EC9">
              <w:rPr>
                <w:rFonts w:hint="eastAsia"/>
                <w:color w:val="000000"/>
                <w:spacing w:val="-17"/>
                <w:w w:val="15"/>
                <w:shd w:val="solid" w:color="000000" w:fill="000000"/>
                <w:fitText w:val="48" w:id="-961889526"/>
                <w14:textFill>
                  <w14:solidFill>
                    <w14:srgbClr w14:val="000000">
                      <w14:alpha w14:val="100000"/>
                    </w14:srgbClr>
                  </w14:solidFill>
                </w14:textFill>
              </w:rPr>
              <w:t xml:space="preserve">　</w:t>
            </w:r>
            <w:r w:rsidR="00DB0472" w:rsidRPr="00DB0472">
              <w:rPr>
                <w:vertAlign w:val="superscript"/>
              </w:rPr>
              <w:t>3</w:t>
            </w:r>
          </w:p>
        </w:tc>
        <w:tc>
          <w:tcPr>
            <w:tcW w:w="920" w:type="dxa"/>
            <w:shd w:val="clear" w:color="auto" w:fill="auto"/>
            <w:tcMar>
              <w:left w:w="20" w:type="dxa"/>
              <w:right w:w="20" w:type="dxa"/>
            </w:tcMar>
            <w:vAlign w:val="center"/>
          </w:tcPr>
          <w:p w14:paraId="5F46D3B4" w14:textId="67A549F4" w:rsidR="003F4569"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AD60E5" w:rsidRPr="00AD60E5">
              <w:rPr>
                <w:b/>
                <w:bCs w:val="0"/>
                <w:vertAlign w:val="superscript"/>
              </w:rPr>
              <w:t>6</w:t>
            </w:r>
          </w:p>
        </w:tc>
      </w:tr>
      <w:tr w:rsidR="002C1990" w:rsidRPr="009941F8" w14:paraId="0DD997B4" w14:textId="77777777" w:rsidTr="00233562">
        <w:tblPrEx>
          <w:tblCellMar>
            <w:left w:w="108" w:type="dxa"/>
            <w:right w:w="108" w:type="dxa"/>
          </w:tblCellMar>
        </w:tblPrEx>
        <w:tc>
          <w:tcPr>
            <w:tcW w:w="2122" w:type="dxa"/>
            <w:shd w:val="clear" w:color="auto" w:fill="auto"/>
            <w:tcMar>
              <w:left w:w="20" w:type="dxa"/>
              <w:right w:w="20" w:type="dxa"/>
            </w:tcMar>
          </w:tcPr>
          <w:p w14:paraId="19221342" w14:textId="5A372487" w:rsidR="003F4569" w:rsidRPr="009941F8" w:rsidRDefault="003F4569" w:rsidP="00233562">
            <w:pPr>
              <w:pStyle w:val="TableText0"/>
              <w:keepNext w:val="0"/>
              <w:widowControl w:val="0"/>
              <w:rPr>
                <w:szCs w:val="20"/>
              </w:rPr>
            </w:pPr>
            <w:r w:rsidRPr="009941F8">
              <w:rPr>
                <w:szCs w:val="20"/>
              </w:rPr>
              <w:t>Continuing patients</w:t>
            </w:r>
          </w:p>
        </w:tc>
        <w:tc>
          <w:tcPr>
            <w:tcW w:w="992" w:type="dxa"/>
            <w:shd w:val="clear" w:color="auto" w:fill="auto"/>
            <w:tcMar>
              <w:left w:w="20" w:type="dxa"/>
              <w:right w:w="20" w:type="dxa"/>
            </w:tcMar>
            <w:vAlign w:val="center"/>
          </w:tcPr>
          <w:p w14:paraId="4B499CDF" w14:textId="2DE81652"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5"/>
                <w14:textFill>
                  <w14:solidFill>
                    <w14:srgbClr w14:val="000000">
                      <w14:alpha w14:val="100000"/>
                    </w14:srgbClr>
                  </w14:solidFill>
                </w14:textFill>
              </w:rPr>
              <w:t xml:space="preserve">　</w:t>
            </w:r>
            <w:r w:rsidRPr="00640EC9">
              <w:rPr>
                <w:color w:val="000000"/>
                <w:w w:val="15"/>
                <w:shd w:val="solid" w:color="000000" w:fill="000000"/>
                <w:fitText w:val="48" w:id="-961889525"/>
                <w14:textFill>
                  <w14:solidFill>
                    <w14:srgbClr w14:val="000000">
                      <w14:alpha w14:val="100000"/>
                    </w14:srgbClr>
                  </w14:solidFill>
                </w14:textFill>
              </w:rPr>
              <w:t>|</w:t>
            </w:r>
            <w:r w:rsidRPr="00640EC9">
              <w:rPr>
                <w:rFonts w:hint="eastAsia"/>
                <w:color w:val="000000"/>
                <w:spacing w:val="-17"/>
                <w:w w:val="15"/>
                <w:shd w:val="solid" w:color="000000" w:fill="000000"/>
                <w:fitText w:val="48" w:id="-961889525"/>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6214054E" w14:textId="3C605CBC"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4"/>
                <w14:textFill>
                  <w14:solidFill>
                    <w14:srgbClr w14:val="000000">
                      <w14:alpha w14:val="100000"/>
                    </w14:srgbClr>
                  </w14:solidFill>
                </w14:textFill>
              </w:rPr>
              <w:t xml:space="preserve">　</w:t>
            </w:r>
            <w:r w:rsidRPr="00640EC9">
              <w:rPr>
                <w:color w:val="000000"/>
                <w:w w:val="15"/>
                <w:shd w:val="solid" w:color="000000" w:fill="000000"/>
                <w:fitText w:val="48" w:id="-961889524"/>
                <w14:textFill>
                  <w14:solidFill>
                    <w14:srgbClr w14:val="000000">
                      <w14:alpha w14:val="100000"/>
                    </w14:srgbClr>
                  </w14:solidFill>
                </w14:textFill>
              </w:rPr>
              <w:t>|</w:t>
            </w:r>
            <w:r w:rsidRPr="00640EC9">
              <w:rPr>
                <w:rFonts w:hint="eastAsia"/>
                <w:color w:val="000000"/>
                <w:spacing w:val="-17"/>
                <w:w w:val="15"/>
                <w:shd w:val="solid" w:color="000000" w:fill="000000"/>
                <w:fitText w:val="48" w:id="-961889524"/>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351C6990" w14:textId="6F10FB95"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3"/>
                <w14:textFill>
                  <w14:solidFill>
                    <w14:srgbClr w14:val="000000">
                      <w14:alpha w14:val="100000"/>
                    </w14:srgbClr>
                  </w14:solidFill>
                </w14:textFill>
              </w:rPr>
              <w:t xml:space="preserve">　</w:t>
            </w:r>
            <w:r w:rsidRPr="00640EC9">
              <w:rPr>
                <w:color w:val="000000"/>
                <w:w w:val="15"/>
                <w:shd w:val="solid" w:color="000000" w:fill="000000"/>
                <w:fitText w:val="48" w:id="-961889523"/>
                <w14:textFill>
                  <w14:solidFill>
                    <w14:srgbClr w14:val="000000">
                      <w14:alpha w14:val="100000"/>
                    </w14:srgbClr>
                  </w14:solidFill>
                </w14:textFill>
              </w:rPr>
              <w:t>|</w:t>
            </w:r>
            <w:r w:rsidRPr="00640EC9">
              <w:rPr>
                <w:rFonts w:hint="eastAsia"/>
                <w:color w:val="000000"/>
                <w:spacing w:val="-17"/>
                <w:w w:val="15"/>
                <w:shd w:val="solid" w:color="000000" w:fill="000000"/>
                <w:fitText w:val="48" w:id="-961889523"/>
                <w14:textFill>
                  <w14:solidFill>
                    <w14:srgbClr w14:val="000000">
                      <w14:alpha w14:val="100000"/>
                    </w14:srgbClr>
                  </w14:solidFill>
                </w14:textFill>
              </w:rPr>
              <w:t xml:space="preserve">　</w:t>
            </w:r>
            <w:r w:rsidR="00DB0472" w:rsidRPr="00DB0472">
              <w:rPr>
                <w:vertAlign w:val="superscript"/>
              </w:rPr>
              <w:t>3</w:t>
            </w:r>
          </w:p>
        </w:tc>
        <w:tc>
          <w:tcPr>
            <w:tcW w:w="993" w:type="dxa"/>
            <w:shd w:val="clear" w:color="auto" w:fill="auto"/>
            <w:tcMar>
              <w:left w:w="20" w:type="dxa"/>
              <w:right w:w="20" w:type="dxa"/>
            </w:tcMar>
            <w:vAlign w:val="center"/>
          </w:tcPr>
          <w:p w14:paraId="1E0A8631" w14:textId="672324BE"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2"/>
                <w14:textFill>
                  <w14:solidFill>
                    <w14:srgbClr w14:val="000000">
                      <w14:alpha w14:val="100000"/>
                    </w14:srgbClr>
                  </w14:solidFill>
                </w14:textFill>
              </w:rPr>
              <w:t xml:space="preserve">　</w:t>
            </w:r>
            <w:r w:rsidRPr="00640EC9">
              <w:rPr>
                <w:color w:val="000000"/>
                <w:w w:val="15"/>
                <w:shd w:val="solid" w:color="000000" w:fill="000000"/>
                <w:fitText w:val="48" w:id="-961889522"/>
                <w14:textFill>
                  <w14:solidFill>
                    <w14:srgbClr w14:val="000000">
                      <w14:alpha w14:val="100000"/>
                    </w14:srgbClr>
                  </w14:solidFill>
                </w14:textFill>
              </w:rPr>
              <w:t>|</w:t>
            </w:r>
            <w:r w:rsidRPr="00640EC9">
              <w:rPr>
                <w:rFonts w:hint="eastAsia"/>
                <w:color w:val="000000"/>
                <w:spacing w:val="-17"/>
                <w:w w:val="15"/>
                <w:shd w:val="solid" w:color="000000" w:fill="000000"/>
                <w:fitText w:val="48" w:id="-961889522"/>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14CAC737" w14:textId="51B69263"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1"/>
                <w14:textFill>
                  <w14:solidFill>
                    <w14:srgbClr w14:val="000000">
                      <w14:alpha w14:val="100000"/>
                    </w14:srgbClr>
                  </w14:solidFill>
                </w14:textFill>
              </w:rPr>
              <w:t xml:space="preserve">　</w:t>
            </w:r>
            <w:r w:rsidRPr="00640EC9">
              <w:rPr>
                <w:color w:val="000000"/>
                <w:w w:val="15"/>
                <w:shd w:val="solid" w:color="000000" w:fill="000000"/>
                <w:fitText w:val="48" w:id="-961889521"/>
                <w14:textFill>
                  <w14:solidFill>
                    <w14:srgbClr w14:val="000000">
                      <w14:alpha w14:val="100000"/>
                    </w14:srgbClr>
                  </w14:solidFill>
                </w14:textFill>
              </w:rPr>
              <w:t>|</w:t>
            </w:r>
            <w:r w:rsidRPr="00640EC9">
              <w:rPr>
                <w:rFonts w:hint="eastAsia"/>
                <w:color w:val="000000"/>
                <w:spacing w:val="-17"/>
                <w:w w:val="15"/>
                <w:shd w:val="solid" w:color="000000" w:fill="000000"/>
                <w:fitText w:val="48" w:id="-961889521"/>
                <w14:textFill>
                  <w14:solidFill>
                    <w14:srgbClr w14:val="000000">
                      <w14:alpha w14:val="100000"/>
                    </w14:srgbClr>
                  </w14:solidFill>
                </w14:textFill>
              </w:rPr>
              <w:t xml:space="preserve">　</w:t>
            </w:r>
            <w:r w:rsidR="00DB0472" w:rsidRPr="00DB0472">
              <w:rPr>
                <w:vertAlign w:val="superscript"/>
              </w:rPr>
              <w:t>3</w:t>
            </w:r>
          </w:p>
        </w:tc>
        <w:tc>
          <w:tcPr>
            <w:tcW w:w="992" w:type="dxa"/>
            <w:shd w:val="clear" w:color="auto" w:fill="auto"/>
            <w:tcMar>
              <w:left w:w="20" w:type="dxa"/>
              <w:right w:w="20" w:type="dxa"/>
            </w:tcMar>
            <w:vAlign w:val="center"/>
          </w:tcPr>
          <w:p w14:paraId="42495269" w14:textId="08EB4DEE"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9520"/>
                <w14:textFill>
                  <w14:solidFill>
                    <w14:srgbClr w14:val="000000">
                      <w14:alpha w14:val="100000"/>
                    </w14:srgbClr>
                  </w14:solidFill>
                </w14:textFill>
              </w:rPr>
              <w:t xml:space="preserve">　</w:t>
            </w:r>
            <w:r w:rsidRPr="00640EC9">
              <w:rPr>
                <w:color w:val="000000"/>
                <w:w w:val="15"/>
                <w:shd w:val="solid" w:color="000000" w:fill="000000"/>
                <w:fitText w:val="48" w:id="-961889520"/>
                <w14:textFill>
                  <w14:solidFill>
                    <w14:srgbClr w14:val="000000">
                      <w14:alpha w14:val="100000"/>
                    </w14:srgbClr>
                  </w14:solidFill>
                </w14:textFill>
              </w:rPr>
              <w:t>|</w:t>
            </w:r>
            <w:r w:rsidRPr="00640EC9">
              <w:rPr>
                <w:rFonts w:hint="eastAsia"/>
                <w:color w:val="000000"/>
                <w:spacing w:val="-17"/>
                <w:w w:val="15"/>
                <w:shd w:val="solid" w:color="000000" w:fill="000000"/>
                <w:fitText w:val="48" w:id="-961889520"/>
                <w14:textFill>
                  <w14:solidFill>
                    <w14:srgbClr w14:val="000000">
                      <w14:alpha w14:val="100000"/>
                    </w14:srgbClr>
                  </w14:solidFill>
                </w14:textFill>
              </w:rPr>
              <w:t xml:space="preserve">　</w:t>
            </w:r>
            <w:r w:rsidR="00DB0472" w:rsidRPr="00DB0472">
              <w:rPr>
                <w:vertAlign w:val="superscript"/>
              </w:rPr>
              <w:t>3</w:t>
            </w:r>
          </w:p>
        </w:tc>
        <w:tc>
          <w:tcPr>
            <w:tcW w:w="920" w:type="dxa"/>
            <w:shd w:val="clear" w:color="auto" w:fill="auto"/>
            <w:tcMar>
              <w:left w:w="20" w:type="dxa"/>
              <w:right w:w="20" w:type="dxa"/>
            </w:tcMar>
            <w:vAlign w:val="center"/>
          </w:tcPr>
          <w:p w14:paraId="11EB6049" w14:textId="7F12B457" w:rsidR="003F4569" w:rsidRPr="00AB3F41" w:rsidRDefault="00640EC9" w:rsidP="00233562">
            <w:pPr>
              <w:pStyle w:val="TableText0"/>
              <w:keepNext w:val="0"/>
              <w:widowControl w:val="0"/>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AD60E5" w:rsidRPr="00AD60E5">
              <w:rPr>
                <w:szCs w:val="20"/>
                <w:vertAlign w:val="superscript"/>
              </w:rPr>
              <w:t>6</w:t>
            </w:r>
          </w:p>
        </w:tc>
      </w:tr>
      <w:tr w:rsidR="002C1990" w:rsidRPr="009941F8" w14:paraId="0A27B24D" w14:textId="77777777" w:rsidTr="00233562">
        <w:tblPrEx>
          <w:tblCellMar>
            <w:left w:w="108" w:type="dxa"/>
            <w:right w:w="108" w:type="dxa"/>
          </w:tblCellMar>
        </w:tblPrEx>
        <w:tc>
          <w:tcPr>
            <w:tcW w:w="2122" w:type="dxa"/>
            <w:shd w:val="clear" w:color="auto" w:fill="auto"/>
            <w:tcMar>
              <w:left w:w="20" w:type="dxa"/>
              <w:right w:w="20" w:type="dxa"/>
            </w:tcMar>
          </w:tcPr>
          <w:p w14:paraId="5F945615" w14:textId="16C4600A" w:rsidR="003F4569" w:rsidRPr="009941F8" w:rsidRDefault="003F4569" w:rsidP="00233562">
            <w:pPr>
              <w:pStyle w:val="TableText0"/>
              <w:keepNext w:val="0"/>
              <w:widowControl w:val="0"/>
              <w:rPr>
                <w:b/>
                <w:szCs w:val="20"/>
              </w:rPr>
            </w:pPr>
            <w:r w:rsidRPr="009941F8">
              <w:rPr>
                <w:b/>
                <w:szCs w:val="20"/>
              </w:rPr>
              <w:t>Total patient years</w:t>
            </w:r>
          </w:p>
        </w:tc>
        <w:tc>
          <w:tcPr>
            <w:tcW w:w="992" w:type="dxa"/>
            <w:shd w:val="clear" w:color="auto" w:fill="auto"/>
            <w:tcMar>
              <w:left w:w="20" w:type="dxa"/>
              <w:right w:w="20" w:type="dxa"/>
            </w:tcMar>
            <w:vAlign w:val="center"/>
          </w:tcPr>
          <w:p w14:paraId="58B73E97" w14:textId="6714B39A" w:rsidR="003F4569" w:rsidRPr="00AB3F41" w:rsidRDefault="00640EC9" w:rsidP="00233562">
            <w:pPr>
              <w:pStyle w:val="TableText0"/>
              <w:keepNext w:val="0"/>
              <w:widowControl w:val="0"/>
              <w:jc w:val="center"/>
              <w:rPr>
                <w:b/>
                <w:bCs w:val="0"/>
                <w:szCs w:val="20"/>
                <w:highlight w:val="lightGray"/>
              </w:rPr>
            </w:pPr>
            <w:r w:rsidRPr="00640EC9">
              <w:rPr>
                <w:b/>
                <w:bCs w:val="0"/>
                <w:color w:val="000000"/>
                <w:spacing w:val="54"/>
                <w:shd w:val="solid" w:color="000000" w:fill="000000"/>
                <w:fitText w:val="348" w:id="-961889536"/>
                <w14:textFill>
                  <w14:solidFill>
                    <w14:srgbClr w14:val="000000">
                      <w14:alpha w14:val="100000"/>
                    </w14:srgbClr>
                  </w14:solidFill>
                </w14:textFill>
              </w:rPr>
              <w:t>|||</w:t>
            </w:r>
            <w:r w:rsidRPr="00640EC9">
              <w:rPr>
                <w:b/>
                <w:bCs w:val="0"/>
                <w:color w:val="000000"/>
                <w:spacing w:val="3"/>
                <w:shd w:val="solid" w:color="000000" w:fill="000000"/>
                <w:fitText w:val="348" w:id="-961889536"/>
                <w14:textFill>
                  <w14:solidFill>
                    <w14:srgbClr w14:val="000000">
                      <w14:alpha w14:val="100000"/>
                    </w14:srgbClr>
                  </w14:solidFill>
                </w14:textFill>
              </w:rPr>
              <w:t>|</w:t>
            </w:r>
            <w:r w:rsidR="00216520" w:rsidRPr="00DB0472">
              <w:rPr>
                <w:vertAlign w:val="superscript"/>
              </w:rPr>
              <w:t>3</w:t>
            </w:r>
          </w:p>
        </w:tc>
        <w:tc>
          <w:tcPr>
            <w:tcW w:w="992" w:type="dxa"/>
            <w:shd w:val="clear" w:color="auto" w:fill="auto"/>
            <w:tcMar>
              <w:left w:w="20" w:type="dxa"/>
              <w:right w:w="20" w:type="dxa"/>
            </w:tcMar>
            <w:vAlign w:val="center"/>
          </w:tcPr>
          <w:p w14:paraId="08E91454" w14:textId="3486419A"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4"/>
                <w:shd w:val="solid" w:color="000000" w:fill="000000"/>
                <w:fitText w:val="108" w:id="-961889534"/>
                <w14:textFill>
                  <w14:solidFill>
                    <w14:srgbClr w14:val="000000">
                      <w14:alpha w14:val="100000"/>
                    </w14:srgbClr>
                  </w14:solidFill>
                </w14:textFill>
              </w:rPr>
              <w:t xml:space="preserve">　</w:t>
            </w:r>
            <w:r w:rsidRPr="00640EC9">
              <w:rPr>
                <w:b/>
                <w:bCs w:val="0"/>
                <w:color w:val="000000"/>
                <w:w w:val="24"/>
                <w:shd w:val="solid" w:color="000000" w:fill="000000"/>
                <w:fitText w:val="108" w:id="-961889534"/>
                <w14:textFill>
                  <w14:solidFill>
                    <w14:srgbClr w14:val="000000">
                      <w14:alpha w14:val="100000"/>
                    </w14:srgbClr>
                  </w14:solidFill>
                </w14:textFill>
              </w:rPr>
              <w:t>|</w:t>
            </w:r>
            <w:r w:rsidRPr="00640EC9">
              <w:rPr>
                <w:rFonts w:hint="eastAsia"/>
                <w:b/>
                <w:bCs w:val="0"/>
                <w:color w:val="000000"/>
                <w:spacing w:val="3"/>
                <w:w w:val="24"/>
                <w:shd w:val="solid" w:color="000000" w:fill="000000"/>
                <w:fitText w:val="108" w:id="-961889534"/>
                <w14:textFill>
                  <w14:solidFill>
                    <w14:srgbClr w14:val="000000">
                      <w14:alpha w14:val="100000"/>
                    </w14:srgbClr>
                  </w14:solidFill>
                </w14:textFill>
              </w:rPr>
              <w:t xml:space="preserve">　</w:t>
            </w:r>
            <w:r w:rsidR="00216520" w:rsidRPr="00DB0472">
              <w:rPr>
                <w:vertAlign w:val="superscript"/>
              </w:rPr>
              <w:t>3</w:t>
            </w:r>
          </w:p>
        </w:tc>
        <w:tc>
          <w:tcPr>
            <w:tcW w:w="992" w:type="dxa"/>
            <w:shd w:val="clear" w:color="auto" w:fill="auto"/>
            <w:tcMar>
              <w:left w:w="20" w:type="dxa"/>
              <w:right w:w="20" w:type="dxa"/>
            </w:tcMar>
            <w:vAlign w:val="center"/>
          </w:tcPr>
          <w:p w14:paraId="70BD9C73" w14:textId="6ECE682B"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4"/>
                <w:shd w:val="solid" w:color="000000" w:fill="000000"/>
                <w:fitText w:val="108" w:id="-961889533"/>
                <w14:textFill>
                  <w14:solidFill>
                    <w14:srgbClr w14:val="000000">
                      <w14:alpha w14:val="100000"/>
                    </w14:srgbClr>
                  </w14:solidFill>
                </w14:textFill>
              </w:rPr>
              <w:t xml:space="preserve">　</w:t>
            </w:r>
            <w:r w:rsidRPr="00640EC9">
              <w:rPr>
                <w:b/>
                <w:bCs w:val="0"/>
                <w:color w:val="000000"/>
                <w:w w:val="24"/>
                <w:shd w:val="solid" w:color="000000" w:fill="000000"/>
                <w:fitText w:val="108" w:id="-961889533"/>
                <w14:textFill>
                  <w14:solidFill>
                    <w14:srgbClr w14:val="000000">
                      <w14:alpha w14:val="100000"/>
                    </w14:srgbClr>
                  </w14:solidFill>
                </w14:textFill>
              </w:rPr>
              <w:t>|</w:t>
            </w:r>
            <w:r w:rsidRPr="00640EC9">
              <w:rPr>
                <w:rFonts w:hint="eastAsia"/>
                <w:b/>
                <w:bCs w:val="0"/>
                <w:color w:val="000000"/>
                <w:spacing w:val="3"/>
                <w:w w:val="24"/>
                <w:shd w:val="solid" w:color="000000" w:fill="000000"/>
                <w:fitText w:val="108" w:id="-961889533"/>
                <w14:textFill>
                  <w14:solidFill>
                    <w14:srgbClr w14:val="000000">
                      <w14:alpha w14:val="100000"/>
                    </w14:srgbClr>
                  </w14:solidFill>
                </w14:textFill>
              </w:rPr>
              <w:t xml:space="preserve">　</w:t>
            </w:r>
            <w:r w:rsidR="00216520" w:rsidRPr="00DB0472">
              <w:rPr>
                <w:vertAlign w:val="superscript"/>
              </w:rPr>
              <w:t>3</w:t>
            </w:r>
          </w:p>
        </w:tc>
        <w:tc>
          <w:tcPr>
            <w:tcW w:w="993" w:type="dxa"/>
            <w:shd w:val="clear" w:color="auto" w:fill="auto"/>
            <w:tcMar>
              <w:left w:w="20" w:type="dxa"/>
              <w:right w:w="20" w:type="dxa"/>
            </w:tcMar>
            <w:vAlign w:val="center"/>
          </w:tcPr>
          <w:p w14:paraId="3527E1FD" w14:textId="5215BD81"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4"/>
                <w:shd w:val="solid" w:color="000000" w:fill="000000"/>
                <w:fitText w:val="108" w:id="-961889532"/>
                <w14:textFill>
                  <w14:solidFill>
                    <w14:srgbClr w14:val="000000">
                      <w14:alpha w14:val="100000"/>
                    </w14:srgbClr>
                  </w14:solidFill>
                </w14:textFill>
              </w:rPr>
              <w:t xml:space="preserve">　</w:t>
            </w:r>
            <w:r w:rsidRPr="00640EC9">
              <w:rPr>
                <w:b/>
                <w:bCs w:val="0"/>
                <w:color w:val="000000"/>
                <w:w w:val="24"/>
                <w:shd w:val="solid" w:color="000000" w:fill="000000"/>
                <w:fitText w:val="108" w:id="-961889532"/>
                <w14:textFill>
                  <w14:solidFill>
                    <w14:srgbClr w14:val="000000">
                      <w14:alpha w14:val="100000"/>
                    </w14:srgbClr>
                  </w14:solidFill>
                </w14:textFill>
              </w:rPr>
              <w:t>|</w:t>
            </w:r>
            <w:r w:rsidRPr="00640EC9">
              <w:rPr>
                <w:rFonts w:hint="eastAsia"/>
                <w:b/>
                <w:bCs w:val="0"/>
                <w:color w:val="000000"/>
                <w:spacing w:val="3"/>
                <w:w w:val="24"/>
                <w:shd w:val="solid" w:color="000000" w:fill="000000"/>
                <w:fitText w:val="108" w:id="-961889532"/>
                <w14:textFill>
                  <w14:solidFill>
                    <w14:srgbClr w14:val="000000">
                      <w14:alpha w14:val="100000"/>
                    </w14:srgbClr>
                  </w14:solidFill>
                </w14:textFill>
              </w:rPr>
              <w:t xml:space="preserve">　</w:t>
            </w:r>
            <w:r w:rsidR="00216520" w:rsidRPr="00DB0472">
              <w:rPr>
                <w:vertAlign w:val="superscript"/>
              </w:rPr>
              <w:t>3</w:t>
            </w:r>
          </w:p>
        </w:tc>
        <w:tc>
          <w:tcPr>
            <w:tcW w:w="992" w:type="dxa"/>
            <w:shd w:val="clear" w:color="auto" w:fill="auto"/>
            <w:tcMar>
              <w:left w:w="20" w:type="dxa"/>
              <w:right w:w="20" w:type="dxa"/>
            </w:tcMar>
            <w:vAlign w:val="center"/>
          </w:tcPr>
          <w:p w14:paraId="56156447" w14:textId="4DED19F0"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4"/>
                <w:shd w:val="solid" w:color="000000" w:fill="000000"/>
                <w:fitText w:val="108" w:id="-961889531"/>
                <w14:textFill>
                  <w14:solidFill>
                    <w14:srgbClr w14:val="000000">
                      <w14:alpha w14:val="100000"/>
                    </w14:srgbClr>
                  </w14:solidFill>
                </w14:textFill>
              </w:rPr>
              <w:t xml:space="preserve">　</w:t>
            </w:r>
            <w:r w:rsidRPr="00640EC9">
              <w:rPr>
                <w:b/>
                <w:bCs w:val="0"/>
                <w:color w:val="000000"/>
                <w:w w:val="24"/>
                <w:shd w:val="solid" w:color="000000" w:fill="000000"/>
                <w:fitText w:val="108" w:id="-961889531"/>
                <w14:textFill>
                  <w14:solidFill>
                    <w14:srgbClr w14:val="000000">
                      <w14:alpha w14:val="100000"/>
                    </w14:srgbClr>
                  </w14:solidFill>
                </w14:textFill>
              </w:rPr>
              <w:t>|</w:t>
            </w:r>
            <w:r w:rsidRPr="00640EC9">
              <w:rPr>
                <w:rFonts w:hint="eastAsia"/>
                <w:b/>
                <w:bCs w:val="0"/>
                <w:color w:val="000000"/>
                <w:spacing w:val="3"/>
                <w:w w:val="24"/>
                <w:shd w:val="solid" w:color="000000" w:fill="000000"/>
                <w:fitText w:val="108" w:id="-961889531"/>
                <w14:textFill>
                  <w14:solidFill>
                    <w14:srgbClr w14:val="000000">
                      <w14:alpha w14:val="100000"/>
                    </w14:srgbClr>
                  </w14:solidFill>
                </w14:textFill>
              </w:rPr>
              <w:t xml:space="preserve">　</w:t>
            </w:r>
            <w:r w:rsidR="00216520" w:rsidRPr="00DB0472">
              <w:rPr>
                <w:vertAlign w:val="superscript"/>
              </w:rPr>
              <w:t>3</w:t>
            </w:r>
          </w:p>
        </w:tc>
        <w:tc>
          <w:tcPr>
            <w:tcW w:w="992" w:type="dxa"/>
            <w:shd w:val="clear" w:color="auto" w:fill="auto"/>
            <w:tcMar>
              <w:left w:w="20" w:type="dxa"/>
              <w:right w:w="20" w:type="dxa"/>
            </w:tcMar>
            <w:vAlign w:val="center"/>
          </w:tcPr>
          <w:p w14:paraId="0DB4C892" w14:textId="26087287"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4"/>
                <w:shd w:val="solid" w:color="000000" w:fill="000000"/>
                <w:fitText w:val="108" w:id="-961889530"/>
                <w14:textFill>
                  <w14:solidFill>
                    <w14:srgbClr w14:val="000000">
                      <w14:alpha w14:val="100000"/>
                    </w14:srgbClr>
                  </w14:solidFill>
                </w14:textFill>
              </w:rPr>
              <w:t xml:space="preserve">　</w:t>
            </w:r>
            <w:r w:rsidRPr="00640EC9">
              <w:rPr>
                <w:b/>
                <w:bCs w:val="0"/>
                <w:color w:val="000000"/>
                <w:w w:val="24"/>
                <w:shd w:val="solid" w:color="000000" w:fill="000000"/>
                <w:fitText w:val="108" w:id="-961889530"/>
                <w14:textFill>
                  <w14:solidFill>
                    <w14:srgbClr w14:val="000000">
                      <w14:alpha w14:val="100000"/>
                    </w14:srgbClr>
                  </w14:solidFill>
                </w14:textFill>
              </w:rPr>
              <w:t>|</w:t>
            </w:r>
            <w:r w:rsidRPr="00640EC9">
              <w:rPr>
                <w:rFonts w:hint="eastAsia"/>
                <w:b/>
                <w:bCs w:val="0"/>
                <w:color w:val="000000"/>
                <w:spacing w:val="3"/>
                <w:w w:val="24"/>
                <w:shd w:val="solid" w:color="000000" w:fill="000000"/>
                <w:fitText w:val="108" w:id="-961889530"/>
                <w14:textFill>
                  <w14:solidFill>
                    <w14:srgbClr w14:val="000000">
                      <w14:alpha w14:val="100000"/>
                    </w14:srgbClr>
                  </w14:solidFill>
                </w14:textFill>
              </w:rPr>
              <w:t xml:space="preserve">　</w:t>
            </w:r>
            <w:r w:rsidR="00216520" w:rsidRPr="00DB0472">
              <w:rPr>
                <w:vertAlign w:val="superscript"/>
              </w:rPr>
              <w:t>3</w:t>
            </w:r>
          </w:p>
        </w:tc>
        <w:tc>
          <w:tcPr>
            <w:tcW w:w="920" w:type="dxa"/>
            <w:shd w:val="clear" w:color="auto" w:fill="auto"/>
            <w:tcMar>
              <w:left w:w="20" w:type="dxa"/>
              <w:right w:w="20" w:type="dxa"/>
            </w:tcMar>
            <w:vAlign w:val="center"/>
          </w:tcPr>
          <w:p w14:paraId="6B7F352B" w14:textId="34885B54"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5"/>
                <w:szCs w:val="20"/>
                <w:shd w:val="solid" w:color="000000" w:fill="000000"/>
                <w:fitText w:val="48" w:id="-961889529"/>
                <w14:textFill>
                  <w14:solidFill>
                    <w14:srgbClr w14:val="000000">
                      <w14:alpha w14:val="100000"/>
                    </w14:srgbClr>
                  </w14:solidFill>
                </w14:textFill>
              </w:rPr>
              <w:t xml:space="preserve">　</w:t>
            </w:r>
            <w:r w:rsidRPr="00640EC9">
              <w:rPr>
                <w:b/>
                <w:bCs w:val="0"/>
                <w:color w:val="000000"/>
                <w:w w:val="15"/>
                <w:szCs w:val="20"/>
                <w:shd w:val="solid" w:color="000000" w:fill="000000"/>
                <w:fitText w:val="48" w:id="-961889529"/>
                <w14:textFill>
                  <w14:solidFill>
                    <w14:srgbClr w14:val="000000">
                      <w14:alpha w14:val="100000"/>
                    </w14:srgbClr>
                  </w14:solidFill>
                </w14:textFill>
              </w:rPr>
              <w:t>|</w:t>
            </w:r>
            <w:r w:rsidRPr="00640EC9">
              <w:rPr>
                <w:rFonts w:hint="eastAsia"/>
                <w:b/>
                <w:bCs w:val="0"/>
                <w:color w:val="000000"/>
                <w:spacing w:val="-18"/>
                <w:w w:val="15"/>
                <w:szCs w:val="20"/>
                <w:shd w:val="solid" w:color="000000" w:fill="000000"/>
                <w:fitText w:val="48" w:id="-961889529"/>
                <w14:textFill>
                  <w14:solidFill>
                    <w14:srgbClr w14:val="000000">
                      <w14:alpha w14:val="100000"/>
                    </w14:srgbClr>
                  </w14:solidFill>
                </w14:textFill>
              </w:rPr>
              <w:t xml:space="preserve">　</w:t>
            </w:r>
            <w:r w:rsidR="00AD60E5" w:rsidRPr="00AD60E5">
              <w:rPr>
                <w:b/>
                <w:bCs w:val="0"/>
                <w:vertAlign w:val="superscript"/>
              </w:rPr>
              <w:t>6</w:t>
            </w:r>
          </w:p>
        </w:tc>
      </w:tr>
      <w:tr w:rsidR="003F4569" w:rsidRPr="009941F8" w14:paraId="4CF72BA1" w14:textId="77777777" w:rsidTr="00A244E2">
        <w:tblPrEx>
          <w:tblCellMar>
            <w:left w:w="108" w:type="dxa"/>
            <w:right w:w="108" w:type="dxa"/>
          </w:tblCellMar>
        </w:tblPrEx>
        <w:tc>
          <w:tcPr>
            <w:tcW w:w="8995" w:type="dxa"/>
            <w:gridSpan w:val="8"/>
            <w:shd w:val="clear" w:color="auto" w:fill="auto"/>
            <w:tcMar>
              <w:left w:w="20" w:type="dxa"/>
              <w:right w:w="20" w:type="dxa"/>
            </w:tcMar>
          </w:tcPr>
          <w:p w14:paraId="258A7D57" w14:textId="77777777" w:rsidR="003F4569" w:rsidRPr="009941F8" w:rsidRDefault="003F4569" w:rsidP="00233562">
            <w:pPr>
              <w:pStyle w:val="In-tableHeading"/>
              <w:keepNext w:val="0"/>
              <w:widowControl w:val="0"/>
              <w:rPr>
                <w:szCs w:val="20"/>
                <w:lang w:val="en-AU"/>
              </w:rPr>
            </w:pPr>
            <w:r w:rsidRPr="009941F8">
              <w:rPr>
                <w:szCs w:val="20"/>
                <w:lang w:val="en-AU"/>
              </w:rPr>
              <w:lastRenderedPageBreak/>
              <w:t>Scripts</w:t>
            </w:r>
          </w:p>
        </w:tc>
      </w:tr>
      <w:tr w:rsidR="003F4569" w:rsidRPr="009941F8" w14:paraId="71770891" w14:textId="77777777" w:rsidTr="00A244E2">
        <w:tblPrEx>
          <w:tblCellMar>
            <w:left w:w="108" w:type="dxa"/>
            <w:right w:w="108" w:type="dxa"/>
          </w:tblCellMar>
        </w:tblPrEx>
        <w:tc>
          <w:tcPr>
            <w:tcW w:w="8995" w:type="dxa"/>
            <w:gridSpan w:val="8"/>
            <w:shd w:val="clear" w:color="auto" w:fill="auto"/>
            <w:tcMar>
              <w:left w:w="20" w:type="dxa"/>
              <w:right w:w="20" w:type="dxa"/>
            </w:tcMar>
          </w:tcPr>
          <w:p w14:paraId="415192BC" w14:textId="77777777" w:rsidR="003F4569" w:rsidRPr="009941F8" w:rsidRDefault="003F4569" w:rsidP="00233562">
            <w:pPr>
              <w:pStyle w:val="In-tableHeading"/>
              <w:keepNext w:val="0"/>
              <w:widowControl w:val="0"/>
              <w:rPr>
                <w:szCs w:val="20"/>
                <w:lang w:val="en-AU"/>
              </w:rPr>
            </w:pPr>
            <w:r w:rsidRPr="009941F8">
              <w:rPr>
                <w:szCs w:val="20"/>
                <w:lang w:val="en-AU"/>
              </w:rPr>
              <w:t>Number of anifrolumab scripts</w:t>
            </w:r>
          </w:p>
        </w:tc>
      </w:tr>
      <w:tr w:rsidR="002C1990" w:rsidRPr="009941F8" w14:paraId="7E03BED3" w14:textId="77777777" w:rsidTr="00233562">
        <w:tblPrEx>
          <w:tblCellMar>
            <w:left w:w="108" w:type="dxa"/>
            <w:right w:w="108" w:type="dxa"/>
          </w:tblCellMar>
        </w:tblPrEx>
        <w:tc>
          <w:tcPr>
            <w:tcW w:w="2122" w:type="dxa"/>
            <w:shd w:val="clear" w:color="auto" w:fill="auto"/>
            <w:tcMar>
              <w:left w:w="20" w:type="dxa"/>
              <w:right w:w="20" w:type="dxa"/>
            </w:tcMar>
          </w:tcPr>
          <w:p w14:paraId="7E908D72" w14:textId="77777777" w:rsidR="003F4569" w:rsidRPr="009941F8" w:rsidRDefault="003F4569" w:rsidP="00233562">
            <w:pPr>
              <w:pStyle w:val="In-tableHeading"/>
              <w:keepNext w:val="0"/>
              <w:widowControl w:val="0"/>
              <w:rPr>
                <w:b w:val="0"/>
                <w:szCs w:val="20"/>
                <w:lang w:val="en-AU"/>
              </w:rPr>
            </w:pPr>
            <w:r w:rsidRPr="009941F8">
              <w:rPr>
                <w:b w:val="0"/>
                <w:szCs w:val="20"/>
                <w:lang w:val="en-AU"/>
              </w:rPr>
              <w:t>PBS</w:t>
            </w:r>
          </w:p>
        </w:tc>
        <w:tc>
          <w:tcPr>
            <w:tcW w:w="992" w:type="dxa"/>
            <w:shd w:val="clear" w:color="auto" w:fill="auto"/>
            <w:tcMar>
              <w:left w:w="20" w:type="dxa"/>
              <w:right w:w="20" w:type="dxa"/>
            </w:tcMar>
          </w:tcPr>
          <w:p w14:paraId="0A8F487A" w14:textId="0D7A621B" w:rsidR="003F4569"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48" w:id="-961889528"/>
                <w:lang w:val="en-AU"/>
                <w14:textFill>
                  <w14:solidFill>
                    <w14:srgbClr w14:val="000000">
                      <w14:alpha w14:val="100000"/>
                    </w14:srgbClr>
                  </w14:solidFill>
                </w14:textFill>
              </w:rPr>
              <w:t xml:space="preserve">　</w:t>
            </w:r>
            <w:r w:rsidRPr="00640EC9">
              <w:rPr>
                <w:b w:val="0"/>
                <w:bCs/>
                <w:color w:val="000000"/>
                <w:w w:val="15"/>
                <w:shd w:val="solid" w:color="000000" w:fill="000000"/>
                <w:fitText w:val="48" w:id="-961889528"/>
                <w:lang w:val="en-AU"/>
                <w14:textFill>
                  <w14:solidFill>
                    <w14:srgbClr w14:val="000000">
                      <w14:alpha w14:val="100000"/>
                    </w14:srgbClr>
                  </w14:solidFill>
                </w14:textFill>
              </w:rPr>
              <w:t>|</w:t>
            </w:r>
            <w:r w:rsidRPr="00640EC9">
              <w:rPr>
                <w:rFonts w:hint="eastAsia"/>
                <w:b w:val="0"/>
                <w:bCs/>
                <w:color w:val="000000"/>
                <w:spacing w:val="-17"/>
                <w:w w:val="15"/>
                <w:shd w:val="solid" w:color="000000" w:fill="000000"/>
                <w:fitText w:val="48" w:id="-961889528"/>
                <w:lang w:val="en-AU"/>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tcMar>
              <w:left w:w="20" w:type="dxa"/>
              <w:right w:w="20" w:type="dxa"/>
            </w:tcMar>
          </w:tcPr>
          <w:p w14:paraId="35DC1FC0" w14:textId="56DE20E1" w:rsidR="003F4569"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6"/>
                <w:shd w:val="solid" w:color="000000" w:fill="000000"/>
                <w:fitText w:val="72" w:id="-961889527"/>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9527"/>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9527"/>
                <w:lang w:val="en-AU"/>
                <w14:textFill>
                  <w14:solidFill>
                    <w14:srgbClr w14:val="000000">
                      <w14:alpha w14:val="100000"/>
                    </w14:srgbClr>
                  </w14:solidFill>
                </w14:textFill>
              </w:rPr>
              <w:t xml:space="preserve">　</w:t>
            </w:r>
            <w:r w:rsidR="00357D22" w:rsidRPr="00357D22">
              <w:rPr>
                <w:b w:val="0"/>
                <w:bCs/>
                <w:lang w:val="en-AU"/>
              </w:rPr>
              <w:t xml:space="preserve"> </w:t>
            </w:r>
            <w:r w:rsidR="00DB0472" w:rsidRPr="00DB0472">
              <w:rPr>
                <w:vertAlign w:val="superscript"/>
              </w:rPr>
              <w:t>1</w:t>
            </w:r>
          </w:p>
        </w:tc>
        <w:tc>
          <w:tcPr>
            <w:tcW w:w="992" w:type="dxa"/>
            <w:shd w:val="clear" w:color="auto" w:fill="auto"/>
            <w:tcMar>
              <w:left w:w="20" w:type="dxa"/>
              <w:right w:w="20" w:type="dxa"/>
            </w:tcMar>
          </w:tcPr>
          <w:p w14:paraId="58BAE1C3" w14:textId="117928AD" w:rsidR="003F4569"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6"/>
                <w:shd w:val="solid" w:color="000000" w:fill="000000"/>
                <w:fitText w:val="72" w:id="-961889526"/>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9526"/>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9526"/>
                <w:lang w:val="en-AU"/>
                <w14:textFill>
                  <w14:solidFill>
                    <w14:srgbClr w14:val="000000">
                      <w14:alpha w14:val="100000"/>
                    </w14:srgbClr>
                  </w14:solidFill>
                </w14:textFill>
              </w:rPr>
              <w:t xml:space="preserve">　</w:t>
            </w:r>
            <w:r w:rsidR="00357D22" w:rsidRPr="00357D22">
              <w:rPr>
                <w:b w:val="0"/>
                <w:bCs/>
                <w:lang w:val="en-AU"/>
              </w:rPr>
              <w:t xml:space="preserve"> </w:t>
            </w:r>
            <w:r w:rsidR="00DB0472" w:rsidRPr="00DB0472">
              <w:rPr>
                <w:vertAlign w:val="superscript"/>
              </w:rPr>
              <w:t>1</w:t>
            </w:r>
          </w:p>
        </w:tc>
        <w:tc>
          <w:tcPr>
            <w:tcW w:w="993" w:type="dxa"/>
            <w:shd w:val="clear" w:color="auto" w:fill="auto"/>
            <w:tcMar>
              <w:left w:w="20" w:type="dxa"/>
              <w:right w:w="20" w:type="dxa"/>
            </w:tcMar>
          </w:tcPr>
          <w:p w14:paraId="1473EDF4" w14:textId="1B4E8070" w:rsidR="003F4569"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36" w:id="-961889525"/>
                <w:lang w:val="en-AU"/>
                <w14:textFill>
                  <w14:solidFill>
                    <w14:srgbClr w14:val="000000">
                      <w14:alpha w14:val="100000"/>
                    </w14:srgbClr>
                  </w14:solidFill>
                </w14:textFill>
              </w:rPr>
              <w:t xml:space="preserve">　</w:t>
            </w:r>
            <w:r w:rsidRPr="00640EC9">
              <w:rPr>
                <w:b w:val="0"/>
                <w:bCs/>
                <w:color w:val="000000"/>
                <w:w w:val="15"/>
                <w:shd w:val="solid" w:color="000000" w:fill="000000"/>
                <w:fitText w:val="36" w:id="-961889525"/>
                <w:lang w:val="en-AU"/>
                <w14:textFill>
                  <w14:solidFill>
                    <w14:srgbClr w14:val="000000">
                      <w14:alpha w14:val="100000"/>
                    </w14:srgbClr>
                  </w14:solidFill>
                </w14:textFill>
              </w:rPr>
              <w:t>|</w:t>
            </w:r>
            <w:r w:rsidRPr="00640EC9">
              <w:rPr>
                <w:rFonts w:hint="eastAsia"/>
                <w:b w:val="0"/>
                <w:bCs/>
                <w:color w:val="000000"/>
                <w:spacing w:val="-29"/>
                <w:w w:val="15"/>
                <w:shd w:val="solid" w:color="000000" w:fill="000000"/>
                <w:fitText w:val="36" w:id="-961889525"/>
                <w:lang w:val="en-AU"/>
                <w14:textFill>
                  <w14:solidFill>
                    <w14:srgbClr w14:val="000000">
                      <w14:alpha w14:val="100000"/>
                    </w14:srgbClr>
                  </w14:solidFill>
                </w14:textFill>
              </w:rPr>
              <w:t xml:space="preserve">　</w:t>
            </w:r>
            <w:r w:rsidR="00357D22" w:rsidRPr="00357D22">
              <w:rPr>
                <w:b w:val="0"/>
                <w:bCs/>
                <w:lang w:val="en-AU"/>
              </w:rPr>
              <w:t xml:space="preserve"> </w:t>
            </w:r>
          </w:p>
        </w:tc>
        <w:tc>
          <w:tcPr>
            <w:tcW w:w="992" w:type="dxa"/>
            <w:shd w:val="clear" w:color="auto" w:fill="auto"/>
            <w:tcMar>
              <w:left w:w="20" w:type="dxa"/>
              <w:right w:w="20" w:type="dxa"/>
            </w:tcMar>
          </w:tcPr>
          <w:p w14:paraId="3E7C63A3" w14:textId="2B106903" w:rsidR="003F4569"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36" w:id="-961889524"/>
                <w:lang w:val="en-AU"/>
                <w14:textFill>
                  <w14:solidFill>
                    <w14:srgbClr w14:val="000000">
                      <w14:alpha w14:val="100000"/>
                    </w14:srgbClr>
                  </w14:solidFill>
                </w14:textFill>
              </w:rPr>
              <w:t xml:space="preserve">　</w:t>
            </w:r>
            <w:r w:rsidRPr="00640EC9">
              <w:rPr>
                <w:b w:val="0"/>
                <w:bCs/>
                <w:color w:val="000000"/>
                <w:w w:val="15"/>
                <w:shd w:val="solid" w:color="000000" w:fill="000000"/>
                <w:fitText w:val="36" w:id="-961889524"/>
                <w:lang w:val="en-AU"/>
                <w14:textFill>
                  <w14:solidFill>
                    <w14:srgbClr w14:val="000000">
                      <w14:alpha w14:val="100000"/>
                    </w14:srgbClr>
                  </w14:solidFill>
                </w14:textFill>
              </w:rPr>
              <w:t>|</w:t>
            </w:r>
            <w:r w:rsidRPr="00640EC9">
              <w:rPr>
                <w:rFonts w:hint="eastAsia"/>
                <w:b w:val="0"/>
                <w:bCs/>
                <w:color w:val="000000"/>
                <w:spacing w:val="-29"/>
                <w:w w:val="15"/>
                <w:shd w:val="solid" w:color="000000" w:fill="000000"/>
                <w:fitText w:val="36" w:id="-961889524"/>
                <w:lang w:val="en-AU"/>
                <w14:textFill>
                  <w14:solidFill>
                    <w14:srgbClr w14:val="000000">
                      <w14:alpha w14:val="100000"/>
                    </w14:srgbClr>
                  </w14:solidFill>
                </w14:textFill>
              </w:rPr>
              <w:t xml:space="preserve">　</w:t>
            </w:r>
            <w:r w:rsidR="00357D22" w:rsidRPr="00357D22">
              <w:rPr>
                <w:b w:val="0"/>
                <w:bCs/>
                <w:lang w:val="en-AU"/>
              </w:rPr>
              <w:t xml:space="preserve"> </w:t>
            </w:r>
          </w:p>
        </w:tc>
        <w:tc>
          <w:tcPr>
            <w:tcW w:w="992" w:type="dxa"/>
            <w:shd w:val="clear" w:color="auto" w:fill="auto"/>
            <w:tcMar>
              <w:left w:w="20" w:type="dxa"/>
              <w:right w:w="20" w:type="dxa"/>
            </w:tcMar>
          </w:tcPr>
          <w:p w14:paraId="45072E52" w14:textId="74C36EEC" w:rsidR="003F4569" w:rsidRPr="00AB3F41" w:rsidRDefault="00640EC9" w:rsidP="00233562">
            <w:pPr>
              <w:pStyle w:val="In-tableHeading"/>
              <w:keepNext w:val="0"/>
              <w:widowControl w:val="0"/>
              <w:jc w:val="center"/>
              <w:rPr>
                <w:b w:val="0"/>
                <w:bCs/>
                <w:szCs w:val="20"/>
                <w:highlight w:val="lightGray"/>
                <w:lang w:val="en-AU"/>
              </w:rPr>
            </w:pPr>
            <w:r w:rsidRPr="00640EC9">
              <w:rPr>
                <w:rFonts w:hint="eastAsia"/>
                <w:b w:val="0"/>
                <w:bCs/>
                <w:color w:val="000000"/>
                <w:w w:val="15"/>
                <w:shd w:val="solid" w:color="000000" w:fill="000000"/>
                <w:fitText w:val="36" w:id="-961889523"/>
                <w:lang w:val="en-AU"/>
                <w14:textFill>
                  <w14:solidFill>
                    <w14:srgbClr w14:val="000000">
                      <w14:alpha w14:val="100000"/>
                    </w14:srgbClr>
                  </w14:solidFill>
                </w14:textFill>
              </w:rPr>
              <w:t xml:space="preserve">　</w:t>
            </w:r>
            <w:r w:rsidRPr="00640EC9">
              <w:rPr>
                <w:b w:val="0"/>
                <w:bCs/>
                <w:color w:val="000000"/>
                <w:w w:val="15"/>
                <w:shd w:val="solid" w:color="000000" w:fill="000000"/>
                <w:fitText w:val="36" w:id="-961889523"/>
                <w:lang w:val="en-AU"/>
                <w14:textFill>
                  <w14:solidFill>
                    <w14:srgbClr w14:val="000000">
                      <w14:alpha w14:val="100000"/>
                    </w14:srgbClr>
                  </w14:solidFill>
                </w14:textFill>
              </w:rPr>
              <w:t>|</w:t>
            </w:r>
            <w:r w:rsidRPr="00640EC9">
              <w:rPr>
                <w:rFonts w:hint="eastAsia"/>
                <w:b w:val="0"/>
                <w:bCs/>
                <w:color w:val="000000"/>
                <w:spacing w:val="-29"/>
                <w:w w:val="15"/>
                <w:shd w:val="solid" w:color="000000" w:fill="000000"/>
                <w:fitText w:val="36" w:id="-961889523"/>
                <w:lang w:val="en-AU"/>
                <w14:textFill>
                  <w14:solidFill>
                    <w14:srgbClr w14:val="000000">
                      <w14:alpha w14:val="100000"/>
                    </w14:srgbClr>
                  </w14:solidFill>
                </w14:textFill>
              </w:rPr>
              <w:t xml:space="preserve">　</w:t>
            </w:r>
            <w:r w:rsidR="00357D22" w:rsidRPr="00357D22">
              <w:rPr>
                <w:b w:val="0"/>
                <w:bCs/>
                <w:lang w:val="en-AU"/>
              </w:rPr>
              <w:t xml:space="preserve"> </w:t>
            </w:r>
          </w:p>
        </w:tc>
        <w:tc>
          <w:tcPr>
            <w:tcW w:w="920" w:type="dxa"/>
            <w:shd w:val="clear" w:color="auto" w:fill="auto"/>
            <w:tcMar>
              <w:left w:w="20" w:type="dxa"/>
              <w:right w:w="20" w:type="dxa"/>
            </w:tcMar>
          </w:tcPr>
          <w:p w14:paraId="3F88CBEB" w14:textId="3DCD9EC3" w:rsidR="003F4569" w:rsidRPr="00AB3F41" w:rsidRDefault="00640EC9" w:rsidP="00233562">
            <w:pPr>
              <w:pStyle w:val="In-tableHeading"/>
              <w:keepNext w:val="0"/>
              <w:widowControl w:val="0"/>
              <w:jc w:val="center"/>
              <w:rPr>
                <w:b w:val="0"/>
                <w:szCs w:val="20"/>
                <w:highlight w:val="lightGray"/>
                <w:lang w:val="en-AU"/>
              </w:rPr>
            </w:pPr>
            <w:r w:rsidRPr="00640EC9">
              <w:rPr>
                <w:b w:val="0"/>
                <w:color w:val="000000"/>
                <w:szCs w:val="20"/>
                <w:shd w:val="solid" w:color="000000" w:fill="000000"/>
                <w:lang w:val="en-AU"/>
                <w14:textFill>
                  <w14:solidFill>
                    <w14:srgbClr w14:val="000000">
                      <w14:alpha w14:val="100000"/>
                    </w14:srgbClr>
                  </w14:solidFill>
                </w14:textFill>
              </w:rPr>
              <w:t>|</w:t>
            </w:r>
            <w:r w:rsidR="00DB0472" w:rsidRPr="00DB0472">
              <w:rPr>
                <w:szCs w:val="20"/>
                <w:vertAlign w:val="superscript"/>
              </w:rPr>
              <w:t>2</w:t>
            </w:r>
          </w:p>
        </w:tc>
      </w:tr>
      <w:tr w:rsidR="002C1990" w:rsidRPr="009941F8" w14:paraId="284A5A5D" w14:textId="77777777" w:rsidTr="00233562">
        <w:tblPrEx>
          <w:tblCellMar>
            <w:left w:w="108" w:type="dxa"/>
            <w:right w:w="108" w:type="dxa"/>
          </w:tblCellMar>
        </w:tblPrEx>
        <w:tc>
          <w:tcPr>
            <w:tcW w:w="2122" w:type="dxa"/>
            <w:shd w:val="clear" w:color="auto" w:fill="auto"/>
            <w:tcMar>
              <w:left w:w="20" w:type="dxa"/>
              <w:right w:w="20" w:type="dxa"/>
            </w:tcMar>
          </w:tcPr>
          <w:p w14:paraId="6AF447E4" w14:textId="77777777" w:rsidR="003F4569" w:rsidRPr="009941F8" w:rsidRDefault="003F4569" w:rsidP="00233562">
            <w:pPr>
              <w:pStyle w:val="In-tableHeading"/>
              <w:keepNext w:val="0"/>
              <w:widowControl w:val="0"/>
              <w:rPr>
                <w:b w:val="0"/>
                <w:szCs w:val="20"/>
                <w:lang w:val="en-AU"/>
              </w:rPr>
            </w:pPr>
            <w:r w:rsidRPr="009941F8">
              <w:rPr>
                <w:b w:val="0"/>
                <w:szCs w:val="20"/>
                <w:lang w:val="en-AU"/>
              </w:rPr>
              <w:t>RPBS</w:t>
            </w:r>
          </w:p>
        </w:tc>
        <w:tc>
          <w:tcPr>
            <w:tcW w:w="992" w:type="dxa"/>
            <w:shd w:val="clear" w:color="auto" w:fill="auto"/>
            <w:tcMar>
              <w:left w:w="20" w:type="dxa"/>
              <w:right w:w="20" w:type="dxa"/>
            </w:tcMar>
          </w:tcPr>
          <w:p w14:paraId="3876DA9C" w14:textId="1F09F81F" w:rsidR="003F4569" w:rsidRPr="00AB3F41" w:rsidRDefault="00640EC9" w:rsidP="00233562">
            <w:pPr>
              <w:pStyle w:val="In-tableHeading"/>
              <w:keepNext w:val="0"/>
              <w:widowControl w:val="0"/>
              <w:jc w:val="center"/>
              <w:rPr>
                <w:b w:val="0"/>
                <w:szCs w:val="20"/>
                <w:highlight w:val="lightGray"/>
                <w:lang w:val="en-AU"/>
              </w:rPr>
            </w:pPr>
            <w:r w:rsidRPr="00640EC9">
              <w:rPr>
                <w:rFonts w:hint="eastAsia"/>
                <w:b w:val="0"/>
                <w:bCs/>
                <w:color w:val="000000"/>
                <w:w w:val="15"/>
                <w:shd w:val="solid" w:color="000000" w:fill="000000"/>
                <w:fitText w:val="48" w:id="-961889522"/>
                <w:lang w:val="en-AU"/>
                <w14:textFill>
                  <w14:solidFill>
                    <w14:srgbClr w14:val="000000">
                      <w14:alpha w14:val="100000"/>
                    </w14:srgbClr>
                  </w14:solidFill>
                </w14:textFill>
              </w:rPr>
              <w:t xml:space="preserve">　</w:t>
            </w:r>
            <w:r w:rsidRPr="00640EC9">
              <w:rPr>
                <w:b w:val="0"/>
                <w:bCs/>
                <w:color w:val="000000"/>
                <w:w w:val="15"/>
                <w:shd w:val="solid" w:color="000000" w:fill="000000"/>
                <w:fitText w:val="48" w:id="-961889522"/>
                <w:lang w:val="en-AU"/>
                <w14:textFill>
                  <w14:solidFill>
                    <w14:srgbClr w14:val="000000">
                      <w14:alpha w14:val="100000"/>
                    </w14:srgbClr>
                  </w14:solidFill>
                </w14:textFill>
              </w:rPr>
              <w:t>|</w:t>
            </w:r>
            <w:r w:rsidRPr="00640EC9">
              <w:rPr>
                <w:rFonts w:hint="eastAsia"/>
                <w:b w:val="0"/>
                <w:bCs/>
                <w:color w:val="000000"/>
                <w:spacing w:val="-17"/>
                <w:w w:val="15"/>
                <w:shd w:val="solid" w:color="000000" w:fill="000000"/>
                <w:fitText w:val="48" w:id="-961889522"/>
                <w:lang w:val="en-AU"/>
                <w14:textFill>
                  <w14:solidFill>
                    <w14:srgbClr w14:val="000000">
                      <w14:alpha w14:val="100000"/>
                    </w14:srgbClr>
                  </w14:solidFill>
                </w14:textFill>
              </w:rPr>
              <w:t xml:space="preserve">　</w:t>
            </w:r>
            <w:r w:rsidR="00216520" w:rsidRPr="00216520">
              <w:rPr>
                <w:vertAlign w:val="superscript"/>
              </w:rPr>
              <w:t>4</w:t>
            </w:r>
          </w:p>
        </w:tc>
        <w:tc>
          <w:tcPr>
            <w:tcW w:w="992" w:type="dxa"/>
            <w:shd w:val="clear" w:color="auto" w:fill="auto"/>
            <w:tcMar>
              <w:left w:w="20" w:type="dxa"/>
              <w:right w:w="20" w:type="dxa"/>
            </w:tcMar>
          </w:tcPr>
          <w:p w14:paraId="42AD51FD" w14:textId="5D9D247E" w:rsidR="003F4569" w:rsidRPr="00AB3F41" w:rsidRDefault="00640EC9" w:rsidP="00233562">
            <w:pPr>
              <w:pStyle w:val="In-tableHeading"/>
              <w:keepNext w:val="0"/>
              <w:widowControl w:val="0"/>
              <w:jc w:val="center"/>
              <w:rPr>
                <w:b w:val="0"/>
                <w:szCs w:val="20"/>
                <w:highlight w:val="lightGray"/>
                <w:lang w:val="en-AU"/>
              </w:rPr>
            </w:pPr>
            <w:r w:rsidRPr="00640EC9">
              <w:rPr>
                <w:rFonts w:hint="eastAsia"/>
                <w:b w:val="0"/>
                <w:bCs/>
                <w:color w:val="000000"/>
                <w:w w:val="16"/>
                <w:shd w:val="solid" w:color="000000" w:fill="000000"/>
                <w:fitText w:val="72" w:id="-961889521"/>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9521"/>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9521"/>
                <w:lang w:val="en-AU"/>
                <w14:textFill>
                  <w14:solidFill>
                    <w14:srgbClr w14:val="000000">
                      <w14:alpha w14:val="100000"/>
                    </w14:srgbClr>
                  </w14:solidFill>
                </w14:textFill>
              </w:rPr>
              <w:t xml:space="preserve">　</w:t>
            </w:r>
            <w:r w:rsidR="00357D22" w:rsidRPr="00357D22">
              <w:rPr>
                <w:b w:val="0"/>
                <w:bCs/>
                <w:lang w:val="en-AU"/>
              </w:rPr>
              <w:t xml:space="preserve"> </w:t>
            </w:r>
            <w:r w:rsidR="00216520" w:rsidRPr="00216520">
              <w:rPr>
                <w:vertAlign w:val="superscript"/>
              </w:rPr>
              <w:t>4</w:t>
            </w:r>
          </w:p>
        </w:tc>
        <w:tc>
          <w:tcPr>
            <w:tcW w:w="992" w:type="dxa"/>
            <w:shd w:val="clear" w:color="auto" w:fill="auto"/>
            <w:tcMar>
              <w:left w:w="20" w:type="dxa"/>
              <w:right w:w="20" w:type="dxa"/>
            </w:tcMar>
          </w:tcPr>
          <w:p w14:paraId="0E2F1D0C" w14:textId="12835BF0" w:rsidR="003F4569" w:rsidRPr="00AB3F41" w:rsidRDefault="00640EC9" w:rsidP="00233562">
            <w:pPr>
              <w:pStyle w:val="In-tableHeading"/>
              <w:keepNext w:val="0"/>
              <w:widowControl w:val="0"/>
              <w:jc w:val="center"/>
              <w:rPr>
                <w:b w:val="0"/>
                <w:szCs w:val="20"/>
                <w:highlight w:val="lightGray"/>
                <w:lang w:val="en-AU"/>
              </w:rPr>
            </w:pPr>
            <w:r w:rsidRPr="00640EC9">
              <w:rPr>
                <w:rFonts w:hint="eastAsia"/>
                <w:b w:val="0"/>
                <w:bCs/>
                <w:color w:val="000000"/>
                <w:w w:val="16"/>
                <w:shd w:val="solid" w:color="000000" w:fill="000000"/>
                <w:fitText w:val="72" w:id="-961889520"/>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9520"/>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9520"/>
                <w:lang w:val="en-AU"/>
                <w14:textFill>
                  <w14:solidFill>
                    <w14:srgbClr w14:val="000000">
                      <w14:alpha w14:val="100000"/>
                    </w14:srgbClr>
                  </w14:solidFill>
                </w14:textFill>
              </w:rPr>
              <w:t xml:space="preserve">　</w:t>
            </w:r>
            <w:r w:rsidR="00357D22" w:rsidRPr="00357D22">
              <w:rPr>
                <w:b w:val="0"/>
                <w:bCs/>
                <w:lang w:val="en-AU"/>
              </w:rPr>
              <w:t xml:space="preserve"> </w:t>
            </w:r>
            <w:r w:rsidR="00216520" w:rsidRPr="00216520">
              <w:rPr>
                <w:vertAlign w:val="superscript"/>
              </w:rPr>
              <w:t>4</w:t>
            </w:r>
          </w:p>
        </w:tc>
        <w:tc>
          <w:tcPr>
            <w:tcW w:w="993" w:type="dxa"/>
            <w:shd w:val="clear" w:color="auto" w:fill="auto"/>
            <w:tcMar>
              <w:left w:w="20" w:type="dxa"/>
              <w:right w:w="20" w:type="dxa"/>
            </w:tcMar>
          </w:tcPr>
          <w:p w14:paraId="407A096F" w14:textId="1D0F5C17" w:rsidR="003F4569" w:rsidRPr="00AB3F41" w:rsidRDefault="00640EC9" w:rsidP="00233562">
            <w:pPr>
              <w:pStyle w:val="In-tableHeading"/>
              <w:keepNext w:val="0"/>
              <w:widowControl w:val="0"/>
              <w:jc w:val="center"/>
              <w:rPr>
                <w:b w:val="0"/>
                <w:szCs w:val="20"/>
                <w:highlight w:val="lightGray"/>
                <w:lang w:val="en-AU"/>
              </w:rPr>
            </w:pPr>
            <w:r w:rsidRPr="00640EC9">
              <w:rPr>
                <w:rFonts w:hint="eastAsia"/>
                <w:b w:val="0"/>
                <w:bCs/>
                <w:color w:val="000000"/>
                <w:w w:val="16"/>
                <w:shd w:val="solid" w:color="000000" w:fill="000000"/>
                <w:fitText w:val="72" w:id="-961889536"/>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9536"/>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9536"/>
                <w:lang w:val="en-AU"/>
                <w14:textFill>
                  <w14:solidFill>
                    <w14:srgbClr w14:val="000000">
                      <w14:alpha w14:val="100000"/>
                    </w14:srgbClr>
                  </w14:solidFill>
                </w14:textFill>
              </w:rPr>
              <w:t xml:space="preserve">　</w:t>
            </w:r>
            <w:r w:rsidR="00357D22" w:rsidRPr="00357D22">
              <w:rPr>
                <w:b w:val="0"/>
                <w:bCs/>
                <w:lang w:val="en-AU"/>
              </w:rPr>
              <w:t xml:space="preserve"> </w:t>
            </w:r>
            <w:r w:rsidR="00216520" w:rsidRPr="00DB0472">
              <w:rPr>
                <w:vertAlign w:val="superscript"/>
              </w:rPr>
              <w:t>3</w:t>
            </w:r>
          </w:p>
        </w:tc>
        <w:tc>
          <w:tcPr>
            <w:tcW w:w="992" w:type="dxa"/>
            <w:shd w:val="clear" w:color="auto" w:fill="auto"/>
            <w:tcMar>
              <w:left w:w="20" w:type="dxa"/>
              <w:right w:w="20" w:type="dxa"/>
            </w:tcMar>
          </w:tcPr>
          <w:p w14:paraId="24C8CA62" w14:textId="28A55602" w:rsidR="003F4569" w:rsidRPr="00AB3F41" w:rsidRDefault="00640EC9" w:rsidP="00233562">
            <w:pPr>
              <w:pStyle w:val="In-tableHeading"/>
              <w:keepNext w:val="0"/>
              <w:widowControl w:val="0"/>
              <w:jc w:val="center"/>
              <w:rPr>
                <w:b w:val="0"/>
                <w:szCs w:val="20"/>
                <w:highlight w:val="lightGray"/>
                <w:lang w:val="en-AU"/>
              </w:rPr>
            </w:pPr>
            <w:r w:rsidRPr="00640EC9">
              <w:rPr>
                <w:rFonts w:hint="eastAsia"/>
                <w:b w:val="0"/>
                <w:bCs/>
                <w:color w:val="000000"/>
                <w:w w:val="16"/>
                <w:shd w:val="solid" w:color="000000" w:fill="000000"/>
                <w:fitText w:val="72" w:id="-961888256"/>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8256"/>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8256"/>
                <w:lang w:val="en-AU"/>
                <w14:textFill>
                  <w14:solidFill>
                    <w14:srgbClr w14:val="000000">
                      <w14:alpha w14:val="100000"/>
                    </w14:srgbClr>
                  </w14:solidFill>
                </w14:textFill>
              </w:rPr>
              <w:t xml:space="preserve">　</w:t>
            </w:r>
            <w:r w:rsidR="00357D22" w:rsidRPr="00357D22">
              <w:rPr>
                <w:b w:val="0"/>
                <w:bCs/>
                <w:lang w:val="en-AU"/>
              </w:rPr>
              <w:t xml:space="preserve"> </w:t>
            </w:r>
            <w:r w:rsidR="00216520" w:rsidRPr="00DB0472">
              <w:rPr>
                <w:vertAlign w:val="superscript"/>
              </w:rPr>
              <w:t>3</w:t>
            </w:r>
          </w:p>
        </w:tc>
        <w:tc>
          <w:tcPr>
            <w:tcW w:w="992" w:type="dxa"/>
            <w:shd w:val="clear" w:color="auto" w:fill="auto"/>
            <w:tcMar>
              <w:left w:w="20" w:type="dxa"/>
              <w:right w:w="20" w:type="dxa"/>
            </w:tcMar>
          </w:tcPr>
          <w:p w14:paraId="4608CA06" w14:textId="2AE74B28" w:rsidR="003F4569" w:rsidRPr="00AB3F41" w:rsidRDefault="00640EC9" w:rsidP="00233562">
            <w:pPr>
              <w:pStyle w:val="In-tableHeading"/>
              <w:keepNext w:val="0"/>
              <w:widowControl w:val="0"/>
              <w:jc w:val="center"/>
              <w:rPr>
                <w:b w:val="0"/>
                <w:szCs w:val="20"/>
                <w:highlight w:val="lightGray"/>
                <w:lang w:val="en-AU"/>
              </w:rPr>
            </w:pPr>
            <w:r w:rsidRPr="00640EC9">
              <w:rPr>
                <w:rFonts w:hint="eastAsia"/>
                <w:b w:val="0"/>
                <w:bCs/>
                <w:color w:val="000000"/>
                <w:w w:val="16"/>
                <w:shd w:val="solid" w:color="000000" w:fill="000000"/>
                <w:fitText w:val="72" w:id="-961888255"/>
                <w:lang w:val="en-AU"/>
                <w14:textFill>
                  <w14:solidFill>
                    <w14:srgbClr w14:val="000000">
                      <w14:alpha w14:val="100000"/>
                    </w14:srgbClr>
                  </w14:solidFill>
                </w14:textFill>
              </w:rPr>
              <w:t xml:space="preserve">　</w:t>
            </w:r>
            <w:r w:rsidRPr="00640EC9">
              <w:rPr>
                <w:b w:val="0"/>
                <w:bCs/>
                <w:color w:val="000000"/>
                <w:w w:val="16"/>
                <w:shd w:val="solid" w:color="000000" w:fill="000000"/>
                <w:fitText w:val="72" w:id="-961888255"/>
                <w:lang w:val="en-AU"/>
                <w14:textFill>
                  <w14:solidFill>
                    <w14:srgbClr w14:val="000000">
                      <w14:alpha w14:val="100000"/>
                    </w14:srgbClr>
                  </w14:solidFill>
                </w14:textFill>
              </w:rPr>
              <w:t>|</w:t>
            </w:r>
            <w:r w:rsidRPr="00640EC9">
              <w:rPr>
                <w:rFonts w:hint="eastAsia"/>
                <w:b w:val="0"/>
                <w:bCs/>
                <w:color w:val="000000"/>
                <w:spacing w:val="2"/>
                <w:w w:val="16"/>
                <w:shd w:val="solid" w:color="000000" w:fill="000000"/>
                <w:fitText w:val="72" w:id="-961888255"/>
                <w:lang w:val="en-AU"/>
                <w14:textFill>
                  <w14:solidFill>
                    <w14:srgbClr w14:val="000000">
                      <w14:alpha w14:val="100000"/>
                    </w14:srgbClr>
                  </w14:solidFill>
                </w14:textFill>
              </w:rPr>
              <w:t xml:space="preserve">　</w:t>
            </w:r>
            <w:r w:rsidR="00357D22" w:rsidRPr="00357D22">
              <w:rPr>
                <w:b w:val="0"/>
                <w:bCs/>
                <w:lang w:val="en-AU"/>
              </w:rPr>
              <w:t xml:space="preserve"> </w:t>
            </w:r>
            <w:r w:rsidR="00216520" w:rsidRPr="00DB0472">
              <w:rPr>
                <w:vertAlign w:val="superscript"/>
              </w:rPr>
              <w:t>3</w:t>
            </w:r>
          </w:p>
        </w:tc>
        <w:tc>
          <w:tcPr>
            <w:tcW w:w="920" w:type="dxa"/>
            <w:shd w:val="clear" w:color="auto" w:fill="auto"/>
            <w:tcMar>
              <w:left w:w="20" w:type="dxa"/>
              <w:right w:w="20" w:type="dxa"/>
            </w:tcMar>
          </w:tcPr>
          <w:p w14:paraId="5A3B1967" w14:textId="10A0E316" w:rsidR="003F4569" w:rsidRPr="00AB3F41" w:rsidRDefault="00640EC9" w:rsidP="00233562">
            <w:pPr>
              <w:pStyle w:val="In-tableHeading"/>
              <w:keepNext w:val="0"/>
              <w:widowControl w:val="0"/>
              <w:jc w:val="center"/>
              <w:rPr>
                <w:b w:val="0"/>
                <w:szCs w:val="20"/>
                <w:highlight w:val="lightGray"/>
                <w:lang w:val="en-AU"/>
              </w:rPr>
            </w:pPr>
            <w:r w:rsidRPr="00CE7EC7">
              <w:rPr>
                <w:rFonts w:hint="eastAsia"/>
                <w:b w:val="0"/>
                <w:bCs/>
                <w:color w:val="000000"/>
                <w:w w:val="15"/>
                <w:shd w:val="solid" w:color="000000" w:fill="000000"/>
                <w:fitText w:val="12" w:id="-961888254"/>
                <w:lang w:val="en-AU"/>
                <w14:textFill>
                  <w14:solidFill>
                    <w14:srgbClr w14:val="000000">
                      <w14:alpha w14:val="100000"/>
                    </w14:srgbClr>
                  </w14:solidFill>
                </w14:textFill>
              </w:rPr>
              <w:t xml:space="preserve">　</w:t>
            </w:r>
            <w:r w:rsidRPr="00CE7EC7">
              <w:rPr>
                <w:b w:val="0"/>
                <w:bCs/>
                <w:color w:val="000000"/>
                <w:spacing w:val="-24"/>
                <w:w w:val="15"/>
                <w:shd w:val="solid" w:color="000000" w:fill="000000"/>
                <w:fitText w:val="12" w:id="-961888254"/>
                <w:lang w:val="en-AU"/>
                <w14:textFill>
                  <w14:solidFill>
                    <w14:srgbClr w14:val="000000">
                      <w14:alpha w14:val="100000"/>
                    </w14:srgbClr>
                  </w14:solidFill>
                </w14:textFill>
              </w:rPr>
              <w:t>|</w:t>
            </w:r>
            <w:r w:rsidRPr="00C136EB">
              <w:rPr>
                <w:rFonts w:hint="eastAsia"/>
                <w:b w:val="0"/>
                <w:bCs/>
                <w:color w:val="000000"/>
                <w:w w:val="15"/>
                <w:shd w:val="solid" w:color="000000" w:fill="000000"/>
                <w:lang w:val="en-AU"/>
                <w14:textFill>
                  <w14:solidFill>
                    <w14:srgbClr w14:val="000000">
                      <w14:alpha w14:val="100000"/>
                    </w14:srgbClr>
                  </w14:solidFill>
                </w14:textFill>
              </w:rPr>
              <w:t xml:space="preserve">　</w:t>
            </w:r>
            <w:r w:rsidR="00357D22" w:rsidRPr="00357D22">
              <w:rPr>
                <w:b w:val="0"/>
                <w:bCs/>
                <w:lang w:val="en-AU"/>
              </w:rPr>
              <w:t xml:space="preserve"> </w:t>
            </w:r>
            <w:r w:rsidR="00216520" w:rsidRPr="00DB0472">
              <w:rPr>
                <w:vertAlign w:val="superscript"/>
              </w:rPr>
              <w:t>3</w:t>
            </w:r>
          </w:p>
        </w:tc>
      </w:tr>
      <w:tr w:rsidR="002C1990" w:rsidRPr="009941F8" w14:paraId="33579DCB" w14:textId="77777777" w:rsidTr="00233562">
        <w:tblPrEx>
          <w:tblCellMar>
            <w:left w:w="108" w:type="dxa"/>
            <w:right w:w="108" w:type="dxa"/>
          </w:tblCellMar>
        </w:tblPrEx>
        <w:tc>
          <w:tcPr>
            <w:tcW w:w="2122" w:type="dxa"/>
            <w:shd w:val="clear" w:color="auto" w:fill="auto"/>
            <w:tcMar>
              <w:left w:w="20" w:type="dxa"/>
              <w:right w:w="20" w:type="dxa"/>
            </w:tcMar>
          </w:tcPr>
          <w:p w14:paraId="295E8597" w14:textId="77777777" w:rsidR="003F4569" w:rsidRPr="009941F8" w:rsidRDefault="003F4569" w:rsidP="00233562">
            <w:pPr>
              <w:pStyle w:val="TableText0"/>
              <w:keepNext w:val="0"/>
              <w:widowControl w:val="0"/>
              <w:rPr>
                <w:b/>
                <w:szCs w:val="20"/>
              </w:rPr>
            </w:pPr>
            <w:r w:rsidRPr="009941F8">
              <w:rPr>
                <w:b/>
                <w:szCs w:val="20"/>
              </w:rPr>
              <w:t xml:space="preserve">Total </w:t>
            </w:r>
          </w:p>
        </w:tc>
        <w:tc>
          <w:tcPr>
            <w:tcW w:w="992" w:type="dxa"/>
            <w:shd w:val="clear" w:color="auto" w:fill="auto"/>
            <w:tcMar>
              <w:left w:w="20" w:type="dxa"/>
              <w:right w:w="20" w:type="dxa"/>
            </w:tcMar>
          </w:tcPr>
          <w:p w14:paraId="2A37B465" w14:textId="27CD9DE0"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4"/>
                <w:shd w:val="solid" w:color="000000" w:fill="000000"/>
                <w:fitText w:val="108" w:id="-961888253"/>
                <w14:textFill>
                  <w14:solidFill>
                    <w14:srgbClr w14:val="000000">
                      <w14:alpha w14:val="100000"/>
                    </w14:srgbClr>
                  </w14:solidFill>
                </w14:textFill>
              </w:rPr>
              <w:t xml:space="preserve">　</w:t>
            </w:r>
            <w:r w:rsidRPr="00640EC9">
              <w:rPr>
                <w:b/>
                <w:bCs w:val="0"/>
                <w:color w:val="000000"/>
                <w:w w:val="24"/>
                <w:shd w:val="solid" w:color="000000" w:fill="000000"/>
                <w:fitText w:val="108" w:id="-961888253"/>
                <w14:textFill>
                  <w14:solidFill>
                    <w14:srgbClr w14:val="000000">
                      <w14:alpha w14:val="100000"/>
                    </w14:srgbClr>
                  </w14:solidFill>
                </w14:textFill>
              </w:rPr>
              <w:t>|</w:t>
            </w:r>
            <w:r w:rsidRPr="00640EC9">
              <w:rPr>
                <w:rFonts w:hint="eastAsia"/>
                <w:b/>
                <w:bCs w:val="0"/>
                <w:color w:val="000000"/>
                <w:spacing w:val="3"/>
                <w:w w:val="24"/>
                <w:shd w:val="solid" w:color="000000" w:fill="000000"/>
                <w:fitText w:val="108" w:id="-961888253"/>
                <w14:textFill>
                  <w14:solidFill>
                    <w14:srgbClr w14:val="000000">
                      <w14:alpha w14:val="100000"/>
                    </w14:srgbClr>
                  </w14:solidFill>
                </w14:textFill>
              </w:rPr>
              <w:t xml:space="preserve">　</w:t>
            </w:r>
            <w:r w:rsidR="00DB0472" w:rsidRPr="00DB0472">
              <w:rPr>
                <w:vertAlign w:val="superscript"/>
              </w:rPr>
              <w:t>1</w:t>
            </w:r>
          </w:p>
        </w:tc>
        <w:tc>
          <w:tcPr>
            <w:tcW w:w="992" w:type="dxa"/>
            <w:shd w:val="clear" w:color="auto" w:fill="auto"/>
            <w:tcMar>
              <w:left w:w="20" w:type="dxa"/>
              <w:right w:w="20" w:type="dxa"/>
            </w:tcMar>
          </w:tcPr>
          <w:p w14:paraId="3610458F" w14:textId="19368BD7"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52"/>
                <w14:textFill>
                  <w14:solidFill>
                    <w14:srgbClr w14:val="000000">
                      <w14:alpha w14:val="100000"/>
                    </w14:srgbClr>
                  </w14:solidFill>
                </w14:textFill>
              </w:rPr>
              <w:t xml:space="preserve">　</w:t>
            </w:r>
            <w:r w:rsidRPr="00640EC9">
              <w:rPr>
                <w:b/>
                <w:bCs w:val="0"/>
                <w:color w:val="000000"/>
                <w:w w:val="29"/>
                <w:shd w:val="solid" w:color="000000" w:fill="000000"/>
                <w:fitText w:val="132" w:id="-961888252"/>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52"/>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1</w:t>
            </w:r>
          </w:p>
        </w:tc>
        <w:tc>
          <w:tcPr>
            <w:tcW w:w="992" w:type="dxa"/>
            <w:shd w:val="clear" w:color="auto" w:fill="auto"/>
            <w:tcMar>
              <w:left w:w="20" w:type="dxa"/>
              <w:right w:w="20" w:type="dxa"/>
            </w:tcMar>
          </w:tcPr>
          <w:p w14:paraId="294941A3" w14:textId="43A1B4C9"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51"/>
                <w14:textFill>
                  <w14:solidFill>
                    <w14:srgbClr w14:val="000000">
                      <w14:alpha w14:val="100000"/>
                    </w14:srgbClr>
                  </w14:solidFill>
                </w14:textFill>
              </w:rPr>
              <w:t xml:space="preserve">　</w:t>
            </w:r>
            <w:r w:rsidRPr="00640EC9">
              <w:rPr>
                <w:b/>
                <w:bCs w:val="0"/>
                <w:color w:val="000000"/>
                <w:w w:val="29"/>
                <w:shd w:val="solid" w:color="000000" w:fill="000000"/>
                <w:fitText w:val="132" w:id="-961888251"/>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51"/>
                <w14:textFill>
                  <w14:solidFill>
                    <w14:srgbClr w14:val="000000">
                      <w14:alpha w14:val="100000"/>
                    </w14:srgbClr>
                  </w14:solidFill>
                </w14:textFill>
              </w:rPr>
              <w:t xml:space="preserve">　</w:t>
            </w:r>
            <w:r w:rsidR="00357D22" w:rsidRPr="00357D22">
              <w:rPr>
                <w:b/>
                <w:bCs w:val="0"/>
              </w:rPr>
              <w:t xml:space="preserve"> </w:t>
            </w:r>
            <w:r w:rsidR="00DB0472" w:rsidRPr="00DB0472">
              <w:rPr>
                <w:vertAlign w:val="superscript"/>
              </w:rPr>
              <w:t>1</w:t>
            </w:r>
          </w:p>
        </w:tc>
        <w:tc>
          <w:tcPr>
            <w:tcW w:w="993" w:type="dxa"/>
            <w:shd w:val="clear" w:color="auto" w:fill="auto"/>
            <w:tcMar>
              <w:left w:w="20" w:type="dxa"/>
              <w:right w:w="20" w:type="dxa"/>
            </w:tcMar>
          </w:tcPr>
          <w:p w14:paraId="7A67D703" w14:textId="3F818289"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6"/>
                <w:shd w:val="solid" w:color="000000" w:fill="000000"/>
                <w:fitText w:val="72" w:id="-961888250"/>
                <w14:textFill>
                  <w14:solidFill>
                    <w14:srgbClr w14:val="000000">
                      <w14:alpha w14:val="100000"/>
                    </w14:srgbClr>
                  </w14:solidFill>
                </w14:textFill>
              </w:rPr>
              <w:t xml:space="preserve">　</w:t>
            </w:r>
            <w:r w:rsidRPr="00640EC9">
              <w:rPr>
                <w:b/>
                <w:bCs w:val="0"/>
                <w:color w:val="000000"/>
                <w:w w:val="16"/>
                <w:shd w:val="solid" w:color="000000" w:fill="000000"/>
                <w:fitText w:val="72" w:id="-961888250"/>
                <w14:textFill>
                  <w14:solidFill>
                    <w14:srgbClr w14:val="000000">
                      <w14:alpha w14:val="100000"/>
                    </w14:srgbClr>
                  </w14:solidFill>
                </w14:textFill>
              </w:rPr>
              <w:t>|</w:t>
            </w:r>
            <w:r w:rsidRPr="00640EC9">
              <w:rPr>
                <w:rFonts w:hint="eastAsia"/>
                <w:b/>
                <w:bCs w:val="0"/>
                <w:color w:val="000000"/>
                <w:spacing w:val="2"/>
                <w:w w:val="16"/>
                <w:shd w:val="solid" w:color="000000" w:fill="000000"/>
                <w:fitText w:val="72" w:id="-961888250"/>
                <w14:textFill>
                  <w14:solidFill>
                    <w14:srgbClr w14:val="000000">
                      <w14:alpha w14:val="100000"/>
                    </w14:srgbClr>
                  </w14:solidFill>
                </w14:textFill>
              </w:rPr>
              <w:t xml:space="preserve">　</w:t>
            </w:r>
            <w:r w:rsidR="00357D22" w:rsidRPr="00357D22">
              <w:rPr>
                <w:b/>
                <w:bCs w:val="0"/>
              </w:rPr>
              <w:t xml:space="preserve"> </w:t>
            </w:r>
          </w:p>
        </w:tc>
        <w:tc>
          <w:tcPr>
            <w:tcW w:w="992" w:type="dxa"/>
            <w:shd w:val="clear" w:color="auto" w:fill="auto"/>
            <w:tcMar>
              <w:left w:w="20" w:type="dxa"/>
              <w:right w:w="20" w:type="dxa"/>
            </w:tcMar>
          </w:tcPr>
          <w:p w14:paraId="7CB09542" w14:textId="6F6200E4"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6"/>
                <w:shd w:val="solid" w:color="000000" w:fill="000000"/>
                <w:fitText w:val="72" w:id="-961888249"/>
                <w14:textFill>
                  <w14:solidFill>
                    <w14:srgbClr w14:val="000000">
                      <w14:alpha w14:val="100000"/>
                    </w14:srgbClr>
                  </w14:solidFill>
                </w14:textFill>
              </w:rPr>
              <w:t xml:space="preserve">　</w:t>
            </w:r>
            <w:r w:rsidRPr="00640EC9">
              <w:rPr>
                <w:b/>
                <w:bCs w:val="0"/>
                <w:color w:val="000000"/>
                <w:w w:val="16"/>
                <w:shd w:val="solid" w:color="000000" w:fill="000000"/>
                <w:fitText w:val="72" w:id="-961888249"/>
                <w14:textFill>
                  <w14:solidFill>
                    <w14:srgbClr w14:val="000000">
                      <w14:alpha w14:val="100000"/>
                    </w14:srgbClr>
                  </w14:solidFill>
                </w14:textFill>
              </w:rPr>
              <w:t>|</w:t>
            </w:r>
            <w:r w:rsidRPr="00640EC9">
              <w:rPr>
                <w:rFonts w:hint="eastAsia"/>
                <w:b/>
                <w:bCs w:val="0"/>
                <w:color w:val="000000"/>
                <w:spacing w:val="2"/>
                <w:w w:val="16"/>
                <w:shd w:val="solid" w:color="000000" w:fill="000000"/>
                <w:fitText w:val="72" w:id="-961888249"/>
                <w14:textFill>
                  <w14:solidFill>
                    <w14:srgbClr w14:val="000000">
                      <w14:alpha w14:val="100000"/>
                    </w14:srgbClr>
                  </w14:solidFill>
                </w14:textFill>
              </w:rPr>
              <w:t xml:space="preserve">　</w:t>
            </w:r>
            <w:r w:rsidR="00357D22" w:rsidRPr="00357D22">
              <w:rPr>
                <w:b/>
                <w:bCs w:val="0"/>
              </w:rPr>
              <w:t xml:space="preserve"> </w:t>
            </w:r>
          </w:p>
        </w:tc>
        <w:tc>
          <w:tcPr>
            <w:tcW w:w="992" w:type="dxa"/>
            <w:shd w:val="clear" w:color="auto" w:fill="auto"/>
            <w:tcMar>
              <w:left w:w="20" w:type="dxa"/>
              <w:right w:w="20" w:type="dxa"/>
            </w:tcMar>
          </w:tcPr>
          <w:p w14:paraId="1D5AF8E5" w14:textId="38C79DFD"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6"/>
                <w:shd w:val="solid" w:color="000000" w:fill="000000"/>
                <w:fitText w:val="72" w:id="-961888248"/>
                <w14:textFill>
                  <w14:solidFill>
                    <w14:srgbClr w14:val="000000">
                      <w14:alpha w14:val="100000"/>
                    </w14:srgbClr>
                  </w14:solidFill>
                </w14:textFill>
              </w:rPr>
              <w:t xml:space="preserve">　</w:t>
            </w:r>
            <w:r w:rsidRPr="00640EC9">
              <w:rPr>
                <w:b/>
                <w:bCs w:val="0"/>
                <w:color w:val="000000"/>
                <w:w w:val="16"/>
                <w:shd w:val="solid" w:color="000000" w:fill="000000"/>
                <w:fitText w:val="72" w:id="-961888248"/>
                <w14:textFill>
                  <w14:solidFill>
                    <w14:srgbClr w14:val="000000">
                      <w14:alpha w14:val="100000"/>
                    </w14:srgbClr>
                  </w14:solidFill>
                </w14:textFill>
              </w:rPr>
              <w:t>|</w:t>
            </w:r>
            <w:r w:rsidRPr="00640EC9">
              <w:rPr>
                <w:rFonts w:hint="eastAsia"/>
                <w:b/>
                <w:bCs w:val="0"/>
                <w:color w:val="000000"/>
                <w:spacing w:val="2"/>
                <w:w w:val="16"/>
                <w:shd w:val="solid" w:color="000000" w:fill="000000"/>
                <w:fitText w:val="72" w:id="-961888248"/>
                <w14:textFill>
                  <w14:solidFill>
                    <w14:srgbClr w14:val="000000">
                      <w14:alpha w14:val="100000"/>
                    </w14:srgbClr>
                  </w14:solidFill>
                </w14:textFill>
              </w:rPr>
              <w:t xml:space="preserve">　</w:t>
            </w:r>
            <w:r w:rsidR="00357D22" w:rsidRPr="00357D22">
              <w:rPr>
                <w:b/>
                <w:bCs w:val="0"/>
              </w:rPr>
              <w:t xml:space="preserve"> </w:t>
            </w:r>
          </w:p>
        </w:tc>
        <w:tc>
          <w:tcPr>
            <w:tcW w:w="920" w:type="dxa"/>
            <w:shd w:val="clear" w:color="auto" w:fill="auto"/>
            <w:tcMar>
              <w:left w:w="20" w:type="dxa"/>
              <w:right w:w="20" w:type="dxa"/>
            </w:tcMar>
          </w:tcPr>
          <w:p w14:paraId="460B1CAB" w14:textId="28C2A14E"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5"/>
                <w:shd w:val="solid" w:color="000000" w:fill="000000"/>
                <w:fitText w:val="48" w:id="-961888247"/>
                <w14:textFill>
                  <w14:solidFill>
                    <w14:srgbClr w14:val="000000">
                      <w14:alpha w14:val="100000"/>
                    </w14:srgbClr>
                  </w14:solidFill>
                </w14:textFill>
              </w:rPr>
              <w:t xml:space="preserve">　</w:t>
            </w:r>
            <w:r w:rsidRPr="00640EC9">
              <w:rPr>
                <w:b/>
                <w:bCs w:val="0"/>
                <w:color w:val="000000"/>
                <w:w w:val="15"/>
                <w:shd w:val="solid" w:color="000000" w:fill="000000"/>
                <w:fitText w:val="48" w:id="-961888247"/>
                <w14:textFill>
                  <w14:solidFill>
                    <w14:srgbClr w14:val="000000">
                      <w14:alpha w14:val="100000"/>
                    </w14:srgbClr>
                  </w14:solidFill>
                </w14:textFill>
              </w:rPr>
              <w:t>|</w:t>
            </w:r>
            <w:r w:rsidRPr="00640EC9">
              <w:rPr>
                <w:rFonts w:hint="eastAsia"/>
                <w:b/>
                <w:bCs w:val="0"/>
                <w:color w:val="000000"/>
                <w:spacing w:val="-18"/>
                <w:w w:val="15"/>
                <w:shd w:val="solid" w:color="000000" w:fill="000000"/>
                <w:fitText w:val="48" w:id="-961888247"/>
                <w14:textFill>
                  <w14:solidFill>
                    <w14:srgbClr w14:val="000000">
                      <w14:alpha w14:val="100000"/>
                    </w14:srgbClr>
                  </w14:solidFill>
                </w14:textFill>
              </w:rPr>
              <w:t xml:space="preserve">　</w:t>
            </w:r>
            <w:r w:rsidR="00DB0472" w:rsidRPr="00DB0472">
              <w:rPr>
                <w:szCs w:val="20"/>
                <w:vertAlign w:val="superscript"/>
              </w:rPr>
              <w:t>2</w:t>
            </w:r>
          </w:p>
        </w:tc>
      </w:tr>
      <w:tr w:rsidR="003F4569" w:rsidRPr="009941F8" w14:paraId="50CCD253" w14:textId="77777777" w:rsidTr="00A244E2">
        <w:tblPrEx>
          <w:tblCellMar>
            <w:left w:w="108" w:type="dxa"/>
            <w:right w:w="108" w:type="dxa"/>
          </w:tblCellMar>
        </w:tblPrEx>
        <w:tc>
          <w:tcPr>
            <w:tcW w:w="8995" w:type="dxa"/>
            <w:gridSpan w:val="8"/>
            <w:shd w:val="clear" w:color="auto" w:fill="auto"/>
            <w:tcMar>
              <w:left w:w="20" w:type="dxa"/>
              <w:right w:w="20" w:type="dxa"/>
            </w:tcMar>
          </w:tcPr>
          <w:p w14:paraId="5151F911" w14:textId="77777777" w:rsidR="003F4569" w:rsidRPr="009941F8" w:rsidRDefault="003F4569" w:rsidP="00233562">
            <w:pPr>
              <w:pStyle w:val="TableText0"/>
              <w:keepNext w:val="0"/>
              <w:widowControl w:val="0"/>
              <w:rPr>
                <w:b/>
                <w:szCs w:val="20"/>
              </w:rPr>
            </w:pPr>
            <w:r w:rsidRPr="009941F8">
              <w:rPr>
                <w:b/>
                <w:szCs w:val="20"/>
              </w:rPr>
              <w:t>Change in no. of authorities</w:t>
            </w:r>
          </w:p>
        </w:tc>
      </w:tr>
      <w:tr w:rsidR="002C1990" w:rsidRPr="009941F8" w14:paraId="14C2FE7C" w14:textId="77777777" w:rsidTr="00233562">
        <w:tblPrEx>
          <w:tblCellMar>
            <w:left w:w="108" w:type="dxa"/>
            <w:right w:w="108" w:type="dxa"/>
          </w:tblCellMar>
        </w:tblPrEx>
        <w:tc>
          <w:tcPr>
            <w:tcW w:w="2122" w:type="dxa"/>
            <w:shd w:val="clear" w:color="auto" w:fill="auto"/>
            <w:tcMar>
              <w:left w:w="20" w:type="dxa"/>
              <w:right w:w="20" w:type="dxa"/>
            </w:tcMar>
          </w:tcPr>
          <w:p w14:paraId="5CAD8920" w14:textId="77777777" w:rsidR="003F4569" w:rsidRPr="009941F8" w:rsidRDefault="003F4569" w:rsidP="00233562">
            <w:pPr>
              <w:pStyle w:val="TableText0"/>
              <w:keepNext w:val="0"/>
              <w:widowControl w:val="0"/>
              <w:rPr>
                <w:szCs w:val="20"/>
              </w:rPr>
            </w:pPr>
            <w:r w:rsidRPr="009941F8">
              <w:rPr>
                <w:szCs w:val="20"/>
              </w:rPr>
              <w:t xml:space="preserve">PBS </w:t>
            </w:r>
          </w:p>
        </w:tc>
        <w:tc>
          <w:tcPr>
            <w:tcW w:w="992" w:type="dxa"/>
            <w:shd w:val="clear" w:color="auto" w:fill="auto"/>
            <w:tcMar>
              <w:left w:w="20" w:type="dxa"/>
              <w:right w:w="20" w:type="dxa"/>
            </w:tcMar>
          </w:tcPr>
          <w:p w14:paraId="08727BB4" w14:textId="3EFD1A2A"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6"/>
                <w14:textFill>
                  <w14:solidFill>
                    <w14:srgbClr w14:val="000000">
                      <w14:alpha w14:val="100000"/>
                    </w14:srgbClr>
                  </w14:solidFill>
                </w14:textFill>
              </w:rPr>
              <w:t xml:space="preserve">　</w:t>
            </w:r>
            <w:r w:rsidRPr="00640EC9">
              <w:rPr>
                <w:color w:val="000000"/>
                <w:w w:val="16"/>
                <w:shd w:val="solid" w:color="000000" w:fill="000000"/>
                <w:fitText w:val="72" w:id="-961888246"/>
                <w14:textFill>
                  <w14:solidFill>
                    <w14:srgbClr w14:val="000000">
                      <w14:alpha w14:val="100000"/>
                    </w14:srgbClr>
                  </w14:solidFill>
                </w14:textFill>
              </w:rPr>
              <w:t>|</w:t>
            </w:r>
            <w:r w:rsidRPr="00640EC9">
              <w:rPr>
                <w:rFonts w:hint="eastAsia"/>
                <w:color w:val="000000"/>
                <w:spacing w:val="2"/>
                <w:w w:val="16"/>
                <w:shd w:val="solid" w:color="000000" w:fill="000000"/>
                <w:fitText w:val="72" w:id="-961888246"/>
                <w14:textFill>
                  <w14:solidFill>
                    <w14:srgbClr w14:val="000000">
                      <w14:alpha w14:val="100000"/>
                    </w14:srgbClr>
                  </w14:solidFill>
                </w14:textFill>
              </w:rPr>
              <w:t xml:space="preserve">　</w:t>
            </w:r>
            <w:r w:rsidR="00357D22" w:rsidRPr="00357D22">
              <w:t xml:space="preserve"> </w:t>
            </w:r>
            <w:r w:rsidR="00216520" w:rsidRPr="00DB0472">
              <w:rPr>
                <w:vertAlign w:val="superscript"/>
              </w:rPr>
              <w:t>3</w:t>
            </w:r>
          </w:p>
        </w:tc>
        <w:tc>
          <w:tcPr>
            <w:tcW w:w="992" w:type="dxa"/>
            <w:shd w:val="clear" w:color="auto" w:fill="auto"/>
            <w:tcMar>
              <w:left w:w="20" w:type="dxa"/>
              <w:right w:w="20" w:type="dxa"/>
            </w:tcMar>
          </w:tcPr>
          <w:p w14:paraId="2B004B29" w14:textId="627028D2"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5"/>
                <w14:textFill>
                  <w14:solidFill>
                    <w14:srgbClr w14:val="000000">
                      <w14:alpha w14:val="100000"/>
                    </w14:srgbClr>
                  </w14:solidFill>
                </w14:textFill>
              </w:rPr>
              <w:t xml:space="preserve">　</w:t>
            </w:r>
            <w:r w:rsidRPr="00640EC9">
              <w:rPr>
                <w:color w:val="000000"/>
                <w:w w:val="16"/>
                <w:shd w:val="solid" w:color="000000" w:fill="000000"/>
                <w:fitText w:val="72" w:id="-961888245"/>
                <w14:textFill>
                  <w14:solidFill>
                    <w14:srgbClr w14:val="000000">
                      <w14:alpha w14:val="100000"/>
                    </w14:srgbClr>
                  </w14:solidFill>
                </w14:textFill>
              </w:rPr>
              <w:t>|</w:t>
            </w:r>
            <w:r w:rsidRPr="00640EC9">
              <w:rPr>
                <w:rFonts w:hint="eastAsia"/>
                <w:color w:val="000000"/>
                <w:spacing w:val="2"/>
                <w:w w:val="16"/>
                <w:shd w:val="solid" w:color="000000" w:fill="000000"/>
                <w:fitText w:val="72" w:id="-961888245"/>
                <w14:textFill>
                  <w14:solidFill>
                    <w14:srgbClr w14:val="000000">
                      <w14:alpha w14:val="100000"/>
                    </w14:srgbClr>
                  </w14:solidFill>
                </w14:textFill>
              </w:rPr>
              <w:t xml:space="preserve">　</w:t>
            </w:r>
            <w:r w:rsidR="00357D22" w:rsidRPr="00357D22">
              <w:t xml:space="preserve"> </w:t>
            </w:r>
            <w:r w:rsidR="00216520" w:rsidRPr="00DB0472">
              <w:rPr>
                <w:vertAlign w:val="superscript"/>
              </w:rPr>
              <w:t>3</w:t>
            </w:r>
          </w:p>
        </w:tc>
        <w:tc>
          <w:tcPr>
            <w:tcW w:w="992" w:type="dxa"/>
            <w:shd w:val="clear" w:color="auto" w:fill="auto"/>
            <w:tcMar>
              <w:left w:w="20" w:type="dxa"/>
              <w:right w:w="20" w:type="dxa"/>
            </w:tcMar>
          </w:tcPr>
          <w:p w14:paraId="45502229" w14:textId="0C4E2E61"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4"/>
                <w14:textFill>
                  <w14:solidFill>
                    <w14:srgbClr w14:val="000000">
                      <w14:alpha w14:val="100000"/>
                    </w14:srgbClr>
                  </w14:solidFill>
                </w14:textFill>
              </w:rPr>
              <w:t xml:space="preserve">　</w:t>
            </w:r>
            <w:r w:rsidRPr="00640EC9">
              <w:rPr>
                <w:color w:val="000000"/>
                <w:w w:val="16"/>
                <w:shd w:val="solid" w:color="000000" w:fill="000000"/>
                <w:fitText w:val="72" w:id="-961888244"/>
                <w14:textFill>
                  <w14:solidFill>
                    <w14:srgbClr w14:val="000000">
                      <w14:alpha w14:val="100000"/>
                    </w14:srgbClr>
                  </w14:solidFill>
                </w14:textFill>
              </w:rPr>
              <w:t>|</w:t>
            </w:r>
            <w:r w:rsidRPr="00640EC9">
              <w:rPr>
                <w:rFonts w:hint="eastAsia"/>
                <w:color w:val="000000"/>
                <w:spacing w:val="2"/>
                <w:w w:val="16"/>
                <w:shd w:val="solid" w:color="000000" w:fill="000000"/>
                <w:fitText w:val="72" w:id="-961888244"/>
                <w14:textFill>
                  <w14:solidFill>
                    <w14:srgbClr w14:val="000000">
                      <w14:alpha w14:val="100000"/>
                    </w14:srgbClr>
                  </w14:solidFill>
                </w14:textFill>
              </w:rPr>
              <w:t xml:space="preserve">　</w:t>
            </w:r>
            <w:r w:rsidR="00357D22" w:rsidRPr="00357D22">
              <w:t xml:space="preserve"> </w:t>
            </w:r>
            <w:r w:rsidR="00216520" w:rsidRPr="00DB0472">
              <w:rPr>
                <w:vertAlign w:val="superscript"/>
              </w:rPr>
              <w:t>3</w:t>
            </w:r>
          </w:p>
        </w:tc>
        <w:tc>
          <w:tcPr>
            <w:tcW w:w="993" w:type="dxa"/>
            <w:shd w:val="clear" w:color="auto" w:fill="auto"/>
            <w:tcMar>
              <w:left w:w="20" w:type="dxa"/>
              <w:right w:w="20" w:type="dxa"/>
            </w:tcMar>
          </w:tcPr>
          <w:p w14:paraId="2E3B5690" w14:textId="10EF1581"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3"/>
                <w14:textFill>
                  <w14:solidFill>
                    <w14:srgbClr w14:val="000000">
                      <w14:alpha w14:val="100000"/>
                    </w14:srgbClr>
                  </w14:solidFill>
                </w14:textFill>
              </w:rPr>
              <w:t xml:space="preserve">　</w:t>
            </w:r>
            <w:r w:rsidRPr="00640EC9">
              <w:rPr>
                <w:color w:val="000000"/>
                <w:w w:val="16"/>
                <w:shd w:val="solid" w:color="000000" w:fill="000000"/>
                <w:fitText w:val="72" w:id="-961888243"/>
                <w14:textFill>
                  <w14:solidFill>
                    <w14:srgbClr w14:val="000000">
                      <w14:alpha w14:val="100000"/>
                    </w14:srgbClr>
                  </w14:solidFill>
                </w14:textFill>
              </w:rPr>
              <w:t>|</w:t>
            </w:r>
            <w:r w:rsidRPr="00640EC9">
              <w:rPr>
                <w:rFonts w:hint="eastAsia"/>
                <w:color w:val="000000"/>
                <w:spacing w:val="2"/>
                <w:w w:val="16"/>
                <w:shd w:val="solid" w:color="000000" w:fill="000000"/>
                <w:fitText w:val="72" w:id="-961888243"/>
                <w14:textFill>
                  <w14:solidFill>
                    <w14:srgbClr w14:val="000000">
                      <w14:alpha w14:val="100000"/>
                    </w14:srgbClr>
                  </w14:solidFill>
                </w14:textFill>
              </w:rPr>
              <w:t xml:space="preserve">　</w:t>
            </w:r>
            <w:r w:rsidR="00357D22" w:rsidRPr="00357D22">
              <w:t xml:space="preserve"> </w:t>
            </w:r>
            <w:r w:rsidR="00216520" w:rsidRPr="00DB0472">
              <w:rPr>
                <w:vertAlign w:val="superscript"/>
              </w:rPr>
              <w:t>3</w:t>
            </w:r>
          </w:p>
        </w:tc>
        <w:tc>
          <w:tcPr>
            <w:tcW w:w="992" w:type="dxa"/>
            <w:shd w:val="clear" w:color="auto" w:fill="auto"/>
            <w:tcMar>
              <w:left w:w="20" w:type="dxa"/>
              <w:right w:w="20" w:type="dxa"/>
            </w:tcMar>
          </w:tcPr>
          <w:p w14:paraId="357499B8" w14:textId="2A9E5952"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2"/>
                <w14:textFill>
                  <w14:solidFill>
                    <w14:srgbClr w14:val="000000">
                      <w14:alpha w14:val="100000"/>
                    </w14:srgbClr>
                  </w14:solidFill>
                </w14:textFill>
              </w:rPr>
              <w:t xml:space="preserve">　</w:t>
            </w:r>
            <w:r w:rsidRPr="00640EC9">
              <w:rPr>
                <w:color w:val="000000"/>
                <w:w w:val="16"/>
                <w:shd w:val="solid" w:color="000000" w:fill="000000"/>
                <w:fitText w:val="72" w:id="-961888242"/>
                <w14:textFill>
                  <w14:solidFill>
                    <w14:srgbClr w14:val="000000">
                      <w14:alpha w14:val="100000"/>
                    </w14:srgbClr>
                  </w14:solidFill>
                </w14:textFill>
              </w:rPr>
              <w:t>|</w:t>
            </w:r>
            <w:r w:rsidRPr="00640EC9">
              <w:rPr>
                <w:rFonts w:hint="eastAsia"/>
                <w:color w:val="000000"/>
                <w:spacing w:val="2"/>
                <w:w w:val="16"/>
                <w:shd w:val="solid" w:color="000000" w:fill="000000"/>
                <w:fitText w:val="72" w:id="-961888242"/>
                <w14:textFill>
                  <w14:solidFill>
                    <w14:srgbClr w14:val="000000">
                      <w14:alpha w14:val="100000"/>
                    </w14:srgbClr>
                  </w14:solidFill>
                </w14:textFill>
              </w:rPr>
              <w:t xml:space="preserve">　</w:t>
            </w:r>
            <w:r w:rsidR="00357D22" w:rsidRPr="00357D22">
              <w:t xml:space="preserve"> </w:t>
            </w:r>
            <w:r w:rsidR="00216520" w:rsidRPr="00DB0472">
              <w:rPr>
                <w:vertAlign w:val="superscript"/>
              </w:rPr>
              <w:t>3</w:t>
            </w:r>
          </w:p>
        </w:tc>
        <w:tc>
          <w:tcPr>
            <w:tcW w:w="992" w:type="dxa"/>
            <w:shd w:val="clear" w:color="auto" w:fill="auto"/>
            <w:tcMar>
              <w:left w:w="20" w:type="dxa"/>
              <w:right w:w="20" w:type="dxa"/>
            </w:tcMar>
          </w:tcPr>
          <w:p w14:paraId="553A05A7" w14:textId="38C2D198"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1"/>
                <w14:textFill>
                  <w14:solidFill>
                    <w14:srgbClr w14:val="000000">
                      <w14:alpha w14:val="100000"/>
                    </w14:srgbClr>
                  </w14:solidFill>
                </w14:textFill>
              </w:rPr>
              <w:t xml:space="preserve">　</w:t>
            </w:r>
            <w:r w:rsidRPr="00640EC9">
              <w:rPr>
                <w:color w:val="000000"/>
                <w:w w:val="16"/>
                <w:shd w:val="solid" w:color="000000" w:fill="000000"/>
                <w:fitText w:val="72" w:id="-961888241"/>
                <w14:textFill>
                  <w14:solidFill>
                    <w14:srgbClr w14:val="000000">
                      <w14:alpha w14:val="100000"/>
                    </w14:srgbClr>
                  </w14:solidFill>
                </w14:textFill>
              </w:rPr>
              <w:t>|</w:t>
            </w:r>
            <w:r w:rsidRPr="00640EC9">
              <w:rPr>
                <w:rFonts w:hint="eastAsia"/>
                <w:color w:val="000000"/>
                <w:spacing w:val="2"/>
                <w:w w:val="16"/>
                <w:shd w:val="solid" w:color="000000" w:fill="000000"/>
                <w:fitText w:val="72" w:id="-961888241"/>
                <w14:textFill>
                  <w14:solidFill>
                    <w14:srgbClr w14:val="000000">
                      <w14:alpha w14:val="100000"/>
                    </w14:srgbClr>
                  </w14:solidFill>
                </w14:textFill>
              </w:rPr>
              <w:t xml:space="preserve">　</w:t>
            </w:r>
            <w:r w:rsidR="00357D22" w:rsidRPr="00357D22">
              <w:t xml:space="preserve"> </w:t>
            </w:r>
            <w:r w:rsidR="00216520" w:rsidRPr="00216520">
              <w:rPr>
                <w:vertAlign w:val="superscript"/>
              </w:rPr>
              <w:t>5</w:t>
            </w:r>
          </w:p>
        </w:tc>
        <w:tc>
          <w:tcPr>
            <w:tcW w:w="920" w:type="dxa"/>
            <w:shd w:val="clear" w:color="auto" w:fill="auto"/>
            <w:tcMar>
              <w:left w:w="20" w:type="dxa"/>
              <w:right w:w="20" w:type="dxa"/>
            </w:tcMar>
          </w:tcPr>
          <w:p w14:paraId="2DF7C165" w14:textId="74507A46" w:rsidR="003F4569" w:rsidRPr="00AB3F41" w:rsidRDefault="00640EC9" w:rsidP="00233562">
            <w:pPr>
              <w:pStyle w:val="TableText0"/>
              <w:keepNext w:val="0"/>
              <w:widowControl w:val="0"/>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216520" w:rsidRPr="00216520">
              <w:rPr>
                <w:szCs w:val="20"/>
                <w:vertAlign w:val="superscript"/>
              </w:rPr>
              <w:t>1</w:t>
            </w:r>
          </w:p>
        </w:tc>
      </w:tr>
      <w:tr w:rsidR="002C1990" w:rsidRPr="009941F8" w14:paraId="2B54FA53" w14:textId="77777777" w:rsidTr="00233562">
        <w:tblPrEx>
          <w:tblCellMar>
            <w:left w:w="108" w:type="dxa"/>
            <w:right w:w="108" w:type="dxa"/>
          </w:tblCellMar>
        </w:tblPrEx>
        <w:tc>
          <w:tcPr>
            <w:tcW w:w="2122" w:type="dxa"/>
            <w:shd w:val="clear" w:color="auto" w:fill="auto"/>
            <w:tcMar>
              <w:left w:w="20" w:type="dxa"/>
              <w:right w:w="20" w:type="dxa"/>
            </w:tcMar>
          </w:tcPr>
          <w:p w14:paraId="42A9B595" w14:textId="77777777" w:rsidR="003F4569" w:rsidRPr="009941F8" w:rsidRDefault="003F4569" w:rsidP="00233562">
            <w:pPr>
              <w:pStyle w:val="TableText0"/>
              <w:keepNext w:val="0"/>
              <w:widowControl w:val="0"/>
              <w:rPr>
                <w:szCs w:val="20"/>
              </w:rPr>
            </w:pPr>
            <w:r w:rsidRPr="009941F8">
              <w:rPr>
                <w:szCs w:val="20"/>
              </w:rPr>
              <w:t xml:space="preserve">RPBS </w:t>
            </w:r>
          </w:p>
        </w:tc>
        <w:tc>
          <w:tcPr>
            <w:tcW w:w="992" w:type="dxa"/>
            <w:shd w:val="clear" w:color="auto" w:fill="auto"/>
            <w:tcMar>
              <w:left w:w="20" w:type="dxa"/>
              <w:right w:w="20" w:type="dxa"/>
            </w:tcMar>
          </w:tcPr>
          <w:p w14:paraId="03A7F3B1" w14:textId="58EAFC27"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40"/>
                <w14:textFill>
                  <w14:solidFill>
                    <w14:srgbClr w14:val="000000">
                      <w14:alpha w14:val="100000"/>
                    </w14:srgbClr>
                  </w14:solidFill>
                </w14:textFill>
              </w:rPr>
              <w:t xml:space="preserve">　</w:t>
            </w:r>
            <w:r w:rsidRPr="00640EC9">
              <w:rPr>
                <w:color w:val="000000"/>
                <w:w w:val="16"/>
                <w:shd w:val="solid" w:color="000000" w:fill="000000"/>
                <w:fitText w:val="72" w:id="-961888240"/>
                <w14:textFill>
                  <w14:solidFill>
                    <w14:srgbClr w14:val="000000">
                      <w14:alpha w14:val="100000"/>
                    </w14:srgbClr>
                  </w14:solidFill>
                </w14:textFill>
              </w:rPr>
              <w:t>|</w:t>
            </w:r>
            <w:r w:rsidRPr="00640EC9">
              <w:rPr>
                <w:rFonts w:hint="eastAsia"/>
                <w:color w:val="000000"/>
                <w:spacing w:val="2"/>
                <w:w w:val="16"/>
                <w:shd w:val="solid" w:color="000000" w:fill="000000"/>
                <w:fitText w:val="72" w:id="-961888240"/>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shd w:val="clear" w:color="auto" w:fill="auto"/>
            <w:tcMar>
              <w:left w:w="20" w:type="dxa"/>
              <w:right w:w="20" w:type="dxa"/>
            </w:tcMar>
          </w:tcPr>
          <w:p w14:paraId="5D3C899E" w14:textId="71416D79"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56"/>
                <w14:textFill>
                  <w14:solidFill>
                    <w14:srgbClr w14:val="000000">
                      <w14:alpha w14:val="100000"/>
                    </w14:srgbClr>
                  </w14:solidFill>
                </w14:textFill>
              </w:rPr>
              <w:t xml:space="preserve">　</w:t>
            </w:r>
            <w:r w:rsidRPr="00640EC9">
              <w:rPr>
                <w:color w:val="000000"/>
                <w:w w:val="16"/>
                <w:shd w:val="solid" w:color="000000" w:fill="000000"/>
                <w:fitText w:val="72" w:id="-961888256"/>
                <w14:textFill>
                  <w14:solidFill>
                    <w14:srgbClr w14:val="000000">
                      <w14:alpha w14:val="100000"/>
                    </w14:srgbClr>
                  </w14:solidFill>
                </w14:textFill>
              </w:rPr>
              <w:t>|</w:t>
            </w:r>
            <w:r w:rsidRPr="00640EC9">
              <w:rPr>
                <w:rFonts w:hint="eastAsia"/>
                <w:color w:val="000000"/>
                <w:spacing w:val="2"/>
                <w:w w:val="16"/>
                <w:shd w:val="solid" w:color="000000" w:fill="000000"/>
                <w:fitText w:val="72" w:id="-961888256"/>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shd w:val="clear" w:color="auto" w:fill="auto"/>
            <w:tcMar>
              <w:left w:w="20" w:type="dxa"/>
              <w:right w:w="20" w:type="dxa"/>
            </w:tcMar>
          </w:tcPr>
          <w:p w14:paraId="767854B4" w14:textId="7FDC830C"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55"/>
                <w14:textFill>
                  <w14:solidFill>
                    <w14:srgbClr w14:val="000000">
                      <w14:alpha w14:val="100000"/>
                    </w14:srgbClr>
                  </w14:solidFill>
                </w14:textFill>
              </w:rPr>
              <w:t xml:space="preserve">　</w:t>
            </w:r>
            <w:r w:rsidRPr="00640EC9">
              <w:rPr>
                <w:color w:val="000000"/>
                <w:w w:val="16"/>
                <w:shd w:val="solid" w:color="000000" w:fill="000000"/>
                <w:fitText w:val="72" w:id="-961888255"/>
                <w14:textFill>
                  <w14:solidFill>
                    <w14:srgbClr w14:val="000000">
                      <w14:alpha w14:val="100000"/>
                    </w14:srgbClr>
                  </w14:solidFill>
                </w14:textFill>
              </w:rPr>
              <w:t>|</w:t>
            </w:r>
            <w:r w:rsidRPr="00640EC9">
              <w:rPr>
                <w:rFonts w:hint="eastAsia"/>
                <w:color w:val="000000"/>
                <w:spacing w:val="2"/>
                <w:w w:val="16"/>
                <w:shd w:val="solid" w:color="000000" w:fill="000000"/>
                <w:fitText w:val="72" w:id="-961888255"/>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3" w:type="dxa"/>
            <w:shd w:val="clear" w:color="auto" w:fill="auto"/>
            <w:tcMar>
              <w:left w:w="20" w:type="dxa"/>
              <w:right w:w="20" w:type="dxa"/>
            </w:tcMar>
          </w:tcPr>
          <w:p w14:paraId="01566339" w14:textId="37347AD6"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54"/>
                <w14:textFill>
                  <w14:solidFill>
                    <w14:srgbClr w14:val="000000">
                      <w14:alpha w14:val="100000"/>
                    </w14:srgbClr>
                  </w14:solidFill>
                </w14:textFill>
              </w:rPr>
              <w:t xml:space="preserve">　</w:t>
            </w:r>
            <w:r w:rsidRPr="00640EC9">
              <w:rPr>
                <w:color w:val="000000"/>
                <w:w w:val="16"/>
                <w:shd w:val="solid" w:color="000000" w:fill="000000"/>
                <w:fitText w:val="72" w:id="-961888254"/>
                <w14:textFill>
                  <w14:solidFill>
                    <w14:srgbClr w14:val="000000">
                      <w14:alpha w14:val="100000"/>
                    </w14:srgbClr>
                  </w14:solidFill>
                </w14:textFill>
              </w:rPr>
              <w:t>|</w:t>
            </w:r>
            <w:r w:rsidRPr="00640EC9">
              <w:rPr>
                <w:rFonts w:hint="eastAsia"/>
                <w:color w:val="000000"/>
                <w:spacing w:val="2"/>
                <w:w w:val="16"/>
                <w:shd w:val="solid" w:color="000000" w:fill="000000"/>
                <w:fitText w:val="72" w:id="-961888254"/>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shd w:val="clear" w:color="auto" w:fill="auto"/>
            <w:tcMar>
              <w:left w:w="20" w:type="dxa"/>
              <w:right w:w="20" w:type="dxa"/>
            </w:tcMar>
          </w:tcPr>
          <w:p w14:paraId="6A292F7C" w14:textId="78E51586"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53"/>
                <w14:textFill>
                  <w14:solidFill>
                    <w14:srgbClr w14:val="000000">
                      <w14:alpha w14:val="100000"/>
                    </w14:srgbClr>
                  </w14:solidFill>
                </w14:textFill>
              </w:rPr>
              <w:t xml:space="preserve">　</w:t>
            </w:r>
            <w:r w:rsidRPr="00640EC9">
              <w:rPr>
                <w:color w:val="000000"/>
                <w:w w:val="16"/>
                <w:shd w:val="solid" w:color="000000" w:fill="000000"/>
                <w:fitText w:val="72" w:id="-961888253"/>
                <w14:textFill>
                  <w14:solidFill>
                    <w14:srgbClr w14:val="000000">
                      <w14:alpha w14:val="100000"/>
                    </w14:srgbClr>
                  </w14:solidFill>
                </w14:textFill>
              </w:rPr>
              <w:t>|</w:t>
            </w:r>
            <w:r w:rsidRPr="00640EC9">
              <w:rPr>
                <w:rFonts w:hint="eastAsia"/>
                <w:color w:val="000000"/>
                <w:spacing w:val="2"/>
                <w:w w:val="16"/>
                <w:shd w:val="solid" w:color="000000" w:fill="000000"/>
                <w:fitText w:val="72" w:id="-961888253"/>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92" w:type="dxa"/>
            <w:shd w:val="clear" w:color="auto" w:fill="auto"/>
            <w:tcMar>
              <w:left w:w="20" w:type="dxa"/>
              <w:right w:w="20" w:type="dxa"/>
            </w:tcMar>
          </w:tcPr>
          <w:p w14:paraId="490FA793" w14:textId="0D4B2DDE" w:rsidR="003F4569" w:rsidRPr="00AB3F41" w:rsidRDefault="00640EC9" w:rsidP="00233562">
            <w:pPr>
              <w:pStyle w:val="TableText0"/>
              <w:keepNext w:val="0"/>
              <w:widowControl w:val="0"/>
              <w:jc w:val="center"/>
              <w:rPr>
                <w:szCs w:val="20"/>
                <w:highlight w:val="lightGray"/>
              </w:rPr>
            </w:pPr>
            <w:r w:rsidRPr="00640EC9">
              <w:rPr>
                <w:rFonts w:hint="eastAsia"/>
                <w:color w:val="000000"/>
                <w:w w:val="16"/>
                <w:shd w:val="solid" w:color="000000" w:fill="000000"/>
                <w:fitText w:val="72" w:id="-961888252"/>
                <w14:textFill>
                  <w14:solidFill>
                    <w14:srgbClr w14:val="000000">
                      <w14:alpha w14:val="100000"/>
                    </w14:srgbClr>
                  </w14:solidFill>
                </w14:textFill>
              </w:rPr>
              <w:t xml:space="preserve">　</w:t>
            </w:r>
            <w:r w:rsidRPr="00640EC9">
              <w:rPr>
                <w:color w:val="000000"/>
                <w:w w:val="16"/>
                <w:shd w:val="solid" w:color="000000" w:fill="000000"/>
                <w:fitText w:val="72" w:id="-961888252"/>
                <w14:textFill>
                  <w14:solidFill>
                    <w14:srgbClr w14:val="000000">
                      <w14:alpha w14:val="100000"/>
                    </w14:srgbClr>
                  </w14:solidFill>
                </w14:textFill>
              </w:rPr>
              <w:t>|</w:t>
            </w:r>
            <w:r w:rsidRPr="00640EC9">
              <w:rPr>
                <w:rFonts w:hint="eastAsia"/>
                <w:color w:val="000000"/>
                <w:spacing w:val="2"/>
                <w:w w:val="16"/>
                <w:shd w:val="solid" w:color="000000" w:fill="000000"/>
                <w:fitText w:val="72" w:id="-961888252"/>
                <w14:textFill>
                  <w14:solidFill>
                    <w14:srgbClr w14:val="000000">
                      <w14:alpha w14:val="100000"/>
                    </w14:srgbClr>
                  </w14:solidFill>
                </w14:textFill>
              </w:rPr>
              <w:t xml:space="preserve">　</w:t>
            </w:r>
            <w:r w:rsidR="00357D22" w:rsidRPr="00357D22">
              <w:t xml:space="preserve"> </w:t>
            </w:r>
            <w:r w:rsidR="00216520" w:rsidRPr="00216520">
              <w:rPr>
                <w:vertAlign w:val="superscript"/>
              </w:rPr>
              <w:t>4</w:t>
            </w:r>
          </w:p>
        </w:tc>
        <w:tc>
          <w:tcPr>
            <w:tcW w:w="920" w:type="dxa"/>
            <w:shd w:val="clear" w:color="auto" w:fill="auto"/>
            <w:tcMar>
              <w:left w:w="20" w:type="dxa"/>
              <w:right w:w="20" w:type="dxa"/>
            </w:tcMar>
          </w:tcPr>
          <w:p w14:paraId="789C9D8C" w14:textId="05476472" w:rsidR="003F4569" w:rsidRPr="00AB3F41" w:rsidRDefault="00640EC9" w:rsidP="00233562">
            <w:pPr>
              <w:pStyle w:val="TableText0"/>
              <w:keepNext w:val="0"/>
              <w:widowControl w:val="0"/>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216520" w:rsidRPr="00216520">
              <w:rPr>
                <w:vertAlign w:val="superscript"/>
              </w:rPr>
              <w:t>4</w:t>
            </w:r>
          </w:p>
        </w:tc>
      </w:tr>
      <w:tr w:rsidR="002C1990" w:rsidRPr="009941F8" w14:paraId="1E9CB7B1" w14:textId="77777777" w:rsidTr="00233562">
        <w:tblPrEx>
          <w:tblCellMar>
            <w:left w:w="108" w:type="dxa"/>
            <w:right w:w="108" w:type="dxa"/>
          </w:tblCellMar>
        </w:tblPrEx>
        <w:tc>
          <w:tcPr>
            <w:tcW w:w="2122" w:type="dxa"/>
            <w:shd w:val="clear" w:color="auto" w:fill="auto"/>
            <w:tcMar>
              <w:left w:w="20" w:type="dxa"/>
              <w:right w:w="20" w:type="dxa"/>
            </w:tcMar>
          </w:tcPr>
          <w:p w14:paraId="34B9628B" w14:textId="77777777" w:rsidR="003F4569" w:rsidRPr="009941F8" w:rsidRDefault="003F4569" w:rsidP="00233562">
            <w:pPr>
              <w:pStyle w:val="TableText0"/>
              <w:keepNext w:val="0"/>
              <w:widowControl w:val="0"/>
              <w:rPr>
                <w:b/>
                <w:szCs w:val="20"/>
              </w:rPr>
            </w:pPr>
            <w:r w:rsidRPr="009941F8">
              <w:rPr>
                <w:b/>
                <w:szCs w:val="20"/>
              </w:rPr>
              <w:t xml:space="preserve">Total </w:t>
            </w:r>
          </w:p>
        </w:tc>
        <w:tc>
          <w:tcPr>
            <w:tcW w:w="992" w:type="dxa"/>
            <w:shd w:val="clear" w:color="auto" w:fill="auto"/>
            <w:tcMar>
              <w:left w:w="20" w:type="dxa"/>
              <w:right w:w="20" w:type="dxa"/>
            </w:tcMar>
          </w:tcPr>
          <w:p w14:paraId="4706433D" w14:textId="498143CD"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51"/>
                <w14:textFill>
                  <w14:solidFill>
                    <w14:srgbClr w14:val="000000">
                      <w14:alpha w14:val="100000"/>
                    </w14:srgbClr>
                  </w14:solidFill>
                </w14:textFill>
              </w:rPr>
              <w:t xml:space="preserve">　</w:t>
            </w:r>
            <w:r w:rsidRPr="00640EC9">
              <w:rPr>
                <w:b/>
                <w:bCs w:val="0"/>
                <w:color w:val="000000"/>
                <w:w w:val="29"/>
                <w:shd w:val="solid" w:color="000000" w:fill="000000"/>
                <w:fitText w:val="132" w:id="-961888251"/>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51"/>
                <w14:textFill>
                  <w14:solidFill>
                    <w14:srgbClr w14:val="000000">
                      <w14:alpha w14:val="100000"/>
                    </w14:srgbClr>
                  </w14:solidFill>
                </w14:textFill>
              </w:rPr>
              <w:t xml:space="preserve">　</w:t>
            </w:r>
            <w:r w:rsidR="00357D22" w:rsidRPr="00357D22">
              <w:rPr>
                <w:b/>
                <w:bCs w:val="0"/>
              </w:rPr>
              <w:t xml:space="preserve"> </w:t>
            </w:r>
            <w:r w:rsidR="00216520" w:rsidRPr="00DB0472">
              <w:rPr>
                <w:vertAlign w:val="superscript"/>
              </w:rPr>
              <w:t>3</w:t>
            </w:r>
          </w:p>
        </w:tc>
        <w:tc>
          <w:tcPr>
            <w:tcW w:w="992" w:type="dxa"/>
            <w:shd w:val="clear" w:color="auto" w:fill="auto"/>
            <w:tcMar>
              <w:left w:w="20" w:type="dxa"/>
              <w:right w:w="20" w:type="dxa"/>
            </w:tcMar>
          </w:tcPr>
          <w:p w14:paraId="564E65B5" w14:textId="1046696A"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50"/>
                <w14:textFill>
                  <w14:solidFill>
                    <w14:srgbClr w14:val="000000">
                      <w14:alpha w14:val="100000"/>
                    </w14:srgbClr>
                  </w14:solidFill>
                </w14:textFill>
              </w:rPr>
              <w:t xml:space="preserve">　</w:t>
            </w:r>
            <w:r w:rsidRPr="00640EC9">
              <w:rPr>
                <w:b/>
                <w:bCs w:val="0"/>
                <w:color w:val="000000"/>
                <w:w w:val="29"/>
                <w:shd w:val="solid" w:color="000000" w:fill="000000"/>
                <w:fitText w:val="132" w:id="-961888250"/>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50"/>
                <w14:textFill>
                  <w14:solidFill>
                    <w14:srgbClr w14:val="000000">
                      <w14:alpha w14:val="100000"/>
                    </w14:srgbClr>
                  </w14:solidFill>
                </w14:textFill>
              </w:rPr>
              <w:t xml:space="preserve">　</w:t>
            </w:r>
            <w:r w:rsidR="00357D22" w:rsidRPr="00357D22">
              <w:rPr>
                <w:b/>
                <w:bCs w:val="0"/>
              </w:rPr>
              <w:t xml:space="preserve"> </w:t>
            </w:r>
            <w:r w:rsidR="00216520" w:rsidRPr="00DB0472">
              <w:rPr>
                <w:vertAlign w:val="superscript"/>
              </w:rPr>
              <w:t>3</w:t>
            </w:r>
          </w:p>
        </w:tc>
        <w:tc>
          <w:tcPr>
            <w:tcW w:w="992" w:type="dxa"/>
            <w:shd w:val="clear" w:color="auto" w:fill="auto"/>
            <w:tcMar>
              <w:left w:w="20" w:type="dxa"/>
              <w:right w:w="20" w:type="dxa"/>
            </w:tcMar>
          </w:tcPr>
          <w:p w14:paraId="18A0B5D6" w14:textId="61D770BE"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49"/>
                <w14:textFill>
                  <w14:solidFill>
                    <w14:srgbClr w14:val="000000">
                      <w14:alpha w14:val="100000"/>
                    </w14:srgbClr>
                  </w14:solidFill>
                </w14:textFill>
              </w:rPr>
              <w:t xml:space="preserve">　</w:t>
            </w:r>
            <w:r w:rsidRPr="00640EC9">
              <w:rPr>
                <w:b/>
                <w:bCs w:val="0"/>
                <w:color w:val="000000"/>
                <w:w w:val="29"/>
                <w:shd w:val="solid" w:color="000000" w:fill="000000"/>
                <w:fitText w:val="132" w:id="-961888249"/>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49"/>
                <w14:textFill>
                  <w14:solidFill>
                    <w14:srgbClr w14:val="000000">
                      <w14:alpha w14:val="100000"/>
                    </w14:srgbClr>
                  </w14:solidFill>
                </w14:textFill>
              </w:rPr>
              <w:t xml:space="preserve">　</w:t>
            </w:r>
            <w:r w:rsidR="00357D22" w:rsidRPr="00357D22">
              <w:rPr>
                <w:b/>
                <w:bCs w:val="0"/>
              </w:rPr>
              <w:t xml:space="preserve"> </w:t>
            </w:r>
            <w:r w:rsidR="00216520" w:rsidRPr="00DB0472">
              <w:rPr>
                <w:vertAlign w:val="superscript"/>
              </w:rPr>
              <w:t>3</w:t>
            </w:r>
          </w:p>
        </w:tc>
        <w:tc>
          <w:tcPr>
            <w:tcW w:w="993" w:type="dxa"/>
            <w:shd w:val="clear" w:color="auto" w:fill="auto"/>
            <w:tcMar>
              <w:left w:w="20" w:type="dxa"/>
              <w:right w:w="20" w:type="dxa"/>
            </w:tcMar>
          </w:tcPr>
          <w:p w14:paraId="686C877D" w14:textId="1A058F50"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48"/>
                <w14:textFill>
                  <w14:solidFill>
                    <w14:srgbClr w14:val="000000">
                      <w14:alpha w14:val="100000"/>
                    </w14:srgbClr>
                  </w14:solidFill>
                </w14:textFill>
              </w:rPr>
              <w:t xml:space="preserve">　</w:t>
            </w:r>
            <w:r w:rsidRPr="00640EC9">
              <w:rPr>
                <w:b/>
                <w:bCs w:val="0"/>
                <w:color w:val="000000"/>
                <w:w w:val="29"/>
                <w:shd w:val="solid" w:color="000000" w:fill="000000"/>
                <w:fitText w:val="132" w:id="-961888248"/>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48"/>
                <w14:textFill>
                  <w14:solidFill>
                    <w14:srgbClr w14:val="000000">
                      <w14:alpha w14:val="100000"/>
                    </w14:srgbClr>
                  </w14:solidFill>
                </w14:textFill>
              </w:rPr>
              <w:t xml:space="preserve">　</w:t>
            </w:r>
            <w:r w:rsidR="00357D22" w:rsidRPr="00357D22">
              <w:rPr>
                <w:b/>
                <w:bCs w:val="0"/>
              </w:rPr>
              <w:t xml:space="preserve"> </w:t>
            </w:r>
            <w:r w:rsidR="00216520" w:rsidRPr="00DB0472">
              <w:rPr>
                <w:vertAlign w:val="superscript"/>
              </w:rPr>
              <w:t>3</w:t>
            </w:r>
          </w:p>
        </w:tc>
        <w:tc>
          <w:tcPr>
            <w:tcW w:w="992" w:type="dxa"/>
            <w:shd w:val="clear" w:color="auto" w:fill="auto"/>
            <w:tcMar>
              <w:left w:w="20" w:type="dxa"/>
              <w:right w:w="20" w:type="dxa"/>
            </w:tcMar>
          </w:tcPr>
          <w:p w14:paraId="2696C1D2" w14:textId="22E70C81"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47"/>
                <w14:textFill>
                  <w14:solidFill>
                    <w14:srgbClr w14:val="000000">
                      <w14:alpha w14:val="100000"/>
                    </w14:srgbClr>
                  </w14:solidFill>
                </w14:textFill>
              </w:rPr>
              <w:t xml:space="preserve">　</w:t>
            </w:r>
            <w:r w:rsidRPr="00640EC9">
              <w:rPr>
                <w:b/>
                <w:bCs w:val="0"/>
                <w:color w:val="000000"/>
                <w:w w:val="29"/>
                <w:shd w:val="solid" w:color="000000" w:fill="000000"/>
                <w:fitText w:val="132" w:id="-961888247"/>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47"/>
                <w14:textFill>
                  <w14:solidFill>
                    <w14:srgbClr w14:val="000000">
                      <w14:alpha w14:val="100000"/>
                    </w14:srgbClr>
                  </w14:solidFill>
                </w14:textFill>
              </w:rPr>
              <w:t xml:space="preserve">　</w:t>
            </w:r>
            <w:r w:rsidR="00357D22" w:rsidRPr="00357D22">
              <w:rPr>
                <w:b/>
                <w:bCs w:val="0"/>
              </w:rPr>
              <w:t xml:space="preserve"> </w:t>
            </w:r>
            <w:r w:rsidR="00216520" w:rsidRPr="00DB0472">
              <w:rPr>
                <w:vertAlign w:val="superscript"/>
              </w:rPr>
              <w:t>3</w:t>
            </w:r>
          </w:p>
        </w:tc>
        <w:tc>
          <w:tcPr>
            <w:tcW w:w="992" w:type="dxa"/>
            <w:shd w:val="clear" w:color="auto" w:fill="auto"/>
            <w:tcMar>
              <w:left w:w="20" w:type="dxa"/>
              <w:right w:w="20" w:type="dxa"/>
            </w:tcMar>
          </w:tcPr>
          <w:p w14:paraId="00964EFD" w14:textId="4E77281C"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9"/>
                <w:shd w:val="solid" w:color="000000" w:fill="000000"/>
                <w:fitText w:val="132" w:id="-961888246"/>
                <w14:textFill>
                  <w14:solidFill>
                    <w14:srgbClr w14:val="000000">
                      <w14:alpha w14:val="100000"/>
                    </w14:srgbClr>
                  </w14:solidFill>
                </w14:textFill>
              </w:rPr>
              <w:t xml:space="preserve">　</w:t>
            </w:r>
            <w:r w:rsidRPr="00640EC9">
              <w:rPr>
                <w:b/>
                <w:bCs w:val="0"/>
                <w:color w:val="000000"/>
                <w:w w:val="29"/>
                <w:shd w:val="solid" w:color="000000" w:fill="000000"/>
                <w:fitText w:val="132" w:id="-961888246"/>
                <w14:textFill>
                  <w14:solidFill>
                    <w14:srgbClr w14:val="000000">
                      <w14:alpha w14:val="100000"/>
                    </w14:srgbClr>
                  </w14:solidFill>
                </w14:textFill>
              </w:rPr>
              <w:t>|</w:t>
            </w:r>
            <w:r w:rsidRPr="00640EC9">
              <w:rPr>
                <w:rFonts w:hint="eastAsia"/>
                <w:b/>
                <w:bCs w:val="0"/>
                <w:color w:val="000000"/>
                <w:spacing w:val="3"/>
                <w:w w:val="29"/>
                <w:shd w:val="solid" w:color="000000" w:fill="000000"/>
                <w:fitText w:val="132" w:id="-961888246"/>
                <w14:textFill>
                  <w14:solidFill>
                    <w14:srgbClr w14:val="000000">
                      <w14:alpha w14:val="100000"/>
                    </w14:srgbClr>
                  </w14:solidFill>
                </w14:textFill>
              </w:rPr>
              <w:t xml:space="preserve">　</w:t>
            </w:r>
            <w:r w:rsidR="00357D22" w:rsidRPr="00357D22">
              <w:rPr>
                <w:b/>
                <w:bCs w:val="0"/>
              </w:rPr>
              <w:t xml:space="preserve"> </w:t>
            </w:r>
            <w:r w:rsidR="00BC1294" w:rsidRPr="00BC1294">
              <w:rPr>
                <w:b/>
                <w:bCs w:val="0"/>
                <w:vertAlign w:val="superscript"/>
              </w:rPr>
              <w:t>5</w:t>
            </w:r>
          </w:p>
        </w:tc>
        <w:tc>
          <w:tcPr>
            <w:tcW w:w="920" w:type="dxa"/>
            <w:shd w:val="clear" w:color="auto" w:fill="auto"/>
            <w:tcMar>
              <w:left w:w="20" w:type="dxa"/>
              <w:right w:w="20" w:type="dxa"/>
            </w:tcMar>
          </w:tcPr>
          <w:p w14:paraId="2160EE25" w14:textId="7B16811C"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6"/>
                <w:shd w:val="solid" w:color="000000" w:fill="000000"/>
                <w:fitText w:val="72" w:id="-961888245"/>
                <w14:textFill>
                  <w14:solidFill>
                    <w14:srgbClr w14:val="000000">
                      <w14:alpha w14:val="100000"/>
                    </w14:srgbClr>
                  </w14:solidFill>
                </w14:textFill>
              </w:rPr>
              <w:t xml:space="preserve">　</w:t>
            </w:r>
            <w:r w:rsidRPr="00640EC9">
              <w:rPr>
                <w:b/>
                <w:bCs w:val="0"/>
                <w:color w:val="000000"/>
                <w:w w:val="16"/>
                <w:shd w:val="solid" w:color="000000" w:fill="000000"/>
                <w:fitText w:val="72" w:id="-961888245"/>
                <w14:textFill>
                  <w14:solidFill>
                    <w14:srgbClr w14:val="000000">
                      <w14:alpha w14:val="100000"/>
                    </w14:srgbClr>
                  </w14:solidFill>
                </w14:textFill>
              </w:rPr>
              <w:t>|</w:t>
            </w:r>
            <w:r w:rsidRPr="00640EC9">
              <w:rPr>
                <w:rFonts w:hint="eastAsia"/>
                <w:b/>
                <w:bCs w:val="0"/>
                <w:color w:val="000000"/>
                <w:spacing w:val="2"/>
                <w:w w:val="16"/>
                <w:shd w:val="solid" w:color="000000" w:fill="000000"/>
                <w:fitText w:val="72" w:id="-961888245"/>
                <w14:textFill>
                  <w14:solidFill>
                    <w14:srgbClr w14:val="000000">
                      <w14:alpha w14:val="100000"/>
                    </w14:srgbClr>
                  </w14:solidFill>
                </w14:textFill>
              </w:rPr>
              <w:t xml:space="preserve">　</w:t>
            </w:r>
            <w:r w:rsidR="00357D22" w:rsidRPr="00357D22">
              <w:rPr>
                <w:b/>
                <w:bCs w:val="0"/>
              </w:rPr>
              <w:t xml:space="preserve"> </w:t>
            </w:r>
            <w:r w:rsidR="00216520" w:rsidRPr="00216520">
              <w:rPr>
                <w:szCs w:val="20"/>
                <w:vertAlign w:val="superscript"/>
              </w:rPr>
              <w:t>1</w:t>
            </w:r>
          </w:p>
        </w:tc>
      </w:tr>
      <w:tr w:rsidR="003F4569" w:rsidRPr="009941F8" w14:paraId="5FD0B931" w14:textId="77777777" w:rsidTr="00A244E2">
        <w:tblPrEx>
          <w:tblCellMar>
            <w:left w:w="108" w:type="dxa"/>
            <w:right w:w="108" w:type="dxa"/>
          </w:tblCellMar>
        </w:tblPrEx>
        <w:tc>
          <w:tcPr>
            <w:tcW w:w="8995" w:type="dxa"/>
            <w:gridSpan w:val="8"/>
            <w:shd w:val="clear" w:color="auto" w:fill="auto"/>
            <w:tcMar>
              <w:left w:w="20" w:type="dxa"/>
              <w:right w:w="20" w:type="dxa"/>
            </w:tcMar>
          </w:tcPr>
          <w:p w14:paraId="6A0F1620" w14:textId="77777777" w:rsidR="003F4569" w:rsidRPr="009941F8" w:rsidRDefault="003F4569" w:rsidP="00233562">
            <w:pPr>
              <w:pStyle w:val="TableText0"/>
              <w:keepNext w:val="0"/>
              <w:widowControl w:val="0"/>
              <w:rPr>
                <w:szCs w:val="20"/>
              </w:rPr>
            </w:pPr>
            <w:r w:rsidRPr="009941F8">
              <w:rPr>
                <w:b/>
                <w:szCs w:val="20"/>
              </w:rPr>
              <w:t>Costs</w:t>
            </w:r>
          </w:p>
        </w:tc>
      </w:tr>
      <w:tr w:rsidR="003F4569" w:rsidRPr="009941F8" w14:paraId="4F9880D0" w14:textId="77777777" w:rsidTr="00A244E2">
        <w:tblPrEx>
          <w:tblCellMar>
            <w:left w:w="108" w:type="dxa"/>
            <w:right w:w="108" w:type="dxa"/>
          </w:tblCellMar>
        </w:tblPrEx>
        <w:tc>
          <w:tcPr>
            <w:tcW w:w="8995" w:type="dxa"/>
            <w:gridSpan w:val="8"/>
            <w:shd w:val="clear" w:color="auto" w:fill="auto"/>
            <w:tcMar>
              <w:left w:w="20" w:type="dxa"/>
              <w:right w:w="20" w:type="dxa"/>
            </w:tcMar>
          </w:tcPr>
          <w:p w14:paraId="655D83DC" w14:textId="77777777" w:rsidR="003F4569" w:rsidRPr="009941F8" w:rsidRDefault="003F4569" w:rsidP="00233562">
            <w:pPr>
              <w:pStyle w:val="TableText0"/>
              <w:keepNext w:val="0"/>
              <w:widowControl w:val="0"/>
              <w:rPr>
                <w:b/>
                <w:szCs w:val="20"/>
              </w:rPr>
            </w:pPr>
            <w:r w:rsidRPr="009941F8">
              <w:rPr>
                <w:b/>
                <w:szCs w:val="20"/>
              </w:rPr>
              <w:t xml:space="preserve">Anifrolumab </w:t>
            </w:r>
          </w:p>
        </w:tc>
      </w:tr>
      <w:tr w:rsidR="002C1990" w:rsidRPr="009941F8" w14:paraId="6F8F4275" w14:textId="77777777" w:rsidTr="00233562">
        <w:tblPrEx>
          <w:tblCellMar>
            <w:left w:w="108" w:type="dxa"/>
            <w:right w:w="108" w:type="dxa"/>
          </w:tblCellMar>
        </w:tblPrEx>
        <w:tc>
          <w:tcPr>
            <w:tcW w:w="2122" w:type="dxa"/>
            <w:shd w:val="clear" w:color="auto" w:fill="auto"/>
            <w:tcMar>
              <w:left w:w="20" w:type="dxa"/>
              <w:right w:w="20" w:type="dxa"/>
            </w:tcMar>
          </w:tcPr>
          <w:p w14:paraId="28928900" w14:textId="77777777" w:rsidR="003F4569" w:rsidRPr="009941F8" w:rsidRDefault="003F4569" w:rsidP="00233562">
            <w:pPr>
              <w:pStyle w:val="TableText0"/>
              <w:keepNext w:val="0"/>
              <w:widowControl w:val="0"/>
              <w:rPr>
                <w:szCs w:val="20"/>
              </w:rPr>
            </w:pPr>
            <w:r w:rsidRPr="009941F8">
              <w:rPr>
                <w:szCs w:val="20"/>
              </w:rPr>
              <w:t>PBS</w:t>
            </w:r>
          </w:p>
        </w:tc>
        <w:tc>
          <w:tcPr>
            <w:tcW w:w="992" w:type="dxa"/>
            <w:shd w:val="clear" w:color="auto" w:fill="auto"/>
            <w:tcMar>
              <w:left w:w="20" w:type="dxa"/>
              <w:right w:w="20" w:type="dxa"/>
            </w:tcMar>
          </w:tcPr>
          <w:p w14:paraId="189E8BE3" w14:textId="005E4B91" w:rsidR="003F4569"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8244"/>
                <w14:textFill>
                  <w14:solidFill>
                    <w14:srgbClr w14:val="000000">
                      <w14:alpha w14:val="100000"/>
                    </w14:srgbClr>
                  </w14:solidFill>
                </w14:textFill>
              </w:rPr>
              <w:t xml:space="preserve">　</w:t>
            </w:r>
            <w:r w:rsidRPr="00640EC9">
              <w:rPr>
                <w:color w:val="000000"/>
                <w:w w:val="21"/>
                <w:shd w:val="solid" w:color="000000" w:fill="000000"/>
                <w:fitText w:val="96" w:id="-961888244"/>
                <w14:textFill>
                  <w14:solidFill>
                    <w14:srgbClr w14:val="000000">
                      <w14:alpha w14:val="100000"/>
                    </w14:srgbClr>
                  </w14:solidFill>
                </w14:textFill>
              </w:rPr>
              <w:t>|</w:t>
            </w:r>
            <w:r w:rsidRPr="00640EC9">
              <w:rPr>
                <w:rFonts w:hint="eastAsia"/>
                <w:color w:val="000000"/>
                <w:spacing w:val="5"/>
                <w:w w:val="21"/>
                <w:shd w:val="solid" w:color="000000" w:fill="000000"/>
                <w:fitText w:val="96" w:id="-961888244"/>
                <w14:textFill>
                  <w14:solidFill>
                    <w14:srgbClr w14:val="000000">
                      <w14:alpha w14:val="100000"/>
                    </w14:srgbClr>
                  </w14:solidFill>
                </w14:textFill>
              </w:rPr>
              <w:t xml:space="preserve">　</w:t>
            </w:r>
            <w:r w:rsidR="00D72964" w:rsidRPr="00D72964">
              <w:rPr>
                <w:vertAlign w:val="superscript"/>
              </w:rPr>
              <w:t>13</w:t>
            </w:r>
          </w:p>
        </w:tc>
        <w:tc>
          <w:tcPr>
            <w:tcW w:w="992" w:type="dxa"/>
            <w:shd w:val="clear" w:color="auto" w:fill="auto"/>
            <w:tcMar>
              <w:left w:w="20" w:type="dxa"/>
              <w:right w:w="20" w:type="dxa"/>
            </w:tcMar>
          </w:tcPr>
          <w:p w14:paraId="15693080" w14:textId="0C77E9DD" w:rsidR="003F4569"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8243"/>
                <w14:textFill>
                  <w14:solidFill>
                    <w14:srgbClr w14:val="000000">
                      <w14:alpha w14:val="100000"/>
                    </w14:srgbClr>
                  </w14:solidFill>
                </w14:textFill>
              </w:rPr>
              <w:t xml:space="preserve">　</w:t>
            </w:r>
            <w:r w:rsidRPr="00640EC9">
              <w:rPr>
                <w:color w:val="000000"/>
                <w:w w:val="21"/>
                <w:shd w:val="solid" w:color="000000" w:fill="000000"/>
                <w:fitText w:val="96" w:id="-961888243"/>
                <w14:textFill>
                  <w14:solidFill>
                    <w14:srgbClr w14:val="000000">
                      <w14:alpha w14:val="100000"/>
                    </w14:srgbClr>
                  </w14:solidFill>
                </w14:textFill>
              </w:rPr>
              <w:t>|</w:t>
            </w:r>
            <w:r w:rsidRPr="00640EC9">
              <w:rPr>
                <w:rFonts w:hint="eastAsia"/>
                <w:color w:val="000000"/>
                <w:spacing w:val="5"/>
                <w:w w:val="21"/>
                <w:shd w:val="solid" w:color="000000" w:fill="000000"/>
                <w:fitText w:val="96" w:id="-961888243"/>
                <w14:textFill>
                  <w14:solidFill>
                    <w14:srgbClr w14:val="000000">
                      <w14:alpha w14:val="100000"/>
                    </w14:srgbClr>
                  </w14:solidFill>
                </w14:textFill>
              </w:rPr>
              <w:t xml:space="preserve">　</w:t>
            </w:r>
            <w:r w:rsidR="00D72964" w:rsidRPr="00D72964">
              <w:rPr>
                <w:vertAlign w:val="superscript"/>
              </w:rPr>
              <w:t>13</w:t>
            </w:r>
          </w:p>
        </w:tc>
        <w:tc>
          <w:tcPr>
            <w:tcW w:w="992" w:type="dxa"/>
            <w:shd w:val="clear" w:color="auto" w:fill="auto"/>
            <w:tcMar>
              <w:left w:w="20" w:type="dxa"/>
              <w:right w:w="20" w:type="dxa"/>
            </w:tcMar>
          </w:tcPr>
          <w:p w14:paraId="7F765857" w14:textId="78D68D22" w:rsidR="003F4569"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8242"/>
                <w14:textFill>
                  <w14:solidFill>
                    <w14:srgbClr w14:val="000000">
                      <w14:alpha w14:val="100000"/>
                    </w14:srgbClr>
                  </w14:solidFill>
                </w14:textFill>
              </w:rPr>
              <w:t xml:space="preserve">　</w:t>
            </w:r>
            <w:r w:rsidRPr="00640EC9">
              <w:rPr>
                <w:color w:val="000000"/>
                <w:w w:val="21"/>
                <w:shd w:val="solid" w:color="000000" w:fill="000000"/>
                <w:fitText w:val="96" w:id="-961888242"/>
                <w14:textFill>
                  <w14:solidFill>
                    <w14:srgbClr w14:val="000000">
                      <w14:alpha w14:val="100000"/>
                    </w14:srgbClr>
                  </w14:solidFill>
                </w14:textFill>
              </w:rPr>
              <w:t>|</w:t>
            </w:r>
            <w:r w:rsidRPr="00640EC9">
              <w:rPr>
                <w:rFonts w:hint="eastAsia"/>
                <w:color w:val="000000"/>
                <w:spacing w:val="5"/>
                <w:w w:val="21"/>
                <w:shd w:val="solid" w:color="000000" w:fill="000000"/>
                <w:fitText w:val="96" w:id="-961888242"/>
                <w14:textFill>
                  <w14:solidFill>
                    <w14:srgbClr w14:val="000000">
                      <w14:alpha w14:val="100000"/>
                    </w14:srgbClr>
                  </w14:solidFill>
                </w14:textFill>
              </w:rPr>
              <w:t xml:space="preserve">　</w:t>
            </w:r>
            <w:r w:rsidR="00D72964" w:rsidRPr="00D72964">
              <w:rPr>
                <w:vertAlign w:val="superscript"/>
              </w:rPr>
              <w:t>14</w:t>
            </w:r>
          </w:p>
        </w:tc>
        <w:tc>
          <w:tcPr>
            <w:tcW w:w="993" w:type="dxa"/>
            <w:shd w:val="clear" w:color="auto" w:fill="auto"/>
            <w:tcMar>
              <w:left w:w="20" w:type="dxa"/>
              <w:right w:w="20" w:type="dxa"/>
            </w:tcMar>
          </w:tcPr>
          <w:p w14:paraId="7A280A7F" w14:textId="7CC486B0" w:rsidR="003F4569"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8241"/>
                <w14:textFill>
                  <w14:solidFill>
                    <w14:srgbClr w14:val="000000">
                      <w14:alpha w14:val="100000"/>
                    </w14:srgbClr>
                  </w14:solidFill>
                </w14:textFill>
              </w:rPr>
              <w:t xml:space="preserve">　</w:t>
            </w:r>
            <w:r w:rsidRPr="00640EC9">
              <w:rPr>
                <w:color w:val="000000"/>
                <w:w w:val="21"/>
                <w:shd w:val="solid" w:color="000000" w:fill="000000"/>
                <w:fitText w:val="96" w:id="-961888241"/>
                <w14:textFill>
                  <w14:solidFill>
                    <w14:srgbClr w14:val="000000">
                      <w14:alpha w14:val="100000"/>
                    </w14:srgbClr>
                  </w14:solidFill>
                </w14:textFill>
              </w:rPr>
              <w:t>|</w:t>
            </w:r>
            <w:r w:rsidRPr="00640EC9">
              <w:rPr>
                <w:rFonts w:hint="eastAsia"/>
                <w:color w:val="000000"/>
                <w:spacing w:val="5"/>
                <w:w w:val="21"/>
                <w:shd w:val="solid" w:color="000000" w:fill="000000"/>
                <w:fitText w:val="96" w:id="-961888241"/>
                <w14:textFill>
                  <w14:solidFill>
                    <w14:srgbClr w14:val="000000">
                      <w14:alpha w14:val="100000"/>
                    </w14:srgbClr>
                  </w14:solidFill>
                </w14:textFill>
              </w:rPr>
              <w:t xml:space="preserve">　</w:t>
            </w:r>
            <w:r w:rsidR="00D72964" w:rsidRPr="00D72964">
              <w:rPr>
                <w:vertAlign w:val="superscript"/>
              </w:rPr>
              <w:t>14</w:t>
            </w:r>
          </w:p>
        </w:tc>
        <w:tc>
          <w:tcPr>
            <w:tcW w:w="992" w:type="dxa"/>
            <w:shd w:val="clear" w:color="auto" w:fill="auto"/>
            <w:tcMar>
              <w:left w:w="20" w:type="dxa"/>
              <w:right w:w="20" w:type="dxa"/>
            </w:tcMar>
          </w:tcPr>
          <w:p w14:paraId="6D27A4F1" w14:textId="292A364B" w:rsidR="003F4569"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8240"/>
                <w14:textFill>
                  <w14:solidFill>
                    <w14:srgbClr w14:val="000000">
                      <w14:alpha w14:val="100000"/>
                    </w14:srgbClr>
                  </w14:solidFill>
                </w14:textFill>
              </w:rPr>
              <w:t xml:space="preserve">　</w:t>
            </w:r>
            <w:r w:rsidRPr="00640EC9">
              <w:rPr>
                <w:color w:val="000000"/>
                <w:w w:val="21"/>
                <w:shd w:val="solid" w:color="000000" w:fill="000000"/>
                <w:fitText w:val="96" w:id="-961888240"/>
                <w14:textFill>
                  <w14:solidFill>
                    <w14:srgbClr w14:val="000000">
                      <w14:alpha w14:val="100000"/>
                    </w14:srgbClr>
                  </w14:solidFill>
                </w14:textFill>
              </w:rPr>
              <w:t>|</w:t>
            </w:r>
            <w:r w:rsidRPr="00640EC9">
              <w:rPr>
                <w:rFonts w:hint="eastAsia"/>
                <w:color w:val="000000"/>
                <w:spacing w:val="5"/>
                <w:w w:val="21"/>
                <w:shd w:val="solid" w:color="000000" w:fill="000000"/>
                <w:fitText w:val="96" w:id="-961888240"/>
                <w14:textFill>
                  <w14:solidFill>
                    <w14:srgbClr w14:val="000000">
                      <w14:alpha w14:val="100000"/>
                    </w14:srgbClr>
                  </w14:solidFill>
                </w14:textFill>
              </w:rPr>
              <w:t xml:space="preserve">　</w:t>
            </w:r>
            <w:r w:rsidR="00D72964" w:rsidRPr="00D72964">
              <w:rPr>
                <w:vertAlign w:val="superscript"/>
              </w:rPr>
              <w:t>14</w:t>
            </w:r>
          </w:p>
        </w:tc>
        <w:tc>
          <w:tcPr>
            <w:tcW w:w="992" w:type="dxa"/>
            <w:shd w:val="clear" w:color="auto" w:fill="auto"/>
            <w:tcMar>
              <w:left w:w="20" w:type="dxa"/>
              <w:right w:w="20" w:type="dxa"/>
            </w:tcMar>
          </w:tcPr>
          <w:p w14:paraId="24EFA6AA" w14:textId="3158C7B0" w:rsidR="003F4569" w:rsidRPr="00AB3F41" w:rsidRDefault="002C1990" w:rsidP="00233562">
            <w:pPr>
              <w:pStyle w:val="TableText0"/>
              <w:keepNext w:val="0"/>
              <w:widowControl w:val="0"/>
              <w:jc w:val="center"/>
              <w:rPr>
                <w:szCs w:val="20"/>
                <w:highlight w:val="lightGray"/>
              </w:rPr>
            </w:pPr>
            <w:r w:rsidRPr="00640EC9">
              <w:rPr>
                <w:rFonts w:hint="eastAsia"/>
                <w:b/>
                <w:bCs w:val="0"/>
                <w:color w:val="000000"/>
                <w:w w:val="26"/>
                <w:shd w:val="solid" w:color="000000" w:fill="000000"/>
                <w:fitText w:val="120" w:id="-961888253"/>
                <w14:textFill>
                  <w14:solidFill>
                    <w14:srgbClr w14:val="000000">
                      <w14:alpha w14:val="100000"/>
                    </w14:srgbClr>
                  </w14:solidFill>
                </w14:textFill>
              </w:rPr>
              <w:t xml:space="preserve">　</w:t>
            </w:r>
            <w:r w:rsidRPr="00640EC9">
              <w:rPr>
                <w:b/>
                <w:bCs w:val="0"/>
                <w:color w:val="000000"/>
                <w:w w:val="26"/>
                <w:shd w:val="solid" w:color="000000" w:fill="000000"/>
                <w:fitText w:val="120" w:id="-961888253"/>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53"/>
                <w14:textFill>
                  <w14:solidFill>
                    <w14:srgbClr w14:val="000000">
                      <w14:alpha w14:val="100000"/>
                    </w14:srgbClr>
                  </w14:solidFill>
                </w14:textFill>
              </w:rPr>
              <w:t xml:space="preserve">　</w:t>
            </w:r>
            <w:r w:rsidRPr="00D72964">
              <w:rPr>
                <w:b/>
                <w:bCs w:val="0"/>
                <w:vertAlign w:val="superscript"/>
              </w:rPr>
              <w:t>15</w:t>
            </w:r>
          </w:p>
        </w:tc>
        <w:tc>
          <w:tcPr>
            <w:tcW w:w="920" w:type="dxa"/>
            <w:shd w:val="clear" w:color="auto" w:fill="auto"/>
            <w:tcMar>
              <w:left w:w="20" w:type="dxa"/>
              <w:right w:w="20" w:type="dxa"/>
            </w:tcMar>
          </w:tcPr>
          <w:p w14:paraId="18D99E01" w14:textId="4A81E646"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36" w:id="-961888255"/>
                <w14:textFill>
                  <w14:solidFill>
                    <w14:srgbClr w14:val="000000">
                      <w14:alpha w14:val="100000"/>
                    </w14:srgbClr>
                  </w14:solidFill>
                </w14:textFill>
              </w:rPr>
              <w:t xml:space="preserve">　</w:t>
            </w:r>
            <w:r w:rsidRPr="00640EC9">
              <w:rPr>
                <w:color w:val="000000"/>
                <w:w w:val="15"/>
                <w:shd w:val="solid" w:color="000000" w:fill="000000"/>
                <w:fitText w:val="36" w:id="-961888255"/>
                <w14:textFill>
                  <w14:solidFill>
                    <w14:srgbClr w14:val="000000">
                      <w14:alpha w14:val="100000"/>
                    </w14:srgbClr>
                  </w14:solidFill>
                </w14:textFill>
              </w:rPr>
              <w:t>|</w:t>
            </w:r>
            <w:r w:rsidRPr="00640EC9">
              <w:rPr>
                <w:rFonts w:hint="eastAsia"/>
                <w:color w:val="000000"/>
                <w:spacing w:val="-29"/>
                <w:w w:val="15"/>
                <w:shd w:val="solid" w:color="000000" w:fill="000000"/>
                <w:fitText w:val="36" w:id="-961888255"/>
                <w14:textFill>
                  <w14:solidFill>
                    <w14:srgbClr w14:val="000000">
                      <w14:alpha w14:val="100000"/>
                    </w14:srgbClr>
                  </w14:solidFill>
                </w14:textFill>
              </w:rPr>
              <w:t xml:space="preserve">　</w:t>
            </w:r>
            <w:r w:rsidR="00D72964" w:rsidRPr="00D72964">
              <w:rPr>
                <w:vertAlign w:val="superscript"/>
              </w:rPr>
              <w:t>13</w:t>
            </w:r>
          </w:p>
        </w:tc>
      </w:tr>
      <w:tr w:rsidR="002C1990" w:rsidRPr="009941F8" w14:paraId="64E1FDC3" w14:textId="77777777" w:rsidTr="00233562">
        <w:tblPrEx>
          <w:tblCellMar>
            <w:left w:w="108" w:type="dxa"/>
            <w:right w:w="108" w:type="dxa"/>
          </w:tblCellMar>
        </w:tblPrEx>
        <w:tc>
          <w:tcPr>
            <w:tcW w:w="2122" w:type="dxa"/>
            <w:shd w:val="clear" w:color="auto" w:fill="auto"/>
            <w:tcMar>
              <w:left w:w="20" w:type="dxa"/>
              <w:right w:w="20" w:type="dxa"/>
            </w:tcMar>
          </w:tcPr>
          <w:p w14:paraId="2507A02F" w14:textId="77777777" w:rsidR="003F4569" w:rsidRPr="009941F8" w:rsidRDefault="003F4569" w:rsidP="00233562">
            <w:pPr>
              <w:pStyle w:val="TableText0"/>
              <w:keepNext w:val="0"/>
              <w:widowControl w:val="0"/>
              <w:rPr>
                <w:szCs w:val="20"/>
              </w:rPr>
            </w:pPr>
            <w:r w:rsidRPr="009941F8">
              <w:rPr>
                <w:szCs w:val="20"/>
              </w:rPr>
              <w:t>RPBS</w:t>
            </w:r>
          </w:p>
        </w:tc>
        <w:tc>
          <w:tcPr>
            <w:tcW w:w="992" w:type="dxa"/>
            <w:shd w:val="clear" w:color="auto" w:fill="auto"/>
            <w:tcMar>
              <w:left w:w="20" w:type="dxa"/>
              <w:right w:w="20" w:type="dxa"/>
            </w:tcMar>
          </w:tcPr>
          <w:p w14:paraId="3098FCBF" w14:textId="5D9D83C7"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54"/>
                <w14:textFill>
                  <w14:solidFill>
                    <w14:srgbClr w14:val="000000">
                      <w14:alpha w14:val="100000"/>
                    </w14:srgbClr>
                  </w14:solidFill>
                </w14:textFill>
              </w:rPr>
              <w:t xml:space="preserve">　</w:t>
            </w:r>
            <w:r w:rsidRPr="00640EC9">
              <w:rPr>
                <w:color w:val="000000"/>
                <w:w w:val="15"/>
                <w:shd w:val="solid" w:color="000000" w:fill="000000"/>
                <w:fitText w:val="48" w:id="-961888254"/>
                <w14:textFill>
                  <w14:solidFill>
                    <w14:srgbClr w14:val="000000">
                      <w14:alpha w14:val="100000"/>
                    </w14:srgbClr>
                  </w14:solidFill>
                </w14:textFill>
              </w:rPr>
              <w:t>|</w:t>
            </w:r>
            <w:r w:rsidRPr="00640EC9">
              <w:rPr>
                <w:rFonts w:hint="eastAsia"/>
                <w:color w:val="000000"/>
                <w:spacing w:val="-17"/>
                <w:w w:val="15"/>
                <w:shd w:val="solid" w:color="000000" w:fill="000000"/>
                <w:fitText w:val="48" w:id="-961888254"/>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tcPr>
          <w:p w14:paraId="782504C6" w14:textId="6A7FAE15"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53"/>
                <w14:textFill>
                  <w14:solidFill>
                    <w14:srgbClr w14:val="000000">
                      <w14:alpha w14:val="100000"/>
                    </w14:srgbClr>
                  </w14:solidFill>
                </w14:textFill>
              </w:rPr>
              <w:t xml:space="preserve">　</w:t>
            </w:r>
            <w:r w:rsidRPr="00640EC9">
              <w:rPr>
                <w:color w:val="000000"/>
                <w:w w:val="15"/>
                <w:shd w:val="solid" w:color="000000" w:fill="000000"/>
                <w:fitText w:val="48" w:id="-961888253"/>
                <w14:textFill>
                  <w14:solidFill>
                    <w14:srgbClr w14:val="000000">
                      <w14:alpha w14:val="100000"/>
                    </w14:srgbClr>
                  </w14:solidFill>
                </w14:textFill>
              </w:rPr>
              <w:t>|</w:t>
            </w:r>
            <w:r w:rsidRPr="00640EC9">
              <w:rPr>
                <w:rFonts w:hint="eastAsia"/>
                <w:color w:val="000000"/>
                <w:spacing w:val="-17"/>
                <w:w w:val="15"/>
                <w:shd w:val="solid" w:color="000000" w:fill="000000"/>
                <w:fitText w:val="48" w:id="-961888253"/>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tcPr>
          <w:p w14:paraId="3F351485" w14:textId="3C0E721A"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52"/>
                <w14:textFill>
                  <w14:solidFill>
                    <w14:srgbClr w14:val="000000">
                      <w14:alpha w14:val="100000"/>
                    </w14:srgbClr>
                  </w14:solidFill>
                </w14:textFill>
              </w:rPr>
              <w:t xml:space="preserve">　</w:t>
            </w:r>
            <w:r w:rsidRPr="00640EC9">
              <w:rPr>
                <w:color w:val="000000"/>
                <w:w w:val="15"/>
                <w:shd w:val="solid" w:color="000000" w:fill="000000"/>
                <w:fitText w:val="48" w:id="-961888252"/>
                <w14:textFill>
                  <w14:solidFill>
                    <w14:srgbClr w14:val="000000">
                      <w14:alpha w14:val="100000"/>
                    </w14:srgbClr>
                  </w14:solidFill>
                </w14:textFill>
              </w:rPr>
              <w:t>|</w:t>
            </w:r>
            <w:r w:rsidRPr="00640EC9">
              <w:rPr>
                <w:rFonts w:hint="eastAsia"/>
                <w:color w:val="000000"/>
                <w:spacing w:val="-17"/>
                <w:w w:val="15"/>
                <w:shd w:val="solid" w:color="000000" w:fill="000000"/>
                <w:fitText w:val="48" w:id="-961888252"/>
                <w14:textFill>
                  <w14:solidFill>
                    <w14:srgbClr w14:val="000000">
                      <w14:alpha w14:val="100000"/>
                    </w14:srgbClr>
                  </w14:solidFill>
                </w14:textFill>
              </w:rPr>
              <w:t xml:space="preserve">　</w:t>
            </w:r>
            <w:r w:rsidR="00BC1294" w:rsidRPr="00BC1294">
              <w:rPr>
                <w:vertAlign w:val="superscript"/>
              </w:rPr>
              <w:t>8</w:t>
            </w:r>
          </w:p>
        </w:tc>
        <w:tc>
          <w:tcPr>
            <w:tcW w:w="993" w:type="dxa"/>
            <w:shd w:val="clear" w:color="auto" w:fill="auto"/>
            <w:tcMar>
              <w:left w:w="20" w:type="dxa"/>
              <w:right w:w="20" w:type="dxa"/>
            </w:tcMar>
          </w:tcPr>
          <w:p w14:paraId="7260FE11" w14:textId="05C96C52"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51"/>
                <w14:textFill>
                  <w14:solidFill>
                    <w14:srgbClr w14:val="000000">
                      <w14:alpha w14:val="100000"/>
                    </w14:srgbClr>
                  </w14:solidFill>
                </w14:textFill>
              </w:rPr>
              <w:t xml:space="preserve">　</w:t>
            </w:r>
            <w:r w:rsidRPr="00640EC9">
              <w:rPr>
                <w:color w:val="000000"/>
                <w:w w:val="15"/>
                <w:shd w:val="solid" w:color="000000" w:fill="000000"/>
                <w:fitText w:val="48" w:id="-961888251"/>
                <w14:textFill>
                  <w14:solidFill>
                    <w14:srgbClr w14:val="000000">
                      <w14:alpha w14:val="100000"/>
                    </w14:srgbClr>
                  </w14:solidFill>
                </w14:textFill>
              </w:rPr>
              <w:t>|</w:t>
            </w:r>
            <w:r w:rsidRPr="00640EC9">
              <w:rPr>
                <w:rFonts w:hint="eastAsia"/>
                <w:color w:val="000000"/>
                <w:spacing w:val="-17"/>
                <w:w w:val="15"/>
                <w:shd w:val="solid" w:color="000000" w:fill="000000"/>
                <w:fitText w:val="48" w:id="-961888251"/>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tcPr>
          <w:p w14:paraId="0DFFC485" w14:textId="2CBC6FA9"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50"/>
                <w14:textFill>
                  <w14:solidFill>
                    <w14:srgbClr w14:val="000000">
                      <w14:alpha w14:val="100000"/>
                    </w14:srgbClr>
                  </w14:solidFill>
                </w14:textFill>
              </w:rPr>
              <w:t xml:space="preserve">　</w:t>
            </w:r>
            <w:r w:rsidRPr="00640EC9">
              <w:rPr>
                <w:color w:val="000000"/>
                <w:w w:val="15"/>
                <w:shd w:val="solid" w:color="000000" w:fill="000000"/>
                <w:fitText w:val="48" w:id="-961888250"/>
                <w14:textFill>
                  <w14:solidFill>
                    <w14:srgbClr w14:val="000000">
                      <w14:alpha w14:val="100000"/>
                    </w14:srgbClr>
                  </w14:solidFill>
                </w14:textFill>
              </w:rPr>
              <w:t>|</w:t>
            </w:r>
            <w:r w:rsidRPr="00640EC9">
              <w:rPr>
                <w:rFonts w:hint="eastAsia"/>
                <w:color w:val="000000"/>
                <w:spacing w:val="-17"/>
                <w:w w:val="15"/>
                <w:shd w:val="solid" w:color="000000" w:fill="000000"/>
                <w:fitText w:val="48" w:id="-961888250"/>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tcPr>
          <w:p w14:paraId="2822DCFD" w14:textId="243B5844"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8249"/>
                <w14:textFill>
                  <w14:solidFill>
                    <w14:srgbClr w14:val="000000">
                      <w14:alpha w14:val="100000"/>
                    </w14:srgbClr>
                  </w14:solidFill>
                </w14:textFill>
              </w:rPr>
              <w:t xml:space="preserve">　</w:t>
            </w:r>
            <w:r w:rsidRPr="00640EC9">
              <w:rPr>
                <w:color w:val="000000"/>
                <w:w w:val="15"/>
                <w:shd w:val="solid" w:color="000000" w:fill="000000"/>
                <w:fitText w:val="48" w:id="-961888249"/>
                <w14:textFill>
                  <w14:solidFill>
                    <w14:srgbClr w14:val="000000">
                      <w14:alpha w14:val="100000"/>
                    </w14:srgbClr>
                  </w14:solidFill>
                </w14:textFill>
              </w:rPr>
              <w:t>|</w:t>
            </w:r>
            <w:r w:rsidRPr="00640EC9">
              <w:rPr>
                <w:rFonts w:hint="eastAsia"/>
                <w:color w:val="000000"/>
                <w:spacing w:val="-17"/>
                <w:w w:val="15"/>
                <w:shd w:val="solid" w:color="000000" w:fill="000000"/>
                <w:fitText w:val="48" w:id="-961888249"/>
                <w14:textFill>
                  <w14:solidFill>
                    <w14:srgbClr w14:val="000000">
                      <w14:alpha w14:val="100000"/>
                    </w14:srgbClr>
                  </w14:solidFill>
                </w14:textFill>
              </w:rPr>
              <w:t xml:space="preserve">　</w:t>
            </w:r>
            <w:r w:rsidR="00BC1294" w:rsidRPr="00BC1294">
              <w:rPr>
                <w:vertAlign w:val="superscript"/>
              </w:rPr>
              <w:t>8</w:t>
            </w:r>
          </w:p>
        </w:tc>
        <w:tc>
          <w:tcPr>
            <w:tcW w:w="920" w:type="dxa"/>
            <w:shd w:val="clear" w:color="auto" w:fill="auto"/>
            <w:tcMar>
              <w:left w:w="20" w:type="dxa"/>
              <w:right w:w="20" w:type="dxa"/>
            </w:tcMar>
          </w:tcPr>
          <w:p w14:paraId="5C849200" w14:textId="0B46EDC1" w:rsidR="003F4569"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BC1294" w:rsidRPr="00BC1294">
              <w:rPr>
                <w:vertAlign w:val="superscript"/>
              </w:rPr>
              <w:t>8</w:t>
            </w:r>
          </w:p>
        </w:tc>
      </w:tr>
      <w:tr w:rsidR="002C1990" w:rsidRPr="009941F8" w14:paraId="4A60218E" w14:textId="77777777" w:rsidTr="00233562">
        <w:tblPrEx>
          <w:tblCellMar>
            <w:left w:w="108" w:type="dxa"/>
            <w:right w:w="108" w:type="dxa"/>
          </w:tblCellMar>
        </w:tblPrEx>
        <w:tc>
          <w:tcPr>
            <w:tcW w:w="2122" w:type="dxa"/>
            <w:shd w:val="clear" w:color="auto" w:fill="auto"/>
            <w:tcMar>
              <w:left w:w="20" w:type="dxa"/>
              <w:right w:w="20" w:type="dxa"/>
            </w:tcMar>
          </w:tcPr>
          <w:p w14:paraId="1FE96F5A" w14:textId="77777777" w:rsidR="003F4569" w:rsidRPr="009941F8" w:rsidRDefault="003F4569" w:rsidP="00233562">
            <w:pPr>
              <w:pStyle w:val="TableText0"/>
              <w:keepNext w:val="0"/>
              <w:widowControl w:val="0"/>
              <w:rPr>
                <w:szCs w:val="20"/>
              </w:rPr>
            </w:pPr>
            <w:r w:rsidRPr="009941F8">
              <w:rPr>
                <w:szCs w:val="20"/>
              </w:rPr>
              <w:t>Less copay</w:t>
            </w:r>
          </w:p>
        </w:tc>
        <w:tc>
          <w:tcPr>
            <w:tcW w:w="992" w:type="dxa"/>
            <w:shd w:val="clear" w:color="auto" w:fill="auto"/>
            <w:tcMar>
              <w:left w:w="20" w:type="dxa"/>
              <w:right w:w="20" w:type="dxa"/>
            </w:tcMar>
          </w:tcPr>
          <w:p w14:paraId="59618591" w14:textId="24DB8CA3"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21"/>
                <w:shd w:val="solid" w:color="000000" w:fill="000000"/>
                <w:fitText w:val="96" w:id="-961888248"/>
                <w14:textFill>
                  <w14:solidFill>
                    <w14:srgbClr w14:val="000000">
                      <w14:alpha w14:val="100000"/>
                    </w14:srgbClr>
                  </w14:solidFill>
                </w14:textFill>
              </w:rPr>
              <w:t xml:space="preserve">　</w:t>
            </w:r>
            <w:r w:rsidRPr="00640EC9">
              <w:rPr>
                <w:color w:val="000000"/>
                <w:w w:val="21"/>
                <w:shd w:val="solid" w:color="000000" w:fill="000000"/>
                <w:fitText w:val="96" w:id="-961888248"/>
                <w14:textFill>
                  <w14:solidFill>
                    <w14:srgbClr w14:val="000000">
                      <w14:alpha w14:val="100000"/>
                    </w14:srgbClr>
                  </w14:solidFill>
                </w14:textFill>
              </w:rPr>
              <w:t>|</w:t>
            </w:r>
            <w:r w:rsidRPr="00640EC9">
              <w:rPr>
                <w:rFonts w:hint="eastAsia"/>
                <w:color w:val="000000"/>
                <w:spacing w:val="5"/>
                <w:w w:val="21"/>
                <w:shd w:val="solid" w:color="000000" w:fill="000000"/>
                <w:fitText w:val="96" w:id="-961888248"/>
                <w14:textFill>
                  <w14:solidFill>
                    <w14:srgbClr w14:val="000000">
                      <w14:alpha w14:val="100000"/>
                    </w14:srgbClr>
                  </w14:solidFill>
                </w14:textFill>
              </w:rPr>
              <w:t xml:space="preserve">　</w:t>
            </w:r>
            <w:r w:rsidR="00034941">
              <w:rPr>
                <w:vertAlign w:val="superscript"/>
              </w:rPr>
              <w:t>11</w:t>
            </w:r>
          </w:p>
        </w:tc>
        <w:tc>
          <w:tcPr>
            <w:tcW w:w="992" w:type="dxa"/>
            <w:shd w:val="clear" w:color="auto" w:fill="auto"/>
            <w:tcMar>
              <w:left w:w="20" w:type="dxa"/>
              <w:right w:w="20" w:type="dxa"/>
            </w:tcMar>
          </w:tcPr>
          <w:p w14:paraId="0D4DFC85" w14:textId="0616F9E1"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21"/>
                <w:shd w:val="solid" w:color="000000" w:fill="000000"/>
                <w:fitText w:val="96" w:id="-961888247"/>
                <w14:textFill>
                  <w14:solidFill>
                    <w14:srgbClr w14:val="000000">
                      <w14:alpha w14:val="100000"/>
                    </w14:srgbClr>
                  </w14:solidFill>
                </w14:textFill>
              </w:rPr>
              <w:t xml:space="preserve">　</w:t>
            </w:r>
            <w:r w:rsidRPr="00640EC9">
              <w:rPr>
                <w:color w:val="000000"/>
                <w:w w:val="21"/>
                <w:shd w:val="solid" w:color="000000" w:fill="000000"/>
                <w:fitText w:val="96" w:id="-961888247"/>
                <w14:textFill>
                  <w14:solidFill>
                    <w14:srgbClr w14:val="000000">
                      <w14:alpha w14:val="100000"/>
                    </w14:srgbClr>
                  </w14:solidFill>
                </w14:textFill>
              </w:rPr>
              <w:t>|</w:t>
            </w:r>
            <w:r w:rsidRPr="00640EC9">
              <w:rPr>
                <w:rFonts w:hint="eastAsia"/>
                <w:color w:val="000000"/>
                <w:spacing w:val="5"/>
                <w:w w:val="21"/>
                <w:shd w:val="solid" w:color="000000" w:fill="000000"/>
                <w:fitText w:val="96" w:id="-961888247"/>
                <w14:textFill>
                  <w14:solidFill>
                    <w14:srgbClr w14:val="000000">
                      <w14:alpha w14:val="100000"/>
                    </w14:srgbClr>
                  </w14:solidFill>
                </w14:textFill>
              </w:rPr>
              <w:t xml:space="preserve">　</w:t>
            </w:r>
            <w:r w:rsidR="00034941">
              <w:rPr>
                <w:vertAlign w:val="superscript"/>
              </w:rPr>
              <w:t>11</w:t>
            </w:r>
          </w:p>
        </w:tc>
        <w:tc>
          <w:tcPr>
            <w:tcW w:w="992" w:type="dxa"/>
            <w:shd w:val="clear" w:color="auto" w:fill="auto"/>
            <w:tcMar>
              <w:left w:w="20" w:type="dxa"/>
              <w:right w:w="20" w:type="dxa"/>
            </w:tcMar>
          </w:tcPr>
          <w:p w14:paraId="03DD42ED" w14:textId="6742FC39"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21"/>
                <w:shd w:val="solid" w:color="000000" w:fill="000000"/>
                <w:fitText w:val="96" w:id="-961888246"/>
                <w14:textFill>
                  <w14:solidFill>
                    <w14:srgbClr w14:val="000000">
                      <w14:alpha w14:val="100000"/>
                    </w14:srgbClr>
                  </w14:solidFill>
                </w14:textFill>
              </w:rPr>
              <w:t xml:space="preserve">　</w:t>
            </w:r>
            <w:r w:rsidRPr="00640EC9">
              <w:rPr>
                <w:color w:val="000000"/>
                <w:w w:val="21"/>
                <w:shd w:val="solid" w:color="000000" w:fill="000000"/>
                <w:fitText w:val="96" w:id="-961888246"/>
                <w14:textFill>
                  <w14:solidFill>
                    <w14:srgbClr w14:val="000000">
                      <w14:alpha w14:val="100000"/>
                    </w14:srgbClr>
                  </w14:solidFill>
                </w14:textFill>
              </w:rPr>
              <w:t>|</w:t>
            </w:r>
            <w:r w:rsidRPr="00640EC9">
              <w:rPr>
                <w:rFonts w:hint="eastAsia"/>
                <w:color w:val="000000"/>
                <w:spacing w:val="5"/>
                <w:w w:val="21"/>
                <w:shd w:val="solid" w:color="000000" w:fill="000000"/>
                <w:fitText w:val="96" w:id="-961888246"/>
                <w14:textFill>
                  <w14:solidFill>
                    <w14:srgbClr w14:val="000000">
                      <w14:alpha w14:val="100000"/>
                    </w14:srgbClr>
                  </w14:solidFill>
                </w14:textFill>
              </w:rPr>
              <w:t xml:space="preserve">　</w:t>
            </w:r>
            <w:r w:rsidR="00034941">
              <w:rPr>
                <w:vertAlign w:val="superscript"/>
              </w:rPr>
              <w:t>11</w:t>
            </w:r>
          </w:p>
        </w:tc>
        <w:tc>
          <w:tcPr>
            <w:tcW w:w="993" w:type="dxa"/>
            <w:shd w:val="clear" w:color="auto" w:fill="auto"/>
            <w:tcMar>
              <w:left w:w="20" w:type="dxa"/>
              <w:right w:w="20" w:type="dxa"/>
            </w:tcMar>
          </w:tcPr>
          <w:p w14:paraId="5A5D31F2" w14:textId="71DD2584"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21"/>
                <w:shd w:val="solid" w:color="000000" w:fill="000000"/>
                <w:fitText w:val="96" w:id="-961888245"/>
                <w14:textFill>
                  <w14:solidFill>
                    <w14:srgbClr w14:val="000000">
                      <w14:alpha w14:val="100000"/>
                    </w14:srgbClr>
                  </w14:solidFill>
                </w14:textFill>
              </w:rPr>
              <w:t xml:space="preserve">　</w:t>
            </w:r>
            <w:r w:rsidRPr="00640EC9">
              <w:rPr>
                <w:color w:val="000000"/>
                <w:w w:val="21"/>
                <w:shd w:val="solid" w:color="000000" w:fill="000000"/>
                <w:fitText w:val="96" w:id="-961888245"/>
                <w14:textFill>
                  <w14:solidFill>
                    <w14:srgbClr w14:val="000000">
                      <w14:alpha w14:val="100000"/>
                    </w14:srgbClr>
                  </w14:solidFill>
                </w14:textFill>
              </w:rPr>
              <w:t>|</w:t>
            </w:r>
            <w:r w:rsidRPr="00640EC9">
              <w:rPr>
                <w:rFonts w:hint="eastAsia"/>
                <w:color w:val="000000"/>
                <w:spacing w:val="5"/>
                <w:w w:val="21"/>
                <w:shd w:val="solid" w:color="000000" w:fill="000000"/>
                <w:fitText w:val="96" w:id="-961888245"/>
                <w14:textFill>
                  <w14:solidFill>
                    <w14:srgbClr w14:val="000000">
                      <w14:alpha w14:val="100000"/>
                    </w14:srgbClr>
                  </w14:solidFill>
                </w14:textFill>
              </w:rPr>
              <w:t xml:space="preserve">　</w:t>
            </w:r>
            <w:r w:rsidR="00034941">
              <w:rPr>
                <w:vertAlign w:val="superscript"/>
              </w:rPr>
              <w:t>11</w:t>
            </w:r>
          </w:p>
        </w:tc>
        <w:tc>
          <w:tcPr>
            <w:tcW w:w="992" w:type="dxa"/>
            <w:shd w:val="clear" w:color="auto" w:fill="auto"/>
            <w:tcMar>
              <w:left w:w="20" w:type="dxa"/>
              <w:right w:w="20" w:type="dxa"/>
            </w:tcMar>
          </w:tcPr>
          <w:p w14:paraId="4452056D" w14:textId="38EF1AC2"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21"/>
                <w:shd w:val="solid" w:color="000000" w:fill="000000"/>
                <w:fitText w:val="96" w:id="-961888244"/>
                <w14:textFill>
                  <w14:solidFill>
                    <w14:srgbClr w14:val="000000">
                      <w14:alpha w14:val="100000"/>
                    </w14:srgbClr>
                  </w14:solidFill>
                </w14:textFill>
              </w:rPr>
              <w:t xml:space="preserve">　</w:t>
            </w:r>
            <w:r w:rsidRPr="00640EC9">
              <w:rPr>
                <w:color w:val="000000"/>
                <w:w w:val="21"/>
                <w:shd w:val="solid" w:color="000000" w:fill="000000"/>
                <w:fitText w:val="96" w:id="-961888244"/>
                <w14:textFill>
                  <w14:solidFill>
                    <w14:srgbClr w14:val="000000">
                      <w14:alpha w14:val="100000"/>
                    </w14:srgbClr>
                  </w14:solidFill>
                </w14:textFill>
              </w:rPr>
              <w:t>|</w:t>
            </w:r>
            <w:r w:rsidRPr="00640EC9">
              <w:rPr>
                <w:rFonts w:hint="eastAsia"/>
                <w:color w:val="000000"/>
                <w:spacing w:val="5"/>
                <w:w w:val="21"/>
                <w:shd w:val="solid" w:color="000000" w:fill="000000"/>
                <w:fitText w:val="96" w:id="-961888244"/>
                <w14:textFill>
                  <w14:solidFill>
                    <w14:srgbClr w14:val="000000">
                      <w14:alpha w14:val="100000"/>
                    </w14:srgbClr>
                  </w14:solidFill>
                </w14:textFill>
              </w:rPr>
              <w:t xml:space="preserve">　</w:t>
            </w:r>
            <w:r w:rsidR="00034941">
              <w:rPr>
                <w:vertAlign w:val="superscript"/>
              </w:rPr>
              <w:t>11</w:t>
            </w:r>
          </w:p>
        </w:tc>
        <w:tc>
          <w:tcPr>
            <w:tcW w:w="992" w:type="dxa"/>
            <w:shd w:val="clear" w:color="auto" w:fill="auto"/>
            <w:tcMar>
              <w:left w:w="20" w:type="dxa"/>
              <w:right w:w="20" w:type="dxa"/>
            </w:tcMar>
          </w:tcPr>
          <w:p w14:paraId="19A711BF" w14:textId="00FABFC3" w:rsidR="003F4569" w:rsidRPr="00AB3F41" w:rsidRDefault="00640EC9" w:rsidP="00233562">
            <w:pPr>
              <w:pStyle w:val="TableText0"/>
              <w:keepNext w:val="0"/>
              <w:widowControl w:val="0"/>
              <w:jc w:val="center"/>
              <w:rPr>
                <w:szCs w:val="20"/>
                <w:highlight w:val="lightGray"/>
              </w:rPr>
            </w:pPr>
            <w:r w:rsidRPr="00640EC9">
              <w:rPr>
                <w:rFonts w:hint="eastAsia"/>
                <w:color w:val="000000"/>
                <w:w w:val="21"/>
                <w:shd w:val="solid" w:color="000000" w:fill="000000"/>
                <w:fitText w:val="96" w:id="-961888243"/>
                <w14:textFill>
                  <w14:solidFill>
                    <w14:srgbClr w14:val="000000">
                      <w14:alpha w14:val="100000"/>
                    </w14:srgbClr>
                  </w14:solidFill>
                </w14:textFill>
              </w:rPr>
              <w:t xml:space="preserve">　</w:t>
            </w:r>
            <w:r w:rsidRPr="00640EC9">
              <w:rPr>
                <w:color w:val="000000"/>
                <w:w w:val="21"/>
                <w:shd w:val="solid" w:color="000000" w:fill="000000"/>
                <w:fitText w:val="96" w:id="-961888243"/>
                <w14:textFill>
                  <w14:solidFill>
                    <w14:srgbClr w14:val="000000">
                      <w14:alpha w14:val="100000"/>
                    </w14:srgbClr>
                  </w14:solidFill>
                </w14:textFill>
              </w:rPr>
              <w:t>|</w:t>
            </w:r>
            <w:r w:rsidRPr="00640EC9">
              <w:rPr>
                <w:rFonts w:hint="eastAsia"/>
                <w:color w:val="000000"/>
                <w:spacing w:val="5"/>
                <w:w w:val="21"/>
                <w:shd w:val="solid" w:color="000000" w:fill="000000"/>
                <w:fitText w:val="96" w:id="-961888243"/>
                <w14:textFill>
                  <w14:solidFill>
                    <w14:srgbClr w14:val="000000">
                      <w14:alpha w14:val="100000"/>
                    </w14:srgbClr>
                  </w14:solidFill>
                </w14:textFill>
              </w:rPr>
              <w:t xml:space="preserve">　</w:t>
            </w:r>
            <w:r w:rsidR="00034941">
              <w:rPr>
                <w:vertAlign w:val="superscript"/>
              </w:rPr>
              <w:t>11</w:t>
            </w:r>
          </w:p>
        </w:tc>
        <w:tc>
          <w:tcPr>
            <w:tcW w:w="920" w:type="dxa"/>
            <w:shd w:val="clear" w:color="auto" w:fill="auto"/>
            <w:tcMar>
              <w:left w:w="20" w:type="dxa"/>
              <w:right w:w="20" w:type="dxa"/>
            </w:tcMar>
          </w:tcPr>
          <w:p w14:paraId="39609C7C" w14:textId="5DD8C273"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36" w:id="-961888242"/>
                <w14:textFill>
                  <w14:solidFill>
                    <w14:srgbClr w14:val="000000">
                      <w14:alpha w14:val="100000"/>
                    </w14:srgbClr>
                  </w14:solidFill>
                </w14:textFill>
              </w:rPr>
              <w:t xml:space="preserve">　</w:t>
            </w:r>
            <w:r w:rsidRPr="00640EC9">
              <w:rPr>
                <w:color w:val="000000"/>
                <w:w w:val="15"/>
                <w:shd w:val="solid" w:color="000000" w:fill="000000"/>
                <w:fitText w:val="36" w:id="-961888242"/>
                <w14:textFill>
                  <w14:solidFill>
                    <w14:srgbClr w14:val="000000">
                      <w14:alpha w14:val="100000"/>
                    </w14:srgbClr>
                  </w14:solidFill>
                </w14:textFill>
              </w:rPr>
              <w:t>|</w:t>
            </w:r>
            <w:r w:rsidRPr="00640EC9">
              <w:rPr>
                <w:rFonts w:hint="eastAsia"/>
                <w:color w:val="000000"/>
                <w:spacing w:val="-29"/>
                <w:w w:val="15"/>
                <w:shd w:val="solid" w:color="000000" w:fill="000000"/>
                <w:fitText w:val="36" w:id="-961888242"/>
                <w14:textFill>
                  <w14:solidFill>
                    <w14:srgbClr w14:val="000000">
                      <w14:alpha w14:val="100000"/>
                    </w14:srgbClr>
                  </w14:solidFill>
                </w14:textFill>
              </w:rPr>
              <w:t xml:space="preserve">　</w:t>
            </w:r>
            <w:r w:rsidR="00034941">
              <w:rPr>
                <w:vertAlign w:val="superscript"/>
              </w:rPr>
              <w:t>11</w:t>
            </w:r>
          </w:p>
        </w:tc>
      </w:tr>
      <w:tr w:rsidR="002C1990" w:rsidRPr="009941F8" w14:paraId="0F0168AC" w14:textId="77777777" w:rsidTr="00233562">
        <w:tblPrEx>
          <w:tblCellMar>
            <w:left w:w="108" w:type="dxa"/>
            <w:right w:w="108" w:type="dxa"/>
          </w:tblCellMar>
        </w:tblPrEx>
        <w:tc>
          <w:tcPr>
            <w:tcW w:w="2122" w:type="dxa"/>
            <w:shd w:val="clear" w:color="auto" w:fill="auto"/>
            <w:tcMar>
              <w:left w:w="20" w:type="dxa"/>
              <w:right w:w="20" w:type="dxa"/>
            </w:tcMar>
          </w:tcPr>
          <w:p w14:paraId="7435C7FD" w14:textId="77777777" w:rsidR="003F4569" w:rsidRPr="009941F8" w:rsidRDefault="003F4569" w:rsidP="00233562">
            <w:pPr>
              <w:pStyle w:val="TableText0"/>
              <w:keepNext w:val="0"/>
              <w:widowControl w:val="0"/>
              <w:rPr>
                <w:b/>
                <w:szCs w:val="20"/>
              </w:rPr>
            </w:pPr>
            <w:r w:rsidRPr="009941F8">
              <w:rPr>
                <w:b/>
                <w:szCs w:val="20"/>
              </w:rPr>
              <w:t>Net cost</w:t>
            </w:r>
          </w:p>
        </w:tc>
        <w:tc>
          <w:tcPr>
            <w:tcW w:w="992" w:type="dxa"/>
            <w:shd w:val="clear" w:color="auto" w:fill="auto"/>
            <w:tcMar>
              <w:left w:w="20" w:type="dxa"/>
              <w:right w:w="20" w:type="dxa"/>
            </w:tcMar>
          </w:tcPr>
          <w:p w14:paraId="4E462082" w14:textId="5AD9DDC0" w:rsidR="003F4569" w:rsidRPr="00AB3F41" w:rsidRDefault="00640EC9" w:rsidP="00233562">
            <w:pPr>
              <w:pStyle w:val="TableText0"/>
              <w:keepNext w:val="0"/>
              <w:widowControl w:val="0"/>
              <w:jc w:val="center"/>
              <w:rPr>
                <w:rFonts w:cs="Arial"/>
                <w:b/>
                <w:color w:val="000000"/>
                <w:szCs w:val="20"/>
                <w:highlight w:val="lightGray"/>
              </w:rPr>
            </w:pPr>
            <w:r w:rsidRPr="00640EC9">
              <w:rPr>
                <w:rFonts w:hint="eastAsia"/>
                <w:b/>
                <w:bCs w:val="0"/>
                <w:color w:val="000000"/>
                <w:w w:val="26"/>
                <w:shd w:val="solid" w:color="000000" w:fill="000000"/>
                <w:fitText w:val="120" w:id="-961888241"/>
                <w14:textFill>
                  <w14:solidFill>
                    <w14:srgbClr w14:val="000000">
                      <w14:alpha w14:val="100000"/>
                    </w14:srgbClr>
                  </w14:solidFill>
                </w14:textFill>
              </w:rPr>
              <w:t xml:space="preserve">　</w:t>
            </w:r>
            <w:r w:rsidRPr="00640EC9">
              <w:rPr>
                <w:b/>
                <w:bCs w:val="0"/>
                <w:color w:val="000000"/>
                <w:w w:val="26"/>
                <w:shd w:val="solid" w:color="000000" w:fill="000000"/>
                <w:fitText w:val="120" w:id="-961888241"/>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1"/>
                <w14:textFill>
                  <w14:solidFill>
                    <w14:srgbClr w14:val="000000">
                      <w14:alpha w14:val="100000"/>
                    </w14:srgbClr>
                  </w14:solidFill>
                </w14:textFill>
              </w:rPr>
              <w:t xml:space="preserve">　</w:t>
            </w:r>
            <w:r w:rsidR="00D72964" w:rsidRPr="00D72964">
              <w:rPr>
                <w:vertAlign w:val="superscript"/>
              </w:rPr>
              <w:t>13</w:t>
            </w:r>
          </w:p>
        </w:tc>
        <w:tc>
          <w:tcPr>
            <w:tcW w:w="992" w:type="dxa"/>
            <w:shd w:val="clear" w:color="auto" w:fill="auto"/>
            <w:tcMar>
              <w:left w:w="20" w:type="dxa"/>
              <w:right w:w="20" w:type="dxa"/>
            </w:tcMar>
          </w:tcPr>
          <w:p w14:paraId="7359EEC5" w14:textId="0F9CACED" w:rsidR="003F4569" w:rsidRPr="00AB3F41" w:rsidRDefault="00640EC9" w:rsidP="00233562">
            <w:pPr>
              <w:pStyle w:val="TableText0"/>
              <w:keepNext w:val="0"/>
              <w:widowControl w:val="0"/>
              <w:jc w:val="center"/>
              <w:rPr>
                <w:rFonts w:cs="Arial"/>
                <w:b/>
                <w:color w:val="000000"/>
                <w:szCs w:val="20"/>
                <w:highlight w:val="lightGray"/>
              </w:rPr>
            </w:pPr>
            <w:r w:rsidRPr="00640EC9">
              <w:rPr>
                <w:rFonts w:hint="eastAsia"/>
                <w:b/>
                <w:bCs w:val="0"/>
                <w:color w:val="000000"/>
                <w:w w:val="26"/>
                <w:shd w:val="solid" w:color="000000" w:fill="000000"/>
                <w:fitText w:val="120" w:id="-961888240"/>
                <w14:textFill>
                  <w14:solidFill>
                    <w14:srgbClr w14:val="000000">
                      <w14:alpha w14:val="100000"/>
                    </w14:srgbClr>
                  </w14:solidFill>
                </w14:textFill>
              </w:rPr>
              <w:t xml:space="preserve">　</w:t>
            </w:r>
            <w:r w:rsidRPr="00640EC9">
              <w:rPr>
                <w:b/>
                <w:bCs w:val="0"/>
                <w:color w:val="000000"/>
                <w:w w:val="26"/>
                <w:shd w:val="solid" w:color="000000" w:fill="000000"/>
                <w:fitText w:val="120" w:id="-961888240"/>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0"/>
                <w14:textFill>
                  <w14:solidFill>
                    <w14:srgbClr w14:val="000000">
                      <w14:alpha w14:val="100000"/>
                    </w14:srgbClr>
                  </w14:solidFill>
                </w14:textFill>
              </w:rPr>
              <w:t xml:space="preserve">　</w:t>
            </w:r>
            <w:r w:rsidR="00D72964" w:rsidRPr="00D72964">
              <w:rPr>
                <w:vertAlign w:val="superscript"/>
              </w:rPr>
              <w:t>13</w:t>
            </w:r>
          </w:p>
        </w:tc>
        <w:tc>
          <w:tcPr>
            <w:tcW w:w="992" w:type="dxa"/>
            <w:shd w:val="clear" w:color="auto" w:fill="auto"/>
            <w:tcMar>
              <w:left w:w="20" w:type="dxa"/>
              <w:right w:w="20" w:type="dxa"/>
            </w:tcMar>
          </w:tcPr>
          <w:p w14:paraId="5C29E9B6" w14:textId="1C390E17" w:rsidR="003F4569" w:rsidRPr="00AB3F41" w:rsidRDefault="00640EC9" w:rsidP="00233562">
            <w:pPr>
              <w:pStyle w:val="TableText0"/>
              <w:keepNext w:val="0"/>
              <w:widowControl w:val="0"/>
              <w:jc w:val="center"/>
              <w:rPr>
                <w:rFonts w:cs="Arial"/>
                <w:b/>
                <w:color w:val="000000"/>
                <w:szCs w:val="20"/>
                <w:highlight w:val="lightGray"/>
              </w:rPr>
            </w:pPr>
            <w:r w:rsidRPr="00640EC9">
              <w:rPr>
                <w:rFonts w:hint="eastAsia"/>
                <w:b/>
                <w:bCs w:val="0"/>
                <w:color w:val="000000"/>
                <w:w w:val="26"/>
                <w:shd w:val="solid" w:color="000000" w:fill="000000"/>
                <w:fitText w:val="120" w:id="-961888256"/>
                <w14:textFill>
                  <w14:solidFill>
                    <w14:srgbClr w14:val="000000">
                      <w14:alpha w14:val="100000"/>
                    </w14:srgbClr>
                  </w14:solidFill>
                </w14:textFill>
              </w:rPr>
              <w:t xml:space="preserve">　</w:t>
            </w:r>
            <w:r w:rsidRPr="00640EC9">
              <w:rPr>
                <w:b/>
                <w:bCs w:val="0"/>
                <w:color w:val="000000"/>
                <w:w w:val="26"/>
                <w:shd w:val="solid" w:color="000000" w:fill="000000"/>
                <w:fitText w:val="120" w:id="-961888256"/>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56"/>
                <w14:textFill>
                  <w14:solidFill>
                    <w14:srgbClr w14:val="000000">
                      <w14:alpha w14:val="100000"/>
                    </w14:srgbClr>
                  </w14:solidFill>
                </w14:textFill>
              </w:rPr>
              <w:t xml:space="preserve">　</w:t>
            </w:r>
            <w:r w:rsidR="00D72964" w:rsidRPr="00D72964">
              <w:rPr>
                <w:vertAlign w:val="superscript"/>
              </w:rPr>
              <w:t>14</w:t>
            </w:r>
          </w:p>
        </w:tc>
        <w:tc>
          <w:tcPr>
            <w:tcW w:w="993" w:type="dxa"/>
            <w:shd w:val="clear" w:color="auto" w:fill="auto"/>
            <w:tcMar>
              <w:left w:w="20" w:type="dxa"/>
              <w:right w:w="20" w:type="dxa"/>
            </w:tcMar>
          </w:tcPr>
          <w:p w14:paraId="4EF7C58E" w14:textId="1917D47E" w:rsidR="003F4569" w:rsidRPr="00AB3F41" w:rsidRDefault="00640EC9" w:rsidP="00233562">
            <w:pPr>
              <w:pStyle w:val="TableText0"/>
              <w:keepNext w:val="0"/>
              <w:widowControl w:val="0"/>
              <w:jc w:val="center"/>
              <w:rPr>
                <w:rFonts w:cs="Arial"/>
                <w:b/>
                <w:color w:val="000000"/>
                <w:szCs w:val="20"/>
                <w:highlight w:val="lightGray"/>
              </w:rPr>
            </w:pPr>
            <w:r w:rsidRPr="00640EC9">
              <w:rPr>
                <w:rFonts w:hint="eastAsia"/>
                <w:b/>
                <w:bCs w:val="0"/>
                <w:color w:val="000000"/>
                <w:w w:val="26"/>
                <w:shd w:val="solid" w:color="000000" w:fill="000000"/>
                <w:fitText w:val="120" w:id="-961888255"/>
                <w14:textFill>
                  <w14:solidFill>
                    <w14:srgbClr w14:val="000000">
                      <w14:alpha w14:val="100000"/>
                    </w14:srgbClr>
                  </w14:solidFill>
                </w14:textFill>
              </w:rPr>
              <w:t xml:space="preserve">　</w:t>
            </w:r>
            <w:r w:rsidRPr="00640EC9">
              <w:rPr>
                <w:b/>
                <w:bCs w:val="0"/>
                <w:color w:val="000000"/>
                <w:w w:val="26"/>
                <w:shd w:val="solid" w:color="000000" w:fill="000000"/>
                <w:fitText w:val="120" w:id="-961888255"/>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55"/>
                <w14:textFill>
                  <w14:solidFill>
                    <w14:srgbClr w14:val="000000">
                      <w14:alpha w14:val="100000"/>
                    </w14:srgbClr>
                  </w14:solidFill>
                </w14:textFill>
              </w:rPr>
              <w:t xml:space="preserve">　</w:t>
            </w:r>
            <w:r w:rsidR="00D72964" w:rsidRPr="00D72964">
              <w:rPr>
                <w:vertAlign w:val="superscript"/>
              </w:rPr>
              <w:t>14</w:t>
            </w:r>
          </w:p>
        </w:tc>
        <w:tc>
          <w:tcPr>
            <w:tcW w:w="992" w:type="dxa"/>
            <w:shd w:val="clear" w:color="auto" w:fill="auto"/>
            <w:tcMar>
              <w:left w:w="20" w:type="dxa"/>
              <w:right w:w="20" w:type="dxa"/>
            </w:tcMar>
          </w:tcPr>
          <w:p w14:paraId="1262BBA5" w14:textId="546350E4" w:rsidR="003F4569" w:rsidRPr="00AB3F41" w:rsidRDefault="00640EC9" w:rsidP="00233562">
            <w:pPr>
              <w:pStyle w:val="TableText0"/>
              <w:keepNext w:val="0"/>
              <w:widowControl w:val="0"/>
              <w:jc w:val="center"/>
              <w:rPr>
                <w:rFonts w:cs="Arial"/>
                <w:b/>
                <w:color w:val="000000"/>
                <w:szCs w:val="20"/>
                <w:highlight w:val="lightGray"/>
              </w:rPr>
            </w:pPr>
            <w:r w:rsidRPr="00640EC9">
              <w:rPr>
                <w:rFonts w:hint="eastAsia"/>
                <w:b/>
                <w:bCs w:val="0"/>
                <w:color w:val="000000"/>
                <w:w w:val="26"/>
                <w:shd w:val="solid" w:color="000000" w:fill="000000"/>
                <w:fitText w:val="120" w:id="-961888254"/>
                <w14:textFill>
                  <w14:solidFill>
                    <w14:srgbClr w14:val="000000">
                      <w14:alpha w14:val="100000"/>
                    </w14:srgbClr>
                  </w14:solidFill>
                </w14:textFill>
              </w:rPr>
              <w:t xml:space="preserve">　</w:t>
            </w:r>
            <w:r w:rsidRPr="00640EC9">
              <w:rPr>
                <w:b/>
                <w:bCs w:val="0"/>
                <w:color w:val="000000"/>
                <w:w w:val="26"/>
                <w:shd w:val="solid" w:color="000000" w:fill="000000"/>
                <w:fitText w:val="120" w:id="-961888254"/>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54"/>
                <w14:textFill>
                  <w14:solidFill>
                    <w14:srgbClr w14:val="000000">
                      <w14:alpha w14:val="100000"/>
                    </w14:srgbClr>
                  </w14:solidFill>
                </w14:textFill>
              </w:rPr>
              <w:t xml:space="preserve">　</w:t>
            </w:r>
            <w:r w:rsidR="00D72964" w:rsidRPr="00D72964">
              <w:rPr>
                <w:vertAlign w:val="superscript"/>
              </w:rPr>
              <w:t>14</w:t>
            </w:r>
          </w:p>
        </w:tc>
        <w:tc>
          <w:tcPr>
            <w:tcW w:w="992" w:type="dxa"/>
            <w:shd w:val="clear" w:color="auto" w:fill="auto"/>
            <w:tcMar>
              <w:left w:w="20" w:type="dxa"/>
              <w:right w:w="20" w:type="dxa"/>
            </w:tcMar>
          </w:tcPr>
          <w:p w14:paraId="70C5615C" w14:textId="599CCC19" w:rsidR="003F4569" w:rsidRPr="00AB3F41" w:rsidRDefault="00640EC9" w:rsidP="00233562">
            <w:pPr>
              <w:pStyle w:val="TableText0"/>
              <w:keepNext w:val="0"/>
              <w:widowControl w:val="0"/>
              <w:jc w:val="center"/>
              <w:rPr>
                <w:b/>
                <w:szCs w:val="20"/>
                <w:highlight w:val="lightGray"/>
              </w:rPr>
            </w:pPr>
            <w:r w:rsidRPr="00640EC9">
              <w:rPr>
                <w:rFonts w:hint="eastAsia"/>
                <w:b/>
                <w:bCs w:val="0"/>
                <w:color w:val="000000"/>
                <w:w w:val="26"/>
                <w:shd w:val="solid" w:color="000000" w:fill="000000"/>
                <w:fitText w:val="120" w:id="-961888253"/>
                <w14:textFill>
                  <w14:solidFill>
                    <w14:srgbClr w14:val="000000">
                      <w14:alpha w14:val="100000"/>
                    </w14:srgbClr>
                  </w14:solidFill>
                </w14:textFill>
              </w:rPr>
              <w:t xml:space="preserve">　</w:t>
            </w:r>
            <w:r w:rsidRPr="00640EC9">
              <w:rPr>
                <w:b/>
                <w:bCs w:val="0"/>
                <w:color w:val="000000"/>
                <w:w w:val="26"/>
                <w:shd w:val="solid" w:color="000000" w:fill="000000"/>
                <w:fitText w:val="120" w:id="-961888253"/>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53"/>
                <w14:textFill>
                  <w14:solidFill>
                    <w14:srgbClr w14:val="000000">
                      <w14:alpha w14:val="100000"/>
                    </w14:srgbClr>
                  </w14:solidFill>
                </w14:textFill>
              </w:rPr>
              <w:t xml:space="preserve">　</w:t>
            </w:r>
            <w:r w:rsidR="00D72964" w:rsidRPr="00D72964">
              <w:rPr>
                <w:b/>
                <w:bCs w:val="0"/>
                <w:vertAlign w:val="superscript"/>
              </w:rPr>
              <w:t>15</w:t>
            </w:r>
          </w:p>
        </w:tc>
        <w:tc>
          <w:tcPr>
            <w:tcW w:w="920" w:type="dxa"/>
            <w:shd w:val="clear" w:color="auto" w:fill="auto"/>
            <w:tcMar>
              <w:left w:w="20" w:type="dxa"/>
              <w:right w:w="20" w:type="dxa"/>
            </w:tcMar>
          </w:tcPr>
          <w:p w14:paraId="5F34FE01" w14:textId="4EC4F272" w:rsidR="003F4569" w:rsidRPr="00AB3F41" w:rsidRDefault="00640EC9" w:rsidP="00233562">
            <w:pPr>
              <w:pStyle w:val="TableText0"/>
              <w:keepNext w:val="0"/>
              <w:widowControl w:val="0"/>
              <w:jc w:val="center"/>
              <w:rPr>
                <w:b/>
                <w:szCs w:val="20"/>
                <w:highlight w:val="lightGray"/>
              </w:rPr>
            </w:pPr>
            <w:r w:rsidRPr="00640EC9">
              <w:rPr>
                <w:rFonts w:hint="eastAsia"/>
                <w:b/>
                <w:bCs w:val="0"/>
                <w:color w:val="000000"/>
                <w:w w:val="15"/>
                <w:shd w:val="solid" w:color="000000" w:fill="000000"/>
                <w:fitText w:val="60" w:id="-961888252"/>
                <w14:textFill>
                  <w14:solidFill>
                    <w14:srgbClr w14:val="000000">
                      <w14:alpha w14:val="100000"/>
                    </w14:srgbClr>
                  </w14:solidFill>
                </w14:textFill>
              </w:rPr>
              <w:t xml:space="preserve">　</w:t>
            </w:r>
            <w:r w:rsidRPr="00640EC9">
              <w:rPr>
                <w:b/>
                <w:bCs w:val="0"/>
                <w:color w:val="000000"/>
                <w:w w:val="15"/>
                <w:shd w:val="solid" w:color="000000" w:fill="000000"/>
                <w:fitText w:val="60" w:id="-961888252"/>
                <w14:textFill>
                  <w14:solidFill>
                    <w14:srgbClr w14:val="000000">
                      <w14:alpha w14:val="100000"/>
                    </w14:srgbClr>
                  </w14:solidFill>
                </w14:textFill>
              </w:rPr>
              <w:t>|</w:t>
            </w:r>
            <w:r w:rsidRPr="00640EC9">
              <w:rPr>
                <w:rFonts w:hint="eastAsia"/>
                <w:b/>
                <w:bCs w:val="0"/>
                <w:color w:val="000000"/>
                <w:spacing w:val="-6"/>
                <w:w w:val="15"/>
                <w:shd w:val="solid" w:color="000000" w:fill="000000"/>
                <w:fitText w:val="60" w:id="-961888252"/>
                <w14:textFill>
                  <w14:solidFill>
                    <w14:srgbClr w14:val="000000">
                      <w14:alpha w14:val="100000"/>
                    </w14:srgbClr>
                  </w14:solidFill>
                </w14:textFill>
              </w:rPr>
              <w:t xml:space="preserve">　</w:t>
            </w:r>
            <w:r w:rsidR="00D72964" w:rsidRPr="00D72964">
              <w:rPr>
                <w:b/>
                <w:bCs w:val="0"/>
                <w:vertAlign w:val="superscript"/>
              </w:rPr>
              <w:t>16</w:t>
            </w:r>
          </w:p>
        </w:tc>
      </w:tr>
      <w:tr w:rsidR="003F4569" w:rsidRPr="009941F8" w14:paraId="14CB72A1" w14:textId="77777777" w:rsidTr="00A244E2">
        <w:tblPrEx>
          <w:tblCellMar>
            <w:left w:w="108" w:type="dxa"/>
            <w:right w:w="108" w:type="dxa"/>
          </w:tblCellMar>
        </w:tblPrEx>
        <w:tc>
          <w:tcPr>
            <w:tcW w:w="8995" w:type="dxa"/>
            <w:gridSpan w:val="8"/>
            <w:shd w:val="clear" w:color="auto" w:fill="auto"/>
            <w:tcMar>
              <w:left w:w="20" w:type="dxa"/>
              <w:right w:w="20" w:type="dxa"/>
            </w:tcMar>
          </w:tcPr>
          <w:p w14:paraId="04F06125" w14:textId="77777777" w:rsidR="003F4569" w:rsidRPr="009941F8" w:rsidRDefault="003F4569" w:rsidP="00233562">
            <w:pPr>
              <w:pStyle w:val="TableText0"/>
              <w:keepNext w:val="0"/>
              <w:widowControl w:val="0"/>
              <w:rPr>
                <w:b/>
                <w:szCs w:val="20"/>
              </w:rPr>
            </w:pPr>
            <w:r w:rsidRPr="009941F8">
              <w:rPr>
                <w:b/>
                <w:szCs w:val="20"/>
              </w:rPr>
              <w:t>Net cost MBS item</w:t>
            </w:r>
          </w:p>
        </w:tc>
      </w:tr>
      <w:tr w:rsidR="002C1990" w:rsidRPr="009941F8" w14:paraId="5EEF5378" w14:textId="77777777" w:rsidTr="00233562">
        <w:tblPrEx>
          <w:tblCellMar>
            <w:left w:w="108" w:type="dxa"/>
            <w:right w:w="108" w:type="dxa"/>
          </w:tblCellMar>
        </w:tblPrEx>
        <w:tc>
          <w:tcPr>
            <w:tcW w:w="2122" w:type="dxa"/>
            <w:shd w:val="clear" w:color="auto" w:fill="auto"/>
            <w:tcMar>
              <w:left w:w="20" w:type="dxa"/>
              <w:right w:w="20" w:type="dxa"/>
            </w:tcMar>
          </w:tcPr>
          <w:p w14:paraId="5BF94814" w14:textId="77777777" w:rsidR="003F4569" w:rsidRPr="009941F8" w:rsidRDefault="003F4569" w:rsidP="00233562">
            <w:pPr>
              <w:pStyle w:val="TableText0"/>
              <w:keepNext w:val="0"/>
              <w:widowControl w:val="0"/>
              <w:rPr>
                <w:szCs w:val="20"/>
              </w:rPr>
            </w:pPr>
            <w:r w:rsidRPr="009941F8">
              <w:rPr>
                <w:szCs w:val="20"/>
              </w:rPr>
              <w:t>14245</w:t>
            </w:r>
          </w:p>
        </w:tc>
        <w:tc>
          <w:tcPr>
            <w:tcW w:w="992" w:type="dxa"/>
            <w:shd w:val="clear" w:color="auto" w:fill="auto"/>
            <w:tcMar>
              <w:left w:w="20" w:type="dxa"/>
              <w:right w:w="20" w:type="dxa"/>
            </w:tcMar>
            <w:vAlign w:val="center"/>
          </w:tcPr>
          <w:p w14:paraId="054F0CF2" w14:textId="6C4DA61F"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8"/>
                <w:shd w:val="solid" w:color="000000" w:fill="000000"/>
                <w:fitText w:val="84" w:id="-961888251"/>
                <w14:textFill>
                  <w14:solidFill>
                    <w14:srgbClr w14:val="000000">
                      <w14:alpha w14:val="100000"/>
                    </w14:srgbClr>
                  </w14:solidFill>
                </w14:textFill>
              </w:rPr>
              <w:t xml:space="preserve">　</w:t>
            </w:r>
            <w:r w:rsidRPr="00640EC9">
              <w:rPr>
                <w:color w:val="000000"/>
                <w:w w:val="18"/>
                <w:shd w:val="solid" w:color="000000" w:fill="000000"/>
                <w:fitText w:val="84" w:id="-961888251"/>
                <w14:textFill>
                  <w14:solidFill>
                    <w14:srgbClr w14:val="000000">
                      <w14:alpha w14:val="100000"/>
                    </w14:srgbClr>
                  </w14:solidFill>
                </w14:textFill>
              </w:rPr>
              <w:t>|</w:t>
            </w:r>
            <w:r w:rsidRPr="00640EC9">
              <w:rPr>
                <w:rFonts w:hint="eastAsia"/>
                <w:color w:val="000000"/>
                <w:spacing w:val="4"/>
                <w:w w:val="18"/>
                <w:shd w:val="solid" w:color="000000" w:fill="000000"/>
                <w:fitText w:val="84" w:id="-961888251"/>
                <w14:textFill>
                  <w14:solidFill>
                    <w14:srgbClr w14:val="000000">
                      <w14:alpha w14:val="100000"/>
                    </w14:srgbClr>
                  </w14:solidFill>
                </w14:textFill>
              </w:rPr>
              <w:t xml:space="preserve">　</w:t>
            </w:r>
            <w:r w:rsidR="00BC1294" w:rsidRPr="00BC1294">
              <w:rPr>
                <w:vertAlign w:val="superscript"/>
              </w:rPr>
              <w:t>8</w:t>
            </w:r>
            <w:r w:rsidR="003F4569" w:rsidRPr="00BC1294">
              <w:t>*</w:t>
            </w:r>
          </w:p>
        </w:tc>
        <w:tc>
          <w:tcPr>
            <w:tcW w:w="992" w:type="dxa"/>
            <w:shd w:val="clear" w:color="auto" w:fill="auto"/>
            <w:tcMar>
              <w:left w:w="20" w:type="dxa"/>
              <w:right w:w="20" w:type="dxa"/>
            </w:tcMar>
            <w:vAlign w:val="center"/>
          </w:tcPr>
          <w:p w14:paraId="44B0660C" w14:textId="6477D1DA"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50"/>
                <w14:textFill>
                  <w14:solidFill>
                    <w14:srgbClr w14:val="000000">
                      <w14:alpha w14:val="100000"/>
                    </w14:srgbClr>
                  </w14:solidFill>
                </w14:textFill>
              </w:rPr>
              <w:t xml:space="preserve">　</w:t>
            </w:r>
            <w:r w:rsidRPr="00640EC9">
              <w:rPr>
                <w:color w:val="000000"/>
                <w:w w:val="15"/>
                <w:shd w:val="solid" w:color="000000" w:fill="000000"/>
                <w:fitText w:val="48" w:id="-961888250"/>
                <w14:textFill>
                  <w14:solidFill>
                    <w14:srgbClr w14:val="000000">
                      <w14:alpha w14:val="100000"/>
                    </w14:srgbClr>
                  </w14:solidFill>
                </w14:textFill>
              </w:rPr>
              <w:t>|</w:t>
            </w:r>
            <w:r w:rsidRPr="00640EC9">
              <w:rPr>
                <w:rFonts w:hint="eastAsia"/>
                <w:color w:val="000000"/>
                <w:spacing w:val="-17"/>
                <w:w w:val="15"/>
                <w:shd w:val="solid" w:color="000000" w:fill="000000"/>
                <w:fitText w:val="48" w:id="-961888250"/>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vAlign w:val="center"/>
          </w:tcPr>
          <w:p w14:paraId="3E47B4CC" w14:textId="590BDB74"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49"/>
                <w14:textFill>
                  <w14:solidFill>
                    <w14:srgbClr w14:val="000000">
                      <w14:alpha w14:val="100000"/>
                    </w14:srgbClr>
                  </w14:solidFill>
                </w14:textFill>
              </w:rPr>
              <w:t xml:space="preserve">　</w:t>
            </w:r>
            <w:r w:rsidRPr="00640EC9">
              <w:rPr>
                <w:color w:val="000000"/>
                <w:w w:val="15"/>
                <w:shd w:val="solid" w:color="000000" w:fill="000000"/>
                <w:fitText w:val="48" w:id="-961888249"/>
                <w14:textFill>
                  <w14:solidFill>
                    <w14:srgbClr w14:val="000000">
                      <w14:alpha w14:val="100000"/>
                    </w14:srgbClr>
                  </w14:solidFill>
                </w14:textFill>
              </w:rPr>
              <w:t>|</w:t>
            </w:r>
            <w:r w:rsidRPr="00640EC9">
              <w:rPr>
                <w:rFonts w:hint="eastAsia"/>
                <w:color w:val="000000"/>
                <w:spacing w:val="-17"/>
                <w:w w:val="15"/>
                <w:shd w:val="solid" w:color="000000" w:fill="000000"/>
                <w:fitText w:val="48" w:id="-961888249"/>
                <w14:textFill>
                  <w14:solidFill>
                    <w14:srgbClr w14:val="000000">
                      <w14:alpha w14:val="100000"/>
                    </w14:srgbClr>
                  </w14:solidFill>
                </w14:textFill>
              </w:rPr>
              <w:t xml:space="preserve">　</w:t>
            </w:r>
            <w:r w:rsidR="00BC1294" w:rsidRPr="00BC1294">
              <w:rPr>
                <w:vertAlign w:val="superscript"/>
              </w:rPr>
              <w:t>8</w:t>
            </w:r>
          </w:p>
        </w:tc>
        <w:tc>
          <w:tcPr>
            <w:tcW w:w="993" w:type="dxa"/>
            <w:shd w:val="clear" w:color="auto" w:fill="auto"/>
            <w:tcMar>
              <w:left w:w="20" w:type="dxa"/>
              <w:right w:w="20" w:type="dxa"/>
            </w:tcMar>
            <w:vAlign w:val="center"/>
          </w:tcPr>
          <w:p w14:paraId="5FEFD92A" w14:textId="2B3277D9"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48"/>
                <w14:textFill>
                  <w14:solidFill>
                    <w14:srgbClr w14:val="000000">
                      <w14:alpha w14:val="100000"/>
                    </w14:srgbClr>
                  </w14:solidFill>
                </w14:textFill>
              </w:rPr>
              <w:t xml:space="preserve">　</w:t>
            </w:r>
            <w:r w:rsidRPr="00640EC9">
              <w:rPr>
                <w:color w:val="000000"/>
                <w:w w:val="15"/>
                <w:shd w:val="solid" w:color="000000" w:fill="000000"/>
                <w:fitText w:val="48" w:id="-961888248"/>
                <w14:textFill>
                  <w14:solidFill>
                    <w14:srgbClr w14:val="000000">
                      <w14:alpha w14:val="100000"/>
                    </w14:srgbClr>
                  </w14:solidFill>
                </w14:textFill>
              </w:rPr>
              <w:t>|</w:t>
            </w:r>
            <w:r w:rsidRPr="00640EC9">
              <w:rPr>
                <w:rFonts w:hint="eastAsia"/>
                <w:color w:val="000000"/>
                <w:spacing w:val="-17"/>
                <w:w w:val="15"/>
                <w:shd w:val="solid" w:color="000000" w:fill="000000"/>
                <w:fitText w:val="48" w:id="-961888248"/>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vAlign w:val="center"/>
          </w:tcPr>
          <w:p w14:paraId="0F6AFF0C" w14:textId="35A0BAA9" w:rsidR="003F4569" w:rsidRPr="00AB3F41" w:rsidRDefault="00640EC9" w:rsidP="00233562">
            <w:pPr>
              <w:pStyle w:val="TableText0"/>
              <w:keepNext w:val="0"/>
              <w:widowControl w:val="0"/>
              <w:jc w:val="center"/>
              <w:rPr>
                <w:rFonts w:cs="Arial"/>
                <w:color w:val="000000"/>
                <w:szCs w:val="20"/>
                <w:highlight w:val="lightGray"/>
              </w:rPr>
            </w:pPr>
            <w:r w:rsidRPr="00640EC9">
              <w:rPr>
                <w:rFonts w:hint="eastAsia"/>
                <w:color w:val="000000"/>
                <w:w w:val="15"/>
                <w:shd w:val="solid" w:color="000000" w:fill="000000"/>
                <w:fitText w:val="48" w:id="-961888247"/>
                <w14:textFill>
                  <w14:solidFill>
                    <w14:srgbClr w14:val="000000">
                      <w14:alpha w14:val="100000"/>
                    </w14:srgbClr>
                  </w14:solidFill>
                </w14:textFill>
              </w:rPr>
              <w:t xml:space="preserve">　</w:t>
            </w:r>
            <w:r w:rsidRPr="00640EC9">
              <w:rPr>
                <w:color w:val="000000"/>
                <w:w w:val="15"/>
                <w:shd w:val="solid" w:color="000000" w:fill="000000"/>
                <w:fitText w:val="48" w:id="-961888247"/>
                <w14:textFill>
                  <w14:solidFill>
                    <w14:srgbClr w14:val="000000">
                      <w14:alpha w14:val="100000"/>
                    </w14:srgbClr>
                  </w14:solidFill>
                </w14:textFill>
              </w:rPr>
              <w:t>|</w:t>
            </w:r>
            <w:r w:rsidRPr="00640EC9">
              <w:rPr>
                <w:rFonts w:hint="eastAsia"/>
                <w:color w:val="000000"/>
                <w:spacing w:val="-17"/>
                <w:w w:val="15"/>
                <w:shd w:val="solid" w:color="000000" w:fill="000000"/>
                <w:fitText w:val="48" w:id="-961888247"/>
                <w14:textFill>
                  <w14:solidFill>
                    <w14:srgbClr w14:val="000000">
                      <w14:alpha w14:val="100000"/>
                    </w14:srgbClr>
                  </w14:solidFill>
                </w14:textFill>
              </w:rPr>
              <w:t xml:space="preserve">　</w:t>
            </w:r>
            <w:r w:rsidR="00BC1294" w:rsidRPr="00BC1294">
              <w:rPr>
                <w:vertAlign w:val="superscript"/>
              </w:rPr>
              <w:t>8</w:t>
            </w:r>
          </w:p>
        </w:tc>
        <w:tc>
          <w:tcPr>
            <w:tcW w:w="992" w:type="dxa"/>
            <w:shd w:val="clear" w:color="auto" w:fill="auto"/>
            <w:tcMar>
              <w:left w:w="20" w:type="dxa"/>
              <w:right w:w="20" w:type="dxa"/>
            </w:tcMar>
            <w:vAlign w:val="center"/>
          </w:tcPr>
          <w:p w14:paraId="16C71A39" w14:textId="7E6CC261" w:rsidR="003F4569" w:rsidRPr="00AB3F41" w:rsidRDefault="00640EC9" w:rsidP="00233562">
            <w:pPr>
              <w:pStyle w:val="TableText0"/>
              <w:keepNext w:val="0"/>
              <w:widowControl w:val="0"/>
              <w:jc w:val="center"/>
              <w:rPr>
                <w:szCs w:val="20"/>
                <w:highlight w:val="lightGray"/>
              </w:rPr>
            </w:pPr>
            <w:r w:rsidRPr="00640EC9">
              <w:rPr>
                <w:rFonts w:hint="eastAsia"/>
                <w:color w:val="000000"/>
                <w:w w:val="15"/>
                <w:shd w:val="solid" w:color="000000" w:fill="000000"/>
                <w:fitText w:val="48" w:id="-961888246"/>
                <w14:textFill>
                  <w14:solidFill>
                    <w14:srgbClr w14:val="000000">
                      <w14:alpha w14:val="100000"/>
                    </w14:srgbClr>
                  </w14:solidFill>
                </w14:textFill>
              </w:rPr>
              <w:t xml:space="preserve">　</w:t>
            </w:r>
            <w:r w:rsidRPr="00640EC9">
              <w:rPr>
                <w:color w:val="000000"/>
                <w:w w:val="15"/>
                <w:shd w:val="solid" w:color="000000" w:fill="000000"/>
                <w:fitText w:val="48" w:id="-961888246"/>
                <w14:textFill>
                  <w14:solidFill>
                    <w14:srgbClr w14:val="000000">
                      <w14:alpha w14:val="100000"/>
                    </w14:srgbClr>
                  </w14:solidFill>
                </w14:textFill>
              </w:rPr>
              <w:t>|</w:t>
            </w:r>
            <w:r w:rsidRPr="00640EC9">
              <w:rPr>
                <w:rFonts w:hint="eastAsia"/>
                <w:color w:val="000000"/>
                <w:spacing w:val="-17"/>
                <w:w w:val="15"/>
                <w:shd w:val="solid" w:color="000000" w:fill="000000"/>
                <w:fitText w:val="48" w:id="-961888246"/>
                <w14:textFill>
                  <w14:solidFill>
                    <w14:srgbClr w14:val="000000">
                      <w14:alpha w14:val="100000"/>
                    </w14:srgbClr>
                  </w14:solidFill>
                </w14:textFill>
              </w:rPr>
              <w:t xml:space="preserve">　</w:t>
            </w:r>
            <w:r w:rsidR="00BC1294" w:rsidRPr="00BC1294">
              <w:rPr>
                <w:vertAlign w:val="superscript"/>
              </w:rPr>
              <w:t>8</w:t>
            </w:r>
          </w:p>
        </w:tc>
        <w:tc>
          <w:tcPr>
            <w:tcW w:w="920" w:type="dxa"/>
            <w:shd w:val="clear" w:color="auto" w:fill="auto"/>
            <w:tcMar>
              <w:left w:w="20" w:type="dxa"/>
              <w:right w:w="20" w:type="dxa"/>
            </w:tcMar>
            <w:vAlign w:val="center"/>
          </w:tcPr>
          <w:p w14:paraId="6F45AC49" w14:textId="0724CFA6" w:rsidR="003F4569" w:rsidRPr="00AB3F41" w:rsidRDefault="00640EC9" w:rsidP="00233562">
            <w:pPr>
              <w:pStyle w:val="TableText0"/>
              <w:keepNext w:val="0"/>
              <w:widowControl w:val="0"/>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034941" w:rsidRPr="00BC1294">
              <w:rPr>
                <w:vertAlign w:val="superscript"/>
              </w:rPr>
              <w:t>9</w:t>
            </w:r>
          </w:p>
        </w:tc>
      </w:tr>
      <w:tr w:rsidR="002C1990" w:rsidRPr="009941F8" w14:paraId="00142F1E" w14:textId="77777777" w:rsidTr="00233562">
        <w:tblPrEx>
          <w:tblCellMar>
            <w:left w:w="108" w:type="dxa"/>
            <w:right w:w="108" w:type="dxa"/>
          </w:tblCellMar>
        </w:tblPrEx>
        <w:tc>
          <w:tcPr>
            <w:tcW w:w="2122" w:type="dxa"/>
            <w:shd w:val="clear" w:color="auto" w:fill="auto"/>
            <w:tcMar>
              <w:left w:w="20" w:type="dxa"/>
              <w:right w:w="20" w:type="dxa"/>
            </w:tcMar>
          </w:tcPr>
          <w:p w14:paraId="7948557C" w14:textId="64325A72" w:rsidR="003F4569" w:rsidRPr="009941F8" w:rsidRDefault="003F4569" w:rsidP="00233562">
            <w:pPr>
              <w:pStyle w:val="TableText0"/>
              <w:keepNext w:val="0"/>
              <w:widowControl w:val="0"/>
              <w:rPr>
                <w:b/>
                <w:szCs w:val="20"/>
              </w:rPr>
            </w:pPr>
            <w:r w:rsidRPr="009941F8">
              <w:rPr>
                <w:b/>
                <w:szCs w:val="20"/>
              </w:rPr>
              <w:t>Total net cost to Govt.</w:t>
            </w:r>
          </w:p>
        </w:tc>
        <w:tc>
          <w:tcPr>
            <w:tcW w:w="992" w:type="dxa"/>
            <w:shd w:val="clear" w:color="auto" w:fill="auto"/>
            <w:tcMar>
              <w:left w:w="20" w:type="dxa"/>
              <w:right w:w="20" w:type="dxa"/>
            </w:tcMar>
            <w:vAlign w:val="center"/>
          </w:tcPr>
          <w:p w14:paraId="67046B62" w14:textId="4FA8346F" w:rsidR="003F4569" w:rsidRPr="00AB3F41" w:rsidRDefault="00640EC9" w:rsidP="00233562">
            <w:pPr>
              <w:pStyle w:val="TableText0"/>
              <w:keepNext w:val="0"/>
              <w:widowControl w:val="0"/>
              <w:jc w:val="center"/>
              <w:rPr>
                <w:rFonts w:cs="Arial"/>
                <w:b/>
                <w:bCs w:val="0"/>
                <w:color w:val="000000"/>
                <w:szCs w:val="20"/>
                <w:highlight w:val="lightGray"/>
              </w:rPr>
            </w:pPr>
            <w:r w:rsidRPr="00640EC9">
              <w:rPr>
                <w:rFonts w:hint="eastAsia"/>
                <w:b/>
                <w:bCs w:val="0"/>
                <w:color w:val="000000"/>
                <w:w w:val="26"/>
                <w:shd w:val="solid" w:color="000000" w:fill="000000"/>
                <w:fitText w:val="120" w:id="-961888245"/>
                <w14:textFill>
                  <w14:solidFill>
                    <w14:srgbClr w14:val="000000">
                      <w14:alpha w14:val="100000"/>
                    </w14:srgbClr>
                  </w14:solidFill>
                </w14:textFill>
              </w:rPr>
              <w:t xml:space="preserve">　</w:t>
            </w:r>
            <w:r w:rsidRPr="00640EC9">
              <w:rPr>
                <w:b/>
                <w:bCs w:val="0"/>
                <w:color w:val="000000"/>
                <w:w w:val="26"/>
                <w:shd w:val="solid" w:color="000000" w:fill="000000"/>
                <w:fitText w:val="120" w:id="-961888245"/>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5"/>
                <w14:textFill>
                  <w14:solidFill>
                    <w14:srgbClr w14:val="000000">
                      <w14:alpha w14:val="100000"/>
                    </w14:srgbClr>
                  </w14:solidFill>
                </w14:textFill>
              </w:rPr>
              <w:t xml:space="preserve">　</w:t>
            </w:r>
            <w:r w:rsidR="00D72964" w:rsidRPr="00D72964">
              <w:rPr>
                <w:vertAlign w:val="superscript"/>
              </w:rPr>
              <w:t>13</w:t>
            </w:r>
          </w:p>
        </w:tc>
        <w:tc>
          <w:tcPr>
            <w:tcW w:w="992" w:type="dxa"/>
            <w:shd w:val="clear" w:color="auto" w:fill="auto"/>
            <w:tcMar>
              <w:left w:w="20" w:type="dxa"/>
              <w:right w:w="20" w:type="dxa"/>
            </w:tcMar>
            <w:vAlign w:val="center"/>
          </w:tcPr>
          <w:p w14:paraId="2F9879D3" w14:textId="2922A172" w:rsidR="003F4569" w:rsidRPr="00AB3F41" w:rsidRDefault="00640EC9" w:rsidP="00233562">
            <w:pPr>
              <w:pStyle w:val="TableText0"/>
              <w:keepNext w:val="0"/>
              <w:widowControl w:val="0"/>
              <w:jc w:val="center"/>
              <w:rPr>
                <w:rFonts w:cs="Arial"/>
                <w:b/>
                <w:bCs w:val="0"/>
                <w:color w:val="000000"/>
                <w:szCs w:val="20"/>
                <w:highlight w:val="lightGray"/>
              </w:rPr>
            </w:pPr>
            <w:r w:rsidRPr="00640EC9">
              <w:rPr>
                <w:rFonts w:hint="eastAsia"/>
                <w:b/>
                <w:bCs w:val="0"/>
                <w:color w:val="000000"/>
                <w:w w:val="26"/>
                <w:shd w:val="solid" w:color="000000" w:fill="000000"/>
                <w:fitText w:val="120" w:id="-961888244"/>
                <w14:textFill>
                  <w14:solidFill>
                    <w14:srgbClr w14:val="000000">
                      <w14:alpha w14:val="100000"/>
                    </w14:srgbClr>
                  </w14:solidFill>
                </w14:textFill>
              </w:rPr>
              <w:t xml:space="preserve">　</w:t>
            </w:r>
            <w:r w:rsidRPr="00640EC9">
              <w:rPr>
                <w:b/>
                <w:bCs w:val="0"/>
                <w:color w:val="000000"/>
                <w:w w:val="26"/>
                <w:shd w:val="solid" w:color="000000" w:fill="000000"/>
                <w:fitText w:val="120" w:id="-961888244"/>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4"/>
                <w14:textFill>
                  <w14:solidFill>
                    <w14:srgbClr w14:val="000000">
                      <w14:alpha w14:val="100000"/>
                    </w14:srgbClr>
                  </w14:solidFill>
                </w14:textFill>
              </w:rPr>
              <w:t xml:space="preserve">　</w:t>
            </w:r>
            <w:r w:rsidR="00D72964" w:rsidRPr="00D72964">
              <w:rPr>
                <w:vertAlign w:val="superscript"/>
              </w:rPr>
              <w:t>13</w:t>
            </w:r>
          </w:p>
        </w:tc>
        <w:tc>
          <w:tcPr>
            <w:tcW w:w="992" w:type="dxa"/>
            <w:shd w:val="clear" w:color="auto" w:fill="auto"/>
            <w:tcMar>
              <w:left w:w="20" w:type="dxa"/>
              <w:right w:w="20" w:type="dxa"/>
            </w:tcMar>
            <w:vAlign w:val="center"/>
          </w:tcPr>
          <w:p w14:paraId="07866AB9" w14:textId="0AA70046" w:rsidR="003F4569" w:rsidRPr="00AB3F41" w:rsidRDefault="00640EC9" w:rsidP="00233562">
            <w:pPr>
              <w:pStyle w:val="TableText0"/>
              <w:keepNext w:val="0"/>
              <w:widowControl w:val="0"/>
              <w:jc w:val="center"/>
              <w:rPr>
                <w:rFonts w:cs="Arial"/>
                <w:b/>
                <w:bCs w:val="0"/>
                <w:color w:val="000000"/>
                <w:szCs w:val="20"/>
                <w:highlight w:val="lightGray"/>
              </w:rPr>
            </w:pPr>
            <w:r w:rsidRPr="00640EC9">
              <w:rPr>
                <w:rFonts w:hint="eastAsia"/>
                <w:b/>
                <w:bCs w:val="0"/>
                <w:color w:val="000000"/>
                <w:w w:val="26"/>
                <w:shd w:val="solid" w:color="000000" w:fill="000000"/>
                <w:fitText w:val="120" w:id="-961888243"/>
                <w14:textFill>
                  <w14:solidFill>
                    <w14:srgbClr w14:val="000000">
                      <w14:alpha w14:val="100000"/>
                    </w14:srgbClr>
                  </w14:solidFill>
                </w14:textFill>
              </w:rPr>
              <w:t xml:space="preserve">　</w:t>
            </w:r>
            <w:r w:rsidRPr="00640EC9">
              <w:rPr>
                <w:b/>
                <w:bCs w:val="0"/>
                <w:color w:val="000000"/>
                <w:w w:val="26"/>
                <w:shd w:val="solid" w:color="000000" w:fill="000000"/>
                <w:fitText w:val="120" w:id="-961888243"/>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3"/>
                <w14:textFill>
                  <w14:solidFill>
                    <w14:srgbClr w14:val="000000">
                      <w14:alpha w14:val="100000"/>
                    </w14:srgbClr>
                  </w14:solidFill>
                </w14:textFill>
              </w:rPr>
              <w:t xml:space="preserve">　</w:t>
            </w:r>
            <w:r w:rsidR="00D72964" w:rsidRPr="00D72964">
              <w:rPr>
                <w:vertAlign w:val="superscript"/>
              </w:rPr>
              <w:t>14</w:t>
            </w:r>
          </w:p>
        </w:tc>
        <w:tc>
          <w:tcPr>
            <w:tcW w:w="993" w:type="dxa"/>
            <w:shd w:val="clear" w:color="auto" w:fill="auto"/>
            <w:tcMar>
              <w:left w:w="20" w:type="dxa"/>
              <w:right w:w="20" w:type="dxa"/>
            </w:tcMar>
            <w:vAlign w:val="center"/>
          </w:tcPr>
          <w:p w14:paraId="4AB8F13B" w14:textId="5E1A6324" w:rsidR="003F4569" w:rsidRPr="00AB3F41" w:rsidRDefault="00640EC9" w:rsidP="00233562">
            <w:pPr>
              <w:pStyle w:val="TableText0"/>
              <w:keepNext w:val="0"/>
              <w:widowControl w:val="0"/>
              <w:jc w:val="center"/>
              <w:rPr>
                <w:rFonts w:cs="Arial"/>
                <w:b/>
                <w:bCs w:val="0"/>
                <w:color w:val="000000"/>
                <w:szCs w:val="20"/>
                <w:highlight w:val="lightGray"/>
              </w:rPr>
            </w:pPr>
            <w:r w:rsidRPr="00640EC9">
              <w:rPr>
                <w:rFonts w:hint="eastAsia"/>
                <w:b/>
                <w:bCs w:val="0"/>
                <w:color w:val="000000"/>
                <w:w w:val="26"/>
                <w:shd w:val="solid" w:color="000000" w:fill="000000"/>
                <w:fitText w:val="120" w:id="-961888242"/>
                <w14:textFill>
                  <w14:solidFill>
                    <w14:srgbClr w14:val="000000">
                      <w14:alpha w14:val="100000"/>
                    </w14:srgbClr>
                  </w14:solidFill>
                </w14:textFill>
              </w:rPr>
              <w:t xml:space="preserve">　</w:t>
            </w:r>
            <w:r w:rsidRPr="00640EC9">
              <w:rPr>
                <w:b/>
                <w:bCs w:val="0"/>
                <w:color w:val="000000"/>
                <w:w w:val="26"/>
                <w:shd w:val="solid" w:color="000000" w:fill="000000"/>
                <w:fitText w:val="120" w:id="-961888242"/>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2"/>
                <w14:textFill>
                  <w14:solidFill>
                    <w14:srgbClr w14:val="000000">
                      <w14:alpha w14:val="100000"/>
                    </w14:srgbClr>
                  </w14:solidFill>
                </w14:textFill>
              </w:rPr>
              <w:t xml:space="preserve">　</w:t>
            </w:r>
            <w:r w:rsidR="00D72964" w:rsidRPr="00D72964">
              <w:rPr>
                <w:vertAlign w:val="superscript"/>
              </w:rPr>
              <w:t>14</w:t>
            </w:r>
          </w:p>
        </w:tc>
        <w:tc>
          <w:tcPr>
            <w:tcW w:w="992" w:type="dxa"/>
            <w:shd w:val="clear" w:color="auto" w:fill="auto"/>
            <w:tcMar>
              <w:left w:w="20" w:type="dxa"/>
              <w:right w:w="20" w:type="dxa"/>
            </w:tcMar>
            <w:vAlign w:val="center"/>
          </w:tcPr>
          <w:p w14:paraId="340B3CDA" w14:textId="59AE56AE" w:rsidR="003F4569" w:rsidRPr="00AB3F41" w:rsidRDefault="00640EC9" w:rsidP="00233562">
            <w:pPr>
              <w:pStyle w:val="TableText0"/>
              <w:keepNext w:val="0"/>
              <w:widowControl w:val="0"/>
              <w:jc w:val="center"/>
              <w:rPr>
                <w:rFonts w:cs="Arial"/>
                <w:b/>
                <w:bCs w:val="0"/>
                <w:color w:val="000000"/>
                <w:szCs w:val="20"/>
                <w:highlight w:val="lightGray"/>
              </w:rPr>
            </w:pPr>
            <w:r w:rsidRPr="00640EC9">
              <w:rPr>
                <w:rFonts w:hint="eastAsia"/>
                <w:b/>
                <w:bCs w:val="0"/>
                <w:color w:val="000000"/>
                <w:w w:val="26"/>
                <w:shd w:val="solid" w:color="000000" w:fill="000000"/>
                <w:fitText w:val="120" w:id="-961888241"/>
                <w14:textFill>
                  <w14:solidFill>
                    <w14:srgbClr w14:val="000000">
                      <w14:alpha w14:val="100000"/>
                    </w14:srgbClr>
                  </w14:solidFill>
                </w14:textFill>
              </w:rPr>
              <w:t xml:space="preserve">　</w:t>
            </w:r>
            <w:r w:rsidRPr="00640EC9">
              <w:rPr>
                <w:b/>
                <w:bCs w:val="0"/>
                <w:color w:val="000000"/>
                <w:w w:val="26"/>
                <w:shd w:val="solid" w:color="000000" w:fill="000000"/>
                <w:fitText w:val="120" w:id="-961888241"/>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1"/>
                <w14:textFill>
                  <w14:solidFill>
                    <w14:srgbClr w14:val="000000">
                      <w14:alpha w14:val="100000"/>
                    </w14:srgbClr>
                  </w14:solidFill>
                </w14:textFill>
              </w:rPr>
              <w:t xml:space="preserve">　</w:t>
            </w:r>
            <w:r w:rsidR="00D72964" w:rsidRPr="00D72964">
              <w:rPr>
                <w:b/>
                <w:bCs w:val="0"/>
                <w:vertAlign w:val="superscript"/>
              </w:rPr>
              <w:t>15</w:t>
            </w:r>
          </w:p>
        </w:tc>
        <w:tc>
          <w:tcPr>
            <w:tcW w:w="992" w:type="dxa"/>
            <w:shd w:val="clear" w:color="auto" w:fill="auto"/>
            <w:tcMar>
              <w:left w:w="20" w:type="dxa"/>
              <w:right w:w="20" w:type="dxa"/>
            </w:tcMar>
            <w:vAlign w:val="center"/>
          </w:tcPr>
          <w:p w14:paraId="2E2A378F" w14:textId="1A2A37BE"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26"/>
                <w:shd w:val="solid" w:color="000000" w:fill="000000"/>
                <w:fitText w:val="120" w:id="-961888240"/>
                <w14:textFill>
                  <w14:solidFill>
                    <w14:srgbClr w14:val="000000">
                      <w14:alpha w14:val="100000"/>
                    </w14:srgbClr>
                  </w14:solidFill>
                </w14:textFill>
              </w:rPr>
              <w:t xml:space="preserve">　</w:t>
            </w:r>
            <w:r w:rsidRPr="00640EC9">
              <w:rPr>
                <w:b/>
                <w:bCs w:val="0"/>
                <w:color w:val="000000"/>
                <w:w w:val="26"/>
                <w:shd w:val="solid" w:color="000000" w:fill="000000"/>
                <w:fitText w:val="120" w:id="-961888240"/>
                <w14:textFill>
                  <w14:solidFill>
                    <w14:srgbClr w14:val="000000">
                      <w14:alpha w14:val="100000"/>
                    </w14:srgbClr>
                  </w14:solidFill>
                </w14:textFill>
              </w:rPr>
              <w:t>|</w:t>
            </w:r>
            <w:r w:rsidRPr="00640EC9">
              <w:rPr>
                <w:rFonts w:hint="eastAsia"/>
                <w:b/>
                <w:bCs w:val="0"/>
                <w:color w:val="000000"/>
                <w:spacing w:val="4"/>
                <w:w w:val="26"/>
                <w:shd w:val="solid" w:color="000000" w:fill="000000"/>
                <w:fitText w:val="120" w:id="-961888240"/>
                <w14:textFill>
                  <w14:solidFill>
                    <w14:srgbClr w14:val="000000">
                      <w14:alpha w14:val="100000"/>
                    </w14:srgbClr>
                  </w14:solidFill>
                </w14:textFill>
              </w:rPr>
              <w:t xml:space="preserve">　</w:t>
            </w:r>
            <w:r w:rsidR="00D72964" w:rsidRPr="00D72964">
              <w:rPr>
                <w:b/>
                <w:bCs w:val="0"/>
                <w:vertAlign w:val="superscript"/>
              </w:rPr>
              <w:t>15</w:t>
            </w:r>
          </w:p>
        </w:tc>
        <w:tc>
          <w:tcPr>
            <w:tcW w:w="920" w:type="dxa"/>
            <w:shd w:val="clear" w:color="auto" w:fill="auto"/>
            <w:tcMar>
              <w:left w:w="20" w:type="dxa"/>
              <w:right w:w="20" w:type="dxa"/>
            </w:tcMar>
            <w:vAlign w:val="center"/>
          </w:tcPr>
          <w:p w14:paraId="24A243EA" w14:textId="3FBD05FC" w:rsidR="003F4569" w:rsidRPr="00AB3F41" w:rsidRDefault="00640EC9" w:rsidP="00233562">
            <w:pPr>
              <w:pStyle w:val="TableText0"/>
              <w:keepNext w:val="0"/>
              <w:widowControl w:val="0"/>
              <w:jc w:val="center"/>
              <w:rPr>
                <w:b/>
                <w:bCs w:val="0"/>
                <w:szCs w:val="20"/>
                <w:highlight w:val="lightGray"/>
              </w:rPr>
            </w:pPr>
            <w:r w:rsidRPr="00640EC9">
              <w:rPr>
                <w:rFonts w:hint="eastAsia"/>
                <w:b/>
                <w:bCs w:val="0"/>
                <w:color w:val="000000"/>
                <w:w w:val="15"/>
                <w:shd w:val="solid" w:color="000000" w:fill="000000"/>
                <w:fitText w:val="60" w:id="-961888256"/>
                <w14:textFill>
                  <w14:solidFill>
                    <w14:srgbClr w14:val="000000">
                      <w14:alpha w14:val="100000"/>
                    </w14:srgbClr>
                  </w14:solidFill>
                </w14:textFill>
              </w:rPr>
              <w:t xml:space="preserve">　</w:t>
            </w:r>
            <w:r w:rsidRPr="00640EC9">
              <w:rPr>
                <w:b/>
                <w:bCs w:val="0"/>
                <w:color w:val="000000"/>
                <w:w w:val="15"/>
                <w:shd w:val="solid" w:color="000000" w:fill="000000"/>
                <w:fitText w:val="60" w:id="-961888256"/>
                <w14:textFill>
                  <w14:solidFill>
                    <w14:srgbClr w14:val="000000">
                      <w14:alpha w14:val="100000"/>
                    </w14:srgbClr>
                  </w14:solidFill>
                </w14:textFill>
              </w:rPr>
              <w:t>|</w:t>
            </w:r>
            <w:r w:rsidRPr="00640EC9">
              <w:rPr>
                <w:rFonts w:hint="eastAsia"/>
                <w:b/>
                <w:bCs w:val="0"/>
                <w:color w:val="000000"/>
                <w:spacing w:val="-6"/>
                <w:w w:val="15"/>
                <w:shd w:val="solid" w:color="000000" w:fill="000000"/>
                <w:fitText w:val="60" w:id="-961888256"/>
                <w14:textFill>
                  <w14:solidFill>
                    <w14:srgbClr w14:val="000000">
                      <w14:alpha w14:val="100000"/>
                    </w14:srgbClr>
                  </w14:solidFill>
                </w14:textFill>
              </w:rPr>
              <w:t xml:space="preserve">　</w:t>
            </w:r>
            <w:r w:rsidR="00AF25A6" w:rsidRPr="00AF25A6">
              <w:rPr>
                <w:b/>
                <w:bCs w:val="0"/>
                <w:vertAlign w:val="superscript"/>
              </w:rPr>
              <w:t>17</w:t>
            </w:r>
          </w:p>
        </w:tc>
      </w:tr>
    </w:tbl>
    <w:p w14:paraId="69ED85F9" w14:textId="77777777" w:rsidR="00A26972" w:rsidRPr="009941F8" w:rsidRDefault="00A26972" w:rsidP="00233562">
      <w:pPr>
        <w:pStyle w:val="TableFigureFooter"/>
        <w:widowControl w:val="0"/>
        <w:rPr>
          <w:rStyle w:val="CommentReference"/>
          <w:b w:val="0"/>
          <w:i/>
          <w:snapToGrid/>
          <w:sz w:val="18"/>
          <w:szCs w:val="22"/>
        </w:rPr>
      </w:pPr>
      <w:r w:rsidRPr="009941F8">
        <w:rPr>
          <w:rStyle w:val="CommentReference"/>
          <w:b w:val="0"/>
          <w:sz w:val="18"/>
          <w:szCs w:val="22"/>
        </w:rPr>
        <w:t xml:space="preserve">Source: Tables 4-2, 4-3, 4-5, 4-7, 4-8 4-10. 4-11, 4-14, 4-15 of the March 2024 resubmission and </w:t>
      </w:r>
      <w:r w:rsidRPr="009941F8">
        <w:rPr>
          <w:rStyle w:val="CommentReference"/>
          <w:b w:val="0"/>
          <w:i/>
          <w:sz w:val="18"/>
          <w:szCs w:val="22"/>
        </w:rPr>
        <w:t>compiled during the evaluation</w:t>
      </w:r>
    </w:p>
    <w:p w14:paraId="583982CA" w14:textId="77777777" w:rsidR="00A26972" w:rsidRPr="009941F8" w:rsidRDefault="00A26972" w:rsidP="00233562">
      <w:pPr>
        <w:pStyle w:val="TableFigureFooter"/>
        <w:widowControl w:val="0"/>
      </w:pPr>
      <w:r w:rsidRPr="009941F8">
        <w:t>pop = population, pt = patient; yr = year, 14245= infusion cost for immunotherapy, 105=cost of specialist consultation.</w:t>
      </w:r>
    </w:p>
    <w:p w14:paraId="315B575A" w14:textId="77777777" w:rsidR="00A26972" w:rsidRPr="009941F8" w:rsidRDefault="00A26972" w:rsidP="00233562">
      <w:pPr>
        <w:pStyle w:val="TableFigureFooter"/>
        <w:widowControl w:val="0"/>
        <w:ind w:left="165" w:hanging="165"/>
      </w:pPr>
      <w:r w:rsidRPr="009941F8">
        <w:t>^</w:t>
      </w:r>
      <w:r w:rsidRPr="009941F8">
        <w:tab/>
        <w:t>Note despite accounting grandfather patients (n=127) in total patient years in Year 1, continuing treatment scripts for these patients after 6mth in Yr 1 have not been included in the March 2023 resubmission’s estimates.</w:t>
      </w:r>
    </w:p>
    <w:p w14:paraId="1832D49D" w14:textId="77777777" w:rsidR="00A26972" w:rsidRDefault="00A26972" w:rsidP="00233562">
      <w:pPr>
        <w:pStyle w:val="TableFigureFooter"/>
        <w:widowControl w:val="0"/>
      </w:pPr>
      <w:r w:rsidRPr="009941F8">
        <w:t>*</w:t>
      </w:r>
      <w:r w:rsidRPr="009941F8">
        <w:tab/>
        <w:t>The March 2023 resubmission’s estimates did not include MBS infusion costs for grandfathered patients.</w:t>
      </w:r>
    </w:p>
    <w:p w14:paraId="6808B15B" w14:textId="77777777" w:rsidR="00AE67DA" w:rsidRPr="0031580A" w:rsidRDefault="00AE67DA" w:rsidP="00233562">
      <w:pPr>
        <w:pStyle w:val="TableFigureFooter"/>
        <w:widowControl w:val="0"/>
        <w:rPr>
          <w:i/>
          <w:iCs/>
        </w:rPr>
      </w:pPr>
      <w:r w:rsidRPr="0031580A">
        <w:rPr>
          <w:i/>
          <w:iCs/>
        </w:rPr>
        <w:t>The redacted values correspond to the following ranges:</w:t>
      </w:r>
    </w:p>
    <w:p w14:paraId="2AA79159" w14:textId="711266C6" w:rsidR="00DB0472" w:rsidRPr="0031580A" w:rsidRDefault="00DB0472" w:rsidP="00233562">
      <w:pPr>
        <w:pStyle w:val="TableFigureFooter"/>
        <w:widowControl w:val="0"/>
        <w:rPr>
          <w:i/>
          <w:iCs/>
        </w:rPr>
      </w:pPr>
      <w:r w:rsidRPr="0031580A">
        <w:rPr>
          <w:i/>
          <w:iCs/>
          <w:vertAlign w:val="superscript"/>
        </w:rPr>
        <w:t>1</w:t>
      </w:r>
      <w:r w:rsidRPr="0031580A">
        <w:rPr>
          <w:i/>
          <w:iCs/>
        </w:rPr>
        <w:t xml:space="preserve"> 20,000 to &lt; 30,000</w:t>
      </w:r>
    </w:p>
    <w:p w14:paraId="4E404FA5" w14:textId="3C384DFF" w:rsidR="00DB0472" w:rsidRPr="0031580A" w:rsidRDefault="00DB0472" w:rsidP="00233562">
      <w:pPr>
        <w:pStyle w:val="TableFigureFooter"/>
        <w:widowControl w:val="0"/>
        <w:rPr>
          <w:i/>
          <w:iCs/>
        </w:rPr>
      </w:pPr>
      <w:r w:rsidRPr="0031580A">
        <w:rPr>
          <w:i/>
          <w:iCs/>
          <w:vertAlign w:val="superscript"/>
        </w:rPr>
        <w:t xml:space="preserve">2 </w:t>
      </w:r>
      <w:r w:rsidRPr="0031580A">
        <w:rPr>
          <w:i/>
          <w:iCs/>
        </w:rPr>
        <w:t>100,000 to &lt; 200,000</w:t>
      </w:r>
    </w:p>
    <w:p w14:paraId="75A7E761" w14:textId="18640E67" w:rsidR="00216520" w:rsidRPr="0031580A" w:rsidRDefault="00216520" w:rsidP="00233562">
      <w:pPr>
        <w:pStyle w:val="TableFigureFooter"/>
        <w:widowControl w:val="0"/>
        <w:rPr>
          <w:i/>
          <w:iCs/>
        </w:rPr>
      </w:pPr>
      <w:r w:rsidRPr="0031580A">
        <w:rPr>
          <w:i/>
          <w:iCs/>
          <w:vertAlign w:val="superscript"/>
        </w:rPr>
        <w:t>3</w:t>
      </w:r>
      <w:r w:rsidRPr="0031580A">
        <w:rPr>
          <w:i/>
          <w:iCs/>
        </w:rPr>
        <w:t xml:space="preserve"> 500 to &lt; 5,000</w:t>
      </w:r>
    </w:p>
    <w:p w14:paraId="424CB949" w14:textId="4D6B4BBC" w:rsidR="00216520" w:rsidRPr="0031580A" w:rsidRDefault="00216520" w:rsidP="00233562">
      <w:pPr>
        <w:pStyle w:val="TableFigureFooter"/>
        <w:widowControl w:val="0"/>
        <w:rPr>
          <w:i/>
          <w:iCs/>
        </w:rPr>
      </w:pPr>
      <w:r w:rsidRPr="0031580A">
        <w:rPr>
          <w:i/>
          <w:iCs/>
          <w:vertAlign w:val="superscript"/>
        </w:rPr>
        <w:t>4</w:t>
      </w:r>
      <w:r w:rsidRPr="0031580A">
        <w:rPr>
          <w:i/>
          <w:iCs/>
        </w:rPr>
        <w:t xml:space="preserve"> &lt; 500</w:t>
      </w:r>
    </w:p>
    <w:p w14:paraId="1B074DFB" w14:textId="55DC6C79" w:rsidR="00AD60E5" w:rsidRPr="0031580A" w:rsidRDefault="00AD60E5" w:rsidP="00233562">
      <w:pPr>
        <w:pStyle w:val="TableFigureFooter"/>
        <w:widowControl w:val="0"/>
        <w:rPr>
          <w:i/>
          <w:iCs/>
        </w:rPr>
      </w:pPr>
      <w:r w:rsidRPr="0031580A">
        <w:rPr>
          <w:i/>
          <w:iCs/>
          <w:vertAlign w:val="superscript"/>
        </w:rPr>
        <w:t>5</w:t>
      </w:r>
      <w:r w:rsidRPr="0031580A">
        <w:rPr>
          <w:i/>
          <w:iCs/>
        </w:rPr>
        <w:t xml:space="preserve"> 5,000 to &lt; 10,000</w:t>
      </w:r>
    </w:p>
    <w:p w14:paraId="3088D165" w14:textId="7D2831C1" w:rsidR="00AE67DA" w:rsidRPr="0031580A" w:rsidRDefault="00AD60E5" w:rsidP="00233562">
      <w:pPr>
        <w:pStyle w:val="TableFigureFooter"/>
        <w:widowControl w:val="0"/>
        <w:rPr>
          <w:i/>
          <w:iCs/>
        </w:rPr>
      </w:pPr>
      <w:r w:rsidRPr="0031580A">
        <w:rPr>
          <w:i/>
          <w:iCs/>
          <w:vertAlign w:val="superscript"/>
        </w:rPr>
        <w:t>6</w:t>
      </w:r>
      <w:r w:rsidR="00AE67DA" w:rsidRPr="0031580A">
        <w:rPr>
          <w:i/>
          <w:iCs/>
        </w:rPr>
        <w:t xml:space="preserve"> 10,000 to &lt; 20,000</w:t>
      </w:r>
    </w:p>
    <w:p w14:paraId="6E44B451" w14:textId="6423EC1F" w:rsidR="00AD60E5" w:rsidRPr="0031580A" w:rsidRDefault="00AD60E5" w:rsidP="00233562">
      <w:pPr>
        <w:pStyle w:val="TableFigureFooter"/>
        <w:widowControl w:val="0"/>
        <w:rPr>
          <w:i/>
          <w:iCs/>
        </w:rPr>
      </w:pPr>
      <w:r w:rsidRPr="0031580A">
        <w:rPr>
          <w:i/>
          <w:iCs/>
          <w:vertAlign w:val="superscript"/>
        </w:rPr>
        <w:t>7</w:t>
      </w:r>
      <w:r w:rsidRPr="0031580A">
        <w:rPr>
          <w:i/>
          <w:iCs/>
        </w:rPr>
        <w:t xml:space="preserve"> 60,000 to &lt; 70,000</w:t>
      </w:r>
    </w:p>
    <w:p w14:paraId="7B54BECE" w14:textId="1A4E843C" w:rsidR="00BC1294" w:rsidRPr="0031580A" w:rsidRDefault="00BC1294" w:rsidP="00233562">
      <w:pPr>
        <w:pStyle w:val="TableFigureFooter"/>
        <w:widowControl w:val="0"/>
        <w:rPr>
          <w:i/>
          <w:iCs/>
        </w:rPr>
      </w:pPr>
      <w:r w:rsidRPr="0031580A">
        <w:rPr>
          <w:i/>
          <w:iCs/>
          <w:vertAlign w:val="superscript"/>
        </w:rPr>
        <w:t>8</w:t>
      </w:r>
      <w:r w:rsidRPr="0031580A">
        <w:rPr>
          <w:i/>
          <w:iCs/>
        </w:rPr>
        <w:t xml:space="preserve"> $0 to &lt; $10 million</w:t>
      </w:r>
    </w:p>
    <w:p w14:paraId="190AB3C4" w14:textId="586E6D40" w:rsidR="00034941" w:rsidRPr="0031580A" w:rsidRDefault="00034941" w:rsidP="00233562">
      <w:pPr>
        <w:pStyle w:val="TableFigureFooter"/>
        <w:widowControl w:val="0"/>
        <w:rPr>
          <w:i/>
          <w:iCs/>
        </w:rPr>
      </w:pPr>
      <w:r w:rsidRPr="0031580A">
        <w:rPr>
          <w:i/>
          <w:iCs/>
          <w:vertAlign w:val="superscript"/>
        </w:rPr>
        <w:t>9</w:t>
      </w:r>
      <w:r w:rsidRPr="0031580A">
        <w:rPr>
          <w:i/>
          <w:iCs/>
        </w:rPr>
        <w:t xml:space="preserve"> $10 million to &lt; $20 million</w:t>
      </w:r>
    </w:p>
    <w:p w14:paraId="028026BC" w14:textId="5A0A15A6" w:rsidR="00034941" w:rsidRPr="0031580A" w:rsidRDefault="00034941" w:rsidP="00233562">
      <w:pPr>
        <w:pStyle w:val="TableFigureFooter"/>
        <w:widowControl w:val="0"/>
        <w:rPr>
          <w:i/>
          <w:iCs/>
        </w:rPr>
      </w:pPr>
      <w:r w:rsidRPr="0031580A">
        <w:rPr>
          <w:i/>
          <w:iCs/>
          <w:vertAlign w:val="superscript"/>
        </w:rPr>
        <w:t xml:space="preserve">10 </w:t>
      </w:r>
      <w:r w:rsidRPr="0031580A">
        <w:rPr>
          <w:i/>
          <w:iCs/>
        </w:rPr>
        <w:t>60,000 to &lt; 70,000</w:t>
      </w:r>
    </w:p>
    <w:p w14:paraId="609AB0D6" w14:textId="6BB34B3E" w:rsidR="00BC1294" w:rsidRPr="0031580A" w:rsidRDefault="00D72964" w:rsidP="00233562">
      <w:pPr>
        <w:pStyle w:val="TableFigureFooter"/>
        <w:widowControl w:val="0"/>
        <w:rPr>
          <w:i/>
          <w:iCs/>
        </w:rPr>
      </w:pPr>
      <w:r w:rsidRPr="0031580A">
        <w:rPr>
          <w:i/>
          <w:iCs/>
          <w:vertAlign w:val="superscript"/>
        </w:rPr>
        <w:t>11</w:t>
      </w:r>
      <w:r w:rsidR="00BC1294" w:rsidRPr="0031580A">
        <w:rPr>
          <w:i/>
          <w:iCs/>
        </w:rPr>
        <w:t xml:space="preserve"> net cost saving</w:t>
      </w:r>
    </w:p>
    <w:p w14:paraId="6D06CC83" w14:textId="7227A348" w:rsidR="00D72964" w:rsidRPr="0031580A" w:rsidRDefault="00D72964" w:rsidP="00233562">
      <w:pPr>
        <w:pStyle w:val="TableFigureFooter"/>
        <w:widowControl w:val="0"/>
        <w:rPr>
          <w:i/>
          <w:iCs/>
        </w:rPr>
      </w:pPr>
      <w:r w:rsidRPr="0031580A">
        <w:rPr>
          <w:i/>
          <w:iCs/>
          <w:vertAlign w:val="superscript"/>
        </w:rPr>
        <w:t>12</w:t>
      </w:r>
      <w:r w:rsidRPr="0031580A">
        <w:rPr>
          <w:i/>
          <w:iCs/>
        </w:rPr>
        <w:t xml:space="preserve"> $50 million to &lt; $60 million</w:t>
      </w:r>
    </w:p>
    <w:p w14:paraId="022282D9" w14:textId="77777777" w:rsidR="00C136EB" w:rsidRDefault="00D72964" w:rsidP="00C136EB">
      <w:pPr>
        <w:pStyle w:val="TableFigureFooter"/>
        <w:widowControl w:val="0"/>
        <w:rPr>
          <w:i/>
          <w:iCs/>
        </w:rPr>
      </w:pPr>
      <w:r w:rsidRPr="0031580A">
        <w:rPr>
          <w:i/>
          <w:iCs/>
          <w:vertAlign w:val="superscript"/>
        </w:rPr>
        <w:t>13</w:t>
      </w:r>
      <w:r w:rsidRPr="0031580A">
        <w:rPr>
          <w:i/>
          <w:iCs/>
        </w:rPr>
        <w:t xml:space="preserve"> $20 million to &lt; $30 million</w:t>
      </w:r>
    </w:p>
    <w:p w14:paraId="5A25B04A" w14:textId="07988B3E" w:rsidR="00D72964" w:rsidRPr="0031580A" w:rsidRDefault="00D72964" w:rsidP="00233562">
      <w:pPr>
        <w:pStyle w:val="TableFigureFooter"/>
        <w:widowControl w:val="0"/>
        <w:rPr>
          <w:i/>
          <w:iCs/>
        </w:rPr>
      </w:pPr>
      <w:r w:rsidRPr="0031580A">
        <w:rPr>
          <w:i/>
          <w:iCs/>
          <w:vertAlign w:val="superscript"/>
        </w:rPr>
        <w:t>14</w:t>
      </w:r>
      <w:r w:rsidRPr="0031580A">
        <w:rPr>
          <w:i/>
          <w:iCs/>
        </w:rPr>
        <w:t xml:space="preserve"> $30 million to &lt; $40 million</w:t>
      </w:r>
    </w:p>
    <w:p w14:paraId="07A0BBCA" w14:textId="5D2D988A" w:rsidR="00D72964" w:rsidRPr="0031580A" w:rsidRDefault="00D72964" w:rsidP="00233562">
      <w:pPr>
        <w:pStyle w:val="TableFigureFooter"/>
        <w:widowControl w:val="0"/>
        <w:rPr>
          <w:i/>
          <w:iCs/>
        </w:rPr>
      </w:pPr>
      <w:r w:rsidRPr="0031580A">
        <w:rPr>
          <w:i/>
          <w:iCs/>
          <w:vertAlign w:val="superscript"/>
        </w:rPr>
        <w:t>15</w:t>
      </w:r>
      <w:r w:rsidRPr="0031580A">
        <w:rPr>
          <w:i/>
          <w:iCs/>
        </w:rPr>
        <w:t xml:space="preserve"> $40 million to &lt; $50 million</w:t>
      </w:r>
    </w:p>
    <w:p w14:paraId="58031A34" w14:textId="29B0983C" w:rsidR="00D72964" w:rsidRPr="0031580A" w:rsidRDefault="00D72964" w:rsidP="00233562">
      <w:pPr>
        <w:pStyle w:val="TableFigureFooter"/>
        <w:widowControl w:val="0"/>
        <w:rPr>
          <w:i/>
          <w:iCs/>
        </w:rPr>
      </w:pPr>
      <w:r w:rsidRPr="0031580A">
        <w:rPr>
          <w:i/>
          <w:iCs/>
          <w:vertAlign w:val="superscript"/>
        </w:rPr>
        <w:t>16</w:t>
      </w:r>
      <w:r w:rsidRPr="0031580A">
        <w:rPr>
          <w:i/>
          <w:iCs/>
        </w:rPr>
        <w:t xml:space="preserve"> $100 million to &lt; $200 million</w:t>
      </w:r>
    </w:p>
    <w:p w14:paraId="04C05CEB" w14:textId="0857AEED" w:rsidR="00AF25A6" w:rsidRPr="0031580A" w:rsidRDefault="00AF25A6" w:rsidP="00233562">
      <w:pPr>
        <w:pStyle w:val="TableFigureFooter"/>
        <w:widowControl w:val="0"/>
        <w:rPr>
          <w:i/>
          <w:iCs/>
        </w:rPr>
      </w:pPr>
      <w:r w:rsidRPr="0031580A">
        <w:rPr>
          <w:i/>
          <w:iCs/>
          <w:vertAlign w:val="superscript"/>
        </w:rPr>
        <w:t>17</w:t>
      </w:r>
      <w:r w:rsidRPr="0031580A">
        <w:rPr>
          <w:i/>
          <w:iCs/>
        </w:rPr>
        <w:t xml:space="preserve"> $200 million to &lt; $300 million</w:t>
      </w:r>
    </w:p>
    <w:p w14:paraId="4553EB05" w14:textId="644EDD43" w:rsidR="009239EE" w:rsidRDefault="009239EE" w:rsidP="00A244E2">
      <w:pPr>
        <w:pStyle w:val="3-BodyText"/>
      </w:pPr>
      <w:bookmarkStart w:id="90" w:name="_Ref159420967"/>
      <w:r w:rsidRPr="009941F8">
        <w:t>The total net cost to government over the first six years of use was reduced from the estimated $</w:t>
      </w:r>
      <w:r w:rsidR="00401AD9" w:rsidRPr="00401AD9">
        <w:t>200</w:t>
      </w:r>
      <w:r w:rsidR="00D31E29">
        <w:t> </w:t>
      </w:r>
      <w:r w:rsidR="00401AD9" w:rsidRPr="00401AD9">
        <w:t>million</w:t>
      </w:r>
      <w:r w:rsidR="00D31E29">
        <w:t> </w:t>
      </w:r>
      <w:r w:rsidR="00401AD9" w:rsidRPr="00401AD9">
        <w:t>to</w:t>
      </w:r>
      <w:r w:rsidR="00D31E29">
        <w:t> </w:t>
      </w:r>
      <w:r w:rsidR="00401AD9" w:rsidRPr="00401AD9">
        <w:t>&lt;</w:t>
      </w:r>
      <w:r w:rsidR="00D31E29">
        <w:t> </w:t>
      </w:r>
      <w:r w:rsidR="00401AD9" w:rsidRPr="00401AD9">
        <w:t>$300</w:t>
      </w:r>
      <w:r w:rsidR="00D31E29">
        <w:t> </w:t>
      </w:r>
      <w:r w:rsidR="00401AD9" w:rsidRPr="00401AD9">
        <w:t>million</w:t>
      </w:r>
      <w:r w:rsidR="00401AD9" w:rsidRPr="00401AD9" w:rsidDel="00401AD9">
        <w:t xml:space="preserve"> </w:t>
      </w:r>
      <w:r w:rsidRPr="009941F8">
        <w:t>($</w:t>
      </w:r>
      <w:r w:rsidR="00401AD9" w:rsidRPr="00401AD9">
        <w:t>100</w:t>
      </w:r>
      <w:r w:rsidR="00D31E29">
        <w:t> </w:t>
      </w:r>
      <w:r w:rsidR="00401AD9" w:rsidRPr="00401AD9">
        <w:t>million</w:t>
      </w:r>
      <w:r w:rsidR="00D31E29">
        <w:t> </w:t>
      </w:r>
      <w:r w:rsidR="00401AD9" w:rsidRPr="00401AD9">
        <w:t>to</w:t>
      </w:r>
      <w:r w:rsidR="00D31E29">
        <w:t> </w:t>
      </w:r>
      <w:r w:rsidR="00401AD9" w:rsidRPr="00401AD9">
        <w:t>&lt;</w:t>
      </w:r>
      <w:r w:rsidR="00D31E29">
        <w:t> </w:t>
      </w:r>
      <w:r w:rsidR="00401AD9" w:rsidRPr="00401AD9">
        <w:t>$200</w:t>
      </w:r>
      <w:r w:rsidR="00D31E29">
        <w:t> </w:t>
      </w:r>
      <w:r w:rsidR="00401AD9" w:rsidRPr="00401AD9">
        <w:t>million</w:t>
      </w:r>
      <w:r w:rsidR="00401AD9" w:rsidRPr="00401AD9" w:rsidDel="00401AD9">
        <w:t xml:space="preserve"> </w:t>
      </w:r>
      <w:r w:rsidRPr="009941F8">
        <w:t>PBS/RPBS costs, $</w:t>
      </w:r>
      <w:r w:rsidR="00401AD9" w:rsidRPr="00401AD9">
        <w:t>10</w:t>
      </w:r>
      <w:r w:rsidR="00D31E29">
        <w:t> </w:t>
      </w:r>
      <w:r w:rsidR="00401AD9" w:rsidRPr="00401AD9">
        <w:t>million</w:t>
      </w:r>
      <w:r w:rsidR="00D31E29">
        <w:t> </w:t>
      </w:r>
      <w:r w:rsidR="00401AD9" w:rsidRPr="00401AD9">
        <w:t>to</w:t>
      </w:r>
      <w:r w:rsidR="00D31E29">
        <w:t> </w:t>
      </w:r>
      <w:r w:rsidR="00401AD9" w:rsidRPr="00401AD9">
        <w:t>&lt;</w:t>
      </w:r>
      <w:r w:rsidR="00D31E29">
        <w:t> </w:t>
      </w:r>
      <w:r w:rsidR="00401AD9" w:rsidRPr="00401AD9">
        <w:t>$20 million</w:t>
      </w:r>
      <w:r w:rsidR="00401AD9" w:rsidRPr="00401AD9" w:rsidDel="00401AD9">
        <w:t xml:space="preserve"> </w:t>
      </w:r>
      <w:r w:rsidRPr="009941F8">
        <w:t>MBS costs) in the March 2023 resubmission to $</w:t>
      </w:r>
      <w:r w:rsidR="00C136EB" w:rsidRPr="00401AD9">
        <w:t>60</w:t>
      </w:r>
      <w:r w:rsidR="00C136EB">
        <w:t> </w:t>
      </w:r>
      <w:r w:rsidR="00401AD9" w:rsidRPr="00401AD9">
        <w:t>million to &lt; $70 million</w:t>
      </w:r>
      <w:r w:rsidR="00401AD9" w:rsidRPr="00401AD9" w:rsidDel="00401AD9">
        <w:t xml:space="preserve"> </w:t>
      </w:r>
      <w:r w:rsidRPr="009941F8">
        <w:t>($</w:t>
      </w:r>
      <w:r w:rsidR="00401AD9" w:rsidRPr="00401AD9">
        <w:t>60 million to &lt; $70 million</w:t>
      </w:r>
      <w:r w:rsidRPr="009941F8">
        <w:t xml:space="preserve"> PBS/RPBS costs, $</w:t>
      </w:r>
      <w:r w:rsidR="00401AD9" w:rsidRPr="00401AD9">
        <w:t>0</w:t>
      </w:r>
      <w:r w:rsidR="00D31E29">
        <w:t> </w:t>
      </w:r>
      <w:r w:rsidR="00401AD9" w:rsidRPr="00401AD9">
        <w:t>to</w:t>
      </w:r>
      <w:r w:rsidR="00D31E29">
        <w:t> </w:t>
      </w:r>
      <w:r w:rsidR="00C136EB" w:rsidRPr="00401AD9">
        <w:t>&lt;</w:t>
      </w:r>
      <w:r w:rsidR="00C136EB">
        <w:t> </w:t>
      </w:r>
      <w:r w:rsidR="00401AD9" w:rsidRPr="00401AD9">
        <w:t>$</w:t>
      </w:r>
      <w:r w:rsidR="00C136EB" w:rsidRPr="00401AD9">
        <w:t>10</w:t>
      </w:r>
      <w:r w:rsidR="00C136EB">
        <w:t> </w:t>
      </w:r>
      <w:r w:rsidR="00401AD9" w:rsidRPr="00401AD9">
        <w:t>million</w:t>
      </w:r>
      <w:r w:rsidR="00401AD9" w:rsidRPr="00401AD9" w:rsidDel="00401AD9">
        <w:t xml:space="preserve"> </w:t>
      </w:r>
      <w:r w:rsidRPr="009941F8">
        <w:t>MBS costs).</w:t>
      </w:r>
      <w:r w:rsidRPr="009941F8">
        <w:rPr>
          <w:i/>
          <w:iCs/>
        </w:rPr>
        <w:t xml:space="preserve"> </w:t>
      </w:r>
      <w:r w:rsidRPr="009941F8">
        <w:t>The ESC considered that the changes were generally consistent with previous DUSC advice</w:t>
      </w:r>
      <w:r>
        <w:t>.</w:t>
      </w:r>
    </w:p>
    <w:p w14:paraId="0E31ACA6" w14:textId="0A24EAE4" w:rsidR="00A26972" w:rsidRPr="009941F8" w:rsidRDefault="00A26972" w:rsidP="00A244E2">
      <w:pPr>
        <w:pStyle w:val="3-BodyText"/>
      </w:pPr>
      <w:r w:rsidRPr="009941F8">
        <w:t>The financial impact was uncertain for the following reasons:</w:t>
      </w:r>
      <w:bookmarkEnd w:id="90"/>
    </w:p>
    <w:p w14:paraId="22B90D16" w14:textId="6B403C24" w:rsidR="00A26972" w:rsidRPr="009941F8" w:rsidRDefault="00A26972" w:rsidP="00233562">
      <w:pPr>
        <w:pStyle w:val="ListBullet"/>
        <w:numPr>
          <w:ilvl w:val="0"/>
          <w:numId w:val="18"/>
        </w:numPr>
        <w:spacing w:after="120"/>
        <w:ind w:left="993" w:hanging="284"/>
        <w:contextualSpacing w:val="0"/>
      </w:pPr>
      <w:r w:rsidRPr="009941F8">
        <w:rPr>
          <w:b/>
          <w:bCs/>
        </w:rPr>
        <w:t>Eligibility</w:t>
      </w:r>
      <w:r w:rsidRPr="009941F8">
        <w:t xml:space="preserve">: The resubmission revised the patient eligibility criteria in the requested restrictions allowing patients to access anifrolumab without one or more concomitant triple therapy in case of intolerance. This may increase the likelihood </w:t>
      </w:r>
      <w:r w:rsidRPr="009941F8">
        <w:lastRenderedPageBreak/>
        <w:t>of leakage outside the intended target patients (i.e. more than the 15.83% of SLE patients estimated to have SLEDAI-2K</w:t>
      </w:r>
      <w:r w:rsidR="004F2B97">
        <w:t xml:space="preserve"> </w:t>
      </w:r>
      <w:r w:rsidRPr="009941F8">
        <w:rPr>
          <w:rFonts w:cs="Calibri"/>
        </w:rPr>
        <w:t>≥10 and be receiving triple therapy)</w:t>
      </w:r>
      <w:r w:rsidRPr="009941F8">
        <w:t>. However, if restricting to clinically eligible patients, the IQVIA 2022 report presented eligibility estimates of 11.7%. The IQVIA report notably did not assess actual patients but was a survey of clinicians. In the ALRB, 14.42% patients had SLEDAI-2K</w:t>
      </w:r>
      <w:r w:rsidR="004F2B97">
        <w:t xml:space="preserve"> </w:t>
      </w:r>
      <w:r w:rsidRPr="009941F8">
        <w:rPr>
          <w:rFonts w:cs="Calibri"/>
        </w:rPr>
        <w:t>≥10 and were receiving triple therapy with OCS dose</w:t>
      </w:r>
      <w:r w:rsidR="004F2B97">
        <w:rPr>
          <w:rFonts w:cs="Calibri"/>
        </w:rPr>
        <w:t xml:space="preserve"> </w:t>
      </w:r>
      <w:r w:rsidRPr="009941F8">
        <w:rPr>
          <w:rFonts w:cs="Calibri"/>
        </w:rPr>
        <w:t>≥7.5mg/day.</w:t>
      </w:r>
      <w:r w:rsidRPr="009941F8">
        <w:t xml:space="preserve"> The IQVIA report also noted that knowledge and use of the SLEDAI-2K scoring system was rare: 16% specialists were had little to no familiarity with SLEDAI-2K, 55% were aware of it, but had never used it; and of the 29% who had used it, over half had not used it in the year prior to the IQVIA survey. Eligibility for anifrolumab will therefore also require a practice change in clinicians, which may limit access</w:t>
      </w:r>
      <w:r w:rsidR="009941F8">
        <w:t xml:space="preserve">. </w:t>
      </w:r>
      <w:r w:rsidR="00BC4259" w:rsidRPr="009941F8">
        <w:t>The ESC agreed with the commentary that the data suggested an estimate of 11.7% would be more appropriate, compared with 15.8% that was assumed by the submission.</w:t>
      </w:r>
    </w:p>
    <w:p w14:paraId="3037C1FC" w14:textId="6B354E16" w:rsidR="00A26972" w:rsidRPr="009941F8" w:rsidRDefault="00A26972" w:rsidP="00233562">
      <w:pPr>
        <w:pStyle w:val="ListBullet"/>
        <w:numPr>
          <w:ilvl w:val="0"/>
          <w:numId w:val="18"/>
        </w:numPr>
        <w:spacing w:after="120"/>
        <w:ind w:left="993" w:hanging="284"/>
        <w:contextualSpacing w:val="0"/>
      </w:pPr>
      <w:r w:rsidRPr="009941F8">
        <w:rPr>
          <w:b/>
          <w:bCs/>
        </w:rPr>
        <w:t>Uptake</w:t>
      </w:r>
      <w:r w:rsidRPr="009941F8">
        <w:t xml:space="preserve">: This resubmission adopted identical uptake rates to those used in the pre-PBAC response of the March 2023 resubmission, plus higher uptake rates in sensitivity analysis and proposed as second tier caps in a risk share agreement. There are limited treatment options for SLE patients, which may lead to high uptake. However, the PBAC previously considered that </w:t>
      </w:r>
      <w:r w:rsidR="00B27268" w:rsidRPr="009941F8">
        <w:t xml:space="preserve">lower </w:t>
      </w:r>
      <w:r w:rsidRPr="009941F8">
        <w:t xml:space="preserve">uptake rates </w:t>
      </w:r>
      <w:r w:rsidR="00B27268" w:rsidRPr="009941F8">
        <w:t xml:space="preserve">for </w:t>
      </w:r>
      <w:r w:rsidRPr="009941F8">
        <w:t>belimumab (15-40%) were more reasonable than higher uptake rates, given use of IV belimumab was low, treatment effect was modest and there was potential for severe adverse events (para 7.10, belimumab PSD, July 2020). The PBAC also considered anifrolumab to have modest benefit (paragraph 7.5, anifrolumab PSD, March 2023), and safety concerns may be similar to belimumab (plus higher risk of infections compared to belimumab)</w:t>
      </w:r>
      <w:r w:rsidRPr="009941F8">
        <w:rPr>
          <w:rStyle w:val="FootnoteReference"/>
        </w:rPr>
        <w:footnoteReference w:id="10"/>
      </w:r>
      <w:r w:rsidR="001728F0" w:rsidRPr="009941F8">
        <w:rPr>
          <w:vertAlign w:val="superscript"/>
        </w:rPr>
        <w:t>,</w:t>
      </w:r>
      <w:r w:rsidRPr="009941F8">
        <w:rPr>
          <w:rStyle w:val="FootnoteReference"/>
        </w:rPr>
        <w:footnoteReference w:id="11"/>
      </w:r>
      <w:r w:rsidRPr="009941F8">
        <w:t xml:space="preserve">, these would suggest lower uptake rates for anifrolumab. As noted under eligibility, clinician ability to assess SLEDAI-2K and therefore LLDAS may also limit patient uptake of anifrolumab. </w:t>
      </w:r>
      <w:r w:rsidR="00BC4259" w:rsidRPr="009941F8">
        <w:t xml:space="preserve">The ESC noted that the proposed uptake </w:t>
      </w:r>
      <w:r w:rsidR="00BC4259" w:rsidRPr="0031580A">
        <w:t>rates (</w:t>
      </w:r>
      <w:r w:rsidR="00640EC9" w:rsidRPr="00CE7EC7">
        <w:rPr>
          <w:color w:val="000000"/>
          <w:w w:val="15"/>
          <w:shd w:val="solid" w:color="000000" w:fill="000000"/>
          <w:fitText w:val="-20" w:id="-961888255"/>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88255"/>
          <w14:textFill>
            <w14:solidFill>
              <w14:srgbClr w14:val="000000">
                <w14:alpha w14:val="100000"/>
              </w14:srgbClr>
            </w14:solidFill>
          </w14:textFill>
        </w:rPr>
        <w:t>|</w:t>
      </w:r>
      <w:r w:rsidR="00BC4259" w:rsidRPr="0031580A">
        <w:t xml:space="preserve">% to </w:t>
      </w:r>
      <w:r w:rsidR="00640EC9" w:rsidRPr="00CE7EC7">
        <w:rPr>
          <w:color w:val="000000"/>
          <w:w w:val="15"/>
          <w:shd w:val="solid" w:color="000000" w:fill="000000"/>
          <w:fitText w:val="-20" w:id="-961888254"/>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88254"/>
          <w14:textFill>
            <w14:solidFill>
              <w14:srgbClr w14:val="000000">
                <w14:alpha w14:val="100000"/>
              </w14:srgbClr>
            </w14:solidFill>
          </w14:textFill>
        </w:rPr>
        <w:t>|</w:t>
      </w:r>
      <w:r w:rsidR="00BC4259" w:rsidRPr="0031580A">
        <w:t>%) were</w:t>
      </w:r>
      <w:r w:rsidR="00BC4259" w:rsidRPr="009941F8">
        <w:t xml:space="preserve"> higher than the rates previously considered for belimumab (15-40%).</w:t>
      </w:r>
    </w:p>
    <w:p w14:paraId="6619B4D7" w14:textId="77777777" w:rsidR="00A26972" w:rsidRPr="009941F8" w:rsidRDefault="00A26972" w:rsidP="00233562">
      <w:pPr>
        <w:pStyle w:val="ListBullet"/>
        <w:numPr>
          <w:ilvl w:val="0"/>
          <w:numId w:val="18"/>
        </w:numPr>
        <w:spacing w:after="120"/>
        <w:ind w:left="993" w:hanging="284"/>
        <w:contextualSpacing w:val="0"/>
      </w:pPr>
      <w:r w:rsidRPr="009941F8">
        <w:rPr>
          <w:b/>
          <w:bCs/>
        </w:rPr>
        <w:t>Grandfathered patients</w:t>
      </w:r>
      <w:r w:rsidRPr="009941F8">
        <w:t>: This resubmission included grandfathered patients in the prevalent population. As these patients will have already received anifrolumab, their time on PBS treatment might be different to patients who commence initial treatment with anifrolumab on PBS.</w:t>
      </w:r>
    </w:p>
    <w:p w14:paraId="033B8336" w14:textId="77777777" w:rsidR="00A26972" w:rsidRPr="009941F8" w:rsidRDefault="00A26972" w:rsidP="00233562">
      <w:pPr>
        <w:pStyle w:val="ListBullet"/>
        <w:numPr>
          <w:ilvl w:val="0"/>
          <w:numId w:val="18"/>
        </w:numPr>
        <w:spacing w:after="120"/>
        <w:ind w:left="993" w:hanging="284"/>
        <w:contextualSpacing w:val="0"/>
      </w:pPr>
      <w:r w:rsidRPr="009941F8">
        <w:rPr>
          <w:b/>
          <w:bCs/>
        </w:rPr>
        <w:t>Adverse events</w:t>
      </w:r>
      <w:r w:rsidRPr="009941F8">
        <w:t>: The financial estimates did not include the cost of adverse events, particularly injection site reactions (SOC was comprised of primarily oral therapies).</w:t>
      </w:r>
    </w:p>
    <w:p w14:paraId="1D255FB3" w14:textId="21C6B418" w:rsidR="00A26972" w:rsidRPr="009941F8" w:rsidRDefault="00A26972" w:rsidP="00233562">
      <w:pPr>
        <w:pStyle w:val="ListBullet"/>
        <w:numPr>
          <w:ilvl w:val="0"/>
          <w:numId w:val="18"/>
        </w:numPr>
        <w:spacing w:after="120"/>
        <w:ind w:left="993" w:hanging="284"/>
        <w:contextualSpacing w:val="0"/>
      </w:pPr>
      <w:r w:rsidRPr="009941F8">
        <w:rPr>
          <w:b/>
          <w:bCs/>
        </w:rPr>
        <w:lastRenderedPageBreak/>
        <w:t>Cost of administration:</w:t>
      </w:r>
      <w:r w:rsidRPr="009941F8">
        <w:t xml:space="preserve"> The resubmission greatly reduced the cost of administration </w:t>
      </w:r>
      <w:r w:rsidR="00CE05B7">
        <w:t xml:space="preserve">to </w:t>
      </w:r>
      <w:r w:rsidRPr="009941F8">
        <w:t>$</w:t>
      </w:r>
      <w:r w:rsidRPr="00174978">
        <w:t>25.90</w:t>
      </w:r>
      <w:r w:rsidRPr="009941F8">
        <w:t xml:space="preserve"> compared to $</w:t>
      </w:r>
      <w:r w:rsidRPr="00174978">
        <w:t>82.84</w:t>
      </w:r>
      <w:r w:rsidRPr="009941F8">
        <w:t xml:space="preserve"> in the March 2023 resubmission. It was unclear whether it was more appropriate to assume the cost of a specialist visit or intravenous infusion of imm</w:t>
      </w:r>
      <w:r w:rsidR="004F2B97">
        <w:t>un</w:t>
      </w:r>
      <w:r w:rsidRPr="009941F8">
        <w:t>o</w:t>
      </w:r>
      <w:r w:rsidR="004F2B97">
        <w:t>mo</w:t>
      </w:r>
      <w:r w:rsidRPr="009941F8">
        <w:t>dulating agent. If costed as per the March</w:t>
      </w:r>
      <w:r w:rsidR="00F30FCE">
        <w:t> </w:t>
      </w:r>
      <w:r w:rsidRPr="009941F8">
        <w:t>2023 resubmission the total cost to government increased to $</w:t>
      </w:r>
      <w:r w:rsidR="00AF25A6" w:rsidRPr="00AF25A6">
        <w:t>60</w:t>
      </w:r>
      <w:r w:rsidR="00F30FCE">
        <w:t> </w:t>
      </w:r>
      <w:r w:rsidR="00AF25A6" w:rsidRPr="00AF25A6">
        <w:t>million</w:t>
      </w:r>
      <w:r w:rsidR="00F30FCE">
        <w:t> </w:t>
      </w:r>
      <w:r w:rsidR="00AF25A6" w:rsidRPr="00AF25A6">
        <w:t xml:space="preserve">to </w:t>
      </w:r>
      <w:r w:rsidR="00CF13C6" w:rsidRPr="00AF25A6">
        <w:t>&lt;</w:t>
      </w:r>
      <w:r w:rsidR="00CF13C6">
        <w:t> </w:t>
      </w:r>
      <w:r w:rsidR="00AF25A6" w:rsidRPr="00AF25A6">
        <w:t>$70</w:t>
      </w:r>
      <w:r w:rsidR="00CF13C6">
        <w:t> </w:t>
      </w:r>
      <w:r w:rsidR="00AF25A6" w:rsidRPr="00AF25A6">
        <w:t>million</w:t>
      </w:r>
      <w:r w:rsidR="00235D09">
        <w:t xml:space="preserve"> </w:t>
      </w:r>
      <w:r w:rsidRPr="009941F8">
        <w:t>across the first 6 years of listing (an increase of 5.9%).</w:t>
      </w:r>
    </w:p>
    <w:p w14:paraId="3DD50888" w14:textId="1015B023" w:rsidR="00A26972" w:rsidRPr="009941F8" w:rsidRDefault="00A26972" w:rsidP="00CF13C6">
      <w:pPr>
        <w:pStyle w:val="ListBullet"/>
        <w:numPr>
          <w:ilvl w:val="0"/>
          <w:numId w:val="18"/>
        </w:numPr>
        <w:spacing w:after="120"/>
        <w:ind w:left="993" w:hanging="284"/>
        <w:contextualSpacing w:val="0"/>
      </w:pPr>
      <w:r w:rsidRPr="009941F8">
        <w:rPr>
          <w:b/>
          <w:bCs/>
        </w:rPr>
        <w:t xml:space="preserve">Treatment duration: </w:t>
      </w:r>
      <w:r w:rsidRPr="009941F8">
        <w:t xml:space="preserve">The financial estimates did not capture the costs of patients continuing treatment beyond their initialising </w:t>
      </w:r>
      <w:r w:rsidR="00B27268" w:rsidRPr="009941F8">
        <w:t>year but</w:t>
      </w:r>
      <w:r w:rsidRPr="009941F8">
        <w:t xml:space="preserve"> did capture patients who regained their HDAS status and became eligible for reinitialising in a later year. In the economic model (where patients initiate anifrolumab once only), the average time on treatment was 1.11 years (3.42 years for responders at 6 months). The resubmission has also requested a Balance of Supply, potentially increasing the time on treatment to 8 months for all initiating patients</w:t>
      </w:r>
      <w:r w:rsidR="009941F8">
        <w:t xml:space="preserve">. </w:t>
      </w:r>
      <w:r w:rsidR="00DB3A5D" w:rsidRPr="009941F8">
        <w:t>The PSCR stated that if 5% of patients met the Balance of Supply restrictions, the net PBS costs would increase by 1.1% to 1.6% over years 1 to 6. Full results were not presented</w:t>
      </w:r>
      <w:r w:rsidR="001728F0" w:rsidRPr="009941F8">
        <w:t>,</w:t>
      </w:r>
      <w:r w:rsidR="00DB3A5D" w:rsidRPr="009941F8">
        <w:t xml:space="preserve"> and the results could not be replicated.</w:t>
      </w:r>
    </w:p>
    <w:p w14:paraId="30B52438" w14:textId="7CFD1B81" w:rsidR="00A26972" w:rsidRPr="009941F8" w:rsidRDefault="00A26972" w:rsidP="00A244E2">
      <w:pPr>
        <w:pStyle w:val="3-BodyText"/>
      </w:pPr>
      <w:r w:rsidRPr="009941F8">
        <w:t xml:space="preserve">The resubmission estimated that there would be </w:t>
      </w:r>
      <w:r w:rsidR="00401AD9" w:rsidRPr="00401AD9">
        <w:t>10,000 to &lt;</w:t>
      </w:r>
      <w:r w:rsidR="00F30FCE">
        <w:t> </w:t>
      </w:r>
      <w:r w:rsidR="00401AD9" w:rsidRPr="00401AD9">
        <w:t>20,000</w:t>
      </w:r>
      <w:r w:rsidR="00CF13C6">
        <w:t xml:space="preserve"> </w:t>
      </w:r>
      <w:r w:rsidRPr="009941F8">
        <w:t xml:space="preserve">anifrolumab scripts dispensed in Year 6, which was similar to the number estimated for belimumab in July 2020, with the PSD </w:t>
      </w:r>
      <w:r w:rsidR="00B27268" w:rsidRPr="009941F8">
        <w:t>stating:</w:t>
      </w:r>
      <w:r w:rsidRPr="009941F8">
        <w:t xml:space="preserve"> </w:t>
      </w:r>
      <w:r w:rsidR="00B27268" w:rsidRPr="009941F8">
        <w:t>“</w:t>
      </w:r>
      <w:r w:rsidRPr="009941F8">
        <w:t xml:space="preserve">the redacted table shows that at Year 6, the estimated total number of belimumab scripts was </w:t>
      </w:r>
      <w:r w:rsidR="00401AD9" w:rsidRPr="00401AD9">
        <w:t>10,000 to &lt; 20,000</w:t>
      </w:r>
      <w:r w:rsidR="00CF13C6">
        <w:t xml:space="preserve"> </w:t>
      </w:r>
      <w:r w:rsidRPr="009941F8">
        <w:t xml:space="preserve">to </w:t>
      </w:r>
      <w:r w:rsidR="00401AD9" w:rsidRPr="00401AD9">
        <w:t>20,000</w:t>
      </w:r>
      <w:r w:rsidR="00F30FCE">
        <w:t> </w:t>
      </w:r>
      <w:r w:rsidR="00401AD9" w:rsidRPr="00401AD9">
        <w:t>to</w:t>
      </w:r>
      <w:r w:rsidR="00F30FCE">
        <w:t> </w:t>
      </w:r>
      <w:r w:rsidR="00CF13C6" w:rsidRPr="00401AD9">
        <w:t>&lt;</w:t>
      </w:r>
      <w:r w:rsidR="00CF13C6">
        <w:t> </w:t>
      </w:r>
      <w:r w:rsidR="00401AD9" w:rsidRPr="00401AD9">
        <w:t>30,000</w:t>
      </w:r>
      <w:r w:rsidR="00401AD9" w:rsidRPr="00401AD9" w:rsidDel="00401AD9">
        <w:t xml:space="preserve"> </w:t>
      </w:r>
      <w:r w:rsidRPr="009941F8">
        <w:t xml:space="preserve">(page 39, belimumab PSD, July 2020).” The PBAC had considered these estimates for belimumab were likely overestimated (para 7.10 belimumab PSD, </w:t>
      </w:r>
      <w:r w:rsidR="00CF13C6" w:rsidRPr="009941F8">
        <w:t>July</w:t>
      </w:r>
      <w:r w:rsidR="00CF13C6">
        <w:t> </w:t>
      </w:r>
      <w:r w:rsidRPr="009941F8">
        <w:t>2020). Given the requested populations for anifrolumab and belimumab were identical, there would be little reason to expect a significant difference in script number for the two treatments.</w:t>
      </w:r>
    </w:p>
    <w:p w14:paraId="303B57E1" w14:textId="032758BF" w:rsidR="00A26972" w:rsidRPr="009941F8" w:rsidRDefault="00A26972" w:rsidP="00A244E2">
      <w:pPr>
        <w:pStyle w:val="3-BodyText"/>
      </w:pPr>
      <w:r w:rsidRPr="009941F8">
        <w:t>The financial estimates were sensitive to inputs that affected the number of patients, including proportion eligible, uptake rates and the assumed proportion of patients continuing treatment</w:t>
      </w:r>
      <w:r w:rsidR="00BA75EB">
        <w:t xml:space="preserve"> (</w:t>
      </w:r>
      <w:r w:rsidR="00BA75EB">
        <w:fldChar w:fldCharType="begin" w:fldLock="1"/>
      </w:r>
      <w:r w:rsidR="00BA75EB">
        <w:instrText xml:space="preserve"> REF _Ref163035425 \h </w:instrText>
      </w:r>
      <w:r w:rsidR="00BA75EB">
        <w:fldChar w:fldCharType="separate"/>
      </w:r>
      <w:r w:rsidR="00F07501" w:rsidRPr="009941F8">
        <w:t xml:space="preserve">Table </w:t>
      </w:r>
      <w:r w:rsidR="00F07501">
        <w:rPr>
          <w:noProof/>
        </w:rPr>
        <w:t>18</w:t>
      </w:r>
      <w:r w:rsidR="00BA75EB">
        <w:fldChar w:fldCharType="end"/>
      </w:r>
      <w:r w:rsidR="00BA75EB">
        <w:t>)</w:t>
      </w:r>
      <w:r w:rsidRPr="009941F8">
        <w:t>.</w:t>
      </w:r>
    </w:p>
    <w:p w14:paraId="6FA71CEA" w14:textId="649B5864" w:rsidR="00A26972" w:rsidRPr="009941F8" w:rsidRDefault="00F17DDD" w:rsidP="00BA75EB">
      <w:pPr>
        <w:pStyle w:val="Caption"/>
        <w:jc w:val="left"/>
      </w:pPr>
      <w:bookmarkStart w:id="91" w:name="_Ref163035425"/>
      <w:r w:rsidRPr="009941F8">
        <w:lastRenderedPageBreak/>
        <w:t xml:space="preserve">Table </w:t>
      </w:r>
      <w:r w:rsidR="00CE7EC7">
        <w:fldChar w:fldCharType="begin" w:fldLock="1"/>
      </w:r>
      <w:r w:rsidR="00CE7EC7">
        <w:instrText xml:space="preserve"> SEQ Table \* ARABIC </w:instrText>
      </w:r>
      <w:r w:rsidR="00CE7EC7">
        <w:fldChar w:fldCharType="separate"/>
      </w:r>
      <w:r w:rsidR="00F07501">
        <w:rPr>
          <w:noProof/>
        </w:rPr>
        <w:t>18</w:t>
      </w:r>
      <w:r w:rsidR="00CE7EC7">
        <w:rPr>
          <w:noProof/>
        </w:rPr>
        <w:fldChar w:fldCharType="end"/>
      </w:r>
      <w:bookmarkEnd w:id="91"/>
      <w:r w:rsidR="00A26972" w:rsidRPr="009941F8">
        <w:t xml:space="preserve">: Sensitivity analyses of total net cost to government </w:t>
      </w:r>
    </w:p>
    <w:tbl>
      <w:tblPr>
        <w:tblStyle w:val="TableGrid"/>
        <w:tblW w:w="5000" w:type="pct"/>
        <w:tblCellMar>
          <w:left w:w="28" w:type="dxa"/>
          <w:right w:w="28" w:type="dxa"/>
        </w:tblCellMar>
        <w:tblLook w:val="04A0" w:firstRow="1" w:lastRow="0" w:firstColumn="1" w:lastColumn="0" w:noHBand="0" w:noVBand="1"/>
        <w:tblCaption w:val="Table 18: Sensitivity analyses of total net cost to government "/>
      </w:tblPr>
      <w:tblGrid>
        <w:gridCol w:w="688"/>
        <w:gridCol w:w="972"/>
        <w:gridCol w:w="1230"/>
        <w:gridCol w:w="1113"/>
        <w:gridCol w:w="1113"/>
        <w:gridCol w:w="1113"/>
        <w:gridCol w:w="1113"/>
        <w:gridCol w:w="1064"/>
        <w:gridCol w:w="611"/>
      </w:tblGrid>
      <w:tr w:rsidR="00A26972" w:rsidRPr="009941F8" w14:paraId="7DE5F80C" w14:textId="77777777" w:rsidTr="00F6118B">
        <w:trPr>
          <w:tblHeader/>
        </w:trPr>
        <w:tc>
          <w:tcPr>
            <w:tcW w:w="382" w:type="pct"/>
            <w:tcBorders>
              <w:bottom w:val="nil"/>
            </w:tcBorders>
            <w:shd w:val="clear" w:color="auto" w:fill="auto"/>
            <w:vAlign w:val="center"/>
          </w:tcPr>
          <w:p w14:paraId="790D3677" w14:textId="77777777" w:rsidR="00A26972" w:rsidRPr="009941F8" w:rsidRDefault="00A26972" w:rsidP="00BA75EB">
            <w:pPr>
              <w:pStyle w:val="In-tableHeading"/>
              <w:keepLines/>
              <w:rPr>
                <w:szCs w:val="20"/>
                <w:lang w:val="en-AU"/>
              </w:rPr>
            </w:pPr>
          </w:p>
        </w:tc>
        <w:tc>
          <w:tcPr>
            <w:tcW w:w="539" w:type="pct"/>
            <w:shd w:val="clear" w:color="auto" w:fill="auto"/>
            <w:vAlign w:val="center"/>
          </w:tcPr>
          <w:p w14:paraId="0AEF5E02" w14:textId="77777777" w:rsidR="00A26972" w:rsidRPr="009941F8" w:rsidRDefault="00A26972" w:rsidP="00BA75EB">
            <w:pPr>
              <w:pStyle w:val="In-tableHeading"/>
              <w:keepLines/>
              <w:jc w:val="center"/>
              <w:rPr>
                <w:szCs w:val="20"/>
                <w:lang w:val="en-AU"/>
              </w:rPr>
            </w:pPr>
            <w:r w:rsidRPr="009941F8">
              <w:rPr>
                <w:szCs w:val="20"/>
                <w:lang w:val="en-AU"/>
              </w:rPr>
              <w:t>Year 1</w:t>
            </w:r>
          </w:p>
        </w:tc>
        <w:tc>
          <w:tcPr>
            <w:tcW w:w="682" w:type="pct"/>
            <w:shd w:val="clear" w:color="auto" w:fill="auto"/>
            <w:vAlign w:val="center"/>
          </w:tcPr>
          <w:p w14:paraId="1BF62010" w14:textId="77777777" w:rsidR="00A26972" w:rsidRPr="009941F8" w:rsidRDefault="00A26972" w:rsidP="00BA75EB">
            <w:pPr>
              <w:pStyle w:val="In-tableHeading"/>
              <w:keepLines/>
              <w:jc w:val="center"/>
              <w:rPr>
                <w:szCs w:val="20"/>
                <w:lang w:val="en-AU"/>
              </w:rPr>
            </w:pPr>
            <w:r w:rsidRPr="009941F8">
              <w:rPr>
                <w:szCs w:val="20"/>
                <w:lang w:val="en-AU"/>
              </w:rPr>
              <w:t>Year 2</w:t>
            </w:r>
          </w:p>
        </w:tc>
        <w:tc>
          <w:tcPr>
            <w:tcW w:w="617" w:type="pct"/>
            <w:shd w:val="clear" w:color="auto" w:fill="auto"/>
            <w:vAlign w:val="center"/>
          </w:tcPr>
          <w:p w14:paraId="4C38B52B" w14:textId="77777777" w:rsidR="00A26972" w:rsidRPr="009941F8" w:rsidRDefault="00A26972" w:rsidP="00BA75EB">
            <w:pPr>
              <w:pStyle w:val="In-tableHeading"/>
              <w:keepLines/>
              <w:jc w:val="center"/>
              <w:rPr>
                <w:szCs w:val="20"/>
                <w:lang w:val="en-AU"/>
              </w:rPr>
            </w:pPr>
            <w:r w:rsidRPr="009941F8">
              <w:rPr>
                <w:szCs w:val="20"/>
                <w:lang w:val="en-AU"/>
              </w:rPr>
              <w:t>Year 3</w:t>
            </w:r>
          </w:p>
        </w:tc>
        <w:tc>
          <w:tcPr>
            <w:tcW w:w="617" w:type="pct"/>
            <w:shd w:val="clear" w:color="auto" w:fill="auto"/>
            <w:vAlign w:val="center"/>
          </w:tcPr>
          <w:p w14:paraId="368B04AB" w14:textId="77777777" w:rsidR="00A26972" w:rsidRPr="009941F8" w:rsidRDefault="00A26972" w:rsidP="00BA75EB">
            <w:pPr>
              <w:pStyle w:val="In-tableHeading"/>
              <w:keepLines/>
              <w:jc w:val="center"/>
              <w:rPr>
                <w:szCs w:val="20"/>
                <w:lang w:val="en-AU"/>
              </w:rPr>
            </w:pPr>
            <w:r w:rsidRPr="009941F8">
              <w:rPr>
                <w:szCs w:val="20"/>
                <w:lang w:val="en-AU"/>
              </w:rPr>
              <w:t>Year 4</w:t>
            </w:r>
          </w:p>
        </w:tc>
        <w:tc>
          <w:tcPr>
            <w:tcW w:w="617" w:type="pct"/>
            <w:shd w:val="clear" w:color="auto" w:fill="auto"/>
            <w:vAlign w:val="center"/>
          </w:tcPr>
          <w:p w14:paraId="0E3EE9FE" w14:textId="77777777" w:rsidR="00A26972" w:rsidRPr="009941F8" w:rsidRDefault="00A26972" w:rsidP="00BA75EB">
            <w:pPr>
              <w:pStyle w:val="In-tableHeading"/>
              <w:keepLines/>
              <w:jc w:val="center"/>
              <w:rPr>
                <w:szCs w:val="20"/>
                <w:lang w:val="en-AU"/>
              </w:rPr>
            </w:pPr>
            <w:r w:rsidRPr="009941F8">
              <w:rPr>
                <w:szCs w:val="20"/>
                <w:lang w:val="en-AU"/>
              </w:rPr>
              <w:t>Year 5</w:t>
            </w:r>
          </w:p>
        </w:tc>
        <w:tc>
          <w:tcPr>
            <w:tcW w:w="617" w:type="pct"/>
            <w:shd w:val="clear" w:color="auto" w:fill="auto"/>
            <w:vAlign w:val="center"/>
          </w:tcPr>
          <w:p w14:paraId="1EA36EE5" w14:textId="77777777" w:rsidR="00A26972" w:rsidRPr="009941F8" w:rsidRDefault="00A26972" w:rsidP="00BA75EB">
            <w:pPr>
              <w:pStyle w:val="In-tableHeading"/>
              <w:keepLines/>
              <w:jc w:val="center"/>
              <w:rPr>
                <w:szCs w:val="20"/>
                <w:lang w:val="en-AU"/>
              </w:rPr>
            </w:pPr>
            <w:r w:rsidRPr="009941F8">
              <w:rPr>
                <w:szCs w:val="20"/>
                <w:lang w:val="en-AU"/>
              </w:rPr>
              <w:t>Year 6</w:t>
            </w:r>
          </w:p>
        </w:tc>
        <w:tc>
          <w:tcPr>
            <w:tcW w:w="590" w:type="pct"/>
            <w:vAlign w:val="center"/>
          </w:tcPr>
          <w:p w14:paraId="7EE214D0" w14:textId="77777777" w:rsidR="00A26972" w:rsidRPr="009941F8" w:rsidRDefault="00A26972" w:rsidP="00BA75EB">
            <w:pPr>
              <w:pStyle w:val="In-tableHeading"/>
              <w:keepLines/>
              <w:jc w:val="center"/>
              <w:rPr>
                <w:szCs w:val="20"/>
                <w:lang w:val="en-AU"/>
              </w:rPr>
            </w:pPr>
            <w:r w:rsidRPr="009941F8">
              <w:rPr>
                <w:szCs w:val="20"/>
                <w:lang w:val="en-AU"/>
              </w:rPr>
              <w:t>Total</w:t>
            </w:r>
          </w:p>
        </w:tc>
        <w:tc>
          <w:tcPr>
            <w:tcW w:w="339" w:type="pct"/>
            <w:vAlign w:val="center"/>
          </w:tcPr>
          <w:p w14:paraId="424576A9" w14:textId="77777777" w:rsidR="00A26972" w:rsidRPr="009941F8" w:rsidRDefault="00A26972" w:rsidP="00BA75EB">
            <w:pPr>
              <w:pStyle w:val="In-tableHeading"/>
              <w:keepLines/>
              <w:jc w:val="center"/>
              <w:rPr>
                <w:szCs w:val="20"/>
                <w:lang w:val="en-AU"/>
              </w:rPr>
            </w:pPr>
            <w:r w:rsidRPr="009941F8">
              <w:rPr>
                <w:szCs w:val="20"/>
                <w:lang w:val="en-AU"/>
              </w:rPr>
              <w:t>∆% Total</w:t>
            </w:r>
          </w:p>
        </w:tc>
      </w:tr>
      <w:tr w:rsidR="00A26972" w:rsidRPr="009941F8" w14:paraId="382DA990" w14:textId="77777777" w:rsidTr="00F6118B">
        <w:trPr>
          <w:tblHeader/>
        </w:trPr>
        <w:tc>
          <w:tcPr>
            <w:tcW w:w="382" w:type="pct"/>
            <w:tcBorders>
              <w:top w:val="nil"/>
            </w:tcBorders>
            <w:shd w:val="clear" w:color="auto" w:fill="auto"/>
            <w:vAlign w:val="center"/>
          </w:tcPr>
          <w:p w14:paraId="7A69EF93" w14:textId="77777777" w:rsidR="00A26972" w:rsidRPr="009941F8" w:rsidRDefault="00A26972" w:rsidP="00BA75EB">
            <w:pPr>
              <w:pStyle w:val="TableText0"/>
              <w:keepLines/>
              <w:rPr>
                <w:szCs w:val="20"/>
              </w:rPr>
            </w:pPr>
            <w:r w:rsidRPr="009941F8">
              <w:rPr>
                <w:szCs w:val="20"/>
              </w:rPr>
              <w:t>Base case</w:t>
            </w:r>
          </w:p>
        </w:tc>
        <w:tc>
          <w:tcPr>
            <w:tcW w:w="539" w:type="pct"/>
            <w:shd w:val="clear" w:color="auto" w:fill="auto"/>
            <w:vAlign w:val="center"/>
          </w:tcPr>
          <w:p w14:paraId="4D18C71F" w14:textId="56BA13F3" w:rsidR="00A26972" w:rsidRPr="00AB3F41" w:rsidRDefault="00640EC9" w:rsidP="00BA75EB">
            <w:pPr>
              <w:pStyle w:val="TableText0"/>
              <w:keepLines/>
              <w:jc w:val="center"/>
              <w:rPr>
                <w:szCs w:val="20"/>
                <w:highlight w:val="lightGray"/>
              </w:rPr>
            </w:pPr>
            <w:r w:rsidRPr="00640EC9">
              <w:rPr>
                <w:rFonts w:hint="eastAsia"/>
                <w:color w:val="000000"/>
                <w:w w:val="29"/>
                <w:szCs w:val="20"/>
                <w:shd w:val="solid" w:color="000000" w:fill="000000"/>
                <w:fitText w:val="132" w:id="-961888253"/>
                <w14:textFill>
                  <w14:solidFill>
                    <w14:srgbClr w14:val="000000">
                      <w14:alpha w14:val="100000"/>
                    </w14:srgbClr>
                  </w14:solidFill>
                </w14:textFill>
              </w:rPr>
              <w:t xml:space="preserve">　</w:t>
            </w:r>
            <w:r w:rsidRPr="00640EC9">
              <w:rPr>
                <w:color w:val="000000"/>
                <w:w w:val="29"/>
                <w:szCs w:val="20"/>
                <w:shd w:val="solid" w:color="000000" w:fill="000000"/>
                <w:fitText w:val="132" w:id="-961888253"/>
                <w14:textFill>
                  <w14:solidFill>
                    <w14:srgbClr w14:val="000000">
                      <w14:alpha w14:val="100000"/>
                    </w14:srgbClr>
                  </w14:solidFill>
                </w14:textFill>
              </w:rPr>
              <w:t>|</w:t>
            </w:r>
            <w:r w:rsidRPr="00640EC9">
              <w:rPr>
                <w:rFonts w:hint="eastAsia"/>
                <w:color w:val="000000"/>
                <w:spacing w:val="4"/>
                <w:w w:val="29"/>
                <w:szCs w:val="20"/>
                <w:shd w:val="solid" w:color="000000" w:fill="000000"/>
                <w:fitText w:val="132" w:id="-961888253"/>
                <w14:textFill>
                  <w14:solidFill>
                    <w14:srgbClr w14:val="000000">
                      <w14:alpha w14:val="100000"/>
                    </w14:srgbClr>
                  </w14:solidFill>
                </w14:textFill>
              </w:rPr>
              <w:t xml:space="preserve">　</w:t>
            </w:r>
            <w:r w:rsidR="000D0ADF" w:rsidRPr="000D0ADF">
              <w:rPr>
                <w:szCs w:val="20"/>
                <w:vertAlign w:val="superscript"/>
              </w:rPr>
              <w:t>1</w:t>
            </w:r>
          </w:p>
        </w:tc>
        <w:tc>
          <w:tcPr>
            <w:tcW w:w="682" w:type="pct"/>
            <w:shd w:val="clear" w:color="auto" w:fill="auto"/>
            <w:vAlign w:val="center"/>
          </w:tcPr>
          <w:p w14:paraId="4A9BDFAE" w14:textId="032F85A4" w:rsidR="00A26972" w:rsidRPr="00AB3F41" w:rsidRDefault="00640EC9" w:rsidP="00BA75EB">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58E0F3DF" w14:textId="16895CD4"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2"/>
                <w14:textFill>
                  <w14:solidFill>
                    <w14:srgbClr w14:val="000000">
                      <w14:alpha w14:val="100000"/>
                    </w14:srgbClr>
                  </w14:solidFill>
                </w14:textFill>
              </w:rPr>
              <w:t xml:space="preserve">　</w:t>
            </w:r>
            <w:r w:rsidRPr="00640EC9">
              <w:rPr>
                <w:color w:val="000000"/>
                <w:w w:val="15"/>
                <w:szCs w:val="20"/>
                <w:shd w:val="solid" w:color="000000" w:fill="000000"/>
                <w:fitText w:val="60" w:id="-961888252"/>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2"/>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48F88DCC" w14:textId="7364C16F"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1"/>
                <w14:textFill>
                  <w14:solidFill>
                    <w14:srgbClr w14:val="000000">
                      <w14:alpha w14:val="100000"/>
                    </w14:srgbClr>
                  </w14:solidFill>
                </w14:textFill>
              </w:rPr>
              <w:t xml:space="preserve">　</w:t>
            </w:r>
            <w:r w:rsidRPr="00640EC9">
              <w:rPr>
                <w:color w:val="000000"/>
                <w:w w:val="15"/>
                <w:szCs w:val="20"/>
                <w:shd w:val="solid" w:color="000000" w:fill="000000"/>
                <w:fitText w:val="60" w:id="-961888251"/>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1"/>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0264B882" w14:textId="440F3976"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0"/>
                <w14:textFill>
                  <w14:solidFill>
                    <w14:srgbClr w14:val="000000">
                      <w14:alpha w14:val="100000"/>
                    </w14:srgbClr>
                  </w14:solidFill>
                </w14:textFill>
              </w:rPr>
              <w:t xml:space="preserve">　</w:t>
            </w:r>
            <w:r w:rsidRPr="00640EC9">
              <w:rPr>
                <w:color w:val="000000"/>
                <w:w w:val="15"/>
                <w:szCs w:val="20"/>
                <w:shd w:val="solid" w:color="000000" w:fill="000000"/>
                <w:fitText w:val="60" w:id="-961888250"/>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0"/>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6D070E31" w14:textId="53635C8F"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9"/>
                <w14:textFill>
                  <w14:solidFill>
                    <w14:srgbClr w14:val="000000">
                      <w14:alpha w14:val="100000"/>
                    </w14:srgbClr>
                  </w14:solidFill>
                </w14:textFill>
              </w:rPr>
              <w:t xml:space="preserve">　</w:t>
            </w:r>
            <w:r w:rsidRPr="00640EC9">
              <w:rPr>
                <w:color w:val="000000"/>
                <w:w w:val="15"/>
                <w:szCs w:val="20"/>
                <w:shd w:val="solid" w:color="000000" w:fill="000000"/>
                <w:fitText w:val="60" w:id="-961888249"/>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9"/>
                <w14:textFill>
                  <w14:solidFill>
                    <w14:srgbClr w14:val="000000">
                      <w14:alpha w14:val="100000"/>
                    </w14:srgbClr>
                  </w14:solidFill>
                </w14:textFill>
              </w:rPr>
              <w:t xml:space="preserve">　</w:t>
            </w:r>
            <w:r w:rsidR="004B1CAE" w:rsidRPr="004B1CAE">
              <w:rPr>
                <w:szCs w:val="20"/>
                <w:vertAlign w:val="superscript"/>
              </w:rPr>
              <w:t>2</w:t>
            </w:r>
          </w:p>
        </w:tc>
        <w:tc>
          <w:tcPr>
            <w:tcW w:w="590" w:type="pct"/>
            <w:vAlign w:val="center"/>
          </w:tcPr>
          <w:p w14:paraId="42B86C22" w14:textId="351E4498"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8248"/>
                <w14:textFill>
                  <w14:solidFill>
                    <w14:srgbClr w14:val="000000">
                      <w14:alpha w14:val="100000"/>
                    </w14:srgbClr>
                  </w14:solidFill>
                </w14:textFill>
              </w:rPr>
              <w:t xml:space="preserve">　</w:t>
            </w:r>
            <w:r w:rsidRPr="00640EC9">
              <w:rPr>
                <w:color w:val="000000"/>
                <w:w w:val="18"/>
                <w:szCs w:val="20"/>
                <w:shd w:val="solid" w:color="000000" w:fill="000000"/>
                <w:fitText w:val="84" w:id="-961888248"/>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8248"/>
                <w14:textFill>
                  <w14:solidFill>
                    <w14:srgbClr w14:val="000000">
                      <w14:alpha w14:val="100000"/>
                    </w14:srgbClr>
                  </w14:solidFill>
                </w14:textFill>
              </w:rPr>
              <w:t xml:space="preserve">　</w:t>
            </w:r>
            <w:r w:rsidR="009002D9" w:rsidRPr="009002D9">
              <w:rPr>
                <w:szCs w:val="20"/>
                <w:vertAlign w:val="superscript"/>
              </w:rPr>
              <w:t>3</w:t>
            </w:r>
          </w:p>
        </w:tc>
        <w:tc>
          <w:tcPr>
            <w:tcW w:w="339" w:type="pct"/>
            <w:vAlign w:val="center"/>
          </w:tcPr>
          <w:p w14:paraId="38192859" w14:textId="77777777" w:rsidR="00A26972" w:rsidRPr="009941F8" w:rsidRDefault="00A26972" w:rsidP="00BA75EB">
            <w:pPr>
              <w:pStyle w:val="TableText0"/>
              <w:keepLines/>
              <w:jc w:val="center"/>
              <w:rPr>
                <w:szCs w:val="20"/>
              </w:rPr>
            </w:pPr>
            <w:r w:rsidRPr="009941F8">
              <w:rPr>
                <w:szCs w:val="20"/>
              </w:rPr>
              <w:t>-</w:t>
            </w:r>
          </w:p>
        </w:tc>
      </w:tr>
      <w:tr w:rsidR="00A26972" w:rsidRPr="009941F8" w14:paraId="77E3FABD" w14:textId="77777777" w:rsidTr="00F6118B">
        <w:trPr>
          <w:tblHeader/>
        </w:trPr>
        <w:tc>
          <w:tcPr>
            <w:tcW w:w="5000" w:type="pct"/>
            <w:gridSpan w:val="9"/>
            <w:shd w:val="clear" w:color="auto" w:fill="auto"/>
            <w:vAlign w:val="center"/>
          </w:tcPr>
          <w:p w14:paraId="4ACEBAE0" w14:textId="2534459A" w:rsidR="00A26972" w:rsidRPr="00A14BC4" w:rsidRDefault="00A26972" w:rsidP="00BA75EB">
            <w:pPr>
              <w:pStyle w:val="TableText0"/>
              <w:keepLines/>
              <w:rPr>
                <w:b/>
                <w:szCs w:val="20"/>
              </w:rPr>
            </w:pPr>
            <w:r w:rsidRPr="00A14BC4">
              <w:rPr>
                <w:b/>
                <w:szCs w:val="20"/>
              </w:rPr>
              <w:t>Uptake rate (base Yr 1=</w:t>
            </w:r>
            <w:r w:rsidR="00640EC9" w:rsidRPr="00640EC9">
              <w:rPr>
                <w:b/>
                <w:color w:val="000000"/>
                <w:spacing w:val="58"/>
                <w:szCs w:val="20"/>
                <w:shd w:val="solid" w:color="000000" w:fill="000000"/>
                <w:fitText w:val="360" w:id="-961888247"/>
                <w14:textFill>
                  <w14:solidFill>
                    <w14:srgbClr w14:val="000000">
                      <w14:alpha w14:val="100000"/>
                    </w14:srgbClr>
                  </w14:solidFill>
                </w14:textFill>
              </w:rPr>
              <w:t>|||</w:t>
            </w:r>
            <w:r w:rsidR="00640EC9" w:rsidRPr="00640EC9">
              <w:rPr>
                <w:b/>
                <w:color w:val="000000"/>
                <w:spacing w:val="3"/>
                <w:szCs w:val="20"/>
                <w:shd w:val="solid" w:color="000000" w:fill="000000"/>
                <w:fitText w:val="360" w:id="-961888247"/>
                <w14:textFill>
                  <w14:solidFill>
                    <w14:srgbClr w14:val="000000">
                      <w14:alpha w14:val="100000"/>
                    </w14:srgbClr>
                  </w14:solidFill>
                </w14:textFill>
              </w:rPr>
              <w:t>|</w:t>
            </w:r>
            <w:r w:rsidRPr="00A14BC4">
              <w:rPr>
                <w:b/>
                <w:szCs w:val="20"/>
              </w:rPr>
              <w:t>%, Yr2=</w:t>
            </w:r>
            <w:r w:rsidR="00640EC9" w:rsidRPr="00640EC9">
              <w:rPr>
                <w:b/>
                <w:color w:val="000000"/>
                <w:spacing w:val="58"/>
                <w:szCs w:val="20"/>
                <w:shd w:val="solid" w:color="000000" w:fill="000000"/>
                <w:fitText w:val="360" w:id="-961888246"/>
                <w14:textFill>
                  <w14:solidFill>
                    <w14:srgbClr w14:val="000000">
                      <w14:alpha w14:val="100000"/>
                    </w14:srgbClr>
                  </w14:solidFill>
                </w14:textFill>
              </w:rPr>
              <w:t>|||</w:t>
            </w:r>
            <w:r w:rsidR="00640EC9" w:rsidRPr="00640EC9">
              <w:rPr>
                <w:b/>
                <w:color w:val="000000"/>
                <w:spacing w:val="3"/>
                <w:szCs w:val="20"/>
                <w:shd w:val="solid" w:color="000000" w:fill="000000"/>
                <w:fitText w:val="360" w:id="-961888246"/>
                <w14:textFill>
                  <w14:solidFill>
                    <w14:srgbClr w14:val="000000">
                      <w14:alpha w14:val="100000"/>
                    </w14:srgbClr>
                  </w14:solidFill>
                </w14:textFill>
              </w:rPr>
              <w:t>|</w:t>
            </w:r>
            <w:r w:rsidRPr="00A14BC4">
              <w:rPr>
                <w:b/>
                <w:szCs w:val="20"/>
              </w:rPr>
              <w:t>%, Yr3=</w:t>
            </w:r>
            <w:r w:rsidR="00640EC9" w:rsidRPr="00640EC9">
              <w:rPr>
                <w:b/>
                <w:color w:val="000000"/>
                <w:spacing w:val="58"/>
                <w:szCs w:val="20"/>
                <w:shd w:val="solid" w:color="000000" w:fill="000000"/>
                <w:fitText w:val="360" w:id="-961888245"/>
                <w14:textFill>
                  <w14:solidFill>
                    <w14:srgbClr w14:val="000000">
                      <w14:alpha w14:val="100000"/>
                    </w14:srgbClr>
                  </w14:solidFill>
                </w14:textFill>
              </w:rPr>
              <w:t>|||</w:t>
            </w:r>
            <w:r w:rsidR="00640EC9" w:rsidRPr="00640EC9">
              <w:rPr>
                <w:b/>
                <w:color w:val="000000"/>
                <w:spacing w:val="3"/>
                <w:szCs w:val="20"/>
                <w:shd w:val="solid" w:color="000000" w:fill="000000"/>
                <w:fitText w:val="360" w:id="-961888245"/>
                <w14:textFill>
                  <w14:solidFill>
                    <w14:srgbClr w14:val="000000">
                      <w14:alpha w14:val="100000"/>
                    </w14:srgbClr>
                  </w14:solidFill>
                </w14:textFill>
              </w:rPr>
              <w:t>|</w:t>
            </w:r>
            <w:r w:rsidRPr="00A14BC4">
              <w:rPr>
                <w:b/>
                <w:szCs w:val="20"/>
              </w:rPr>
              <w:t>%, Yr4=</w:t>
            </w:r>
            <w:r w:rsidR="00640EC9" w:rsidRPr="00640EC9">
              <w:rPr>
                <w:b/>
                <w:color w:val="000000"/>
                <w:spacing w:val="58"/>
                <w:szCs w:val="20"/>
                <w:shd w:val="solid" w:color="000000" w:fill="000000"/>
                <w:fitText w:val="360" w:id="-961888244"/>
                <w14:textFill>
                  <w14:solidFill>
                    <w14:srgbClr w14:val="000000">
                      <w14:alpha w14:val="100000"/>
                    </w14:srgbClr>
                  </w14:solidFill>
                </w14:textFill>
              </w:rPr>
              <w:t>|||</w:t>
            </w:r>
            <w:r w:rsidR="00640EC9" w:rsidRPr="00640EC9">
              <w:rPr>
                <w:b/>
                <w:color w:val="000000"/>
                <w:spacing w:val="3"/>
                <w:szCs w:val="20"/>
                <w:shd w:val="solid" w:color="000000" w:fill="000000"/>
                <w:fitText w:val="360" w:id="-961888244"/>
                <w14:textFill>
                  <w14:solidFill>
                    <w14:srgbClr w14:val="000000">
                      <w14:alpha w14:val="100000"/>
                    </w14:srgbClr>
                  </w14:solidFill>
                </w14:textFill>
              </w:rPr>
              <w:t>|</w:t>
            </w:r>
            <w:r w:rsidRPr="00A14BC4">
              <w:rPr>
                <w:b/>
                <w:szCs w:val="20"/>
              </w:rPr>
              <w:t>%, Y5=</w:t>
            </w:r>
            <w:r w:rsidR="00640EC9" w:rsidRPr="00640EC9">
              <w:rPr>
                <w:b/>
                <w:color w:val="000000"/>
                <w:spacing w:val="58"/>
                <w:szCs w:val="20"/>
                <w:shd w:val="solid" w:color="000000" w:fill="000000"/>
                <w:fitText w:val="360" w:id="-961888243"/>
                <w14:textFill>
                  <w14:solidFill>
                    <w14:srgbClr w14:val="000000">
                      <w14:alpha w14:val="100000"/>
                    </w14:srgbClr>
                  </w14:solidFill>
                </w14:textFill>
              </w:rPr>
              <w:t>|||</w:t>
            </w:r>
            <w:r w:rsidR="00640EC9" w:rsidRPr="00640EC9">
              <w:rPr>
                <w:b/>
                <w:color w:val="000000"/>
                <w:spacing w:val="3"/>
                <w:szCs w:val="20"/>
                <w:shd w:val="solid" w:color="000000" w:fill="000000"/>
                <w:fitText w:val="360" w:id="-961888243"/>
                <w14:textFill>
                  <w14:solidFill>
                    <w14:srgbClr w14:val="000000">
                      <w14:alpha w14:val="100000"/>
                    </w14:srgbClr>
                  </w14:solidFill>
                </w14:textFill>
              </w:rPr>
              <w:t>|</w:t>
            </w:r>
            <w:r w:rsidRPr="00A14BC4">
              <w:rPr>
                <w:b/>
                <w:szCs w:val="20"/>
              </w:rPr>
              <w:t>%, Yr6=</w:t>
            </w:r>
            <w:r w:rsidR="00640EC9" w:rsidRPr="00640EC9">
              <w:rPr>
                <w:b/>
                <w:color w:val="000000"/>
                <w:spacing w:val="58"/>
                <w:szCs w:val="20"/>
                <w:shd w:val="solid" w:color="000000" w:fill="000000"/>
                <w:fitText w:val="360" w:id="-961888242"/>
                <w14:textFill>
                  <w14:solidFill>
                    <w14:srgbClr w14:val="000000">
                      <w14:alpha w14:val="100000"/>
                    </w14:srgbClr>
                  </w14:solidFill>
                </w14:textFill>
              </w:rPr>
              <w:t>|||</w:t>
            </w:r>
            <w:r w:rsidR="00640EC9" w:rsidRPr="00640EC9">
              <w:rPr>
                <w:b/>
                <w:color w:val="000000"/>
                <w:spacing w:val="3"/>
                <w:szCs w:val="20"/>
                <w:shd w:val="solid" w:color="000000" w:fill="000000"/>
                <w:fitText w:val="360" w:id="-961888242"/>
                <w14:textFill>
                  <w14:solidFill>
                    <w14:srgbClr w14:val="000000">
                      <w14:alpha w14:val="100000"/>
                    </w14:srgbClr>
                  </w14:solidFill>
                </w14:textFill>
              </w:rPr>
              <w:t>|</w:t>
            </w:r>
            <w:r w:rsidRPr="00A14BC4">
              <w:rPr>
                <w:b/>
                <w:szCs w:val="20"/>
              </w:rPr>
              <w:t>%)</w:t>
            </w:r>
          </w:p>
        </w:tc>
      </w:tr>
      <w:tr w:rsidR="00A26972" w:rsidRPr="009941F8" w14:paraId="74540369" w14:textId="77777777" w:rsidTr="00640EC9">
        <w:trPr>
          <w:tblHeader/>
        </w:trPr>
        <w:tc>
          <w:tcPr>
            <w:tcW w:w="382" w:type="pct"/>
            <w:shd w:val="clear" w:color="auto" w:fill="auto"/>
            <w:vAlign w:val="center"/>
          </w:tcPr>
          <w:p w14:paraId="00171CED" w14:textId="45B2554F" w:rsidR="00A26972" w:rsidRPr="00A14BC4" w:rsidRDefault="00640EC9" w:rsidP="00BA75EB">
            <w:pPr>
              <w:pStyle w:val="TableText0"/>
              <w:keepLines/>
              <w:rPr>
                <w:szCs w:val="20"/>
              </w:rPr>
            </w:pPr>
            <w:r w:rsidRPr="00640EC9">
              <w:rPr>
                <w:color w:val="000000"/>
                <w:spacing w:val="51"/>
                <w:szCs w:val="20"/>
                <w:shd w:val="solid" w:color="000000" w:fill="000000"/>
                <w:fitText w:val="324" w:id="-961888241"/>
                <w14:textFill>
                  <w14:solidFill>
                    <w14:srgbClr w14:val="000000">
                      <w14:alpha w14:val="100000"/>
                    </w14:srgbClr>
                  </w14:solidFill>
                </w14:textFill>
              </w:rPr>
              <w:t>|||</w:t>
            </w:r>
            <w:r w:rsidRPr="00640EC9">
              <w:rPr>
                <w:color w:val="000000"/>
                <w:spacing w:val="1"/>
                <w:szCs w:val="20"/>
                <w:shd w:val="solid" w:color="000000" w:fill="000000"/>
                <w:fitText w:val="324" w:id="-961888241"/>
                <w14:textFill>
                  <w14:solidFill>
                    <w14:srgbClr w14:val="000000">
                      <w14:alpha w14:val="100000"/>
                    </w14:srgbClr>
                  </w14:solidFill>
                </w14:textFill>
              </w:rPr>
              <w:t>|</w:t>
            </w:r>
            <w:r w:rsidR="00A26972" w:rsidRPr="00A14BC4">
              <w:rPr>
                <w:szCs w:val="20"/>
              </w:rPr>
              <w:t>%</w:t>
            </w:r>
            <w:r w:rsidR="00A26972" w:rsidRPr="00A14BC4">
              <w:rPr>
                <w:szCs w:val="20"/>
                <w:vertAlign w:val="superscript"/>
              </w:rPr>
              <w:t>a</w:t>
            </w:r>
          </w:p>
        </w:tc>
        <w:tc>
          <w:tcPr>
            <w:tcW w:w="539" w:type="pct"/>
            <w:shd w:val="clear" w:color="auto" w:fill="auto"/>
            <w:vAlign w:val="center"/>
          </w:tcPr>
          <w:p w14:paraId="11BD51BE" w14:textId="3405283C" w:rsidR="00A26972" w:rsidRPr="00AB3F41" w:rsidRDefault="00640EC9" w:rsidP="00BA75EB">
            <w:pPr>
              <w:pStyle w:val="TableText0"/>
              <w:keepLines/>
              <w:jc w:val="center"/>
              <w:rPr>
                <w:szCs w:val="20"/>
                <w:highlight w:val="lightGray"/>
              </w:rPr>
            </w:pPr>
            <w:r w:rsidRPr="00640EC9">
              <w:rPr>
                <w:rFonts w:hint="eastAsia"/>
                <w:color w:val="000000"/>
                <w:w w:val="29"/>
                <w:szCs w:val="20"/>
                <w:shd w:val="solid" w:color="000000" w:fill="000000"/>
                <w:fitText w:val="132" w:id="-961888240"/>
                <w14:textFill>
                  <w14:solidFill>
                    <w14:srgbClr w14:val="000000">
                      <w14:alpha w14:val="100000"/>
                    </w14:srgbClr>
                  </w14:solidFill>
                </w14:textFill>
              </w:rPr>
              <w:t xml:space="preserve">　</w:t>
            </w:r>
            <w:r w:rsidRPr="00640EC9">
              <w:rPr>
                <w:color w:val="000000"/>
                <w:w w:val="29"/>
                <w:szCs w:val="20"/>
                <w:shd w:val="solid" w:color="000000" w:fill="000000"/>
                <w:fitText w:val="132" w:id="-961888240"/>
                <w14:textFill>
                  <w14:solidFill>
                    <w14:srgbClr w14:val="000000">
                      <w14:alpha w14:val="100000"/>
                    </w14:srgbClr>
                  </w14:solidFill>
                </w14:textFill>
              </w:rPr>
              <w:t>|</w:t>
            </w:r>
            <w:r w:rsidRPr="00640EC9">
              <w:rPr>
                <w:rFonts w:hint="eastAsia"/>
                <w:color w:val="000000"/>
                <w:spacing w:val="4"/>
                <w:w w:val="29"/>
                <w:szCs w:val="20"/>
                <w:shd w:val="solid" w:color="000000" w:fill="000000"/>
                <w:fitText w:val="132" w:id="-961888240"/>
                <w14:textFill>
                  <w14:solidFill>
                    <w14:srgbClr w14:val="000000">
                      <w14:alpha w14:val="100000"/>
                    </w14:srgbClr>
                  </w14:solidFill>
                </w14:textFill>
              </w:rPr>
              <w:t xml:space="preserve">　</w:t>
            </w:r>
            <w:r w:rsidR="004B1CAE" w:rsidRPr="000D0ADF">
              <w:rPr>
                <w:szCs w:val="20"/>
                <w:vertAlign w:val="superscript"/>
              </w:rPr>
              <w:t>1</w:t>
            </w:r>
          </w:p>
        </w:tc>
        <w:tc>
          <w:tcPr>
            <w:tcW w:w="682" w:type="pct"/>
            <w:tcBorders>
              <w:bottom w:val="single" w:sz="4" w:space="0" w:color="auto"/>
            </w:tcBorders>
            <w:shd w:val="clear" w:color="auto" w:fill="auto"/>
            <w:vAlign w:val="center"/>
          </w:tcPr>
          <w:p w14:paraId="26F5AEDB" w14:textId="60B2B3B9" w:rsidR="00A26972" w:rsidRPr="00AB3F41" w:rsidRDefault="00640EC9" w:rsidP="00BA75EB">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4B1CAE" w:rsidRPr="004B1CAE">
              <w:rPr>
                <w:szCs w:val="20"/>
                <w:vertAlign w:val="superscript"/>
              </w:rPr>
              <w:t>2</w:t>
            </w:r>
          </w:p>
        </w:tc>
        <w:tc>
          <w:tcPr>
            <w:tcW w:w="617" w:type="pct"/>
            <w:shd w:val="clear" w:color="auto" w:fill="auto"/>
            <w:vAlign w:val="center"/>
          </w:tcPr>
          <w:p w14:paraId="3A41DDF8" w14:textId="05796ADF"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6"/>
                <w14:textFill>
                  <w14:solidFill>
                    <w14:srgbClr w14:val="000000">
                      <w14:alpha w14:val="100000"/>
                    </w14:srgbClr>
                  </w14:solidFill>
                </w14:textFill>
              </w:rPr>
              <w:t xml:space="preserve">　</w:t>
            </w:r>
            <w:r w:rsidRPr="00640EC9">
              <w:rPr>
                <w:color w:val="000000"/>
                <w:w w:val="15"/>
                <w:szCs w:val="20"/>
                <w:shd w:val="solid" w:color="000000" w:fill="000000"/>
                <w:fitText w:val="60" w:id="-961888256"/>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6"/>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0BED55A1" w14:textId="22A1096E"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5"/>
                <w14:textFill>
                  <w14:solidFill>
                    <w14:srgbClr w14:val="000000">
                      <w14:alpha w14:val="100000"/>
                    </w14:srgbClr>
                  </w14:solidFill>
                </w14:textFill>
              </w:rPr>
              <w:t xml:space="preserve">　</w:t>
            </w:r>
            <w:r w:rsidRPr="00640EC9">
              <w:rPr>
                <w:color w:val="000000"/>
                <w:w w:val="15"/>
                <w:szCs w:val="20"/>
                <w:shd w:val="solid" w:color="000000" w:fill="000000"/>
                <w:fitText w:val="60" w:id="-961888255"/>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5"/>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2AFAAF7F" w14:textId="3F35BD10"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4"/>
                <w14:textFill>
                  <w14:solidFill>
                    <w14:srgbClr w14:val="000000">
                      <w14:alpha w14:val="100000"/>
                    </w14:srgbClr>
                  </w14:solidFill>
                </w14:textFill>
              </w:rPr>
              <w:t xml:space="preserve">　</w:t>
            </w:r>
            <w:r w:rsidRPr="00640EC9">
              <w:rPr>
                <w:color w:val="000000"/>
                <w:w w:val="15"/>
                <w:szCs w:val="20"/>
                <w:shd w:val="solid" w:color="000000" w:fill="000000"/>
                <w:fitText w:val="60" w:id="-961888254"/>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4"/>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6E2B62D7" w14:textId="1356F443"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53"/>
                <w14:textFill>
                  <w14:solidFill>
                    <w14:srgbClr w14:val="000000">
                      <w14:alpha w14:val="100000"/>
                    </w14:srgbClr>
                  </w14:solidFill>
                </w14:textFill>
              </w:rPr>
              <w:t xml:space="preserve">　</w:t>
            </w:r>
            <w:r w:rsidRPr="00640EC9">
              <w:rPr>
                <w:color w:val="000000"/>
                <w:w w:val="15"/>
                <w:szCs w:val="20"/>
                <w:shd w:val="solid" w:color="000000" w:fill="000000"/>
                <w:fitText w:val="60" w:id="-961888253"/>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53"/>
                <w14:textFill>
                  <w14:solidFill>
                    <w14:srgbClr w14:val="000000">
                      <w14:alpha w14:val="100000"/>
                    </w14:srgbClr>
                  </w14:solidFill>
                </w14:textFill>
              </w:rPr>
              <w:t xml:space="preserve">　</w:t>
            </w:r>
            <w:r w:rsidR="004B1CAE" w:rsidRPr="004B1CAE">
              <w:rPr>
                <w:szCs w:val="20"/>
                <w:vertAlign w:val="superscript"/>
              </w:rPr>
              <w:t>2</w:t>
            </w:r>
          </w:p>
        </w:tc>
        <w:tc>
          <w:tcPr>
            <w:tcW w:w="590" w:type="pct"/>
            <w:vAlign w:val="center"/>
          </w:tcPr>
          <w:p w14:paraId="117BCBCB" w14:textId="7BDEB8B4"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8252"/>
                <w14:textFill>
                  <w14:solidFill>
                    <w14:srgbClr w14:val="000000">
                      <w14:alpha w14:val="100000"/>
                    </w14:srgbClr>
                  </w14:solidFill>
                </w14:textFill>
              </w:rPr>
              <w:t xml:space="preserve">　</w:t>
            </w:r>
            <w:r w:rsidRPr="00640EC9">
              <w:rPr>
                <w:color w:val="000000"/>
                <w:w w:val="18"/>
                <w:szCs w:val="20"/>
                <w:shd w:val="solid" w:color="000000" w:fill="000000"/>
                <w:fitText w:val="84" w:id="-961888252"/>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8252"/>
                <w14:textFill>
                  <w14:solidFill>
                    <w14:srgbClr w14:val="000000">
                      <w14:alpha w14:val="100000"/>
                    </w14:srgbClr>
                  </w14:solidFill>
                </w14:textFill>
              </w:rPr>
              <w:t xml:space="preserve">　</w:t>
            </w:r>
            <w:r w:rsidR="009002D9" w:rsidRPr="009002D9">
              <w:rPr>
                <w:szCs w:val="20"/>
                <w:vertAlign w:val="superscript"/>
              </w:rPr>
              <w:t>4</w:t>
            </w:r>
          </w:p>
        </w:tc>
        <w:tc>
          <w:tcPr>
            <w:tcW w:w="339" w:type="pct"/>
            <w:vAlign w:val="center"/>
          </w:tcPr>
          <w:p w14:paraId="5545DD9F" w14:textId="77777777" w:rsidR="00A26972" w:rsidRPr="009941F8" w:rsidRDefault="00A26972" w:rsidP="00BA75EB">
            <w:pPr>
              <w:pStyle w:val="TableText0"/>
              <w:keepLines/>
              <w:jc w:val="center"/>
              <w:rPr>
                <w:szCs w:val="20"/>
              </w:rPr>
            </w:pPr>
            <w:r w:rsidRPr="009941F8">
              <w:rPr>
                <w:szCs w:val="20"/>
              </w:rPr>
              <w:t>29%</w:t>
            </w:r>
          </w:p>
        </w:tc>
      </w:tr>
      <w:tr w:rsidR="00A26972" w:rsidRPr="009941F8" w14:paraId="0F40F7DA" w14:textId="77777777" w:rsidTr="00233562">
        <w:trPr>
          <w:tblHeader/>
        </w:trPr>
        <w:tc>
          <w:tcPr>
            <w:tcW w:w="382" w:type="pct"/>
            <w:shd w:val="clear" w:color="auto" w:fill="auto"/>
            <w:vAlign w:val="center"/>
          </w:tcPr>
          <w:p w14:paraId="5613CD80" w14:textId="1790CCF0" w:rsidR="00A26972" w:rsidRPr="00A14BC4" w:rsidRDefault="00640EC9" w:rsidP="00BA75EB">
            <w:pPr>
              <w:pStyle w:val="TableText0"/>
              <w:keepLines/>
              <w:rPr>
                <w:szCs w:val="20"/>
              </w:rPr>
            </w:pPr>
            <w:r w:rsidRPr="00640EC9">
              <w:rPr>
                <w:color w:val="000000"/>
                <w:spacing w:val="51"/>
                <w:szCs w:val="20"/>
                <w:shd w:val="solid" w:color="000000" w:fill="000000"/>
                <w:fitText w:val="324" w:id="-961888251"/>
                <w14:textFill>
                  <w14:solidFill>
                    <w14:srgbClr w14:val="000000">
                      <w14:alpha w14:val="100000"/>
                    </w14:srgbClr>
                  </w14:solidFill>
                </w14:textFill>
              </w:rPr>
              <w:t>|||</w:t>
            </w:r>
            <w:r w:rsidRPr="00640EC9">
              <w:rPr>
                <w:color w:val="000000"/>
                <w:spacing w:val="1"/>
                <w:szCs w:val="20"/>
                <w:shd w:val="solid" w:color="000000" w:fill="000000"/>
                <w:fitText w:val="324" w:id="-961888251"/>
                <w14:textFill>
                  <w14:solidFill>
                    <w14:srgbClr w14:val="000000">
                      <w14:alpha w14:val="100000"/>
                    </w14:srgbClr>
                  </w14:solidFill>
                </w14:textFill>
              </w:rPr>
              <w:t>|</w:t>
            </w:r>
            <w:r w:rsidR="00A26972" w:rsidRPr="00A14BC4">
              <w:rPr>
                <w:szCs w:val="20"/>
              </w:rPr>
              <w:t>%</w:t>
            </w:r>
            <w:r w:rsidR="00A26972" w:rsidRPr="00A14BC4">
              <w:rPr>
                <w:szCs w:val="20"/>
                <w:vertAlign w:val="superscript"/>
              </w:rPr>
              <w:t>b</w:t>
            </w:r>
          </w:p>
        </w:tc>
        <w:tc>
          <w:tcPr>
            <w:tcW w:w="539" w:type="pct"/>
            <w:shd w:val="clear" w:color="auto" w:fill="auto"/>
            <w:vAlign w:val="center"/>
          </w:tcPr>
          <w:p w14:paraId="50BF992A" w14:textId="233C7296" w:rsidR="00A26972" w:rsidRPr="00AB3F41" w:rsidRDefault="00640EC9" w:rsidP="00BA75EB">
            <w:pPr>
              <w:pStyle w:val="TableText0"/>
              <w:keepLines/>
              <w:jc w:val="center"/>
              <w:rPr>
                <w:szCs w:val="20"/>
                <w:highlight w:val="lightGray"/>
              </w:rPr>
            </w:pPr>
            <w:r w:rsidRPr="00640EC9">
              <w:rPr>
                <w:rFonts w:hint="eastAsia"/>
                <w:color w:val="000000"/>
                <w:w w:val="29"/>
                <w:szCs w:val="20"/>
                <w:shd w:val="solid" w:color="000000" w:fill="000000"/>
                <w:fitText w:val="132" w:id="-961888250"/>
                <w14:textFill>
                  <w14:solidFill>
                    <w14:srgbClr w14:val="000000">
                      <w14:alpha w14:val="100000"/>
                    </w14:srgbClr>
                  </w14:solidFill>
                </w14:textFill>
              </w:rPr>
              <w:t xml:space="preserve">　</w:t>
            </w:r>
            <w:r w:rsidRPr="00640EC9">
              <w:rPr>
                <w:color w:val="000000"/>
                <w:w w:val="29"/>
                <w:szCs w:val="20"/>
                <w:shd w:val="solid" w:color="000000" w:fill="000000"/>
                <w:fitText w:val="132" w:id="-961888250"/>
                <w14:textFill>
                  <w14:solidFill>
                    <w14:srgbClr w14:val="000000">
                      <w14:alpha w14:val="100000"/>
                    </w14:srgbClr>
                  </w14:solidFill>
                </w14:textFill>
              </w:rPr>
              <w:t>|</w:t>
            </w:r>
            <w:r w:rsidRPr="00640EC9">
              <w:rPr>
                <w:rFonts w:hint="eastAsia"/>
                <w:color w:val="000000"/>
                <w:spacing w:val="4"/>
                <w:w w:val="29"/>
                <w:szCs w:val="20"/>
                <w:shd w:val="solid" w:color="000000" w:fill="000000"/>
                <w:fitText w:val="132" w:id="-961888250"/>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6163CF26" w14:textId="13EB231B" w:rsidR="00A26972" w:rsidRPr="00AB3F41" w:rsidRDefault="003037C7" w:rsidP="003037C7">
            <w:pPr>
              <w:pStyle w:val="TableText0"/>
              <w:keepLines/>
              <w:jc w:val="center"/>
              <w:rPr>
                <w:szCs w:val="20"/>
                <w:highlight w:val="lightGray"/>
              </w:rPr>
            </w:pPr>
            <w:r w:rsidRPr="00640EC9">
              <w:rPr>
                <w:rFonts w:hint="eastAsia"/>
                <w:color w:val="000000"/>
                <w:w w:val="29"/>
                <w:szCs w:val="20"/>
                <w:shd w:val="solid" w:color="000000" w:fill="000000"/>
                <w:fitText w:val="132" w:id="-961888250"/>
                <w14:textFill>
                  <w14:solidFill>
                    <w14:srgbClr w14:val="000000">
                      <w14:alpha w14:val="100000"/>
                    </w14:srgbClr>
                  </w14:solidFill>
                </w14:textFill>
              </w:rPr>
              <w:t xml:space="preserve">　</w:t>
            </w:r>
            <w:r w:rsidRPr="00640EC9">
              <w:rPr>
                <w:color w:val="000000"/>
                <w:w w:val="29"/>
                <w:szCs w:val="20"/>
                <w:shd w:val="solid" w:color="000000" w:fill="000000"/>
                <w:fitText w:val="132" w:id="-961888250"/>
                <w14:textFill>
                  <w14:solidFill>
                    <w14:srgbClr w14:val="000000">
                      <w14:alpha w14:val="100000"/>
                    </w14:srgbClr>
                  </w14:solidFill>
                </w14:textFill>
              </w:rPr>
              <w:t>|</w:t>
            </w:r>
            <w:r w:rsidRPr="00640EC9">
              <w:rPr>
                <w:rFonts w:hint="eastAsia"/>
                <w:color w:val="000000"/>
                <w:spacing w:val="4"/>
                <w:w w:val="29"/>
                <w:szCs w:val="20"/>
                <w:shd w:val="solid" w:color="000000" w:fill="000000"/>
                <w:fitText w:val="132" w:id="-961888250"/>
                <w14:textFill>
                  <w14:solidFill>
                    <w14:srgbClr w14:val="000000">
                      <w14:alpha w14:val="100000"/>
                    </w14:srgbClr>
                  </w14:solidFill>
                </w14:textFill>
              </w:rPr>
              <w:t xml:space="preserve">　</w:t>
            </w:r>
            <w:r w:rsidRPr="000D0ADF">
              <w:rPr>
                <w:szCs w:val="20"/>
                <w:vertAlign w:val="superscript"/>
              </w:rPr>
              <w:t>1</w:t>
            </w:r>
          </w:p>
        </w:tc>
        <w:tc>
          <w:tcPr>
            <w:tcW w:w="617" w:type="pct"/>
            <w:tcBorders>
              <w:bottom w:val="single" w:sz="4" w:space="0" w:color="auto"/>
            </w:tcBorders>
            <w:shd w:val="clear" w:color="auto" w:fill="auto"/>
            <w:vAlign w:val="center"/>
          </w:tcPr>
          <w:p w14:paraId="4D0EDE6A" w14:textId="16BB3B68"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9"/>
                <w14:textFill>
                  <w14:solidFill>
                    <w14:srgbClr w14:val="000000">
                      <w14:alpha w14:val="100000"/>
                    </w14:srgbClr>
                  </w14:solidFill>
                </w14:textFill>
              </w:rPr>
              <w:t xml:space="preserve">　</w:t>
            </w:r>
            <w:r w:rsidRPr="00640EC9">
              <w:rPr>
                <w:color w:val="000000"/>
                <w:w w:val="15"/>
                <w:szCs w:val="20"/>
                <w:shd w:val="solid" w:color="000000" w:fill="000000"/>
                <w:fitText w:val="60" w:id="-961888249"/>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9"/>
                <w14:textFill>
                  <w14:solidFill>
                    <w14:srgbClr w14:val="000000">
                      <w14:alpha w14:val="100000"/>
                    </w14:srgbClr>
                  </w14:solidFill>
                </w14:textFill>
              </w:rPr>
              <w:t xml:space="preserve">　</w:t>
            </w:r>
            <w:r w:rsidR="004B1CAE" w:rsidRPr="004B1CAE">
              <w:rPr>
                <w:szCs w:val="20"/>
                <w:vertAlign w:val="superscript"/>
              </w:rPr>
              <w:t>2</w:t>
            </w:r>
          </w:p>
        </w:tc>
        <w:tc>
          <w:tcPr>
            <w:tcW w:w="617" w:type="pct"/>
            <w:tcBorders>
              <w:bottom w:val="single" w:sz="4" w:space="0" w:color="auto"/>
            </w:tcBorders>
            <w:shd w:val="clear" w:color="auto" w:fill="auto"/>
            <w:vAlign w:val="center"/>
          </w:tcPr>
          <w:p w14:paraId="4E775AC7" w14:textId="71B7A869"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8"/>
                <w14:textFill>
                  <w14:solidFill>
                    <w14:srgbClr w14:val="000000">
                      <w14:alpha w14:val="100000"/>
                    </w14:srgbClr>
                  </w14:solidFill>
                </w14:textFill>
              </w:rPr>
              <w:t xml:space="preserve">　</w:t>
            </w:r>
            <w:r w:rsidRPr="00640EC9">
              <w:rPr>
                <w:color w:val="000000"/>
                <w:w w:val="15"/>
                <w:szCs w:val="20"/>
                <w:shd w:val="solid" w:color="000000" w:fill="000000"/>
                <w:fitText w:val="60" w:id="-961888248"/>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8"/>
                <w14:textFill>
                  <w14:solidFill>
                    <w14:srgbClr w14:val="000000">
                      <w14:alpha w14:val="100000"/>
                    </w14:srgbClr>
                  </w14:solidFill>
                </w14:textFill>
              </w:rPr>
              <w:t xml:space="preserve">　</w:t>
            </w:r>
            <w:r w:rsidR="004B1CAE" w:rsidRPr="004B1CAE">
              <w:rPr>
                <w:szCs w:val="20"/>
                <w:vertAlign w:val="superscript"/>
              </w:rPr>
              <w:t>2</w:t>
            </w:r>
          </w:p>
        </w:tc>
        <w:tc>
          <w:tcPr>
            <w:tcW w:w="617" w:type="pct"/>
            <w:tcBorders>
              <w:bottom w:val="single" w:sz="4" w:space="0" w:color="auto"/>
            </w:tcBorders>
            <w:shd w:val="clear" w:color="auto" w:fill="auto"/>
            <w:vAlign w:val="center"/>
          </w:tcPr>
          <w:p w14:paraId="53E26F11" w14:textId="00404D67"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7"/>
                <w14:textFill>
                  <w14:solidFill>
                    <w14:srgbClr w14:val="000000">
                      <w14:alpha w14:val="100000"/>
                    </w14:srgbClr>
                  </w14:solidFill>
                </w14:textFill>
              </w:rPr>
              <w:t xml:space="preserve">　</w:t>
            </w:r>
            <w:r w:rsidRPr="00640EC9">
              <w:rPr>
                <w:color w:val="000000"/>
                <w:w w:val="15"/>
                <w:szCs w:val="20"/>
                <w:shd w:val="solid" w:color="000000" w:fill="000000"/>
                <w:fitText w:val="60" w:id="-961888247"/>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7"/>
                <w14:textFill>
                  <w14:solidFill>
                    <w14:srgbClr w14:val="000000">
                      <w14:alpha w14:val="100000"/>
                    </w14:srgbClr>
                  </w14:solidFill>
                </w14:textFill>
              </w:rPr>
              <w:t xml:space="preserve">　</w:t>
            </w:r>
            <w:r w:rsidR="004B1CAE" w:rsidRPr="004B1CAE">
              <w:rPr>
                <w:szCs w:val="20"/>
                <w:vertAlign w:val="superscript"/>
              </w:rPr>
              <w:t>2</w:t>
            </w:r>
          </w:p>
        </w:tc>
        <w:tc>
          <w:tcPr>
            <w:tcW w:w="617" w:type="pct"/>
            <w:tcBorders>
              <w:bottom w:val="single" w:sz="4" w:space="0" w:color="auto"/>
            </w:tcBorders>
            <w:shd w:val="clear" w:color="auto" w:fill="auto"/>
            <w:vAlign w:val="center"/>
          </w:tcPr>
          <w:p w14:paraId="30CBB2CC" w14:textId="198E3E61"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6"/>
                <w14:textFill>
                  <w14:solidFill>
                    <w14:srgbClr w14:val="000000">
                      <w14:alpha w14:val="100000"/>
                    </w14:srgbClr>
                  </w14:solidFill>
                </w14:textFill>
              </w:rPr>
              <w:t xml:space="preserve">　</w:t>
            </w:r>
            <w:r w:rsidRPr="00640EC9">
              <w:rPr>
                <w:color w:val="000000"/>
                <w:w w:val="15"/>
                <w:szCs w:val="20"/>
                <w:shd w:val="solid" w:color="000000" w:fill="000000"/>
                <w:fitText w:val="60" w:id="-961888246"/>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6"/>
                <w14:textFill>
                  <w14:solidFill>
                    <w14:srgbClr w14:val="000000">
                      <w14:alpha w14:val="100000"/>
                    </w14:srgbClr>
                  </w14:solidFill>
                </w14:textFill>
              </w:rPr>
              <w:t xml:space="preserve">　</w:t>
            </w:r>
            <w:r w:rsidR="004B1CAE" w:rsidRPr="004B1CAE">
              <w:rPr>
                <w:szCs w:val="20"/>
                <w:vertAlign w:val="superscript"/>
              </w:rPr>
              <w:t>2</w:t>
            </w:r>
          </w:p>
        </w:tc>
        <w:tc>
          <w:tcPr>
            <w:tcW w:w="590" w:type="pct"/>
            <w:vAlign w:val="center"/>
          </w:tcPr>
          <w:p w14:paraId="11970ADD" w14:textId="0B49716B"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8245"/>
                <w14:textFill>
                  <w14:solidFill>
                    <w14:srgbClr w14:val="000000">
                      <w14:alpha w14:val="100000"/>
                    </w14:srgbClr>
                  </w14:solidFill>
                </w14:textFill>
              </w:rPr>
              <w:t xml:space="preserve">　</w:t>
            </w:r>
            <w:r w:rsidRPr="00640EC9">
              <w:rPr>
                <w:color w:val="000000"/>
                <w:w w:val="18"/>
                <w:szCs w:val="20"/>
                <w:shd w:val="solid" w:color="000000" w:fill="000000"/>
                <w:fitText w:val="84" w:id="-961888245"/>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8245"/>
                <w14:textFill>
                  <w14:solidFill>
                    <w14:srgbClr w14:val="000000">
                      <w14:alpha w14:val="100000"/>
                    </w14:srgbClr>
                  </w14:solidFill>
                </w14:textFill>
              </w:rPr>
              <w:t xml:space="preserve">　</w:t>
            </w:r>
            <w:r w:rsidR="009002D9" w:rsidRPr="009002D9">
              <w:rPr>
                <w:szCs w:val="20"/>
                <w:vertAlign w:val="superscript"/>
              </w:rPr>
              <w:t>3</w:t>
            </w:r>
          </w:p>
        </w:tc>
        <w:tc>
          <w:tcPr>
            <w:tcW w:w="339" w:type="pct"/>
            <w:vAlign w:val="center"/>
          </w:tcPr>
          <w:p w14:paraId="6A887016" w14:textId="77777777" w:rsidR="00A26972" w:rsidRPr="009941F8" w:rsidRDefault="00A26972" w:rsidP="00BA75EB">
            <w:pPr>
              <w:pStyle w:val="TableText0"/>
              <w:keepLines/>
              <w:jc w:val="center"/>
              <w:rPr>
                <w:szCs w:val="20"/>
              </w:rPr>
            </w:pPr>
            <w:r w:rsidRPr="009941F8">
              <w:rPr>
                <w:szCs w:val="20"/>
              </w:rPr>
              <w:t>-4%</w:t>
            </w:r>
          </w:p>
        </w:tc>
      </w:tr>
      <w:tr w:rsidR="003037C7" w:rsidRPr="009941F8" w14:paraId="5DE5874C" w14:textId="77777777" w:rsidTr="00233562">
        <w:trPr>
          <w:tblHeader/>
        </w:trPr>
        <w:tc>
          <w:tcPr>
            <w:tcW w:w="382" w:type="pct"/>
            <w:shd w:val="clear" w:color="auto" w:fill="auto"/>
            <w:vAlign w:val="center"/>
          </w:tcPr>
          <w:p w14:paraId="4A712356" w14:textId="7083E3B2" w:rsidR="003037C7" w:rsidRPr="00A14BC4" w:rsidRDefault="003037C7" w:rsidP="003037C7">
            <w:pPr>
              <w:pStyle w:val="TableText0"/>
              <w:keepLines/>
              <w:rPr>
                <w:szCs w:val="20"/>
              </w:rPr>
            </w:pPr>
            <w:r w:rsidRPr="00640EC9">
              <w:rPr>
                <w:color w:val="000000"/>
                <w:spacing w:val="51"/>
                <w:szCs w:val="20"/>
                <w:shd w:val="solid" w:color="000000" w:fill="000000"/>
                <w:fitText w:val="324" w:id="-961888244"/>
                <w14:textFill>
                  <w14:solidFill>
                    <w14:srgbClr w14:val="000000">
                      <w14:alpha w14:val="100000"/>
                    </w14:srgbClr>
                  </w14:solidFill>
                </w14:textFill>
              </w:rPr>
              <w:t>|||</w:t>
            </w:r>
            <w:r w:rsidRPr="00640EC9">
              <w:rPr>
                <w:color w:val="000000"/>
                <w:spacing w:val="1"/>
                <w:szCs w:val="20"/>
                <w:shd w:val="solid" w:color="000000" w:fill="000000"/>
                <w:fitText w:val="324" w:id="-961888244"/>
                <w14:textFill>
                  <w14:solidFill>
                    <w14:srgbClr w14:val="000000">
                      <w14:alpha w14:val="100000"/>
                    </w14:srgbClr>
                  </w14:solidFill>
                </w14:textFill>
              </w:rPr>
              <w:t>|</w:t>
            </w:r>
            <w:r w:rsidRPr="00A14BC4">
              <w:rPr>
                <w:szCs w:val="20"/>
              </w:rPr>
              <w:t>%</w:t>
            </w:r>
            <w:r w:rsidRPr="00A14BC4">
              <w:rPr>
                <w:szCs w:val="20"/>
                <w:vertAlign w:val="superscript"/>
              </w:rPr>
              <w:t>c</w:t>
            </w:r>
          </w:p>
        </w:tc>
        <w:tc>
          <w:tcPr>
            <w:tcW w:w="539" w:type="pct"/>
            <w:shd w:val="clear" w:color="auto" w:fill="auto"/>
            <w:vAlign w:val="center"/>
          </w:tcPr>
          <w:p w14:paraId="71657C78" w14:textId="0227CE81" w:rsidR="003037C7" w:rsidRPr="00AB3F41" w:rsidRDefault="003037C7" w:rsidP="003037C7">
            <w:pPr>
              <w:pStyle w:val="TableText0"/>
              <w:keepLines/>
              <w:jc w:val="center"/>
              <w:rPr>
                <w:szCs w:val="20"/>
                <w:highlight w:val="lightGray"/>
              </w:rPr>
            </w:pPr>
            <w:r w:rsidRPr="00640EC9">
              <w:rPr>
                <w:rFonts w:hint="eastAsia"/>
                <w:color w:val="000000"/>
                <w:w w:val="29"/>
                <w:szCs w:val="20"/>
                <w:shd w:val="solid" w:color="000000" w:fill="000000"/>
                <w:fitText w:val="132" w:id="-961888243"/>
                <w14:textFill>
                  <w14:solidFill>
                    <w14:srgbClr w14:val="000000">
                      <w14:alpha w14:val="100000"/>
                    </w14:srgbClr>
                  </w14:solidFill>
                </w14:textFill>
              </w:rPr>
              <w:t xml:space="preserve">　</w:t>
            </w:r>
            <w:r w:rsidRPr="00640EC9">
              <w:rPr>
                <w:color w:val="000000"/>
                <w:w w:val="29"/>
                <w:szCs w:val="20"/>
                <w:shd w:val="solid" w:color="000000" w:fill="000000"/>
                <w:fitText w:val="132" w:id="-961888243"/>
                <w14:textFill>
                  <w14:solidFill>
                    <w14:srgbClr w14:val="000000">
                      <w14:alpha w14:val="100000"/>
                    </w14:srgbClr>
                  </w14:solidFill>
                </w14:textFill>
              </w:rPr>
              <w:t>|</w:t>
            </w:r>
            <w:r w:rsidRPr="00640EC9">
              <w:rPr>
                <w:rFonts w:hint="eastAsia"/>
                <w:color w:val="000000"/>
                <w:spacing w:val="4"/>
                <w:w w:val="29"/>
                <w:szCs w:val="20"/>
                <w:shd w:val="solid" w:color="000000" w:fill="000000"/>
                <w:fitText w:val="132" w:id="-961888243"/>
                <w14:textFill>
                  <w14:solidFill>
                    <w14:srgbClr w14:val="000000">
                      <w14:alpha w14:val="100000"/>
                    </w14:srgbClr>
                  </w14:solidFill>
                </w14:textFill>
              </w:rPr>
              <w:t xml:space="preserve">　</w:t>
            </w:r>
            <w:r w:rsidRPr="004B1CAE">
              <w:rPr>
                <w:szCs w:val="20"/>
                <w:vertAlign w:val="superscript"/>
              </w:rPr>
              <w:t>2</w:t>
            </w:r>
          </w:p>
        </w:tc>
        <w:tc>
          <w:tcPr>
            <w:tcW w:w="682" w:type="pct"/>
            <w:shd w:val="clear" w:color="auto" w:fill="auto"/>
            <w:vAlign w:val="center"/>
          </w:tcPr>
          <w:p w14:paraId="5D650CD1" w14:textId="3EAE90F6" w:rsidR="003037C7" w:rsidRPr="00AB3F41" w:rsidRDefault="003037C7" w:rsidP="003037C7">
            <w:pPr>
              <w:pStyle w:val="TableText0"/>
              <w:keepLines/>
              <w:jc w:val="center"/>
              <w:rPr>
                <w:szCs w:val="20"/>
                <w:highlight w:val="lightGray"/>
              </w:rPr>
            </w:pPr>
            <w:r w:rsidRPr="00233562">
              <w:rPr>
                <w:rFonts w:hint="eastAsia"/>
                <w:color w:val="000000"/>
                <w:spacing w:val="-188"/>
                <w:szCs w:val="20"/>
                <w:shd w:val="solid" w:color="000000" w:fill="000000"/>
                <w:fitText w:val="12" w:id="-961888242"/>
                <w14:textFill>
                  <w14:solidFill>
                    <w14:srgbClr w14:val="000000">
                      <w14:alpha w14:val="100000"/>
                    </w14:srgbClr>
                  </w14:solidFill>
                </w14:textFill>
              </w:rPr>
              <w:t xml:space="preserve">　</w:t>
            </w:r>
            <w:r w:rsidRPr="003037C7">
              <w:rPr>
                <w:color w:val="000000"/>
                <w:w w:val="15"/>
                <w:szCs w:val="20"/>
                <w:shd w:val="solid" w:color="000000" w:fill="000000"/>
                <w14:textFill>
                  <w14:solidFill>
                    <w14:srgbClr w14:val="000000">
                      <w14:alpha w14:val="100000"/>
                    </w14:srgbClr>
                  </w14:solidFill>
                </w14:textFill>
              </w:rPr>
              <w:t>|</w:t>
            </w:r>
            <w:r w:rsidRPr="003037C7">
              <w:rPr>
                <w:rFonts w:hint="eastAsia"/>
                <w:color w:val="000000"/>
                <w:w w:val="15"/>
                <w:szCs w:val="20"/>
                <w:shd w:val="solid" w:color="000000" w:fill="000000"/>
                <w14:textFill>
                  <w14:solidFill>
                    <w14:srgbClr w14:val="000000">
                      <w14:alpha w14:val="100000"/>
                    </w14:srgbClr>
                  </w14:solidFill>
                </w14:textFill>
              </w:rPr>
              <w:t xml:space="preserve">　</w:t>
            </w:r>
            <w:r w:rsidRPr="004B1CAE">
              <w:rPr>
                <w:szCs w:val="20"/>
                <w:vertAlign w:val="superscript"/>
              </w:rPr>
              <w:t>2</w:t>
            </w:r>
          </w:p>
        </w:tc>
        <w:tc>
          <w:tcPr>
            <w:tcW w:w="617" w:type="pct"/>
            <w:shd w:val="clear" w:color="auto" w:fill="auto"/>
            <w:vAlign w:val="center"/>
          </w:tcPr>
          <w:p w14:paraId="08A98645" w14:textId="5C491B36" w:rsidR="003037C7" w:rsidRPr="00AB3F41" w:rsidRDefault="003037C7" w:rsidP="003037C7">
            <w:pPr>
              <w:pStyle w:val="TableText0"/>
              <w:keepLines/>
              <w:jc w:val="center"/>
              <w:rPr>
                <w:szCs w:val="20"/>
                <w:highlight w:val="lightGray"/>
              </w:rPr>
            </w:pPr>
            <w:r w:rsidRPr="00C40C15">
              <w:rPr>
                <w:rFonts w:hint="eastAsia"/>
                <w:color w:val="000000"/>
                <w:spacing w:val="-188"/>
                <w:szCs w:val="20"/>
                <w:shd w:val="solid" w:color="000000" w:fill="000000"/>
                <w:fitText w:val="12" w:id="-961888242"/>
                <w14:textFill>
                  <w14:solidFill>
                    <w14:srgbClr w14:val="000000">
                      <w14:alpha w14:val="100000"/>
                    </w14:srgbClr>
                  </w14:solidFill>
                </w14:textFill>
              </w:rPr>
              <w:t xml:space="preserve">　</w:t>
            </w:r>
            <w:r w:rsidRPr="003037C7">
              <w:rPr>
                <w:color w:val="000000"/>
                <w:w w:val="15"/>
                <w:szCs w:val="20"/>
                <w:shd w:val="solid" w:color="000000" w:fill="000000"/>
                <w14:textFill>
                  <w14:solidFill>
                    <w14:srgbClr w14:val="000000">
                      <w14:alpha w14:val="100000"/>
                    </w14:srgbClr>
                  </w14:solidFill>
                </w14:textFill>
              </w:rPr>
              <w:t>|</w:t>
            </w:r>
            <w:r w:rsidRPr="003037C7">
              <w:rPr>
                <w:rFonts w:hint="eastAsia"/>
                <w:color w:val="000000"/>
                <w:w w:val="15"/>
                <w:szCs w:val="20"/>
                <w:shd w:val="solid" w:color="000000" w:fill="000000"/>
                <w14:textFill>
                  <w14:solidFill>
                    <w14:srgbClr w14:val="000000">
                      <w14:alpha w14:val="100000"/>
                    </w14:srgbClr>
                  </w14:solidFill>
                </w14:textFill>
              </w:rPr>
              <w:t xml:space="preserve">　</w:t>
            </w:r>
            <w:r w:rsidRPr="004B1CAE">
              <w:rPr>
                <w:szCs w:val="20"/>
                <w:vertAlign w:val="superscript"/>
              </w:rPr>
              <w:t>2</w:t>
            </w:r>
          </w:p>
        </w:tc>
        <w:tc>
          <w:tcPr>
            <w:tcW w:w="617" w:type="pct"/>
            <w:shd w:val="clear" w:color="auto" w:fill="auto"/>
          </w:tcPr>
          <w:p w14:paraId="6A90BE76" w14:textId="53C01C83" w:rsidR="003037C7" w:rsidRPr="00AB3F41" w:rsidRDefault="003037C7" w:rsidP="003037C7">
            <w:pPr>
              <w:pStyle w:val="TableText0"/>
              <w:keepLines/>
              <w:jc w:val="center"/>
              <w:rPr>
                <w:szCs w:val="20"/>
                <w:highlight w:val="lightGray"/>
              </w:rPr>
            </w:pPr>
            <w:r w:rsidRPr="00FD6D66">
              <w:rPr>
                <w:rFonts w:hint="eastAsia"/>
                <w:color w:val="000000"/>
                <w:w w:val="15"/>
                <w:szCs w:val="20"/>
                <w:shd w:val="solid" w:color="000000" w:fill="000000"/>
                <w14:textFill>
                  <w14:solidFill>
                    <w14:srgbClr w14:val="000000">
                      <w14:alpha w14:val="100000"/>
                    </w14:srgbClr>
                  </w14:solidFill>
                </w14:textFill>
              </w:rPr>
              <w:t xml:space="preserve">　</w:t>
            </w:r>
            <w:r w:rsidRPr="00FD6D66">
              <w:rPr>
                <w:color w:val="000000"/>
                <w:w w:val="15"/>
                <w:szCs w:val="20"/>
                <w:shd w:val="solid" w:color="000000" w:fill="000000"/>
                <w14:textFill>
                  <w14:solidFill>
                    <w14:srgbClr w14:val="000000">
                      <w14:alpha w14:val="100000"/>
                    </w14:srgbClr>
                  </w14:solidFill>
                </w14:textFill>
              </w:rPr>
              <w:t>|</w:t>
            </w:r>
            <w:r w:rsidRPr="00FD6D66">
              <w:rPr>
                <w:rFonts w:hint="eastAsia"/>
                <w:color w:val="000000"/>
                <w:spacing w:val="-5"/>
                <w:w w:val="15"/>
                <w:szCs w:val="20"/>
                <w:shd w:val="solid" w:color="000000" w:fill="000000"/>
                <w14:textFill>
                  <w14:solidFill>
                    <w14:srgbClr w14:val="000000">
                      <w14:alpha w14:val="100000"/>
                    </w14:srgbClr>
                  </w14:solidFill>
                </w14:textFill>
              </w:rPr>
              <w:t xml:space="preserve">　</w:t>
            </w:r>
            <w:r>
              <w:rPr>
                <w:szCs w:val="20"/>
                <w:vertAlign w:val="superscript"/>
              </w:rPr>
              <w:t>9</w:t>
            </w:r>
          </w:p>
        </w:tc>
        <w:tc>
          <w:tcPr>
            <w:tcW w:w="617" w:type="pct"/>
            <w:shd w:val="clear" w:color="auto" w:fill="auto"/>
          </w:tcPr>
          <w:p w14:paraId="4DE793F3" w14:textId="41AE2425" w:rsidR="003037C7" w:rsidRPr="00AB3F41" w:rsidRDefault="003037C7" w:rsidP="003037C7">
            <w:pPr>
              <w:pStyle w:val="TableText0"/>
              <w:keepLines/>
              <w:jc w:val="center"/>
              <w:rPr>
                <w:szCs w:val="20"/>
                <w:highlight w:val="lightGray"/>
              </w:rPr>
            </w:pPr>
            <w:r w:rsidRPr="00503982">
              <w:rPr>
                <w:rFonts w:hint="eastAsia"/>
                <w:color w:val="000000"/>
                <w:w w:val="15"/>
                <w:szCs w:val="20"/>
                <w:shd w:val="solid" w:color="000000" w:fill="000000"/>
                <w14:textFill>
                  <w14:solidFill>
                    <w14:srgbClr w14:val="000000">
                      <w14:alpha w14:val="100000"/>
                    </w14:srgbClr>
                  </w14:solidFill>
                </w14:textFill>
              </w:rPr>
              <w:t xml:space="preserve">　</w:t>
            </w:r>
            <w:r w:rsidRPr="00503982">
              <w:rPr>
                <w:color w:val="000000"/>
                <w:w w:val="15"/>
                <w:szCs w:val="20"/>
                <w:shd w:val="solid" w:color="000000" w:fill="000000"/>
                <w14:textFill>
                  <w14:solidFill>
                    <w14:srgbClr w14:val="000000">
                      <w14:alpha w14:val="100000"/>
                    </w14:srgbClr>
                  </w14:solidFill>
                </w14:textFill>
              </w:rPr>
              <w:t>|</w:t>
            </w:r>
            <w:r w:rsidRPr="00503982">
              <w:rPr>
                <w:rFonts w:hint="eastAsia"/>
                <w:color w:val="000000"/>
                <w:spacing w:val="-5"/>
                <w:w w:val="15"/>
                <w:szCs w:val="20"/>
                <w:shd w:val="solid" w:color="000000" w:fill="000000"/>
                <w14:textFill>
                  <w14:solidFill>
                    <w14:srgbClr w14:val="000000">
                      <w14:alpha w14:val="100000"/>
                    </w14:srgbClr>
                  </w14:solidFill>
                </w14:textFill>
              </w:rPr>
              <w:t xml:space="preserve">　</w:t>
            </w:r>
            <w:r w:rsidRPr="00503982">
              <w:rPr>
                <w:szCs w:val="20"/>
                <w:vertAlign w:val="superscript"/>
              </w:rPr>
              <w:t>9</w:t>
            </w:r>
            <w:r w:rsidR="00640EC9" w:rsidRPr="00233562">
              <w:rPr>
                <w:rFonts w:hint="eastAsia"/>
                <w:color w:val="000000"/>
                <w:w w:val="15"/>
                <w:szCs w:val="20"/>
                <w14:textFill>
                  <w14:solidFill>
                    <w14:srgbClr w14:val="000000">
                      <w14:alpha w14:val="100000"/>
                    </w14:srgbClr>
                  </w14:solidFill>
                </w14:textFill>
              </w:rPr>
              <w:t xml:space="preserve">　</w:t>
            </w:r>
          </w:p>
        </w:tc>
        <w:tc>
          <w:tcPr>
            <w:tcW w:w="617" w:type="pct"/>
            <w:shd w:val="clear" w:color="auto" w:fill="auto"/>
          </w:tcPr>
          <w:p w14:paraId="4823BE5F" w14:textId="23C161AA" w:rsidR="003037C7" w:rsidRPr="00AB3F41" w:rsidRDefault="003037C7" w:rsidP="003037C7">
            <w:pPr>
              <w:pStyle w:val="TableText0"/>
              <w:keepLines/>
              <w:jc w:val="center"/>
              <w:rPr>
                <w:szCs w:val="20"/>
                <w:highlight w:val="lightGray"/>
              </w:rPr>
            </w:pPr>
            <w:r w:rsidRPr="00503982">
              <w:rPr>
                <w:rFonts w:hint="eastAsia"/>
                <w:color w:val="000000"/>
                <w:w w:val="15"/>
                <w:szCs w:val="20"/>
                <w:shd w:val="solid" w:color="000000" w:fill="000000"/>
                <w14:textFill>
                  <w14:solidFill>
                    <w14:srgbClr w14:val="000000">
                      <w14:alpha w14:val="100000"/>
                    </w14:srgbClr>
                  </w14:solidFill>
                </w14:textFill>
              </w:rPr>
              <w:t xml:space="preserve">　</w:t>
            </w:r>
            <w:r w:rsidRPr="00503982">
              <w:rPr>
                <w:color w:val="000000"/>
                <w:w w:val="15"/>
                <w:szCs w:val="20"/>
                <w:shd w:val="solid" w:color="000000" w:fill="000000"/>
                <w14:textFill>
                  <w14:solidFill>
                    <w14:srgbClr w14:val="000000">
                      <w14:alpha w14:val="100000"/>
                    </w14:srgbClr>
                  </w14:solidFill>
                </w14:textFill>
              </w:rPr>
              <w:t>|</w:t>
            </w:r>
            <w:r w:rsidRPr="00503982">
              <w:rPr>
                <w:rFonts w:hint="eastAsia"/>
                <w:color w:val="000000"/>
                <w:spacing w:val="-5"/>
                <w:w w:val="15"/>
                <w:szCs w:val="20"/>
                <w:shd w:val="solid" w:color="000000" w:fill="000000"/>
                <w14:textFill>
                  <w14:solidFill>
                    <w14:srgbClr w14:val="000000">
                      <w14:alpha w14:val="100000"/>
                    </w14:srgbClr>
                  </w14:solidFill>
                </w14:textFill>
              </w:rPr>
              <w:t xml:space="preserve">　</w:t>
            </w:r>
            <w:r w:rsidRPr="00503982">
              <w:rPr>
                <w:szCs w:val="20"/>
                <w:vertAlign w:val="superscript"/>
              </w:rPr>
              <w:t>9</w:t>
            </w:r>
          </w:p>
        </w:tc>
        <w:tc>
          <w:tcPr>
            <w:tcW w:w="590" w:type="pct"/>
            <w:vAlign w:val="center"/>
          </w:tcPr>
          <w:p w14:paraId="1E4B2E56" w14:textId="56B4DEF2" w:rsidR="003037C7" w:rsidRPr="00AB3F41" w:rsidRDefault="003037C7" w:rsidP="003037C7">
            <w:pPr>
              <w:pStyle w:val="TableText0"/>
              <w:keepLines/>
              <w:jc w:val="center"/>
              <w:rPr>
                <w:szCs w:val="20"/>
                <w:highlight w:val="lightGray"/>
              </w:rPr>
            </w:pPr>
            <w:r w:rsidRPr="00640EC9">
              <w:rPr>
                <w:rFonts w:hint="eastAsia"/>
                <w:color w:val="000000"/>
                <w:w w:val="18"/>
                <w:szCs w:val="20"/>
                <w:shd w:val="solid" w:color="000000" w:fill="000000"/>
                <w:fitText w:val="84" w:id="-961888254"/>
                <w14:textFill>
                  <w14:solidFill>
                    <w14:srgbClr w14:val="000000">
                      <w14:alpha w14:val="100000"/>
                    </w14:srgbClr>
                  </w14:solidFill>
                </w14:textFill>
              </w:rPr>
              <w:t xml:space="preserve">　</w:t>
            </w:r>
            <w:r w:rsidRPr="00640EC9">
              <w:rPr>
                <w:color w:val="000000"/>
                <w:w w:val="18"/>
                <w:szCs w:val="20"/>
                <w:shd w:val="solid" w:color="000000" w:fill="000000"/>
                <w:fitText w:val="84" w:id="-961888254"/>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8254"/>
                <w14:textFill>
                  <w14:solidFill>
                    <w14:srgbClr w14:val="000000">
                      <w14:alpha w14:val="100000"/>
                    </w14:srgbClr>
                  </w14:solidFill>
                </w14:textFill>
              </w:rPr>
              <w:t xml:space="preserve">　</w:t>
            </w:r>
            <w:r w:rsidRPr="009002D9">
              <w:rPr>
                <w:szCs w:val="20"/>
                <w:vertAlign w:val="superscript"/>
              </w:rPr>
              <w:t>5</w:t>
            </w:r>
          </w:p>
        </w:tc>
        <w:tc>
          <w:tcPr>
            <w:tcW w:w="339" w:type="pct"/>
            <w:vAlign w:val="center"/>
          </w:tcPr>
          <w:p w14:paraId="453D5B54" w14:textId="77777777" w:rsidR="003037C7" w:rsidRPr="009941F8" w:rsidRDefault="003037C7" w:rsidP="003037C7">
            <w:pPr>
              <w:pStyle w:val="TableText0"/>
              <w:keepLines/>
              <w:jc w:val="center"/>
              <w:rPr>
                <w:szCs w:val="20"/>
              </w:rPr>
            </w:pPr>
            <w:r w:rsidRPr="009941F8">
              <w:rPr>
                <w:szCs w:val="20"/>
              </w:rPr>
              <w:t>85%</w:t>
            </w:r>
          </w:p>
        </w:tc>
      </w:tr>
      <w:tr w:rsidR="00A26972" w:rsidRPr="009941F8" w14:paraId="24AA4210" w14:textId="77777777" w:rsidTr="00F6118B">
        <w:trPr>
          <w:tblHeader/>
        </w:trPr>
        <w:tc>
          <w:tcPr>
            <w:tcW w:w="382" w:type="pct"/>
            <w:shd w:val="clear" w:color="auto" w:fill="auto"/>
            <w:vAlign w:val="center"/>
          </w:tcPr>
          <w:p w14:paraId="49844A06" w14:textId="1A199271" w:rsidR="00A26972" w:rsidRPr="00A14BC4" w:rsidRDefault="00640EC9" w:rsidP="00BA75EB">
            <w:pPr>
              <w:pStyle w:val="TableText0"/>
              <w:keepLines/>
              <w:rPr>
                <w:szCs w:val="20"/>
              </w:rPr>
            </w:pPr>
            <w:r w:rsidRPr="00640EC9">
              <w:rPr>
                <w:color w:val="000000"/>
                <w:spacing w:val="51"/>
                <w:szCs w:val="20"/>
                <w:shd w:val="solid" w:color="000000" w:fill="000000"/>
                <w:fitText w:val="324" w:id="-961888253"/>
                <w14:textFill>
                  <w14:solidFill>
                    <w14:srgbClr w14:val="000000">
                      <w14:alpha w14:val="100000"/>
                    </w14:srgbClr>
                  </w14:solidFill>
                </w14:textFill>
              </w:rPr>
              <w:t>|||</w:t>
            </w:r>
            <w:r w:rsidRPr="00640EC9">
              <w:rPr>
                <w:color w:val="000000"/>
                <w:spacing w:val="1"/>
                <w:szCs w:val="20"/>
                <w:shd w:val="solid" w:color="000000" w:fill="000000"/>
                <w:fitText w:val="324" w:id="-961888253"/>
                <w14:textFill>
                  <w14:solidFill>
                    <w14:srgbClr w14:val="000000">
                      <w14:alpha w14:val="100000"/>
                    </w14:srgbClr>
                  </w14:solidFill>
                </w14:textFill>
              </w:rPr>
              <w:t>|</w:t>
            </w:r>
            <w:r w:rsidR="00A26972" w:rsidRPr="00A14BC4">
              <w:rPr>
                <w:szCs w:val="20"/>
              </w:rPr>
              <w:t>%</w:t>
            </w:r>
            <w:r w:rsidR="00A26972" w:rsidRPr="00A14BC4">
              <w:rPr>
                <w:szCs w:val="20"/>
                <w:vertAlign w:val="superscript"/>
              </w:rPr>
              <w:t>d</w:t>
            </w:r>
          </w:p>
        </w:tc>
        <w:tc>
          <w:tcPr>
            <w:tcW w:w="539" w:type="pct"/>
            <w:shd w:val="clear" w:color="auto" w:fill="auto"/>
            <w:vAlign w:val="center"/>
          </w:tcPr>
          <w:p w14:paraId="731892BB" w14:textId="13745FA0" w:rsidR="00A26972" w:rsidRPr="00AB3F41" w:rsidRDefault="00640EC9" w:rsidP="00BA75EB">
            <w:pPr>
              <w:pStyle w:val="TableText0"/>
              <w:keepLines/>
              <w:jc w:val="center"/>
              <w:rPr>
                <w:szCs w:val="20"/>
                <w:highlight w:val="lightGray"/>
              </w:rPr>
            </w:pPr>
            <w:r w:rsidRPr="00640EC9">
              <w:rPr>
                <w:rFonts w:hint="eastAsia"/>
                <w:color w:val="000000"/>
                <w:w w:val="27"/>
                <w:shd w:val="solid" w:color="000000" w:fill="000000"/>
                <w:fitText w:val="120" w:id="-961888252"/>
                <w14:textFill>
                  <w14:solidFill>
                    <w14:srgbClr w14:val="000000">
                      <w14:alpha w14:val="100000"/>
                    </w14:srgbClr>
                  </w14:solidFill>
                </w14:textFill>
              </w:rPr>
              <w:t xml:space="preserve">　</w:t>
            </w:r>
            <w:r w:rsidRPr="00640EC9">
              <w:rPr>
                <w:color w:val="000000"/>
                <w:w w:val="27"/>
                <w:shd w:val="solid" w:color="000000" w:fill="000000"/>
                <w:fitText w:val="120" w:id="-961888252"/>
                <w14:textFill>
                  <w14:solidFill>
                    <w14:srgbClr w14:val="000000">
                      <w14:alpha w14:val="100000"/>
                    </w14:srgbClr>
                  </w14:solidFill>
                </w14:textFill>
              </w:rPr>
              <w:t>|</w:t>
            </w:r>
            <w:r w:rsidRPr="00640EC9">
              <w:rPr>
                <w:rFonts w:hint="eastAsia"/>
                <w:color w:val="000000"/>
                <w:spacing w:val="2"/>
                <w:w w:val="27"/>
                <w:shd w:val="solid" w:color="000000" w:fill="000000"/>
                <w:fitText w:val="120" w:id="-961888252"/>
                <w14:textFill>
                  <w14:solidFill>
                    <w14:srgbClr w14:val="000000">
                      <w14:alpha w14:val="100000"/>
                    </w14:srgbClr>
                  </w14:solidFill>
                </w14:textFill>
              </w:rPr>
              <w:t xml:space="preserve">　</w:t>
            </w:r>
            <w:r w:rsidR="004B1CAE" w:rsidRPr="004B1CAE">
              <w:rPr>
                <w:vertAlign w:val="superscript"/>
              </w:rPr>
              <w:t>1</w:t>
            </w:r>
          </w:p>
        </w:tc>
        <w:tc>
          <w:tcPr>
            <w:tcW w:w="682" w:type="pct"/>
            <w:shd w:val="clear" w:color="auto" w:fill="auto"/>
            <w:vAlign w:val="center"/>
          </w:tcPr>
          <w:p w14:paraId="10C205E0" w14:textId="11369035" w:rsidR="00A26972" w:rsidRPr="00AB3F41" w:rsidRDefault="00640EC9" w:rsidP="00BA75EB">
            <w:pPr>
              <w:pStyle w:val="TableText0"/>
              <w:keepLines/>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4B1CAE" w:rsidRPr="004B1CAE">
              <w:rPr>
                <w:vertAlign w:val="superscript"/>
              </w:rPr>
              <w:t>1</w:t>
            </w:r>
          </w:p>
        </w:tc>
        <w:tc>
          <w:tcPr>
            <w:tcW w:w="617" w:type="pct"/>
            <w:shd w:val="clear" w:color="auto" w:fill="auto"/>
            <w:vAlign w:val="center"/>
          </w:tcPr>
          <w:p w14:paraId="7E681240" w14:textId="47292CD5"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8251"/>
                <w14:textFill>
                  <w14:solidFill>
                    <w14:srgbClr w14:val="000000">
                      <w14:alpha w14:val="100000"/>
                    </w14:srgbClr>
                  </w14:solidFill>
                </w14:textFill>
              </w:rPr>
              <w:t xml:space="preserve">　</w:t>
            </w:r>
            <w:r w:rsidRPr="00640EC9">
              <w:rPr>
                <w:color w:val="000000"/>
                <w:w w:val="15"/>
                <w:shd w:val="solid" w:color="000000" w:fill="000000"/>
                <w:fitText w:val="60" w:id="-961888251"/>
                <w14:textFill>
                  <w14:solidFill>
                    <w14:srgbClr w14:val="000000">
                      <w14:alpha w14:val="100000"/>
                    </w14:srgbClr>
                  </w14:solidFill>
                </w14:textFill>
              </w:rPr>
              <w:t>|</w:t>
            </w:r>
            <w:r w:rsidRPr="00640EC9">
              <w:rPr>
                <w:rFonts w:hint="eastAsia"/>
                <w:color w:val="000000"/>
                <w:spacing w:val="-5"/>
                <w:w w:val="15"/>
                <w:shd w:val="solid" w:color="000000" w:fill="000000"/>
                <w:fitText w:val="60" w:id="-961888251"/>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79912412" w14:textId="1992769F"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8250"/>
                <w14:textFill>
                  <w14:solidFill>
                    <w14:srgbClr w14:val="000000">
                      <w14:alpha w14:val="100000"/>
                    </w14:srgbClr>
                  </w14:solidFill>
                </w14:textFill>
              </w:rPr>
              <w:t xml:space="preserve">　</w:t>
            </w:r>
            <w:r w:rsidRPr="00640EC9">
              <w:rPr>
                <w:color w:val="000000"/>
                <w:w w:val="15"/>
                <w:shd w:val="solid" w:color="000000" w:fill="000000"/>
                <w:fitText w:val="60" w:id="-961888250"/>
                <w14:textFill>
                  <w14:solidFill>
                    <w14:srgbClr w14:val="000000">
                      <w14:alpha w14:val="100000"/>
                    </w14:srgbClr>
                  </w14:solidFill>
                </w14:textFill>
              </w:rPr>
              <w:t>|</w:t>
            </w:r>
            <w:r w:rsidRPr="00640EC9">
              <w:rPr>
                <w:rFonts w:hint="eastAsia"/>
                <w:color w:val="000000"/>
                <w:spacing w:val="-5"/>
                <w:w w:val="15"/>
                <w:shd w:val="solid" w:color="000000" w:fill="000000"/>
                <w:fitText w:val="60" w:id="-961888250"/>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5021CC6F" w14:textId="197A0ABB"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8249"/>
                <w14:textFill>
                  <w14:solidFill>
                    <w14:srgbClr w14:val="000000">
                      <w14:alpha w14:val="100000"/>
                    </w14:srgbClr>
                  </w14:solidFill>
                </w14:textFill>
              </w:rPr>
              <w:t xml:space="preserve">　</w:t>
            </w:r>
            <w:r w:rsidRPr="00640EC9">
              <w:rPr>
                <w:color w:val="000000"/>
                <w:w w:val="15"/>
                <w:shd w:val="solid" w:color="000000" w:fill="000000"/>
                <w:fitText w:val="60" w:id="-961888249"/>
                <w14:textFill>
                  <w14:solidFill>
                    <w14:srgbClr w14:val="000000">
                      <w14:alpha w14:val="100000"/>
                    </w14:srgbClr>
                  </w14:solidFill>
                </w14:textFill>
              </w:rPr>
              <w:t>|</w:t>
            </w:r>
            <w:r w:rsidRPr="00640EC9">
              <w:rPr>
                <w:rFonts w:hint="eastAsia"/>
                <w:color w:val="000000"/>
                <w:spacing w:val="-5"/>
                <w:w w:val="15"/>
                <w:shd w:val="solid" w:color="000000" w:fill="000000"/>
                <w:fitText w:val="60" w:id="-961888249"/>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3BACAEF1" w14:textId="19A24B7C"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8248"/>
                <w14:textFill>
                  <w14:solidFill>
                    <w14:srgbClr w14:val="000000">
                      <w14:alpha w14:val="100000"/>
                    </w14:srgbClr>
                  </w14:solidFill>
                </w14:textFill>
              </w:rPr>
              <w:t xml:space="preserve">　</w:t>
            </w:r>
            <w:r w:rsidRPr="00640EC9">
              <w:rPr>
                <w:color w:val="000000"/>
                <w:w w:val="15"/>
                <w:shd w:val="solid" w:color="000000" w:fill="000000"/>
                <w:fitText w:val="60" w:id="-961888248"/>
                <w14:textFill>
                  <w14:solidFill>
                    <w14:srgbClr w14:val="000000">
                      <w14:alpha w14:val="100000"/>
                    </w14:srgbClr>
                  </w14:solidFill>
                </w14:textFill>
              </w:rPr>
              <w:t>|</w:t>
            </w:r>
            <w:r w:rsidRPr="00640EC9">
              <w:rPr>
                <w:rFonts w:hint="eastAsia"/>
                <w:color w:val="000000"/>
                <w:spacing w:val="-5"/>
                <w:w w:val="15"/>
                <w:shd w:val="solid" w:color="000000" w:fill="000000"/>
                <w:fitText w:val="60" w:id="-961888248"/>
                <w14:textFill>
                  <w14:solidFill>
                    <w14:srgbClr w14:val="000000">
                      <w14:alpha w14:val="100000"/>
                    </w14:srgbClr>
                  </w14:solidFill>
                </w14:textFill>
              </w:rPr>
              <w:t xml:space="preserve">　</w:t>
            </w:r>
            <w:r w:rsidR="004B1CAE" w:rsidRPr="004B1CAE">
              <w:rPr>
                <w:szCs w:val="20"/>
                <w:vertAlign w:val="superscript"/>
              </w:rPr>
              <w:t>2</w:t>
            </w:r>
          </w:p>
        </w:tc>
        <w:tc>
          <w:tcPr>
            <w:tcW w:w="590" w:type="pct"/>
            <w:vAlign w:val="center"/>
          </w:tcPr>
          <w:p w14:paraId="6AC02D9D" w14:textId="62977E08" w:rsidR="00A26972" w:rsidRPr="00AB3F41" w:rsidRDefault="00640EC9" w:rsidP="00BA75EB">
            <w:pPr>
              <w:pStyle w:val="TableText0"/>
              <w:keepLines/>
              <w:jc w:val="center"/>
              <w:rPr>
                <w:szCs w:val="20"/>
                <w:highlight w:val="lightGray"/>
              </w:rPr>
            </w:pPr>
            <w:r w:rsidRPr="00640EC9">
              <w:rPr>
                <w:rFonts w:hint="eastAsia"/>
                <w:color w:val="000000"/>
                <w:w w:val="18"/>
                <w:shd w:val="solid" w:color="000000" w:fill="000000"/>
                <w:fitText w:val="84" w:id="-961888247"/>
                <w14:textFill>
                  <w14:solidFill>
                    <w14:srgbClr w14:val="000000">
                      <w14:alpha w14:val="100000"/>
                    </w14:srgbClr>
                  </w14:solidFill>
                </w14:textFill>
              </w:rPr>
              <w:t xml:space="preserve">　</w:t>
            </w:r>
            <w:r w:rsidRPr="00640EC9">
              <w:rPr>
                <w:color w:val="000000"/>
                <w:w w:val="18"/>
                <w:shd w:val="solid" w:color="000000" w:fill="000000"/>
                <w:fitText w:val="84" w:id="-961888247"/>
                <w14:textFill>
                  <w14:solidFill>
                    <w14:srgbClr w14:val="000000">
                      <w14:alpha w14:val="100000"/>
                    </w14:srgbClr>
                  </w14:solidFill>
                </w14:textFill>
              </w:rPr>
              <w:t>|</w:t>
            </w:r>
            <w:r w:rsidRPr="00640EC9">
              <w:rPr>
                <w:rFonts w:hint="eastAsia"/>
                <w:color w:val="000000"/>
                <w:spacing w:val="4"/>
                <w:w w:val="18"/>
                <w:shd w:val="solid" w:color="000000" w:fill="000000"/>
                <w:fitText w:val="84" w:id="-961888247"/>
                <w14:textFill>
                  <w14:solidFill>
                    <w14:srgbClr w14:val="000000">
                      <w14:alpha w14:val="100000"/>
                    </w14:srgbClr>
                  </w14:solidFill>
                </w14:textFill>
              </w:rPr>
              <w:t xml:space="preserve">　</w:t>
            </w:r>
            <w:r w:rsidR="009002D9" w:rsidRPr="009002D9">
              <w:rPr>
                <w:vertAlign w:val="superscript"/>
              </w:rPr>
              <w:t>6</w:t>
            </w:r>
          </w:p>
        </w:tc>
        <w:tc>
          <w:tcPr>
            <w:tcW w:w="339" w:type="pct"/>
            <w:vAlign w:val="center"/>
          </w:tcPr>
          <w:p w14:paraId="69A2C69C" w14:textId="77777777" w:rsidR="00A26972" w:rsidRPr="009941F8" w:rsidRDefault="00A26972" w:rsidP="00BA75EB">
            <w:pPr>
              <w:pStyle w:val="TableText0"/>
              <w:keepLines/>
              <w:jc w:val="center"/>
              <w:rPr>
                <w:szCs w:val="20"/>
              </w:rPr>
            </w:pPr>
            <w:r w:rsidRPr="009941F8">
              <w:t>-35%</w:t>
            </w:r>
          </w:p>
        </w:tc>
      </w:tr>
      <w:tr w:rsidR="00A26972" w:rsidRPr="009941F8" w14:paraId="6BDF1F71" w14:textId="77777777" w:rsidTr="00F6118B">
        <w:trPr>
          <w:tblHeader/>
        </w:trPr>
        <w:tc>
          <w:tcPr>
            <w:tcW w:w="5000" w:type="pct"/>
            <w:gridSpan w:val="9"/>
            <w:shd w:val="clear" w:color="auto" w:fill="auto"/>
            <w:vAlign w:val="center"/>
          </w:tcPr>
          <w:p w14:paraId="32B52F2A" w14:textId="77777777" w:rsidR="00A26972" w:rsidRPr="009941F8" w:rsidRDefault="00A26972" w:rsidP="00BA75EB">
            <w:pPr>
              <w:pStyle w:val="TableText0"/>
              <w:keepLines/>
              <w:rPr>
                <w:b/>
                <w:szCs w:val="20"/>
              </w:rPr>
            </w:pPr>
            <w:r w:rsidRPr="009941F8">
              <w:rPr>
                <w:b/>
                <w:szCs w:val="20"/>
              </w:rPr>
              <w:t>Proportion continuing therapy (base=20.9%)</w:t>
            </w:r>
          </w:p>
        </w:tc>
      </w:tr>
      <w:tr w:rsidR="00A26972" w:rsidRPr="009941F8" w14:paraId="47128C16" w14:textId="77777777" w:rsidTr="00F6118B">
        <w:trPr>
          <w:tblHeader/>
        </w:trPr>
        <w:tc>
          <w:tcPr>
            <w:tcW w:w="382" w:type="pct"/>
            <w:shd w:val="clear" w:color="auto" w:fill="auto"/>
            <w:vAlign w:val="center"/>
          </w:tcPr>
          <w:p w14:paraId="69C6334D" w14:textId="77777777" w:rsidR="00A26972" w:rsidRPr="009941F8" w:rsidRDefault="00A26972" w:rsidP="00BA75EB">
            <w:pPr>
              <w:pStyle w:val="TableText0"/>
              <w:keepLines/>
              <w:rPr>
                <w:szCs w:val="20"/>
              </w:rPr>
            </w:pPr>
            <w:r w:rsidRPr="009941F8">
              <w:rPr>
                <w:szCs w:val="20"/>
              </w:rPr>
              <w:t>41.8%</w:t>
            </w:r>
          </w:p>
        </w:tc>
        <w:tc>
          <w:tcPr>
            <w:tcW w:w="539" w:type="pct"/>
            <w:shd w:val="clear" w:color="auto" w:fill="auto"/>
            <w:vAlign w:val="center"/>
          </w:tcPr>
          <w:p w14:paraId="73AAF78C" w14:textId="3D80A32A" w:rsidR="00A26972" w:rsidRPr="00AB3F41" w:rsidRDefault="00640EC9" w:rsidP="00BA75EB">
            <w:pPr>
              <w:pStyle w:val="TableText0"/>
              <w:keepLines/>
              <w:jc w:val="center"/>
              <w:rPr>
                <w:szCs w:val="20"/>
                <w:highlight w:val="lightGray"/>
              </w:rPr>
            </w:pPr>
            <w:r w:rsidRPr="00640EC9">
              <w:rPr>
                <w:rFonts w:hint="eastAsia"/>
                <w:color w:val="000000"/>
                <w:w w:val="27"/>
                <w:szCs w:val="20"/>
                <w:shd w:val="solid" w:color="000000" w:fill="000000"/>
                <w:fitText w:val="120" w:id="-961888246"/>
                <w14:textFill>
                  <w14:solidFill>
                    <w14:srgbClr w14:val="000000">
                      <w14:alpha w14:val="100000"/>
                    </w14:srgbClr>
                  </w14:solidFill>
                </w14:textFill>
              </w:rPr>
              <w:t xml:space="preserve">　</w:t>
            </w:r>
            <w:r w:rsidRPr="00640EC9">
              <w:rPr>
                <w:color w:val="000000"/>
                <w:w w:val="27"/>
                <w:szCs w:val="20"/>
                <w:shd w:val="solid" w:color="000000" w:fill="000000"/>
                <w:fitText w:val="120" w:id="-961888246"/>
                <w14:textFill>
                  <w14:solidFill>
                    <w14:srgbClr w14:val="000000">
                      <w14:alpha w14:val="100000"/>
                    </w14:srgbClr>
                  </w14:solidFill>
                </w14:textFill>
              </w:rPr>
              <w:t>|</w:t>
            </w:r>
            <w:r w:rsidRPr="00640EC9">
              <w:rPr>
                <w:rFonts w:hint="eastAsia"/>
                <w:color w:val="000000"/>
                <w:spacing w:val="2"/>
                <w:w w:val="27"/>
                <w:szCs w:val="20"/>
                <w:shd w:val="solid" w:color="000000" w:fill="000000"/>
                <w:fitText w:val="120" w:id="-961888246"/>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00E7A941" w14:textId="5F2A9461" w:rsidR="00A26972" w:rsidRPr="00AB3F41" w:rsidRDefault="00640EC9" w:rsidP="00BA75EB">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4B1CAE" w:rsidRPr="004B1CAE">
              <w:rPr>
                <w:szCs w:val="20"/>
                <w:vertAlign w:val="superscript"/>
              </w:rPr>
              <w:t>2</w:t>
            </w:r>
          </w:p>
        </w:tc>
        <w:tc>
          <w:tcPr>
            <w:tcW w:w="617" w:type="pct"/>
            <w:shd w:val="clear" w:color="auto" w:fill="auto"/>
            <w:vAlign w:val="center"/>
          </w:tcPr>
          <w:p w14:paraId="5254CB99" w14:textId="1D363923"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5"/>
                <w14:textFill>
                  <w14:solidFill>
                    <w14:srgbClr w14:val="000000">
                      <w14:alpha w14:val="100000"/>
                    </w14:srgbClr>
                  </w14:solidFill>
                </w14:textFill>
              </w:rPr>
              <w:t xml:space="preserve">　</w:t>
            </w:r>
            <w:r w:rsidRPr="00640EC9">
              <w:rPr>
                <w:color w:val="000000"/>
                <w:w w:val="15"/>
                <w:szCs w:val="20"/>
                <w:shd w:val="solid" w:color="000000" w:fill="000000"/>
                <w:fitText w:val="60" w:id="-961888245"/>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5"/>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1A139423" w14:textId="6C4B9FBD"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4"/>
                <w14:textFill>
                  <w14:solidFill>
                    <w14:srgbClr w14:val="000000">
                      <w14:alpha w14:val="100000"/>
                    </w14:srgbClr>
                  </w14:solidFill>
                </w14:textFill>
              </w:rPr>
              <w:t xml:space="preserve">　</w:t>
            </w:r>
            <w:r w:rsidRPr="00640EC9">
              <w:rPr>
                <w:color w:val="000000"/>
                <w:w w:val="15"/>
                <w:szCs w:val="20"/>
                <w:shd w:val="solid" w:color="000000" w:fill="000000"/>
                <w:fitText w:val="60" w:id="-961888244"/>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4"/>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7C26C2B3" w14:textId="19BEE6C5"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3"/>
                <w14:textFill>
                  <w14:solidFill>
                    <w14:srgbClr w14:val="000000">
                      <w14:alpha w14:val="100000"/>
                    </w14:srgbClr>
                  </w14:solidFill>
                </w14:textFill>
              </w:rPr>
              <w:t xml:space="preserve">　</w:t>
            </w:r>
            <w:r w:rsidRPr="00640EC9">
              <w:rPr>
                <w:color w:val="000000"/>
                <w:w w:val="15"/>
                <w:szCs w:val="20"/>
                <w:shd w:val="solid" w:color="000000" w:fill="000000"/>
                <w:fitText w:val="60" w:id="-961888243"/>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3"/>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760851DF" w14:textId="09D6BF99"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242"/>
                <w14:textFill>
                  <w14:solidFill>
                    <w14:srgbClr w14:val="000000">
                      <w14:alpha w14:val="100000"/>
                    </w14:srgbClr>
                  </w14:solidFill>
                </w14:textFill>
              </w:rPr>
              <w:t xml:space="preserve">　</w:t>
            </w:r>
            <w:r w:rsidRPr="00640EC9">
              <w:rPr>
                <w:color w:val="000000"/>
                <w:w w:val="15"/>
                <w:szCs w:val="20"/>
                <w:shd w:val="solid" w:color="000000" w:fill="000000"/>
                <w:fitText w:val="60" w:id="-961888242"/>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242"/>
                <w14:textFill>
                  <w14:solidFill>
                    <w14:srgbClr w14:val="000000">
                      <w14:alpha w14:val="100000"/>
                    </w14:srgbClr>
                  </w14:solidFill>
                </w14:textFill>
              </w:rPr>
              <w:t xml:space="preserve">　</w:t>
            </w:r>
            <w:r w:rsidR="004B1CAE" w:rsidRPr="004B1CAE">
              <w:rPr>
                <w:szCs w:val="20"/>
                <w:vertAlign w:val="superscript"/>
              </w:rPr>
              <w:t>2</w:t>
            </w:r>
          </w:p>
        </w:tc>
        <w:tc>
          <w:tcPr>
            <w:tcW w:w="590" w:type="pct"/>
            <w:vAlign w:val="center"/>
          </w:tcPr>
          <w:p w14:paraId="3839DA2A" w14:textId="1C2C46B8"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8000"/>
                <w14:textFill>
                  <w14:solidFill>
                    <w14:srgbClr w14:val="000000">
                      <w14:alpha w14:val="100000"/>
                    </w14:srgbClr>
                  </w14:solidFill>
                </w14:textFill>
              </w:rPr>
              <w:t xml:space="preserve">　</w:t>
            </w:r>
            <w:r w:rsidRPr="00640EC9">
              <w:rPr>
                <w:color w:val="000000"/>
                <w:w w:val="18"/>
                <w:szCs w:val="20"/>
                <w:shd w:val="solid" w:color="000000" w:fill="000000"/>
                <w:fitText w:val="84" w:id="-961888000"/>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8000"/>
                <w14:textFill>
                  <w14:solidFill>
                    <w14:srgbClr w14:val="000000">
                      <w14:alpha w14:val="100000"/>
                    </w14:srgbClr>
                  </w14:solidFill>
                </w14:textFill>
              </w:rPr>
              <w:t xml:space="preserve">　</w:t>
            </w:r>
            <w:r w:rsidR="009002D9" w:rsidRPr="009002D9">
              <w:rPr>
                <w:szCs w:val="20"/>
                <w:vertAlign w:val="superscript"/>
              </w:rPr>
              <w:t>7</w:t>
            </w:r>
          </w:p>
        </w:tc>
        <w:tc>
          <w:tcPr>
            <w:tcW w:w="339" w:type="pct"/>
            <w:vAlign w:val="center"/>
          </w:tcPr>
          <w:p w14:paraId="1E73445E" w14:textId="77777777" w:rsidR="00A26972" w:rsidRPr="009941F8" w:rsidRDefault="00A26972" w:rsidP="00BA75EB">
            <w:pPr>
              <w:pStyle w:val="TableText0"/>
              <w:keepLines/>
              <w:jc w:val="center"/>
              <w:rPr>
                <w:szCs w:val="20"/>
              </w:rPr>
            </w:pPr>
            <w:r w:rsidRPr="009941F8">
              <w:rPr>
                <w:szCs w:val="20"/>
              </w:rPr>
              <w:t>17%</w:t>
            </w:r>
          </w:p>
        </w:tc>
      </w:tr>
      <w:tr w:rsidR="00A26972" w:rsidRPr="009941F8" w14:paraId="478E2466" w14:textId="77777777" w:rsidTr="00F6118B">
        <w:trPr>
          <w:tblHeader/>
        </w:trPr>
        <w:tc>
          <w:tcPr>
            <w:tcW w:w="5000" w:type="pct"/>
            <w:gridSpan w:val="9"/>
            <w:shd w:val="clear" w:color="auto" w:fill="auto"/>
            <w:vAlign w:val="center"/>
          </w:tcPr>
          <w:p w14:paraId="2D94FBD7" w14:textId="77777777" w:rsidR="00A26972" w:rsidRPr="009941F8" w:rsidRDefault="00A26972" w:rsidP="00BA75EB">
            <w:pPr>
              <w:pStyle w:val="TableText0"/>
              <w:keepLines/>
              <w:rPr>
                <w:b/>
                <w:bCs w:val="0"/>
                <w:szCs w:val="20"/>
              </w:rPr>
            </w:pPr>
            <w:r w:rsidRPr="009941F8">
              <w:rPr>
                <w:b/>
                <w:bCs w:val="0"/>
                <w:szCs w:val="20"/>
              </w:rPr>
              <w:t>Time on treatment (base 12 months)</w:t>
            </w:r>
          </w:p>
        </w:tc>
      </w:tr>
      <w:tr w:rsidR="00A26972" w:rsidRPr="009941F8" w14:paraId="73E62CC0" w14:textId="77777777" w:rsidTr="00F6118B">
        <w:trPr>
          <w:tblHeader/>
        </w:trPr>
        <w:tc>
          <w:tcPr>
            <w:tcW w:w="382" w:type="pct"/>
            <w:shd w:val="clear" w:color="auto" w:fill="auto"/>
            <w:vAlign w:val="center"/>
          </w:tcPr>
          <w:p w14:paraId="331726DC" w14:textId="77777777" w:rsidR="00A26972" w:rsidRPr="009941F8" w:rsidRDefault="00A26972" w:rsidP="00BA75EB">
            <w:pPr>
              <w:pStyle w:val="TableText0"/>
              <w:keepLines/>
              <w:rPr>
                <w:szCs w:val="20"/>
              </w:rPr>
            </w:pPr>
            <w:r w:rsidRPr="009941F8">
              <w:rPr>
                <w:szCs w:val="20"/>
              </w:rPr>
              <w:t>13.3 mths</w:t>
            </w:r>
          </w:p>
        </w:tc>
        <w:tc>
          <w:tcPr>
            <w:tcW w:w="539" w:type="pct"/>
            <w:shd w:val="clear" w:color="auto" w:fill="auto"/>
            <w:vAlign w:val="center"/>
          </w:tcPr>
          <w:p w14:paraId="1A3A9C8B" w14:textId="58CE2D82" w:rsidR="00A26972" w:rsidRPr="00AB3F41" w:rsidRDefault="00640EC9" w:rsidP="00BA75EB">
            <w:pPr>
              <w:pStyle w:val="TableText0"/>
              <w:keepLines/>
              <w:jc w:val="center"/>
              <w:rPr>
                <w:szCs w:val="20"/>
                <w:highlight w:val="lightGray"/>
              </w:rPr>
            </w:pPr>
            <w:r w:rsidRPr="00640EC9">
              <w:rPr>
                <w:rFonts w:hint="eastAsia"/>
                <w:color w:val="000000"/>
                <w:w w:val="27"/>
                <w:szCs w:val="20"/>
                <w:shd w:val="solid" w:color="000000" w:fill="000000"/>
                <w:fitText w:val="120" w:id="-961887999"/>
                <w14:textFill>
                  <w14:solidFill>
                    <w14:srgbClr w14:val="000000">
                      <w14:alpha w14:val="100000"/>
                    </w14:srgbClr>
                  </w14:solidFill>
                </w14:textFill>
              </w:rPr>
              <w:t xml:space="preserve">　</w:t>
            </w:r>
            <w:r w:rsidRPr="00640EC9">
              <w:rPr>
                <w:color w:val="000000"/>
                <w:w w:val="27"/>
                <w:szCs w:val="20"/>
                <w:shd w:val="solid" w:color="000000" w:fill="000000"/>
                <w:fitText w:val="120" w:id="-961887999"/>
                <w14:textFill>
                  <w14:solidFill>
                    <w14:srgbClr w14:val="000000">
                      <w14:alpha w14:val="100000"/>
                    </w14:srgbClr>
                  </w14:solidFill>
                </w14:textFill>
              </w:rPr>
              <w:t>|</w:t>
            </w:r>
            <w:r w:rsidRPr="00640EC9">
              <w:rPr>
                <w:rFonts w:hint="eastAsia"/>
                <w:color w:val="000000"/>
                <w:spacing w:val="2"/>
                <w:w w:val="27"/>
                <w:szCs w:val="20"/>
                <w:shd w:val="solid" w:color="000000" w:fill="000000"/>
                <w:fitText w:val="120" w:id="-961887999"/>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55943312" w14:textId="1B214709" w:rsidR="00A26972" w:rsidRPr="00AB3F41" w:rsidRDefault="00640EC9" w:rsidP="00BA75EB">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31782AAF" w14:textId="526BFC28"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8"/>
                <w14:textFill>
                  <w14:solidFill>
                    <w14:srgbClr w14:val="000000">
                      <w14:alpha w14:val="100000"/>
                    </w14:srgbClr>
                  </w14:solidFill>
                </w14:textFill>
              </w:rPr>
              <w:t xml:space="preserve">　</w:t>
            </w:r>
            <w:r w:rsidRPr="00640EC9">
              <w:rPr>
                <w:color w:val="000000"/>
                <w:w w:val="15"/>
                <w:szCs w:val="20"/>
                <w:shd w:val="solid" w:color="000000" w:fill="000000"/>
                <w:fitText w:val="60" w:id="-961887998"/>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8"/>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6A0A39B0" w14:textId="4A01D682"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7"/>
                <w14:textFill>
                  <w14:solidFill>
                    <w14:srgbClr w14:val="000000">
                      <w14:alpha w14:val="100000"/>
                    </w14:srgbClr>
                  </w14:solidFill>
                </w14:textFill>
              </w:rPr>
              <w:t xml:space="preserve">　</w:t>
            </w:r>
            <w:r w:rsidRPr="00640EC9">
              <w:rPr>
                <w:color w:val="000000"/>
                <w:w w:val="15"/>
                <w:szCs w:val="20"/>
                <w:shd w:val="solid" w:color="000000" w:fill="000000"/>
                <w:fitText w:val="60" w:id="-961887997"/>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7"/>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25540508" w14:textId="25B29710"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6"/>
                <w14:textFill>
                  <w14:solidFill>
                    <w14:srgbClr w14:val="000000">
                      <w14:alpha w14:val="100000"/>
                    </w14:srgbClr>
                  </w14:solidFill>
                </w14:textFill>
              </w:rPr>
              <w:t xml:space="preserve">　</w:t>
            </w:r>
            <w:r w:rsidRPr="00640EC9">
              <w:rPr>
                <w:color w:val="000000"/>
                <w:w w:val="15"/>
                <w:szCs w:val="20"/>
                <w:shd w:val="solid" w:color="000000" w:fill="000000"/>
                <w:fitText w:val="60" w:id="-961887996"/>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6"/>
                <w14:textFill>
                  <w14:solidFill>
                    <w14:srgbClr w14:val="000000">
                      <w14:alpha w14:val="100000"/>
                    </w14:srgbClr>
                  </w14:solidFill>
                </w14:textFill>
              </w:rPr>
              <w:t xml:space="preserve">　</w:t>
            </w:r>
            <w:r w:rsidR="004B1CAE" w:rsidRPr="004B1CAE">
              <w:rPr>
                <w:szCs w:val="20"/>
                <w:vertAlign w:val="superscript"/>
              </w:rPr>
              <w:t>2</w:t>
            </w:r>
          </w:p>
        </w:tc>
        <w:tc>
          <w:tcPr>
            <w:tcW w:w="617" w:type="pct"/>
            <w:shd w:val="clear" w:color="auto" w:fill="auto"/>
            <w:vAlign w:val="center"/>
          </w:tcPr>
          <w:p w14:paraId="2351D38F" w14:textId="30AA3987"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5"/>
                <w14:textFill>
                  <w14:solidFill>
                    <w14:srgbClr w14:val="000000">
                      <w14:alpha w14:val="100000"/>
                    </w14:srgbClr>
                  </w14:solidFill>
                </w14:textFill>
              </w:rPr>
              <w:t xml:space="preserve">　</w:t>
            </w:r>
            <w:r w:rsidRPr="00640EC9">
              <w:rPr>
                <w:color w:val="000000"/>
                <w:w w:val="15"/>
                <w:szCs w:val="20"/>
                <w:shd w:val="solid" w:color="000000" w:fill="000000"/>
                <w:fitText w:val="60" w:id="-961887995"/>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5"/>
                <w14:textFill>
                  <w14:solidFill>
                    <w14:srgbClr w14:val="000000">
                      <w14:alpha w14:val="100000"/>
                    </w14:srgbClr>
                  </w14:solidFill>
                </w14:textFill>
              </w:rPr>
              <w:t xml:space="preserve">　</w:t>
            </w:r>
            <w:r w:rsidR="004B1CAE" w:rsidRPr="004B1CAE">
              <w:rPr>
                <w:szCs w:val="20"/>
                <w:vertAlign w:val="superscript"/>
              </w:rPr>
              <w:t>2</w:t>
            </w:r>
          </w:p>
        </w:tc>
        <w:tc>
          <w:tcPr>
            <w:tcW w:w="590" w:type="pct"/>
            <w:vAlign w:val="center"/>
          </w:tcPr>
          <w:p w14:paraId="152DCBA6" w14:textId="5D396923"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7994"/>
                <w14:textFill>
                  <w14:solidFill>
                    <w14:srgbClr w14:val="000000">
                      <w14:alpha w14:val="100000"/>
                    </w14:srgbClr>
                  </w14:solidFill>
                </w14:textFill>
              </w:rPr>
              <w:t xml:space="preserve">　</w:t>
            </w:r>
            <w:r w:rsidRPr="00640EC9">
              <w:rPr>
                <w:color w:val="000000"/>
                <w:w w:val="18"/>
                <w:szCs w:val="20"/>
                <w:shd w:val="solid" w:color="000000" w:fill="000000"/>
                <w:fitText w:val="84" w:id="-961887994"/>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7994"/>
                <w14:textFill>
                  <w14:solidFill>
                    <w14:srgbClr w14:val="000000">
                      <w14:alpha w14:val="100000"/>
                    </w14:srgbClr>
                  </w14:solidFill>
                </w14:textFill>
              </w:rPr>
              <w:t xml:space="preserve">　</w:t>
            </w:r>
            <w:r w:rsidR="009002D9" w:rsidRPr="009002D9">
              <w:rPr>
                <w:szCs w:val="20"/>
                <w:vertAlign w:val="superscript"/>
              </w:rPr>
              <w:t>7</w:t>
            </w:r>
          </w:p>
        </w:tc>
        <w:tc>
          <w:tcPr>
            <w:tcW w:w="339" w:type="pct"/>
            <w:vAlign w:val="center"/>
          </w:tcPr>
          <w:p w14:paraId="18EA69B6" w14:textId="77777777" w:rsidR="00A26972" w:rsidRPr="009941F8" w:rsidRDefault="00A26972" w:rsidP="00BA75EB">
            <w:pPr>
              <w:pStyle w:val="TableText0"/>
              <w:keepLines/>
              <w:jc w:val="center"/>
              <w:rPr>
                <w:szCs w:val="20"/>
              </w:rPr>
            </w:pPr>
            <w:r w:rsidRPr="009941F8">
              <w:rPr>
                <w:szCs w:val="20"/>
              </w:rPr>
              <w:t>11%</w:t>
            </w:r>
          </w:p>
        </w:tc>
      </w:tr>
      <w:tr w:rsidR="00A26972" w:rsidRPr="009941F8" w14:paraId="6F7CF7A0" w14:textId="77777777" w:rsidTr="00F6118B">
        <w:trPr>
          <w:tblHeader/>
        </w:trPr>
        <w:tc>
          <w:tcPr>
            <w:tcW w:w="5000" w:type="pct"/>
            <w:gridSpan w:val="9"/>
            <w:shd w:val="clear" w:color="auto" w:fill="auto"/>
            <w:vAlign w:val="center"/>
          </w:tcPr>
          <w:p w14:paraId="604FC672" w14:textId="77777777" w:rsidR="00A26972" w:rsidRPr="009941F8" w:rsidRDefault="00A26972" w:rsidP="00BA75EB">
            <w:pPr>
              <w:pStyle w:val="TableText0"/>
              <w:keepLines/>
              <w:rPr>
                <w:b/>
                <w:bCs w:val="0"/>
                <w:szCs w:val="20"/>
              </w:rPr>
            </w:pPr>
            <w:r w:rsidRPr="009941F8">
              <w:rPr>
                <w:b/>
                <w:bCs w:val="0"/>
                <w:szCs w:val="20"/>
              </w:rPr>
              <w:t>Administration of anifrolumab (base MBS item 105, 8.39 additional admins per year)</w:t>
            </w:r>
          </w:p>
        </w:tc>
      </w:tr>
      <w:tr w:rsidR="00A26972" w:rsidRPr="009941F8" w14:paraId="7CAD3188" w14:textId="77777777" w:rsidTr="00F6118B">
        <w:trPr>
          <w:tblHeader/>
        </w:trPr>
        <w:tc>
          <w:tcPr>
            <w:tcW w:w="382" w:type="pct"/>
            <w:shd w:val="clear" w:color="auto" w:fill="auto"/>
            <w:vAlign w:val="center"/>
          </w:tcPr>
          <w:p w14:paraId="2834AAC4" w14:textId="77777777" w:rsidR="00A26972" w:rsidRPr="009941F8" w:rsidRDefault="00A26972" w:rsidP="00BA75EB">
            <w:pPr>
              <w:pStyle w:val="TableText0"/>
              <w:keepLines/>
              <w:rPr>
                <w:szCs w:val="20"/>
              </w:rPr>
            </w:pPr>
            <w:r w:rsidRPr="009941F8">
              <w:rPr>
                <w:szCs w:val="20"/>
              </w:rPr>
              <w:t>12.39 admin</w:t>
            </w:r>
          </w:p>
        </w:tc>
        <w:tc>
          <w:tcPr>
            <w:tcW w:w="539" w:type="pct"/>
            <w:shd w:val="clear" w:color="auto" w:fill="auto"/>
            <w:vAlign w:val="center"/>
          </w:tcPr>
          <w:p w14:paraId="0787DB93" w14:textId="40388FA6" w:rsidR="00A26972" w:rsidRPr="00AB3F41" w:rsidRDefault="00640EC9" w:rsidP="00BA75EB">
            <w:pPr>
              <w:pStyle w:val="TableText0"/>
              <w:keepLines/>
              <w:jc w:val="center"/>
              <w:rPr>
                <w:szCs w:val="20"/>
                <w:highlight w:val="lightGray"/>
              </w:rPr>
            </w:pPr>
            <w:r w:rsidRPr="00640EC9">
              <w:rPr>
                <w:rFonts w:hint="eastAsia"/>
                <w:color w:val="000000"/>
                <w:w w:val="27"/>
                <w:szCs w:val="20"/>
                <w:shd w:val="solid" w:color="000000" w:fill="000000"/>
                <w:fitText w:val="120" w:id="-961887993"/>
                <w14:textFill>
                  <w14:solidFill>
                    <w14:srgbClr w14:val="000000">
                      <w14:alpha w14:val="100000"/>
                    </w14:srgbClr>
                  </w14:solidFill>
                </w14:textFill>
              </w:rPr>
              <w:t xml:space="preserve">　</w:t>
            </w:r>
            <w:r w:rsidRPr="00640EC9">
              <w:rPr>
                <w:color w:val="000000"/>
                <w:w w:val="27"/>
                <w:szCs w:val="20"/>
                <w:shd w:val="solid" w:color="000000" w:fill="000000"/>
                <w:fitText w:val="120" w:id="-961887993"/>
                <w14:textFill>
                  <w14:solidFill>
                    <w14:srgbClr w14:val="000000">
                      <w14:alpha w14:val="100000"/>
                    </w14:srgbClr>
                  </w14:solidFill>
                </w14:textFill>
              </w:rPr>
              <w:t>|</w:t>
            </w:r>
            <w:r w:rsidRPr="00640EC9">
              <w:rPr>
                <w:rFonts w:hint="eastAsia"/>
                <w:color w:val="000000"/>
                <w:spacing w:val="2"/>
                <w:w w:val="27"/>
                <w:szCs w:val="20"/>
                <w:shd w:val="solid" w:color="000000" w:fill="000000"/>
                <w:fitText w:val="120" w:id="-961887993"/>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01FF5CFD" w14:textId="20C028E3" w:rsidR="00A26972" w:rsidRPr="00AB3F41" w:rsidRDefault="00640EC9" w:rsidP="00BA75EB">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3C9F0D6F" w14:textId="6326CCA3"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2"/>
                <w14:textFill>
                  <w14:solidFill>
                    <w14:srgbClr w14:val="000000">
                      <w14:alpha w14:val="100000"/>
                    </w14:srgbClr>
                  </w14:solidFill>
                </w14:textFill>
              </w:rPr>
              <w:t xml:space="preserve">　</w:t>
            </w:r>
            <w:r w:rsidRPr="00640EC9">
              <w:rPr>
                <w:color w:val="000000"/>
                <w:w w:val="15"/>
                <w:szCs w:val="20"/>
                <w:shd w:val="solid" w:color="000000" w:fill="000000"/>
                <w:fitText w:val="60" w:id="-961887992"/>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2"/>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3CD325A8" w14:textId="4E8087C3"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1"/>
                <w14:textFill>
                  <w14:solidFill>
                    <w14:srgbClr w14:val="000000">
                      <w14:alpha w14:val="100000"/>
                    </w14:srgbClr>
                  </w14:solidFill>
                </w14:textFill>
              </w:rPr>
              <w:t xml:space="preserve">　</w:t>
            </w:r>
            <w:r w:rsidRPr="00640EC9">
              <w:rPr>
                <w:color w:val="000000"/>
                <w:w w:val="15"/>
                <w:szCs w:val="20"/>
                <w:shd w:val="solid" w:color="000000" w:fill="000000"/>
                <w:fitText w:val="60" w:id="-961887991"/>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1"/>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0B586FB5" w14:textId="5C2EF726"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90"/>
                <w14:textFill>
                  <w14:solidFill>
                    <w14:srgbClr w14:val="000000">
                      <w14:alpha w14:val="100000"/>
                    </w14:srgbClr>
                  </w14:solidFill>
                </w14:textFill>
              </w:rPr>
              <w:t xml:space="preserve">　</w:t>
            </w:r>
            <w:r w:rsidRPr="00640EC9">
              <w:rPr>
                <w:color w:val="000000"/>
                <w:w w:val="15"/>
                <w:szCs w:val="20"/>
                <w:shd w:val="solid" w:color="000000" w:fill="000000"/>
                <w:fitText w:val="60" w:id="-961887990"/>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90"/>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5AC225C7" w14:textId="3A7C64B5"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89"/>
                <w14:textFill>
                  <w14:solidFill>
                    <w14:srgbClr w14:val="000000">
                      <w14:alpha w14:val="100000"/>
                    </w14:srgbClr>
                  </w14:solidFill>
                </w14:textFill>
              </w:rPr>
              <w:t xml:space="preserve">　</w:t>
            </w:r>
            <w:r w:rsidRPr="00640EC9">
              <w:rPr>
                <w:color w:val="000000"/>
                <w:w w:val="15"/>
                <w:szCs w:val="20"/>
                <w:shd w:val="solid" w:color="000000" w:fill="000000"/>
                <w:fitText w:val="60" w:id="-961887989"/>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89"/>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653037E1" w14:textId="3D6DCAC0"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7988"/>
                <w14:textFill>
                  <w14:solidFill>
                    <w14:srgbClr w14:val="000000">
                      <w14:alpha w14:val="100000"/>
                    </w14:srgbClr>
                  </w14:solidFill>
                </w14:textFill>
              </w:rPr>
              <w:t xml:space="preserve">　</w:t>
            </w:r>
            <w:r w:rsidRPr="00640EC9">
              <w:rPr>
                <w:color w:val="000000"/>
                <w:w w:val="18"/>
                <w:szCs w:val="20"/>
                <w:shd w:val="solid" w:color="000000" w:fill="000000"/>
                <w:fitText w:val="84" w:id="-961887988"/>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7988"/>
                <w14:textFill>
                  <w14:solidFill>
                    <w14:srgbClr w14:val="000000">
                      <w14:alpha w14:val="100000"/>
                    </w14:srgbClr>
                  </w14:solidFill>
                </w14:textFill>
              </w:rPr>
              <w:t xml:space="preserve">　</w:t>
            </w:r>
            <w:r w:rsidR="009002D9" w:rsidRPr="009002D9">
              <w:rPr>
                <w:szCs w:val="20"/>
                <w:vertAlign w:val="superscript"/>
              </w:rPr>
              <w:t>3</w:t>
            </w:r>
          </w:p>
        </w:tc>
        <w:tc>
          <w:tcPr>
            <w:tcW w:w="339" w:type="pct"/>
            <w:vAlign w:val="center"/>
          </w:tcPr>
          <w:p w14:paraId="05DCA4DC" w14:textId="77777777" w:rsidR="00A26972" w:rsidRPr="009941F8" w:rsidRDefault="00A26972" w:rsidP="00BA75EB">
            <w:pPr>
              <w:pStyle w:val="TableText0"/>
              <w:keepLines/>
              <w:jc w:val="center"/>
              <w:rPr>
                <w:szCs w:val="20"/>
              </w:rPr>
            </w:pPr>
            <w:r w:rsidRPr="009941F8">
              <w:rPr>
                <w:szCs w:val="20"/>
              </w:rPr>
              <w:t>1.2%</w:t>
            </w:r>
          </w:p>
        </w:tc>
      </w:tr>
      <w:tr w:rsidR="00A26972" w:rsidRPr="009941F8" w14:paraId="52F36012" w14:textId="77777777" w:rsidTr="00F6118B">
        <w:trPr>
          <w:tblHeader/>
        </w:trPr>
        <w:tc>
          <w:tcPr>
            <w:tcW w:w="382" w:type="pct"/>
            <w:shd w:val="clear" w:color="auto" w:fill="auto"/>
            <w:vAlign w:val="center"/>
          </w:tcPr>
          <w:p w14:paraId="1B5235A8" w14:textId="77777777" w:rsidR="00A26972" w:rsidRPr="009941F8" w:rsidRDefault="00A26972" w:rsidP="00BA75EB">
            <w:pPr>
              <w:pStyle w:val="TableText0"/>
              <w:keepLines/>
              <w:rPr>
                <w:szCs w:val="20"/>
              </w:rPr>
            </w:pPr>
            <w:r w:rsidRPr="009941F8">
              <w:rPr>
                <w:szCs w:val="20"/>
              </w:rPr>
              <w:t>MBS 14245</w:t>
            </w:r>
          </w:p>
        </w:tc>
        <w:tc>
          <w:tcPr>
            <w:tcW w:w="539" w:type="pct"/>
            <w:shd w:val="clear" w:color="auto" w:fill="auto"/>
            <w:vAlign w:val="center"/>
          </w:tcPr>
          <w:p w14:paraId="3BE11C43" w14:textId="16B9DB8E" w:rsidR="00A26972" w:rsidRPr="00AB3F41" w:rsidRDefault="00640EC9" w:rsidP="00BA75EB">
            <w:pPr>
              <w:pStyle w:val="TableText0"/>
              <w:keepLines/>
              <w:jc w:val="center"/>
              <w:rPr>
                <w:szCs w:val="20"/>
                <w:highlight w:val="lightGray"/>
              </w:rPr>
            </w:pPr>
            <w:r w:rsidRPr="00640EC9">
              <w:rPr>
                <w:rFonts w:hint="eastAsia"/>
                <w:color w:val="000000"/>
                <w:w w:val="27"/>
                <w:szCs w:val="20"/>
                <w:shd w:val="solid" w:color="000000" w:fill="000000"/>
                <w:fitText w:val="120" w:id="-961887987"/>
                <w14:textFill>
                  <w14:solidFill>
                    <w14:srgbClr w14:val="000000">
                      <w14:alpha w14:val="100000"/>
                    </w14:srgbClr>
                  </w14:solidFill>
                </w14:textFill>
              </w:rPr>
              <w:t xml:space="preserve">　</w:t>
            </w:r>
            <w:r w:rsidRPr="00640EC9">
              <w:rPr>
                <w:color w:val="000000"/>
                <w:w w:val="27"/>
                <w:szCs w:val="20"/>
                <w:shd w:val="solid" w:color="000000" w:fill="000000"/>
                <w:fitText w:val="120" w:id="-961887987"/>
                <w14:textFill>
                  <w14:solidFill>
                    <w14:srgbClr w14:val="000000">
                      <w14:alpha w14:val="100000"/>
                    </w14:srgbClr>
                  </w14:solidFill>
                </w14:textFill>
              </w:rPr>
              <w:t>|</w:t>
            </w:r>
            <w:r w:rsidRPr="00640EC9">
              <w:rPr>
                <w:rFonts w:hint="eastAsia"/>
                <w:color w:val="000000"/>
                <w:spacing w:val="2"/>
                <w:w w:val="27"/>
                <w:szCs w:val="20"/>
                <w:shd w:val="solid" w:color="000000" w:fill="000000"/>
                <w:fitText w:val="120" w:id="-961887987"/>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460612F3" w14:textId="0CDDC858" w:rsidR="00A26972" w:rsidRPr="00AB3F41" w:rsidRDefault="00640EC9" w:rsidP="00BA75EB">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7211E198" w14:textId="5CFB102F"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86"/>
                <w14:textFill>
                  <w14:solidFill>
                    <w14:srgbClr w14:val="000000">
                      <w14:alpha w14:val="100000"/>
                    </w14:srgbClr>
                  </w14:solidFill>
                </w14:textFill>
              </w:rPr>
              <w:t xml:space="preserve">　</w:t>
            </w:r>
            <w:r w:rsidRPr="00640EC9">
              <w:rPr>
                <w:color w:val="000000"/>
                <w:w w:val="15"/>
                <w:szCs w:val="20"/>
                <w:shd w:val="solid" w:color="000000" w:fill="000000"/>
                <w:fitText w:val="60" w:id="-961887986"/>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86"/>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330884F2" w14:textId="227C7827"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85"/>
                <w14:textFill>
                  <w14:solidFill>
                    <w14:srgbClr w14:val="000000">
                      <w14:alpha w14:val="100000"/>
                    </w14:srgbClr>
                  </w14:solidFill>
                </w14:textFill>
              </w:rPr>
              <w:t xml:space="preserve">　</w:t>
            </w:r>
            <w:r w:rsidRPr="00640EC9">
              <w:rPr>
                <w:color w:val="000000"/>
                <w:w w:val="15"/>
                <w:szCs w:val="20"/>
                <w:shd w:val="solid" w:color="000000" w:fill="000000"/>
                <w:fitText w:val="60" w:id="-961887985"/>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85"/>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68E11426" w14:textId="6DAFFEBF"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7984"/>
                <w14:textFill>
                  <w14:solidFill>
                    <w14:srgbClr w14:val="000000">
                      <w14:alpha w14:val="100000"/>
                    </w14:srgbClr>
                  </w14:solidFill>
                </w14:textFill>
              </w:rPr>
              <w:t xml:space="preserve">　</w:t>
            </w:r>
            <w:r w:rsidRPr="00640EC9">
              <w:rPr>
                <w:color w:val="000000"/>
                <w:w w:val="15"/>
                <w:szCs w:val="20"/>
                <w:shd w:val="solid" w:color="000000" w:fill="000000"/>
                <w:fitText w:val="60" w:id="-961887984"/>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7984"/>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1DCEE6A6" w14:textId="59C42217" w:rsidR="00A26972" w:rsidRPr="00AB3F41" w:rsidRDefault="00640EC9" w:rsidP="00BA75EB">
            <w:pPr>
              <w:pStyle w:val="TableText0"/>
              <w:keepLines/>
              <w:jc w:val="center"/>
              <w:rPr>
                <w:szCs w:val="20"/>
                <w:highlight w:val="lightGray"/>
              </w:rPr>
            </w:pPr>
            <w:r w:rsidRPr="00640EC9">
              <w:rPr>
                <w:rFonts w:hint="eastAsia"/>
                <w:color w:val="000000"/>
                <w:w w:val="15"/>
                <w:szCs w:val="20"/>
                <w:shd w:val="solid" w:color="000000" w:fill="000000"/>
                <w:fitText w:val="60" w:id="-961888000"/>
                <w14:textFill>
                  <w14:solidFill>
                    <w14:srgbClr w14:val="000000">
                      <w14:alpha w14:val="100000"/>
                    </w14:srgbClr>
                  </w14:solidFill>
                </w14:textFill>
              </w:rPr>
              <w:t xml:space="preserve">　</w:t>
            </w:r>
            <w:r w:rsidRPr="00640EC9">
              <w:rPr>
                <w:color w:val="000000"/>
                <w:w w:val="15"/>
                <w:szCs w:val="20"/>
                <w:shd w:val="solid" w:color="000000" w:fill="000000"/>
                <w:fitText w:val="60" w:id="-961888000"/>
                <w14:textFill>
                  <w14:solidFill>
                    <w14:srgbClr w14:val="000000">
                      <w14:alpha w14:val="100000"/>
                    </w14:srgbClr>
                  </w14:solidFill>
                </w14:textFill>
              </w:rPr>
              <w:t>|</w:t>
            </w:r>
            <w:r w:rsidRPr="00640EC9">
              <w:rPr>
                <w:rFonts w:hint="eastAsia"/>
                <w:color w:val="000000"/>
                <w:spacing w:val="-5"/>
                <w:w w:val="15"/>
                <w:szCs w:val="20"/>
                <w:shd w:val="solid" w:color="000000" w:fill="000000"/>
                <w:fitText w:val="60" w:id="-961888000"/>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257336EA" w14:textId="56F14AAE" w:rsidR="00A26972" w:rsidRPr="00AB3F41" w:rsidRDefault="00640EC9" w:rsidP="00BA75EB">
            <w:pPr>
              <w:pStyle w:val="TableText0"/>
              <w:keepLines/>
              <w:jc w:val="center"/>
              <w:rPr>
                <w:szCs w:val="20"/>
                <w:highlight w:val="lightGray"/>
              </w:rPr>
            </w:pPr>
            <w:r w:rsidRPr="00640EC9">
              <w:rPr>
                <w:rFonts w:hint="eastAsia"/>
                <w:color w:val="000000"/>
                <w:w w:val="18"/>
                <w:szCs w:val="20"/>
                <w:shd w:val="solid" w:color="000000" w:fill="000000"/>
                <w:fitText w:val="84" w:id="-961887999"/>
                <w14:textFill>
                  <w14:solidFill>
                    <w14:srgbClr w14:val="000000">
                      <w14:alpha w14:val="100000"/>
                    </w14:srgbClr>
                  </w14:solidFill>
                </w14:textFill>
              </w:rPr>
              <w:t xml:space="preserve">　</w:t>
            </w:r>
            <w:r w:rsidRPr="00640EC9">
              <w:rPr>
                <w:color w:val="000000"/>
                <w:w w:val="18"/>
                <w:szCs w:val="20"/>
                <w:shd w:val="solid" w:color="000000" w:fill="000000"/>
                <w:fitText w:val="84" w:id="-961887999"/>
                <w14:textFill>
                  <w14:solidFill>
                    <w14:srgbClr w14:val="000000">
                      <w14:alpha w14:val="100000"/>
                    </w14:srgbClr>
                  </w14:solidFill>
                </w14:textFill>
              </w:rPr>
              <w:t>|</w:t>
            </w:r>
            <w:r w:rsidRPr="00640EC9">
              <w:rPr>
                <w:rFonts w:hint="eastAsia"/>
                <w:color w:val="000000"/>
                <w:spacing w:val="4"/>
                <w:w w:val="18"/>
                <w:szCs w:val="20"/>
                <w:shd w:val="solid" w:color="000000" w:fill="000000"/>
                <w:fitText w:val="84" w:id="-961887999"/>
                <w14:textFill>
                  <w14:solidFill>
                    <w14:srgbClr w14:val="000000">
                      <w14:alpha w14:val="100000"/>
                    </w14:srgbClr>
                  </w14:solidFill>
                </w14:textFill>
              </w:rPr>
              <w:t xml:space="preserve">　</w:t>
            </w:r>
            <w:r w:rsidR="009002D9" w:rsidRPr="009002D9">
              <w:rPr>
                <w:szCs w:val="20"/>
                <w:vertAlign w:val="superscript"/>
              </w:rPr>
              <w:t>3</w:t>
            </w:r>
          </w:p>
        </w:tc>
        <w:tc>
          <w:tcPr>
            <w:tcW w:w="339" w:type="pct"/>
            <w:vAlign w:val="center"/>
          </w:tcPr>
          <w:p w14:paraId="500E62DC" w14:textId="77777777" w:rsidR="00A26972" w:rsidRPr="009941F8" w:rsidRDefault="00A26972" w:rsidP="00BA75EB">
            <w:pPr>
              <w:pStyle w:val="TableText0"/>
              <w:keepLines/>
              <w:jc w:val="center"/>
              <w:rPr>
                <w:szCs w:val="20"/>
              </w:rPr>
            </w:pPr>
            <w:r w:rsidRPr="009941F8">
              <w:rPr>
                <w:szCs w:val="20"/>
              </w:rPr>
              <w:t>5.9%</w:t>
            </w:r>
          </w:p>
        </w:tc>
      </w:tr>
      <w:tr w:rsidR="00A26972" w:rsidRPr="009941F8" w14:paraId="3017990A" w14:textId="77777777" w:rsidTr="00F6118B">
        <w:trPr>
          <w:tblHeader/>
        </w:trPr>
        <w:tc>
          <w:tcPr>
            <w:tcW w:w="5000" w:type="pct"/>
            <w:gridSpan w:val="9"/>
            <w:shd w:val="clear" w:color="auto" w:fill="auto"/>
            <w:vAlign w:val="center"/>
          </w:tcPr>
          <w:p w14:paraId="5DB97DAF" w14:textId="6AA7372A" w:rsidR="00A26972" w:rsidRPr="009941F8" w:rsidRDefault="00A26972" w:rsidP="00BA75EB">
            <w:pPr>
              <w:pStyle w:val="TableText0"/>
              <w:keepLines/>
              <w:rPr>
                <w:b/>
                <w:bCs w:val="0"/>
                <w:szCs w:val="20"/>
              </w:rPr>
            </w:pPr>
            <w:r w:rsidRPr="009941F8">
              <w:rPr>
                <w:b/>
                <w:bCs w:val="0"/>
                <w:szCs w:val="20"/>
              </w:rPr>
              <w:t xml:space="preserve">Cost anifrolumab (base public </w:t>
            </w:r>
            <w:r w:rsidRPr="00A14BC4">
              <w:rPr>
                <w:b/>
                <w:bCs w:val="0"/>
                <w:szCs w:val="20"/>
              </w:rPr>
              <w:t>DPMQ $</w:t>
            </w:r>
            <w:r w:rsidR="00640EC9" w:rsidRPr="00640EC9">
              <w:rPr>
                <w:b/>
                <w:bCs w:val="0"/>
                <w:color w:val="000000"/>
                <w:spacing w:val="58"/>
                <w:szCs w:val="20"/>
                <w:shd w:val="solid" w:color="000000" w:fill="000000"/>
                <w:fitText w:val="360" w:id="-961887998"/>
                <w14:textFill>
                  <w14:solidFill>
                    <w14:srgbClr w14:val="000000">
                      <w14:alpha w14:val="100000"/>
                    </w14:srgbClr>
                  </w14:solidFill>
                </w14:textFill>
              </w:rPr>
              <w:t>|||</w:t>
            </w:r>
            <w:r w:rsidR="00640EC9" w:rsidRPr="00640EC9">
              <w:rPr>
                <w:b/>
                <w:bCs w:val="0"/>
                <w:color w:val="000000"/>
                <w:spacing w:val="3"/>
                <w:szCs w:val="20"/>
                <w:shd w:val="solid" w:color="000000" w:fill="000000"/>
                <w:fitText w:val="360" w:id="-961887998"/>
                <w14:textFill>
                  <w14:solidFill>
                    <w14:srgbClr w14:val="000000">
                      <w14:alpha w14:val="100000"/>
                    </w14:srgbClr>
                  </w14:solidFill>
                </w14:textFill>
              </w:rPr>
              <w:t>|</w:t>
            </w:r>
            <w:r w:rsidRPr="00A14BC4">
              <w:rPr>
                <w:b/>
                <w:bCs w:val="0"/>
                <w:szCs w:val="20"/>
              </w:rPr>
              <w:t>)</w:t>
            </w:r>
          </w:p>
        </w:tc>
      </w:tr>
      <w:tr w:rsidR="00A26972" w:rsidRPr="009941F8" w14:paraId="04ECC0AA" w14:textId="77777777" w:rsidTr="00233562">
        <w:trPr>
          <w:tblHeader/>
        </w:trPr>
        <w:tc>
          <w:tcPr>
            <w:tcW w:w="382" w:type="pct"/>
            <w:shd w:val="clear" w:color="auto" w:fill="auto"/>
            <w:vAlign w:val="center"/>
          </w:tcPr>
          <w:p w14:paraId="1456CEC8" w14:textId="5B9DF43D" w:rsidR="00A26972" w:rsidRPr="00AB3F41" w:rsidRDefault="00CF13C6" w:rsidP="00233562">
            <w:pPr>
              <w:pStyle w:val="TableText0"/>
              <w:keepLines/>
              <w:jc w:val="center"/>
              <w:rPr>
                <w:szCs w:val="20"/>
                <w:highlight w:val="lightGray"/>
              </w:rPr>
            </w:pPr>
            <w:r w:rsidRPr="00640EC9">
              <w:rPr>
                <w:color w:val="000000"/>
                <w:szCs w:val="20"/>
                <w:shd w:val="solid" w:color="000000" w:fill="000000"/>
                <w14:textFill>
                  <w14:solidFill>
                    <w14:srgbClr w14:val="000000">
                      <w14:alpha w14:val="100000"/>
                    </w14:srgbClr>
                  </w14:solidFill>
                </w14:textFill>
              </w:rPr>
              <w:t>|</w:t>
            </w:r>
          </w:p>
        </w:tc>
        <w:tc>
          <w:tcPr>
            <w:tcW w:w="539" w:type="pct"/>
            <w:shd w:val="clear" w:color="auto" w:fill="auto"/>
            <w:vAlign w:val="center"/>
          </w:tcPr>
          <w:p w14:paraId="61478055" w14:textId="0CA77285" w:rsidR="00A26972" w:rsidRPr="00AB3F41" w:rsidRDefault="00640EC9" w:rsidP="00BA75EB">
            <w:pPr>
              <w:pStyle w:val="TableText0"/>
              <w:keepLines/>
              <w:jc w:val="center"/>
              <w:rPr>
                <w:szCs w:val="20"/>
                <w:highlight w:val="lightGray"/>
              </w:rPr>
            </w:pPr>
            <w:r w:rsidRPr="00640EC9">
              <w:rPr>
                <w:rFonts w:hint="eastAsia"/>
                <w:color w:val="000000"/>
                <w:w w:val="27"/>
                <w:shd w:val="solid" w:color="000000" w:fill="000000"/>
                <w:fitText w:val="120" w:id="-961887996"/>
                <w14:textFill>
                  <w14:solidFill>
                    <w14:srgbClr w14:val="000000">
                      <w14:alpha w14:val="100000"/>
                    </w14:srgbClr>
                  </w14:solidFill>
                </w14:textFill>
              </w:rPr>
              <w:t xml:space="preserve">　</w:t>
            </w:r>
            <w:r w:rsidRPr="00640EC9">
              <w:rPr>
                <w:color w:val="000000"/>
                <w:w w:val="27"/>
                <w:shd w:val="solid" w:color="000000" w:fill="000000"/>
                <w:fitText w:val="120" w:id="-961887996"/>
                <w14:textFill>
                  <w14:solidFill>
                    <w14:srgbClr w14:val="000000">
                      <w14:alpha w14:val="100000"/>
                    </w14:srgbClr>
                  </w14:solidFill>
                </w14:textFill>
              </w:rPr>
              <w:t>|</w:t>
            </w:r>
            <w:r w:rsidRPr="00640EC9">
              <w:rPr>
                <w:rFonts w:hint="eastAsia"/>
                <w:color w:val="000000"/>
                <w:spacing w:val="2"/>
                <w:w w:val="27"/>
                <w:shd w:val="solid" w:color="000000" w:fill="000000"/>
                <w:fitText w:val="120" w:id="-961887996"/>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0F132721" w14:textId="3597D216" w:rsidR="00A26972" w:rsidRPr="00AB3F41" w:rsidRDefault="00640EC9" w:rsidP="00BA75EB">
            <w:pPr>
              <w:pStyle w:val="TableText0"/>
              <w:keepLines/>
              <w:jc w:val="center"/>
              <w:rPr>
                <w:szCs w:val="20"/>
                <w:highlight w:val="lightGray"/>
              </w:rPr>
            </w:pPr>
            <w:r w:rsidRPr="00640EC9">
              <w:rPr>
                <w:color w:val="00000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6CD0E631" w14:textId="65FF0E63"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7995"/>
                <w14:textFill>
                  <w14:solidFill>
                    <w14:srgbClr w14:val="000000">
                      <w14:alpha w14:val="100000"/>
                    </w14:srgbClr>
                  </w14:solidFill>
                </w14:textFill>
              </w:rPr>
              <w:t xml:space="preserve">　</w:t>
            </w:r>
            <w:r w:rsidRPr="00640EC9">
              <w:rPr>
                <w:color w:val="000000"/>
                <w:w w:val="15"/>
                <w:shd w:val="solid" w:color="000000" w:fill="000000"/>
                <w:fitText w:val="60" w:id="-961887995"/>
                <w14:textFill>
                  <w14:solidFill>
                    <w14:srgbClr w14:val="000000">
                      <w14:alpha w14:val="100000"/>
                    </w14:srgbClr>
                  </w14:solidFill>
                </w14:textFill>
              </w:rPr>
              <w:t>|</w:t>
            </w:r>
            <w:r w:rsidRPr="00640EC9">
              <w:rPr>
                <w:rFonts w:hint="eastAsia"/>
                <w:color w:val="000000"/>
                <w:spacing w:val="-5"/>
                <w:w w:val="15"/>
                <w:shd w:val="solid" w:color="000000" w:fill="000000"/>
                <w:fitText w:val="60" w:id="-961887995"/>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251BD166" w14:textId="77603014"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7994"/>
                <w14:textFill>
                  <w14:solidFill>
                    <w14:srgbClr w14:val="000000">
                      <w14:alpha w14:val="100000"/>
                    </w14:srgbClr>
                  </w14:solidFill>
                </w14:textFill>
              </w:rPr>
              <w:t xml:space="preserve">　</w:t>
            </w:r>
            <w:r w:rsidRPr="00640EC9">
              <w:rPr>
                <w:color w:val="000000"/>
                <w:w w:val="15"/>
                <w:shd w:val="solid" w:color="000000" w:fill="000000"/>
                <w:fitText w:val="60" w:id="-961887994"/>
                <w14:textFill>
                  <w14:solidFill>
                    <w14:srgbClr w14:val="000000">
                      <w14:alpha w14:val="100000"/>
                    </w14:srgbClr>
                  </w14:solidFill>
                </w14:textFill>
              </w:rPr>
              <w:t>|</w:t>
            </w:r>
            <w:r w:rsidRPr="00640EC9">
              <w:rPr>
                <w:rFonts w:hint="eastAsia"/>
                <w:color w:val="000000"/>
                <w:spacing w:val="-5"/>
                <w:w w:val="15"/>
                <w:shd w:val="solid" w:color="000000" w:fill="000000"/>
                <w:fitText w:val="60" w:id="-961887994"/>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373D099A" w14:textId="7DCAF866"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7993"/>
                <w14:textFill>
                  <w14:solidFill>
                    <w14:srgbClr w14:val="000000">
                      <w14:alpha w14:val="100000"/>
                    </w14:srgbClr>
                  </w14:solidFill>
                </w14:textFill>
              </w:rPr>
              <w:t xml:space="preserve">　</w:t>
            </w:r>
            <w:r w:rsidRPr="00640EC9">
              <w:rPr>
                <w:color w:val="000000"/>
                <w:w w:val="15"/>
                <w:shd w:val="solid" w:color="000000" w:fill="000000"/>
                <w:fitText w:val="60" w:id="-961887993"/>
                <w14:textFill>
                  <w14:solidFill>
                    <w14:srgbClr w14:val="000000">
                      <w14:alpha w14:val="100000"/>
                    </w14:srgbClr>
                  </w14:solidFill>
                </w14:textFill>
              </w:rPr>
              <w:t>|</w:t>
            </w:r>
            <w:r w:rsidRPr="00640EC9">
              <w:rPr>
                <w:rFonts w:hint="eastAsia"/>
                <w:color w:val="000000"/>
                <w:spacing w:val="-5"/>
                <w:w w:val="15"/>
                <w:shd w:val="solid" w:color="000000" w:fill="000000"/>
                <w:fitText w:val="60" w:id="-961887993"/>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3BA620BA" w14:textId="2FB627A5" w:rsidR="00A26972" w:rsidRPr="00AB3F41" w:rsidRDefault="00640EC9" w:rsidP="00BA75EB">
            <w:pPr>
              <w:pStyle w:val="TableText0"/>
              <w:keepLines/>
              <w:jc w:val="center"/>
              <w:rPr>
                <w:szCs w:val="20"/>
                <w:highlight w:val="lightGray"/>
              </w:rPr>
            </w:pPr>
            <w:r w:rsidRPr="00640EC9">
              <w:rPr>
                <w:rFonts w:hint="eastAsia"/>
                <w:color w:val="000000"/>
                <w:w w:val="15"/>
                <w:shd w:val="solid" w:color="000000" w:fill="000000"/>
                <w:fitText w:val="60" w:id="-961887992"/>
                <w14:textFill>
                  <w14:solidFill>
                    <w14:srgbClr w14:val="000000">
                      <w14:alpha w14:val="100000"/>
                    </w14:srgbClr>
                  </w14:solidFill>
                </w14:textFill>
              </w:rPr>
              <w:t xml:space="preserve">　</w:t>
            </w:r>
            <w:r w:rsidRPr="00640EC9">
              <w:rPr>
                <w:color w:val="000000"/>
                <w:w w:val="15"/>
                <w:shd w:val="solid" w:color="000000" w:fill="000000"/>
                <w:fitText w:val="60" w:id="-961887992"/>
                <w14:textFill>
                  <w14:solidFill>
                    <w14:srgbClr w14:val="000000">
                      <w14:alpha w14:val="100000"/>
                    </w14:srgbClr>
                  </w14:solidFill>
                </w14:textFill>
              </w:rPr>
              <w:t>|</w:t>
            </w:r>
            <w:r w:rsidRPr="00640EC9">
              <w:rPr>
                <w:rFonts w:hint="eastAsia"/>
                <w:color w:val="000000"/>
                <w:spacing w:val="-5"/>
                <w:w w:val="15"/>
                <w:shd w:val="solid" w:color="000000" w:fill="000000"/>
                <w:fitText w:val="60" w:id="-961887992"/>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6F4259DB" w14:textId="29A140A4" w:rsidR="00A26972" w:rsidRPr="00AB3F41" w:rsidRDefault="00640EC9" w:rsidP="00BA75EB">
            <w:pPr>
              <w:pStyle w:val="TableText0"/>
              <w:keepLines/>
              <w:jc w:val="center"/>
              <w:rPr>
                <w:szCs w:val="20"/>
                <w:highlight w:val="lightGray"/>
              </w:rPr>
            </w:pPr>
            <w:r w:rsidRPr="00640EC9">
              <w:rPr>
                <w:rFonts w:hint="eastAsia"/>
                <w:color w:val="000000"/>
                <w:w w:val="18"/>
                <w:shd w:val="solid" w:color="000000" w:fill="000000"/>
                <w:fitText w:val="84" w:id="-961887991"/>
                <w14:textFill>
                  <w14:solidFill>
                    <w14:srgbClr w14:val="000000">
                      <w14:alpha w14:val="100000"/>
                    </w14:srgbClr>
                  </w14:solidFill>
                </w14:textFill>
              </w:rPr>
              <w:t xml:space="preserve">　</w:t>
            </w:r>
            <w:r w:rsidRPr="00640EC9">
              <w:rPr>
                <w:color w:val="000000"/>
                <w:w w:val="18"/>
                <w:shd w:val="solid" w:color="000000" w:fill="000000"/>
                <w:fitText w:val="84" w:id="-961887991"/>
                <w14:textFill>
                  <w14:solidFill>
                    <w14:srgbClr w14:val="000000">
                      <w14:alpha w14:val="100000"/>
                    </w14:srgbClr>
                  </w14:solidFill>
                </w14:textFill>
              </w:rPr>
              <w:t>|</w:t>
            </w:r>
            <w:r w:rsidRPr="00640EC9">
              <w:rPr>
                <w:rFonts w:hint="eastAsia"/>
                <w:color w:val="000000"/>
                <w:spacing w:val="4"/>
                <w:w w:val="18"/>
                <w:shd w:val="solid" w:color="000000" w:fill="000000"/>
                <w:fitText w:val="84" w:id="-961887991"/>
                <w14:textFill>
                  <w14:solidFill>
                    <w14:srgbClr w14:val="000000">
                      <w14:alpha w14:val="100000"/>
                    </w14:srgbClr>
                  </w14:solidFill>
                </w14:textFill>
              </w:rPr>
              <w:t xml:space="preserve">　</w:t>
            </w:r>
            <w:r w:rsidR="003F1929" w:rsidRPr="003F1929">
              <w:rPr>
                <w:vertAlign w:val="superscript"/>
              </w:rPr>
              <w:t>8</w:t>
            </w:r>
          </w:p>
        </w:tc>
        <w:tc>
          <w:tcPr>
            <w:tcW w:w="339" w:type="pct"/>
            <w:vAlign w:val="center"/>
          </w:tcPr>
          <w:p w14:paraId="5F7E220A" w14:textId="77777777" w:rsidR="00A26972" w:rsidRPr="009941F8" w:rsidRDefault="00A26972" w:rsidP="00BA75EB">
            <w:pPr>
              <w:pStyle w:val="TableText0"/>
              <w:keepLines/>
              <w:jc w:val="center"/>
              <w:rPr>
                <w:szCs w:val="20"/>
              </w:rPr>
            </w:pPr>
            <w:r w:rsidRPr="009941F8">
              <w:rPr>
                <w:szCs w:val="20"/>
              </w:rPr>
              <w:t>-11%</w:t>
            </w:r>
          </w:p>
        </w:tc>
      </w:tr>
      <w:tr w:rsidR="00A26972" w:rsidRPr="009941F8" w14:paraId="08DD98A3" w14:textId="77777777" w:rsidTr="00F6118B">
        <w:trPr>
          <w:tblHeader/>
        </w:trPr>
        <w:tc>
          <w:tcPr>
            <w:tcW w:w="5000" w:type="pct"/>
            <w:gridSpan w:val="9"/>
            <w:shd w:val="clear" w:color="auto" w:fill="auto"/>
            <w:vAlign w:val="center"/>
          </w:tcPr>
          <w:p w14:paraId="09A7E3DF" w14:textId="77777777" w:rsidR="00A26972" w:rsidRPr="009941F8" w:rsidRDefault="00A26972" w:rsidP="00BA75EB">
            <w:pPr>
              <w:pStyle w:val="TableText0"/>
              <w:keepLines/>
              <w:rPr>
                <w:b/>
                <w:bCs w:val="0"/>
                <w:szCs w:val="20"/>
              </w:rPr>
            </w:pPr>
            <w:r w:rsidRPr="009941F8">
              <w:rPr>
                <w:b/>
                <w:bCs w:val="0"/>
                <w:szCs w:val="20"/>
              </w:rPr>
              <w:t>Eligible % (base 15.83%)</w:t>
            </w:r>
          </w:p>
        </w:tc>
      </w:tr>
      <w:tr w:rsidR="00A26972" w:rsidRPr="009941F8" w14:paraId="56395CAC" w14:textId="77777777" w:rsidTr="00F6118B">
        <w:trPr>
          <w:tblHeader/>
        </w:trPr>
        <w:tc>
          <w:tcPr>
            <w:tcW w:w="382" w:type="pct"/>
            <w:shd w:val="clear" w:color="auto" w:fill="auto"/>
            <w:vAlign w:val="center"/>
          </w:tcPr>
          <w:p w14:paraId="383568A7" w14:textId="77777777" w:rsidR="00A26972" w:rsidRPr="009941F8" w:rsidRDefault="00A26972" w:rsidP="00BA75EB">
            <w:pPr>
              <w:pStyle w:val="TableText0"/>
              <w:keepLines/>
              <w:rPr>
                <w:szCs w:val="20"/>
              </w:rPr>
            </w:pPr>
            <w:r w:rsidRPr="009941F8">
              <w:rPr>
                <w:szCs w:val="20"/>
              </w:rPr>
              <w:t>14.42%</w:t>
            </w:r>
            <w:r w:rsidRPr="009941F8">
              <w:rPr>
                <w:szCs w:val="20"/>
                <w:vertAlign w:val="superscript"/>
              </w:rPr>
              <w:t>f</w:t>
            </w:r>
          </w:p>
        </w:tc>
        <w:tc>
          <w:tcPr>
            <w:tcW w:w="539" w:type="pct"/>
            <w:shd w:val="clear" w:color="auto" w:fill="auto"/>
            <w:vAlign w:val="center"/>
          </w:tcPr>
          <w:p w14:paraId="73FC946C" w14:textId="785E4A87" w:rsidR="00A26972" w:rsidRPr="00AB3F41" w:rsidRDefault="00640EC9" w:rsidP="00BA75EB">
            <w:pPr>
              <w:pStyle w:val="TableText0"/>
              <w:keepLines/>
              <w:jc w:val="center"/>
              <w:rPr>
                <w:highlight w:val="lightGray"/>
              </w:rPr>
            </w:pPr>
            <w:r w:rsidRPr="00640EC9">
              <w:rPr>
                <w:rFonts w:hint="eastAsia"/>
                <w:color w:val="000000"/>
                <w:w w:val="27"/>
                <w:shd w:val="solid" w:color="000000" w:fill="000000"/>
                <w:fitText w:val="120" w:id="-961887990"/>
                <w14:textFill>
                  <w14:solidFill>
                    <w14:srgbClr w14:val="000000">
                      <w14:alpha w14:val="100000"/>
                    </w14:srgbClr>
                  </w14:solidFill>
                </w14:textFill>
              </w:rPr>
              <w:t xml:space="preserve">　</w:t>
            </w:r>
            <w:r w:rsidRPr="00640EC9">
              <w:rPr>
                <w:color w:val="000000"/>
                <w:w w:val="27"/>
                <w:shd w:val="solid" w:color="000000" w:fill="000000"/>
                <w:fitText w:val="120" w:id="-961887990"/>
                <w14:textFill>
                  <w14:solidFill>
                    <w14:srgbClr w14:val="000000">
                      <w14:alpha w14:val="100000"/>
                    </w14:srgbClr>
                  </w14:solidFill>
                </w14:textFill>
              </w:rPr>
              <w:t>|</w:t>
            </w:r>
            <w:r w:rsidRPr="00640EC9">
              <w:rPr>
                <w:rFonts w:hint="eastAsia"/>
                <w:color w:val="000000"/>
                <w:spacing w:val="2"/>
                <w:w w:val="27"/>
                <w:shd w:val="solid" w:color="000000" w:fill="000000"/>
                <w:fitText w:val="120" w:id="-961887990"/>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3BD6F78F" w14:textId="12DEF56E" w:rsidR="00A26972" w:rsidRPr="00AB3F41" w:rsidRDefault="00640EC9" w:rsidP="00BA75EB">
            <w:pPr>
              <w:pStyle w:val="TableText0"/>
              <w:keepLines/>
              <w:jc w:val="center"/>
              <w:rPr>
                <w:highlight w:val="lightGray"/>
              </w:rPr>
            </w:pPr>
            <w:r w:rsidRPr="00640EC9">
              <w:rPr>
                <w:color w:val="00000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40E3FA66" w14:textId="3B72136E"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89"/>
                <w14:textFill>
                  <w14:solidFill>
                    <w14:srgbClr w14:val="000000">
                      <w14:alpha w14:val="100000"/>
                    </w14:srgbClr>
                  </w14:solidFill>
                </w14:textFill>
              </w:rPr>
              <w:t xml:space="preserve">　</w:t>
            </w:r>
            <w:r w:rsidRPr="00640EC9">
              <w:rPr>
                <w:color w:val="000000"/>
                <w:w w:val="15"/>
                <w:shd w:val="solid" w:color="000000" w:fill="000000"/>
                <w:fitText w:val="60" w:id="-961887989"/>
                <w14:textFill>
                  <w14:solidFill>
                    <w14:srgbClr w14:val="000000">
                      <w14:alpha w14:val="100000"/>
                    </w14:srgbClr>
                  </w14:solidFill>
                </w14:textFill>
              </w:rPr>
              <w:t>|</w:t>
            </w:r>
            <w:r w:rsidRPr="00640EC9">
              <w:rPr>
                <w:rFonts w:hint="eastAsia"/>
                <w:color w:val="000000"/>
                <w:spacing w:val="-5"/>
                <w:w w:val="15"/>
                <w:shd w:val="solid" w:color="000000" w:fill="000000"/>
                <w:fitText w:val="60" w:id="-961887989"/>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0509DF8B" w14:textId="3CDEEAC3"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88"/>
                <w14:textFill>
                  <w14:solidFill>
                    <w14:srgbClr w14:val="000000">
                      <w14:alpha w14:val="100000"/>
                    </w14:srgbClr>
                  </w14:solidFill>
                </w14:textFill>
              </w:rPr>
              <w:t xml:space="preserve">　</w:t>
            </w:r>
            <w:r w:rsidRPr="00640EC9">
              <w:rPr>
                <w:color w:val="000000"/>
                <w:w w:val="15"/>
                <w:shd w:val="solid" w:color="000000" w:fill="000000"/>
                <w:fitText w:val="60" w:id="-961887988"/>
                <w14:textFill>
                  <w14:solidFill>
                    <w14:srgbClr w14:val="000000">
                      <w14:alpha w14:val="100000"/>
                    </w14:srgbClr>
                  </w14:solidFill>
                </w14:textFill>
              </w:rPr>
              <w:t>|</w:t>
            </w:r>
            <w:r w:rsidRPr="00640EC9">
              <w:rPr>
                <w:rFonts w:hint="eastAsia"/>
                <w:color w:val="000000"/>
                <w:spacing w:val="-5"/>
                <w:w w:val="15"/>
                <w:shd w:val="solid" w:color="000000" w:fill="000000"/>
                <w:fitText w:val="60" w:id="-961887988"/>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66D18BB8" w14:textId="2C4AC55E"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87"/>
                <w14:textFill>
                  <w14:solidFill>
                    <w14:srgbClr w14:val="000000">
                      <w14:alpha w14:val="100000"/>
                    </w14:srgbClr>
                  </w14:solidFill>
                </w14:textFill>
              </w:rPr>
              <w:t xml:space="preserve">　</w:t>
            </w:r>
            <w:r w:rsidRPr="00640EC9">
              <w:rPr>
                <w:color w:val="000000"/>
                <w:w w:val="15"/>
                <w:shd w:val="solid" w:color="000000" w:fill="000000"/>
                <w:fitText w:val="60" w:id="-961887987"/>
                <w14:textFill>
                  <w14:solidFill>
                    <w14:srgbClr w14:val="000000">
                      <w14:alpha w14:val="100000"/>
                    </w14:srgbClr>
                  </w14:solidFill>
                </w14:textFill>
              </w:rPr>
              <w:t>|</w:t>
            </w:r>
            <w:r w:rsidRPr="00640EC9">
              <w:rPr>
                <w:rFonts w:hint="eastAsia"/>
                <w:color w:val="000000"/>
                <w:spacing w:val="-5"/>
                <w:w w:val="15"/>
                <w:shd w:val="solid" w:color="000000" w:fill="000000"/>
                <w:fitText w:val="60" w:id="-961887987"/>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0FEA02D7" w14:textId="20DDAB50"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86"/>
                <w14:textFill>
                  <w14:solidFill>
                    <w14:srgbClr w14:val="000000">
                      <w14:alpha w14:val="100000"/>
                    </w14:srgbClr>
                  </w14:solidFill>
                </w14:textFill>
              </w:rPr>
              <w:t xml:space="preserve">　</w:t>
            </w:r>
            <w:r w:rsidRPr="00640EC9">
              <w:rPr>
                <w:color w:val="000000"/>
                <w:w w:val="15"/>
                <w:shd w:val="solid" w:color="000000" w:fill="000000"/>
                <w:fitText w:val="60" w:id="-961887986"/>
                <w14:textFill>
                  <w14:solidFill>
                    <w14:srgbClr w14:val="000000">
                      <w14:alpha w14:val="100000"/>
                    </w14:srgbClr>
                  </w14:solidFill>
                </w14:textFill>
              </w:rPr>
              <w:t>|</w:t>
            </w:r>
            <w:r w:rsidRPr="00640EC9">
              <w:rPr>
                <w:rFonts w:hint="eastAsia"/>
                <w:color w:val="000000"/>
                <w:spacing w:val="-5"/>
                <w:w w:val="15"/>
                <w:shd w:val="solid" w:color="000000" w:fill="000000"/>
                <w:fitText w:val="60" w:id="-961887986"/>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1F7BA249" w14:textId="468754DF" w:rsidR="00A26972" w:rsidRPr="00AB3F41" w:rsidRDefault="00640EC9" w:rsidP="00BA75EB">
            <w:pPr>
              <w:pStyle w:val="TableText0"/>
              <w:keepLines/>
              <w:jc w:val="center"/>
              <w:rPr>
                <w:highlight w:val="lightGray"/>
              </w:rPr>
            </w:pPr>
            <w:r w:rsidRPr="00640EC9">
              <w:rPr>
                <w:rFonts w:hint="eastAsia"/>
                <w:color w:val="000000"/>
                <w:w w:val="18"/>
                <w:shd w:val="solid" w:color="000000" w:fill="000000"/>
                <w:fitText w:val="84" w:id="-961887985"/>
                <w14:textFill>
                  <w14:solidFill>
                    <w14:srgbClr w14:val="000000">
                      <w14:alpha w14:val="100000"/>
                    </w14:srgbClr>
                  </w14:solidFill>
                </w14:textFill>
              </w:rPr>
              <w:t xml:space="preserve">　</w:t>
            </w:r>
            <w:r w:rsidRPr="00640EC9">
              <w:rPr>
                <w:color w:val="000000"/>
                <w:w w:val="18"/>
                <w:shd w:val="solid" w:color="000000" w:fill="000000"/>
                <w:fitText w:val="84" w:id="-961887985"/>
                <w14:textFill>
                  <w14:solidFill>
                    <w14:srgbClr w14:val="000000">
                      <w14:alpha w14:val="100000"/>
                    </w14:srgbClr>
                  </w14:solidFill>
                </w14:textFill>
              </w:rPr>
              <w:t>|</w:t>
            </w:r>
            <w:r w:rsidRPr="00640EC9">
              <w:rPr>
                <w:rFonts w:hint="eastAsia"/>
                <w:color w:val="000000"/>
                <w:spacing w:val="4"/>
                <w:w w:val="18"/>
                <w:shd w:val="solid" w:color="000000" w:fill="000000"/>
                <w:fitText w:val="84" w:id="-961887985"/>
                <w14:textFill>
                  <w14:solidFill>
                    <w14:srgbClr w14:val="000000">
                      <w14:alpha w14:val="100000"/>
                    </w14:srgbClr>
                  </w14:solidFill>
                </w14:textFill>
              </w:rPr>
              <w:t xml:space="preserve">　</w:t>
            </w:r>
            <w:r w:rsidR="003F1929" w:rsidRPr="003F1929">
              <w:rPr>
                <w:vertAlign w:val="superscript"/>
              </w:rPr>
              <w:t>8</w:t>
            </w:r>
          </w:p>
        </w:tc>
        <w:tc>
          <w:tcPr>
            <w:tcW w:w="339" w:type="pct"/>
            <w:vAlign w:val="center"/>
          </w:tcPr>
          <w:p w14:paraId="650D9C7D" w14:textId="77777777" w:rsidR="00A26972" w:rsidRPr="009941F8" w:rsidRDefault="00A26972" w:rsidP="00BA75EB">
            <w:pPr>
              <w:pStyle w:val="TableText0"/>
              <w:keepLines/>
              <w:jc w:val="center"/>
              <w:rPr>
                <w:szCs w:val="20"/>
              </w:rPr>
            </w:pPr>
            <w:r w:rsidRPr="009941F8">
              <w:t>-9%</w:t>
            </w:r>
          </w:p>
        </w:tc>
      </w:tr>
      <w:tr w:rsidR="00A26972" w:rsidRPr="009941F8" w14:paraId="55CE2526" w14:textId="77777777" w:rsidTr="00F6118B">
        <w:trPr>
          <w:tblHeader/>
        </w:trPr>
        <w:tc>
          <w:tcPr>
            <w:tcW w:w="382" w:type="pct"/>
            <w:shd w:val="clear" w:color="auto" w:fill="auto"/>
            <w:vAlign w:val="center"/>
          </w:tcPr>
          <w:p w14:paraId="71A51696" w14:textId="77777777" w:rsidR="00A26972" w:rsidRPr="009941F8" w:rsidRDefault="00A26972" w:rsidP="00BA75EB">
            <w:pPr>
              <w:pStyle w:val="TableText0"/>
              <w:keepLines/>
              <w:rPr>
                <w:szCs w:val="20"/>
              </w:rPr>
            </w:pPr>
            <w:r w:rsidRPr="009941F8">
              <w:rPr>
                <w:szCs w:val="20"/>
              </w:rPr>
              <w:t>11.7%</w:t>
            </w:r>
            <w:r w:rsidRPr="009941F8">
              <w:rPr>
                <w:szCs w:val="20"/>
                <w:vertAlign w:val="superscript"/>
              </w:rPr>
              <w:t>g</w:t>
            </w:r>
          </w:p>
        </w:tc>
        <w:tc>
          <w:tcPr>
            <w:tcW w:w="539" w:type="pct"/>
            <w:shd w:val="clear" w:color="auto" w:fill="auto"/>
            <w:vAlign w:val="center"/>
          </w:tcPr>
          <w:p w14:paraId="65606C1B" w14:textId="1EB3FBE2" w:rsidR="00A26972" w:rsidRPr="00AB3F41" w:rsidRDefault="00640EC9" w:rsidP="00BA75EB">
            <w:pPr>
              <w:pStyle w:val="TableText0"/>
              <w:keepLines/>
              <w:jc w:val="center"/>
              <w:rPr>
                <w:highlight w:val="lightGray"/>
              </w:rPr>
            </w:pPr>
            <w:r w:rsidRPr="00640EC9">
              <w:rPr>
                <w:rFonts w:hint="eastAsia"/>
                <w:color w:val="000000"/>
                <w:w w:val="27"/>
                <w:shd w:val="solid" w:color="000000" w:fill="000000"/>
                <w:fitText w:val="120" w:id="-961887984"/>
                <w14:textFill>
                  <w14:solidFill>
                    <w14:srgbClr w14:val="000000">
                      <w14:alpha w14:val="100000"/>
                    </w14:srgbClr>
                  </w14:solidFill>
                </w14:textFill>
              </w:rPr>
              <w:t xml:space="preserve">　</w:t>
            </w:r>
            <w:r w:rsidRPr="00640EC9">
              <w:rPr>
                <w:color w:val="000000"/>
                <w:w w:val="27"/>
                <w:shd w:val="solid" w:color="000000" w:fill="000000"/>
                <w:fitText w:val="120" w:id="-961887984"/>
                <w14:textFill>
                  <w14:solidFill>
                    <w14:srgbClr w14:val="000000">
                      <w14:alpha w14:val="100000"/>
                    </w14:srgbClr>
                  </w14:solidFill>
                </w14:textFill>
              </w:rPr>
              <w:t>|</w:t>
            </w:r>
            <w:r w:rsidRPr="00640EC9">
              <w:rPr>
                <w:rFonts w:hint="eastAsia"/>
                <w:color w:val="000000"/>
                <w:spacing w:val="2"/>
                <w:w w:val="27"/>
                <w:shd w:val="solid" w:color="000000" w:fill="000000"/>
                <w:fitText w:val="120" w:id="-961887984"/>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3F202C23" w14:textId="1B1AB52C" w:rsidR="00A26972" w:rsidRPr="00AB3F41" w:rsidRDefault="00640EC9" w:rsidP="00BA75EB">
            <w:pPr>
              <w:pStyle w:val="TableText0"/>
              <w:keepLines/>
              <w:jc w:val="center"/>
              <w:rPr>
                <w:highlight w:val="lightGray"/>
              </w:rPr>
            </w:pPr>
            <w:r w:rsidRPr="00640EC9">
              <w:rPr>
                <w:color w:val="00000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504A1CDF" w14:textId="6FED4972"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8000"/>
                <w14:textFill>
                  <w14:solidFill>
                    <w14:srgbClr w14:val="000000">
                      <w14:alpha w14:val="100000"/>
                    </w14:srgbClr>
                  </w14:solidFill>
                </w14:textFill>
              </w:rPr>
              <w:t xml:space="preserve">　</w:t>
            </w:r>
            <w:r w:rsidRPr="00640EC9">
              <w:rPr>
                <w:color w:val="000000"/>
                <w:w w:val="15"/>
                <w:shd w:val="solid" w:color="000000" w:fill="000000"/>
                <w:fitText w:val="60" w:id="-961888000"/>
                <w14:textFill>
                  <w14:solidFill>
                    <w14:srgbClr w14:val="000000">
                      <w14:alpha w14:val="100000"/>
                    </w14:srgbClr>
                  </w14:solidFill>
                </w14:textFill>
              </w:rPr>
              <w:t>|</w:t>
            </w:r>
            <w:r w:rsidRPr="00640EC9">
              <w:rPr>
                <w:rFonts w:hint="eastAsia"/>
                <w:color w:val="000000"/>
                <w:spacing w:val="-5"/>
                <w:w w:val="15"/>
                <w:shd w:val="solid" w:color="000000" w:fill="000000"/>
                <w:fitText w:val="60" w:id="-961888000"/>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46426EE7" w14:textId="5C7F0D2E"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99"/>
                <w14:textFill>
                  <w14:solidFill>
                    <w14:srgbClr w14:val="000000">
                      <w14:alpha w14:val="100000"/>
                    </w14:srgbClr>
                  </w14:solidFill>
                </w14:textFill>
              </w:rPr>
              <w:t xml:space="preserve">　</w:t>
            </w:r>
            <w:r w:rsidRPr="00640EC9">
              <w:rPr>
                <w:color w:val="000000"/>
                <w:w w:val="15"/>
                <w:shd w:val="solid" w:color="000000" w:fill="000000"/>
                <w:fitText w:val="60" w:id="-961887999"/>
                <w14:textFill>
                  <w14:solidFill>
                    <w14:srgbClr w14:val="000000">
                      <w14:alpha w14:val="100000"/>
                    </w14:srgbClr>
                  </w14:solidFill>
                </w14:textFill>
              </w:rPr>
              <w:t>|</w:t>
            </w:r>
            <w:r w:rsidRPr="00640EC9">
              <w:rPr>
                <w:rFonts w:hint="eastAsia"/>
                <w:color w:val="000000"/>
                <w:spacing w:val="-5"/>
                <w:w w:val="15"/>
                <w:shd w:val="solid" w:color="000000" w:fill="000000"/>
                <w:fitText w:val="60" w:id="-961887999"/>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7DA5703A" w14:textId="5F7CB20C"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98"/>
                <w14:textFill>
                  <w14:solidFill>
                    <w14:srgbClr w14:val="000000">
                      <w14:alpha w14:val="100000"/>
                    </w14:srgbClr>
                  </w14:solidFill>
                </w14:textFill>
              </w:rPr>
              <w:t xml:space="preserve">　</w:t>
            </w:r>
            <w:r w:rsidRPr="00640EC9">
              <w:rPr>
                <w:color w:val="000000"/>
                <w:w w:val="15"/>
                <w:shd w:val="solid" w:color="000000" w:fill="000000"/>
                <w:fitText w:val="60" w:id="-961887998"/>
                <w14:textFill>
                  <w14:solidFill>
                    <w14:srgbClr w14:val="000000">
                      <w14:alpha w14:val="100000"/>
                    </w14:srgbClr>
                  </w14:solidFill>
                </w14:textFill>
              </w:rPr>
              <w:t>|</w:t>
            </w:r>
            <w:r w:rsidRPr="00640EC9">
              <w:rPr>
                <w:rFonts w:hint="eastAsia"/>
                <w:color w:val="000000"/>
                <w:spacing w:val="-5"/>
                <w:w w:val="15"/>
                <w:shd w:val="solid" w:color="000000" w:fill="000000"/>
                <w:fitText w:val="60" w:id="-961887998"/>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4ECF58E1" w14:textId="3CE07CF3"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997"/>
                <w14:textFill>
                  <w14:solidFill>
                    <w14:srgbClr w14:val="000000">
                      <w14:alpha w14:val="100000"/>
                    </w14:srgbClr>
                  </w14:solidFill>
                </w14:textFill>
              </w:rPr>
              <w:t xml:space="preserve">　</w:t>
            </w:r>
            <w:r w:rsidRPr="00640EC9">
              <w:rPr>
                <w:color w:val="000000"/>
                <w:w w:val="15"/>
                <w:shd w:val="solid" w:color="000000" w:fill="000000"/>
                <w:fitText w:val="60" w:id="-961887997"/>
                <w14:textFill>
                  <w14:solidFill>
                    <w14:srgbClr w14:val="000000">
                      <w14:alpha w14:val="100000"/>
                    </w14:srgbClr>
                  </w14:solidFill>
                </w14:textFill>
              </w:rPr>
              <w:t>|</w:t>
            </w:r>
            <w:r w:rsidRPr="00640EC9">
              <w:rPr>
                <w:rFonts w:hint="eastAsia"/>
                <w:color w:val="000000"/>
                <w:spacing w:val="-5"/>
                <w:w w:val="15"/>
                <w:shd w:val="solid" w:color="000000" w:fill="000000"/>
                <w:fitText w:val="60" w:id="-961887997"/>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03919AAA" w14:textId="16949669" w:rsidR="00A26972" w:rsidRPr="00AB3F41" w:rsidRDefault="00640EC9" w:rsidP="00BA75EB">
            <w:pPr>
              <w:pStyle w:val="TableText0"/>
              <w:keepLines/>
              <w:jc w:val="center"/>
              <w:rPr>
                <w:highlight w:val="lightGray"/>
              </w:rPr>
            </w:pPr>
            <w:r w:rsidRPr="00640EC9">
              <w:rPr>
                <w:rFonts w:hint="eastAsia"/>
                <w:color w:val="000000"/>
                <w:w w:val="18"/>
                <w:shd w:val="solid" w:color="000000" w:fill="000000"/>
                <w:fitText w:val="84" w:id="-961887996"/>
                <w14:textFill>
                  <w14:solidFill>
                    <w14:srgbClr w14:val="000000">
                      <w14:alpha w14:val="100000"/>
                    </w14:srgbClr>
                  </w14:solidFill>
                </w14:textFill>
              </w:rPr>
              <w:t xml:space="preserve">　</w:t>
            </w:r>
            <w:r w:rsidRPr="00640EC9">
              <w:rPr>
                <w:color w:val="000000"/>
                <w:w w:val="18"/>
                <w:shd w:val="solid" w:color="000000" w:fill="000000"/>
                <w:fitText w:val="84" w:id="-961887996"/>
                <w14:textFill>
                  <w14:solidFill>
                    <w14:srgbClr w14:val="000000">
                      <w14:alpha w14:val="100000"/>
                    </w14:srgbClr>
                  </w14:solidFill>
                </w14:textFill>
              </w:rPr>
              <w:t>|</w:t>
            </w:r>
            <w:r w:rsidRPr="00640EC9">
              <w:rPr>
                <w:rFonts w:hint="eastAsia"/>
                <w:color w:val="000000"/>
                <w:spacing w:val="4"/>
                <w:w w:val="18"/>
                <w:shd w:val="solid" w:color="000000" w:fill="000000"/>
                <w:fitText w:val="84" w:id="-961887996"/>
                <w14:textFill>
                  <w14:solidFill>
                    <w14:srgbClr w14:val="000000">
                      <w14:alpha w14:val="100000"/>
                    </w14:srgbClr>
                  </w14:solidFill>
                </w14:textFill>
              </w:rPr>
              <w:t xml:space="preserve">　</w:t>
            </w:r>
            <w:r w:rsidR="009002D9" w:rsidRPr="009002D9">
              <w:rPr>
                <w:vertAlign w:val="superscript"/>
              </w:rPr>
              <w:t>6</w:t>
            </w:r>
          </w:p>
        </w:tc>
        <w:tc>
          <w:tcPr>
            <w:tcW w:w="339" w:type="pct"/>
            <w:vAlign w:val="center"/>
          </w:tcPr>
          <w:p w14:paraId="03E726F5" w14:textId="77777777" w:rsidR="00A26972" w:rsidRPr="009941F8" w:rsidRDefault="00A26972" w:rsidP="00BA75EB">
            <w:pPr>
              <w:pStyle w:val="TableText0"/>
              <w:keepLines/>
              <w:jc w:val="center"/>
            </w:pPr>
            <w:r w:rsidRPr="009941F8">
              <w:t>-26%</w:t>
            </w:r>
          </w:p>
        </w:tc>
      </w:tr>
      <w:tr w:rsidR="00A26972" w:rsidRPr="009941F8" w14:paraId="1EAA567C" w14:textId="77777777" w:rsidTr="00F6118B">
        <w:trPr>
          <w:tblHeader/>
        </w:trPr>
        <w:tc>
          <w:tcPr>
            <w:tcW w:w="382" w:type="pct"/>
            <w:shd w:val="clear" w:color="auto" w:fill="auto"/>
            <w:vAlign w:val="center"/>
          </w:tcPr>
          <w:p w14:paraId="6073F9B8" w14:textId="77777777" w:rsidR="00A26972" w:rsidRPr="009941F8" w:rsidRDefault="00A26972" w:rsidP="00BA75EB">
            <w:pPr>
              <w:pStyle w:val="TableText0"/>
              <w:keepLines/>
              <w:rPr>
                <w:szCs w:val="20"/>
              </w:rPr>
            </w:pPr>
            <w:r w:rsidRPr="009941F8">
              <w:rPr>
                <w:szCs w:val="20"/>
              </w:rPr>
              <w:t>11.0%</w:t>
            </w:r>
            <w:r w:rsidRPr="009941F8">
              <w:rPr>
                <w:szCs w:val="20"/>
                <w:vertAlign w:val="superscript"/>
              </w:rPr>
              <w:t>h</w:t>
            </w:r>
          </w:p>
        </w:tc>
        <w:tc>
          <w:tcPr>
            <w:tcW w:w="539" w:type="pct"/>
            <w:shd w:val="clear" w:color="auto" w:fill="auto"/>
            <w:vAlign w:val="center"/>
          </w:tcPr>
          <w:p w14:paraId="5C3FFCA8" w14:textId="2CAD0D12" w:rsidR="00A26972" w:rsidRPr="00AB3F41" w:rsidRDefault="00640EC9" w:rsidP="00BA75EB">
            <w:pPr>
              <w:pStyle w:val="TableText0"/>
              <w:keepLines/>
              <w:jc w:val="center"/>
              <w:rPr>
                <w:highlight w:val="lightGray"/>
              </w:rPr>
            </w:pPr>
            <w:r w:rsidRPr="00640EC9">
              <w:rPr>
                <w:rFonts w:hint="eastAsia"/>
                <w:color w:val="000000"/>
                <w:w w:val="27"/>
                <w:shd w:val="solid" w:color="000000" w:fill="000000"/>
                <w:fitText w:val="120" w:id="-961887744"/>
                <w14:textFill>
                  <w14:solidFill>
                    <w14:srgbClr w14:val="000000">
                      <w14:alpha w14:val="100000"/>
                    </w14:srgbClr>
                  </w14:solidFill>
                </w14:textFill>
              </w:rPr>
              <w:t xml:space="preserve">　</w:t>
            </w:r>
            <w:r w:rsidRPr="00640EC9">
              <w:rPr>
                <w:color w:val="000000"/>
                <w:w w:val="27"/>
                <w:shd w:val="solid" w:color="000000" w:fill="000000"/>
                <w:fitText w:val="120" w:id="-961887744"/>
                <w14:textFill>
                  <w14:solidFill>
                    <w14:srgbClr w14:val="000000">
                      <w14:alpha w14:val="100000"/>
                    </w14:srgbClr>
                  </w14:solidFill>
                </w14:textFill>
              </w:rPr>
              <w:t>|</w:t>
            </w:r>
            <w:r w:rsidRPr="00640EC9">
              <w:rPr>
                <w:rFonts w:hint="eastAsia"/>
                <w:color w:val="000000"/>
                <w:spacing w:val="2"/>
                <w:w w:val="27"/>
                <w:shd w:val="solid" w:color="000000" w:fill="000000"/>
                <w:fitText w:val="120" w:id="-961887744"/>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1DCC99B1" w14:textId="328563A5" w:rsidR="00A26972" w:rsidRPr="00AB3F41" w:rsidRDefault="00640EC9" w:rsidP="00BA75EB">
            <w:pPr>
              <w:pStyle w:val="TableText0"/>
              <w:keepLines/>
              <w:jc w:val="center"/>
              <w:rPr>
                <w:highlight w:val="lightGray"/>
              </w:rPr>
            </w:pPr>
            <w:r w:rsidRPr="00640EC9">
              <w:rPr>
                <w:color w:val="000000"/>
                <w:shd w:val="solid" w:color="000000" w:fill="000000"/>
                <w14:textFill>
                  <w14:solidFill>
                    <w14:srgbClr w14:val="000000">
                      <w14:alpha w14:val="100000"/>
                    </w14:srgbClr>
                  </w14:solidFill>
                </w14:textFill>
              </w:rPr>
              <w:t>|</w:t>
            </w:r>
            <w:r w:rsidR="004B1CAE" w:rsidRPr="000D0ADF">
              <w:rPr>
                <w:szCs w:val="20"/>
                <w:vertAlign w:val="superscript"/>
              </w:rPr>
              <w:t>1</w:t>
            </w:r>
          </w:p>
        </w:tc>
        <w:tc>
          <w:tcPr>
            <w:tcW w:w="617" w:type="pct"/>
            <w:shd w:val="clear" w:color="auto" w:fill="auto"/>
            <w:vAlign w:val="center"/>
          </w:tcPr>
          <w:p w14:paraId="4D30DAEA" w14:textId="7251F35F"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43"/>
                <w14:textFill>
                  <w14:solidFill>
                    <w14:srgbClr w14:val="000000">
                      <w14:alpha w14:val="100000"/>
                    </w14:srgbClr>
                  </w14:solidFill>
                </w14:textFill>
              </w:rPr>
              <w:t xml:space="preserve">　</w:t>
            </w:r>
            <w:r w:rsidRPr="00640EC9">
              <w:rPr>
                <w:color w:val="000000"/>
                <w:w w:val="15"/>
                <w:shd w:val="solid" w:color="000000" w:fill="000000"/>
                <w:fitText w:val="60" w:id="-961887743"/>
                <w14:textFill>
                  <w14:solidFill>
                    <w14:srgbClr w14:val="000000">
                      <w14:alpha w14:val="100000"/>
                    </w14:srgbClr>
                  </w14:solidFill>
                </w14:textFill>
              </w:rPr>
              <w:t>|</w:t>
            </w:r>
            <w:r w:rsidRPr="00640EC9">
              <w:rPr>
                <w:rFonts w:hint="eastAsia"/>
                <w:color w:val="000000"/>
                <w:spacing w:val="-5"/>
                <w:w w:val="15"/>
                <w:shd w:val="solid" w:color="000000" w:fill="000000"/>
                <w:fitText w:val="60" w:id="-961887743"/>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664B2503" w14:textId="55916842"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42"/>
                <w14:textFill>
                  <w14:solidFill>
                    <w14:srgbClr w14:val="000000">
                      <w14:alpha w14:val="100000"/>
                    </w14:srgbClr>
                  </w14:solidFill>
                </w14:textFill>
              </w:rPr>
              <w:t xml:space="preserve">　</w:t>
            </w:r>
            <w:r w:rsidRPr="00640EC9">
              <w:rPr>
                <w:color w:val="000000"/>
                <w:w w:val="15"/>
                <w:shd w:val="solid" w:color="000000" w:fill="000000"/>
                <w:fitText w:val="60" w:id="-961887742"/>
                <w14:textFill>
                  <w14:solidFill>
                    <w14:srgbClr w14:val="000000">
                      <w14:alpha w14:val="100000"/>
                    </w14:srgbClr>
                  </w14:solidFill>
                </w14:textFill>
              </w:rPr>
              <w:t>|</w:t>
            </w:r>
            <w:r w:rsidRPr="00640EC9">
              <w:rPr>
                <w:rFonts w:hint="eastAsia"/>
                <w:color w:val="000000"/>
                <w:spacing w:val="-5"/>
                <w:w w:val="15"/>
                <w:shd w:val="solid" w:color="000000" w:fill="000000"/>
                <w:fitText w:val="60" w:id="-961887742"/>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6BD7D468" w14:textId="32364724"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41"/>
                <w14:textFill>
                  <w14:solidFill>
                    <w14:srgbClr w14:val="000000">
                      <w14:alpha w14:val="100000"/>
                    </w14:srgbClr>
                  </w14:solidFill>
                </w14:textFill>
              </w:rPr>
              <w:t xml:space="preserve">　</w:t>
            </w:r>
            <w:r w:rsidRPr="00640EC9">
              <w:rPr>
                <w:color w:val="000000"/>
                <w:w w:val="15"/>
                <w:shd w:val="solid" w:color="000000" w:fill="000000"/>
                <w:fitText w:val="60" w:id="-961887741"/>
                <w14:textFill>
                  <w14:solidFill>
                    <w14:srgbClr w14:val="000000">
                      <w14:alpha w14:val="100000"/>
                    </w14:srgbClr>
                  </w14:solidFill>
                </w14:textFill>
              </w:rPr>
              <w:t>|</w:t>
            </w:r>
            <w:r w:rsidRPr="00640EC9">
              <w:rPr>
                <w:rFonts w:hint="eastAsia"/>
                <w:color w:val="000000"/>
                <w:spacing w:val="-5"/>
                <w:w w:val="15"/>
                <w:shd w:val="solid" w:color="000000" w:fill="000000"/>
                <w:fitText w:val="60" w:id="-961887741"/>
                <w14:textFill>
                  <w14:solidFill>
                    <w14:srgbClr w14:val="000000">
                      <w14:alpha w14:val="100000"/>
                    </w14:srgbClr>
                  </w14:solidFill>
                </w14:textFill>
              </w:rPr>
              <w:t xml:space="preserve">　</w:t>
            </w:r>
            <w:r w:rsidR="004B1CAE" w:rsidRPr="000D0ADF">
              <w:rPr>
                <w:szCs w:val="20"/>
                <w:vertAlign w:val="superscript"/>
              </w:rPr>
              <w:t>1</w:t>
            </w:r>
          </w:p>
        </w:tc>
        <w:tc>
          <w:tcPr>
            <w:tcW w:w="617" w:type="pct"/>
            <w:shd w:val="clear" w:color="auto" w:fill="auto"/>
            <w:vAlign w:val="center"/>
          </w:tcPr>
          <w:p w14:paraId="51FC7E56" w14:textId="19F630D5"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40"/>
                <w14:textFill>
                  <w14:solidFill>
                    <w14:srgbClr w14:val="000000">
                      <w14:alpha w14:val="100000"/>
                    </w14:srgbClr>
                  </w14:solidFill>
                </w14:textFill>
              </w:rPr>
              <w:t xml:space="preserve">　</w:t>
            </w:r>
            <w:r w:rsidRPr="00640EC9">
              <w:rPr>
                <w:color w:val="000000"/>
                <w:w w:val="15"/>
                <w:shd w:val="solid" w:color="000000" w:fill="000000"/>
                <w:fitText w:val="60" w:id="-961887740"/>
                <w14:textFill>
                  <w14:solidFill>
                    <w14:srgbClr w14:val="000000">
                      <w14:alpha w14:val="100000"/>
                    </w14:srgbClr>
                  </w14:solidFill>
                </w14:textFill>
              </w:rPr>
              <w:t>|</w:t>
            </w:r>
            <w:r w:rsidRPr="00640EC9">
              <w:rPr>
                <w:rFonts w:hint="eastAsia"/>
                <w:color w:val="000000"/>
                <w:spacing w:val="-5"/>
                <w:w w:val="15"/>
                <w:shd w:val="solid" w:color="000000" w:fill="000000"/>
                <w:fitText w:val="60" w:id="-961887740"/>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5E877A17" w14:textId="26FB0FEA" w:rsidR="00A26972" w:rsidRPr="00AB3F41" w:rsidRDefault="00640EC9" w:rsidP="00BA75EB">
            <w:pPr>
              <w:pStyle w:val="TableText0"/>
              <w:keepLines/>
              <w:jc w:val="center"/>
              <w:rPr>
                <w:highlight w:val="lightGray"/>
              </w:rPr>
            </w:pPr>
            <w:r w:rsidRPr="00640EC9">
              <w:rPr>
                <w:rFonts w:hint="eastAsia"/>
                <w:color w:val="000000"/>
                <w:w w:val="18"/>
                <w:shd w:val="solid" w:color="000000" w:fill="000000"/>
                <w:fitText w:val="84" w:id="-961887739"/>
                <w14:textFill>
                  <w14:solidFill>
                    <w14:srgbClr w14:val="000000">
                      <w14:alpha w14:val="100000"/>
                    </w14:srgbClr>
                  </w14:solidFill>
                </w14:textFill>
              </w:rPr>
              <w:t xml:space="preserve">　</w:t>
            </w:r>
            <w:r w:rsidRPr="00640EC9">
              <w:rPr>
                <w:color w:val="000000"/>
                <w:w w:val="18"/>
                <w:shd w:val="solid" w:color="000000" w:fill="000000"/>
                <w:fitText w:val="84" w:id="-961887739"/>
                <w14:textFill>
                  <w14:solidFill>
                    <w14:srgbClr w14:val="000000">
                      <w14:alpha w14:val="100000"/>
                    </w14:srgbClr>
                  </w14:solidFill>
                </w14:textFill>
              </w:rPr>
              <w:t>|</w:t>
            </w:r>
            <w:r w:rsidRPr="00640EC9">
              <w:rPr>
                <w:rFonts w:hint="eastAsia"/>
                <w:color w:val="000000"/>
                <w:spacing w:val="4"/>
                <w:w w:val="18"/>
                <w:shd w:val="solid" w:color="000000" w:fill="000000"/>
                <w:fitText w:val="84" w:id="-961887739"/>
                <w14:textFill>
                  <w14:solidFill>
                    <w14:srgbClr w14:val="000000">
                      <w14:alpha w14:val="100000"/>
                    </w14:srgbClr>
                  </w14:solidFill>
                </w14:textFill>
              </w:rPr>
              <w:t xml:space="preserve">　</w:t>
            </w:r>
            <w:r w:rsidR="009002D9" w:rsidRPr="009002D9">
              <w:rPr>
                <w:vertAlign w:val="superscript"/>
              </w:rPr>
              <w:t>6</w:t>
            </w:r>
          </w:p>
        </w:tc>
        <w:tc>
          <w:tcPr>
            <w:tcW w:w="339" w:type="pct"/>
            <w:vAlign w:val="center"/>
          </w:tcPr>
          <w:p w14:paraId="0E639DD3" w14:textId="77777777" w:rsidR="00A26972" w:rsidRPr="009941F8" w:rsidRDefault="00A26972" w:rsidP="00BA75EB">
            <w:pPr>
              <w:pStyle w:val="TableText0"/>
              <w:keepLines/>
              <w:jc w:val="center"/>
            </w:pPr>
            <w:r w:rsidRPr="009941F8">
              <w:t>-31%</w:t>
            </w:r>
          </w:p>
        </w:tc>
      </w:tr>
      <w:tr w:rsidR="00A26972" w:rsidRPr="009941F8" w14:paraId="592B6FFD" w14:textId="77777777" w:rsidTr="00F6118B">
        <w:trPr>
          <w:tblHeader/>
        </w:trPr>
        <w:tc>
          <w:tcPr>
            <w:tcW w:w="382" w:type="pct"/>
            <w:shd w:val="clear" w:color="auto" w:fill="auto"/>
            <w:vAlign w:val="center"/>
          </w:tcPr>
          <w:p w14:paraId="07C49AAF" w14:textId="77777777" w:rsidR="00A26972" w:rsidRPr="009941F8" w:rsidRDefault="00A26972" w:rsidP="00BA75EB">
            <w:pPr>
              <w:pStyle w:val="TableText0"/>
              <w:keepLines/>
              <w:rPr>
                <w:szCs w:val="20"/>
              </w:rPr>
            </w:pPr>
            <w:r w:rsidRPr="009941F8">
              <w:rPr>
                <w:szCs w:val="20"/>
              </w:rPr>
              <w:t>20.2%</w:t>
            </w:r>
            <w:r w:rsidRPr="009941F8">
              <w:rPr>
                <w:szCs w:val="20"/>
                <w:vertAlign w:val="superscript"/>
              </w:rPr>
              <w:t>i</w:t>
            </w:r>
          </w:p>
        </w:tc>
        <w:tc>
          <w:tcPr>
            <w:tcW w:w="539" w:type="pct"/>
            <w:shd w:val="clear" w:color="auto" w:fill="auto"/>
            <w:vAlign w:val="center"/>
          </w:tcPr>
          <w:p w14:paraId="1C6ED191" w14:textId="4EDB8F33" w:rsidR="00A26972" w:rsidRPr="00AB3F41" w:rsidRDefault="00640EC9" w:rsidP="00BA75EB">
            <w:pPr>
              <w:pStyle w:val="TableText0"/>
              <w:keepLines/>
              <w:jc w:val="center"/>
              <w:rPr>
                <w:highlight w:val="lightGray"/>
              </w:rPr>
            </w:pPr>
            <w:r w:rsidRPr="00640EC9">
              <w:rPr>
                <w:rFonts w:hint="eastAsia"/>
                <w:color w:val="000000"/>
                <w:w w:val="27"/>
                <w:shd w:val="solid" w:color="000000" w:fill="000000"/>
                <w:fitText w:val="120" w:id="-961887738"/>
                <w14:textFill>
                  <w14:solidFill>
                    <w14:srgbClr w14:val="000000">
                      <w14:alpha w14:val="100000"/>
                    </w14:srgbClr>
                  </w14:solidFill>
                </w14:textFill>
              </w:rPr>
              <w:t xml:space="preserve">　</w:t>
            </w:r>
            <w:r w:rsidRPr="00640EC9">
              <w:rPr>
                <w:color w:val="000000"/>
                <w:w w:val="27"/>
                <w:shd w:val="solid" w:color="000000" w:fill="000000"/>
                <w:fitText w:val="120" w:id="-961887738"/>
                <w14:textFill>
                  <w14:solidFill>
                    <w14:srgbClr w14:val="000000">
                      <w14:alpha w14:val="100000"/>
                    </w14:srgbClr>
                  </w14:solidFill>
                </w14:textFill>
              </w:rPr>
              <w:t>|</w:t>
            </w:r>
            <w:r w:rsidRPr="00640EC9">
              <w:rPr>
                <w:rFonts w:hint="eastAsia"/>
                <w:color w:val="000000"/>
                <w:spacing w:val="2"/>
                <w:w w:val="27"/>
                <w:shd w:val="solid" w:color="000000" w:fill="000000"/>
                <w:fitText w:val="120" w:id="-961887738"/>
                <w14:textFill>
                  <w14:solidFill>
                    <w14:srgbClr w14:val="000000">
                      <w14:alpha w14:val="100000"/>
                    </w14:srgbClr>
                  </w14:solidFill>
                </w14:textFill>
              </w:rPr>
              <w:t xml:space="preserve">　</w:t>
            </w:r>
            <w:r w:rsidR="004B1CAE" w:rsidRPr="000D0ADF">
              <w:rPr>
                <w:szCs w:val="20"/>
                <w:vertAlign w:val="superscript"/>
              </w:rPr>
              <w:t>1</w:t>
            </w:r>
          </w:p>
        </w:tc>
        <w:tc>
          <w:tcPr>
            <w:tcW w:w="682" w:type="pct"/>
            <w:shd w:val="clear" w:color="auto" w:fill="auto"/>
            <w:vAlign w:val="center"/>
          </w:tcPr>
          <w:p w14:paraId="626A5EAC" w14:textId="09BDFF0A" w:rsidR="00A26972" w:rsidRPr="00AB3F41" w:rsidRDefault="00640EC9" w:rsidP="00BA75EB">
            <w:pPr>
              <w:pStyle w:val="TableText0"/>
              <w:keepLines/>
              <w:jc w:val="center"/>
              <w:rPr>
                <w:highlight w:val="lightGray"/>
              </w:rPr>
            </w:pPr>
            <w:r w:rsidRPr="00640EC9">
              <w:rPr>
                <w:color w:val="000000"/>
                <w:shd w:val="solid" w:color="000000" w:fill="000000"/>
                <w14:textFill>
                  <w14:solidFill>
                    <w14:srgbClr w14:val="000000">
                      <w14:alpha w14:val="100000"/>
                    </w14:srgbClr>
                  </w14:solidFill>
                </w14:textFill>
              </w:rPr>
              <w:t>|</w:t>
            </w:r>
            <w:r w:rsidR="009002D9" w:rsidRPr="004B1CAE">
              <w:rPr>
                <w:szCs w:val="20"/>
                <w:vertAlign w:val="superscript"/>
              </w:rPr>
              <w:t>2</w:t>
            </w:r>
          </w:p>
        </w:tc>
        <w:tc>
          <w:tcPr>
            <w:tcW w:w="617" w:type="pct"/>
            <w:shd w:val="clear" w:color="auto" w:fill="auto"/>
            <w:vAlign w:val="center"/>
          </w:tcPr>
          <w:p w14:paraId="25BED2C3" w14:textId="3D9527DC"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37"/>
                <w14:textFill>
                  <w14:solidFill>
                    <w14:srgbClr w14:val="000000">
                      <w14:alpha w14:val="100000"/>
                    </w14:srgbClr>
                  </w14:solidFill>
                </w14:textFill>
              </w:rPr>
              <w:t xml:space="preserve">　</w:t>
            </w:r>
            <w:r w:rsidRPr="00640EC9">
              <w:rPr>
                <w:color w:val="000000"/>
                <w:w w:val="15"/>
                <w:shd w:val="solid" w:color="000000" w:fill="000000"/>
                <w:fitText w:val="60" w:id="-961887737"/>
                <w14:textFill>
                  <w14:solidFill>
                    <w14:srgbClr w14:val="000000">
                      <w14:alpha w14:val="100000"/>
                    </w14:srgbClr>
                  </w14:solidFill>
                </w14:textFill>
              </w:rPr>
              <w:t>|</w:t>
            </w:r>
            <w:r w:rsidRPr="00640EC9">
              <w:rPr>
                <w:rFonts w:hint="eastAsia"/>
                <w:color w:val="000000"/>
                <w:spacing w:val="-5"/>
                <w:w w:val="15"/>
                <w:shd w:val="solid" w:color="000000" w:fill="000000"/>
                <w:fitText w:val="60" w:id="-961887737"/>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24A85A5C" w14:textId="698357A0"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36"/>
                <w14:textFill>
                  <w14:solidFill>
                    <w14:srgbClr w14:val="000000">
                      <w14:alpha w14:val="100000"/>
                    </w14:srgbClr>
                  </w14:solidFill>
                </w14:textFill>
              </w:rPr>
              <w:t xml:space="preserve">　</w:t>
            </w:r>
            <w:r w:rsidRPr="00640EC9">
              <w:rPr>
                <w:color w:val="000000"/>
                <w:w w:val="15"/>
                <w:shd w:val="solid" w:color="000000" w:fill="000000"/>
                <w:fitText w:val="60" w:id="-961887736"/>
                <w14:textFill>
                  <w14:solidFill>
                    <w14:srgbClr w14:val="000000">
                      <w14:alpha w14:val="100000"/>
                    </w14:srgbClr>
                  </w14:solidFill>
                </w14:textFill>
              </w:rPr>
              <w:t>|</w:t>
            </w:r>
            <w:r w:rsidRPr="00640EC9">
              <w:rPr>
                <w:rFonts w:hint="eastAsia"/>
                <w:color w:val="000000"/>
                <w:spacing w:val="-5"/>
                <w:w w:val="15"/>
                <w:shd w:val="solid" w:color="000000" w:fill="000000"/>
                <w:fitText w:val="60" w:id="-961887736"/>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699F34E4" w14:textId="3FDE6BCC"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35"/>
                <w14:textFill>
                  <w14:solidFill>
                    <w14:srgbClr w14:val="000000">
                      <w14:alpha w14:val="100000"/>
                    </w14:srgbClr>
                  </w14:solidFill>
                </w14:textFill>
              </w:rPr>
              <w:t xml:space="preserve">　</w:t>
            </w:r>
            <w:r w:rsidRPr="00640EC9">
              <w:rPr>
                <w:color w:val="000000"/>
                <w:w w:val="15"/>
                <w:shd w:val="solid" w:color="000000" w:fill="000000"/>
                <w:fitText w:val="60" w:id="-961887735"/>
                <w14:textFill>
                  <w14:solidFill>
                    <w14:srgbClr w14:val="000000">
                      <w14:alpha w14:val="100000"/>
                    </w14:srgbClr>
                  </w14:solidFill>
                </w14:textFill>
              </w:rPr>
              <w:t>|</w:t>
            </w:r>
            <w:r w:rsidRPr="00640EC9">
              <w:rPr>
                <w:rFonts w:hint="eastAsia"/>
                <w:color w:val="000000"/>
                <w:spacing w:val="-5"/>
                <w:w w:val="15"/>
                <w:shd w:val="solid" w:color="000000" w:fill="000000"/>
                <w:fitText w:val="60" w:id="-961887735"/>
                <w14:textFill>
                  <w14:solidFill>
                    <w14:srgbClr w14:val="000000">
                      <w14:alpha w14:val="100000"/>
                    </w14:srgbClr>
                  </w14:solidFill>
                </w14:textFill>
              </w:rPr>
              <w:t xml:space="preserve">　</w:t>
            </w:r>
            <w:r w:rsidR="009002D9" w:rsidRPr="004B1CAE">
              <w:rPr>
                <w:szCs w:val="20"/>
                <w:vertAlign w:val="superscript"/>
              </w:rPr>
              <w:t>2</w:t>
            </w:r>
          </w:p>
        </w:tc>
        <w:tc>
          <w:tcPr>
            <w:tcW w:w="617" w:type="pct"/>
            <w:shd w:val="clear" w:color="auto" w:fill="auto"/>
            <w:vAlign w:val="center"/>
          </w:tcPr>
          <w:p w14:paraId="1BBCF4E2" w14:textId="114FAD45" w:rsidR="00A26972" w:rsidRPr="00AB3F41" w:rsidRDefault="00640EC9" w:rsidP="00BA75EB">
            <w:pPr>
              <w:pStyle w:val="TableText0"/>
              <w:keepLines/>
              <w:jc w:val="center"/>
              <w:rPr>
                <w:highlight w:val="lightGray"/>
              </w:rPr>
            </w:pPr>
            <w:r w:rsidRPr="00640EC9">
              <w:rPr>
                <w:rFonts w:hint="eastAsia"/>
                <w:color w:val="000000"/>
                <w:w w:val="15"/>
                <w:shd w:val="solid" w:color="000000" w:fill="000000"/>
                <w:fitText w:val="60" w:id="-961887734"/>
                <w14:textFill>
                  <w14:solidFill>
                    <w14:srgbClr w14:val="000000">
                      <w14:alpha w14:val="100000"/>
                    </w14:srgbClr>
                  </w14:solidFill>
                </w14:textFill>
              </w:rPr>
              <w:t xml:space="preserve">　</w:t>
            </w:r>
            <w:r w:rsidRPr="00640EC9">
              <w:rPr>
                <w:color w:val="000000"/>
                <w:w w:val="15"/>
                <w:shd w:val="solid" w:color="000000" w:fill="000000"/>
                <w:fitText w:val="60" w:id="-961887734"/>
                <w14:textFill>
                  <w14:solidFill>
                    <w14:srgbClr w14:val="000000">
                      <w14:alpha w14:val="100000"/>
                    </w14:srgbClr>
                  </w14:solidFill>
                </w14:textFill>
              </w:rPr>
              <w:t>|</w:t>
            </w:r>
            <w:r w:rsidRPr="00640EC9">
              <w:rPr>
                <w:rFonts w:hint="eastAsia"/>
                <w:color w:val="000000"/>
                <w:spacing w:val="-5"/>
                <w:w w:val="15"/>
                <w:shd w:val="solid" w:color="000000" w:fill="000000"/>
                <w:fitText w:val="60" w:id="-961887734"/>
                <w14:textFill>
                  <w14:solidFill>
                    <w14:srgbClr w14:val="000000">
                      <w14:alpha w14:val="100000"/>
                    </w14:srgbClr>
                  </w14:solidFill>
                </w14:textFill>
              </w:rPr>
              <w:t xml:space="preserve">　</w:t>
            </w:r>
            <w:r w:rsidR="009002D9" w:rsidRPr="004B1CAE">
              <w:rPr>
                <w:szCs w:val="20"/>
                <w:vertAlign w:val="superscript"/>
              </w:rPr>
              <w:t>2</w:t>
            </w:r>
          </w:p>
        </w:tc>
        <w:tc>
          <w:tcPr>
            <w:tcW w:w="590" w:type="pct"/>
            <w:vAlign w:val="center"/>
          </w:tcPr>
          <w:p w14:paraId="3B0B44B7" w14:textId="4E453258" w:rsidR="00A26972" w:rsidRPr="00AB3F41" w:rsidRDefault="00640EC9" w:rsidP="00BA75EB">
            <w:pPr>
              <w:pStyle w:val="TableText0"/>
              <w:keepLines/>
              <w:jc w:val="center"/>
              <w:rPr>
                <w:highlight w:val="lightGray"/>
              </w:rPr>
            </w:pPr>
            <w:r w:rsidRPr="00640EC9">
              <w:rPr>
                <w:rFonts w:hint="eastAsia"/>
                <w:color w:val="000000"/>
                <w:w w:val="18"/>
                <w:shd w:val="solid" w:color="000000" w:fill="000000"/>
                <w:fitText w:val="84" w:id="-961887733"/>
                <w14:textFill>
                  <w14:solidFill>
                    <w14:srgbClr w14:val="000000">
                      <w14:alpha w14:val="100000"/>
                    </w14:srgbClr>
                  </w14:solidFill>
                </w14:textFill>
              </w:rPr>
              <w:t xml:space="preserve">　</w:t>
            </w:r>
            <w:r w:rsidRPr="00640EC9">
              <w:rPr>
                <w:color w:val="000000"/>
                <w:w w:val="18"/>
                <w:shd w:val="solid" w:color="000000" w:fill="000000"/>
                <w:fitText w:val="84" w:id="-961887733"/>
                <w14:textFill>
                  <w14:solidFill>
                    <w14:srgbClr w14:val="000000">
                      <w14:alpha w14:val="100000"/>
                    </w14:srgbClr>
                  </w14:solidFill>
                </w14:textFill>
              </w:rPr>
              <w:t>|</w:t>
            </w:r>
            <w:r w:rsidRPr="00640EC9">
              <w:rPr>
                <w:rFonts w:hint="eastAsia"/>
                <w:color w:val="000000"/>
                <w:spacing w:val="4"/>
                <w:w w:val="18"/>
                <w:shd w:val="solid" w:color="000000" w:fill="000000"/>
                <w:fitText w:val="84" w:id="-961887733"/>
                <w14:textFill>
                  <w14:solidFill>
                    <w14:srgbClr w14:val="000000">
                      <w14:alpha w14:val="100000"/>
                    </w14:srgbClr>
                  </w14:solidFill>
                </w14:textFill>
              </w:rPr>
              <w:t xml:space="preserve">　</w:t>
            </w:r>
            <w:r w:rsidR="009002D9" w:rsidRPr="009002D9">
              <w:rPr>
                <w:szCs w:val="20"/>
                <w:vertAlign w:val="superscript"/>
              </w:rPr>
              <w:t>4</w:t>
            </w:r>
          </w:p>
        </w:tc>
        <w:tc>
          <w:tcPr>
            <w:tcW w:w="339" w:type="pct"/>
            <w:vAlign w:val="center"/>
          </w:tcPr>
          <w:p w14:paraId="3A57E650" w14:textId="77777777" w:rsidR="00A26972" w:rsidRPr="009941F8" w:rsidRDefault="00A26972" w:rsidP="00BA75EB">
            <w:pPr>
              <w:pStyle w:val="TableText0"/>
              <w:keepLines/>
              <w:jc w:val="center"/>
            </w:pPr>
            <w:r w:rsidRPr="009941F8">
              <w:t>28%</w:t>
            </w:r>
          </w:p>
        </w:tc>
      </w:tr>
    </w:tbl>
    <w:p w14:paraId="6E738910" w14:textId="77777777" w:rsidR="00A26972" w:rsidRPr="009941F8" w:rsidRDefault="00A26972" w:rsidP="00BA75EB">
      <w:pPr>
        <w:pStyle w:val="TableFigureFooter"/>
        <w:keepNext/>
        <w:keepLines/>
      </w:pPr>
      <w:r w:rsidRPr="009941F8">
        <w:t>Source: compiled during the evaluation</w:t>
      </w:r>
    </w:p>
    <w:p w14:paraId="615E0A32" w14:textId="77777777" w:rsidR="00A26972" w:rsidRPr="009941F8" w:rsidRDefault="00A26972" w:rsidP="00BA75EB">
      <w:pPr>
        <w:pStyle w:val="TableFigureFooter"/>
        <w:keepNext/>
        <w:keepLines/>
      </w:pPr>
      <w:r w:rsidRPr="009941F8">
        <w:t>Table 4-17 of the resubmission presented net cost to PBS/RPBS. To be able to explore uncertainty of MBS costs, net cost to government is presented here</w:t>
      </w:r>
    </w:p>
    <w:p w14:paraId="6FBA02D8" w14:textId="1BCDC7B9" w:rsidR="00A26972" w:rsidRPr="00A14BC4" w:rsidRDefault="00A26972" w:rsidP="00BA75EB">
      <w:pPr>
        <w:pStyle w:val="TableFigureFooter"/>
        <w:keepNext/>
        <w:keepLines/>
      </w:pPr>
      <w:r w:rsidRPr="00A14BC4">
        <w:t>a</w:t>
      </w:r>
      <w:r w:rsidRPr="00A14BC4">
        <w:tab/>
        <w:t xml:space="preserve"> Yr 1=</w:t>
      </w:r>
      <w:r w:rsidR="00640EC9" w:rsidRPr="00640EC9">
        <w:rPr>
          <w:color w:val="000000"/>
          <w:spacing w:val="36"/>
          <w:shd w:val="solid" w:color="000000" w:fill="000000"/>
          <w:fitText w:val="268" w:id="-961887732"/>
          <w14:textFill>
            <w14:solidFill>
              <w14:srgbClr w14:val="000000">
                <w14:alpha w14:val="100000"/>
              </w14:srgbClr>
            </w14:solidFill>
          </w14:textFill>
        </w:rPr>
        <w:t xml:space="preserve">|  </w:t>
      </w:r>
      <w:r w:rsidR="00640EC9" w:rsidRPr="00640EC9">
        <w:rPr>
          <w:color w:val="000000"/>
          <w:spacing w:val="2"/>
          <w:shd w:val="solid" w:color="000000" w:fill="000000"/>
          <w:fitText w:val="268" w:id="-961887732"/>
          <w14:textFill>
            <w14:solidFill>
              <w14:srgbClr w14:val="000000">
                <w14:alpha w14:val="100000"/>
              </w14:srgbClr>
            </w14:solidFill>
          </w14:textFill>
        </w:rPr>
        <w:t>|</w:t>
      </w:r>
      <w:r w:rsidRPr="00A14BC4">
        <w:t>%, Yr2=</w:t>
      </w:r>
      <w:r w:rsidR="00640EC9" w:rsidRPr="00640EC9">
        <w:rPr>
          <w:color w:val="000000"/>
          <w:spacing w:val="40"/>
          <w:shd w:val="solid" w:color="000000" w:fill="000000"/>
          <w:fitText w:val="280" w:id="-961887731"/>
          <w14:textFill>
            <w14:solidFill>
              <w14:srgbClr w14:val="000000">
                <w14:alpha w14:val="100000"/>
              </w14:srgbClr>
            </w14:solidFill>
          </w14:textFill>
        </w:rPr>
        <w:t xml:space="preserve">|  </w:t>
      </w:r>
      <w:r w:rsidR="00640EC9" w:rsidRPr="00640EC9">
        <w:rPr>
          <w:color w:val="000000"/>
          <w:spacing w:val="2"/>
          <w:shd w:val="solid" w:color="000000" w:fill="000000"/>
          <w:fitText w:val="280" w:id="-961887731"/>
          <w14:textFill>
            <w14:solidFill>
              <w14:srgbClr w14:val="000000">
                <w14:alpha w14:val="100000"/>
              </w14:srgbClr>
            </w14:solidFill>
          </w14:textFill>
        </w:rPr>
        <w:t>|</w:t>
      </w:r>
      <w:r w:rsidRPr="00A14BC4">
        <w:t>%, Yr3=</w:t>
      </w:r>
      <w:r w:rsidR="00640EC9" w:rsidRPr="00640EC9">
        <w:rPr>
          <w:color w:val="000000"/>
          <w:spacing w:val="36"/>
          <w:shd w:val="solid" w:color="000000" w:fill="000000"/>
          <w:fitText w:val="268" w:id="-961887730"/>
          <w14:textFill>
            <w14:solidFill>
              <w14:srgbClr w14:val="000000">
                <w14:alpha w14:val="100000"/>
              </w14:srgbClr>
            </w14:solidFill>
          </w14:textFill>
        </w:rPr>
        <w:t xml:space="preserve">|  </w:t>
      </w:r>
      <w:r w:rsidR="00640EC9" w:rsidRPr="00640EC9">
        <w:rPr>
          <w:color w:val="000000"/>
          <w:spacing w:val="2"/>
          <w:shd w:val="solid" w:color="000000" w:fill="000000"/>
          <w:fitText w:val="268" w:id="-961887730"/>
          <w14:textFill>
            <w14:solidFill>
              <w14:srgbClr w14:val="000000">
                <w14:alpha w14:val="100000"/>
              </w14:srgbClr>
            </w14:solidFill>
          </w14:textFill>
        </w:rPr>
        <w:t>|</w:t>
      </w:r>
      <w:r w:rsidRPr="00A14BC4">
        <w:t>%, Yr4=</w:t>
      </w:r>
      <w:r w:rsidR="00640EC9" w:rsidRPr="00640EC9">
        <w:rPr>
          <w:color w:val="000000"/>
          <w:spacing w:val="40"/>
          <w:shd w:val="solid" w:color="000000" w:fill="000000"/>
          <w:fitText w:val="280" w:id="-961887729"/>
          <w14:textFill>
            <w14:solidFill>
              <w14:srgbClr w14:val="000000">
                <w14:alpha w14:val="100000"/>
              </w14:srgbClr>
            </w14:solidFill>
          </w14:textFill>
        </w:rPr>
        <w:t xml:space="preserve">|  </w:t>
      </w:r>
      <w:r w:rsidR="00640EC9" w:rsidRPr="00640EC9">
        <w:rPr>
          <w:color w:val="000000"/>
          <w:spacing w:val="2"/>
          <w:shd w:val="solid" w:color="000000" w:fill="000000"/>
          <w:fitText w:val="280" w:id="-961887729"/>
          <w14:textFill>
            <w14:solidFill>
              <w14:srgbClr w14:val="000000">
                <w14:alpha w14:val="100000"/>
              </w14:srgbClr>
            </w14:solidFill>
          </w14:textFill>
        </w:rPr>
        <w:t>|</w:t>
      </w:r>
      <w:r w:rsidRPr="00A14BC4">
        <w:t>%, Y5=</w:t>
      </w:r>
      <w:r w:rsidR="00640EC9" w:rsidRPr="00640EC9">
        <w:rPr>
          <w:color w:val="000000"/>
          <w:spacing w:val="40"/>
          <w:shd w:val="solid" w:color="000000" w:fill="000000"/>
          <w:fitText w:val="280" w:id="-961887728"/>
          <w14:textFill>
            <w14:solidFill>
              <w14:srgbClr w14:val="000000">
                <w14:alpha w14:val="100000"/>
              </w14:srgbClr>
            </w14:solidFill>
          </w14:textFill>
        </w:rPr>
        <w:t xml:space="preserve">|  </w:t>
      </w:r>
      <w:r w:rsidR="00640EC9" w:rsidRPr="00640EC9">
        <w:rPr>
          <w:color w:val="000000"/>
          <w:spacing w:val="2"/>
          <w:shd w:val="solid" w:color="000000" w:fill="000000"/>
          <w:fitText w:val="280" w:id="-961887728"/>
          <w14:textFill>
            <w14:solidFill>
              <w14:srgbClr w14:val="000000">
                <w14:alpha w14:val="100000"/>
              </w14:srgbClr>
            </w14:solidFill>
          </w14:textFill>
        </w:rPr>
        <w:t>|</w:t>
      </w:r>
      <w:r w:rsidRPr="00A14BC4">
        <w:t>%, Yr6=</w:t>
      </w:r>
      <w:r w:rsidR="00640EC9" w:rsidRPr="00640EC9">
        <w:rPr>
          <w:color w:val="000000"/>
          <w:spacing w:val="40"/>
          <w:shd w:val="solid" w:color="000000" w:fill="000000"/>
          <w:fitText w:val="280" w:id="-961887744"/>
          <w14:textFill>
            <w14:solidFill>
              <w14:srgbClr w14:val="000000">
                <w14:alpha w14:val="100000"/>
              </w14:srgbClr>
            </w14:solidFill>
          </w14:textFill>
        </w:rPr>
        <w:t xml:space="preserve">|  </w:t>
      </w:r>
      <w:r w:rsidR="00640EC9" w:rsidRPr="00640EC9">
        <w:rPr>
          <w:color w:val="000000"/>
          <w:spacing w:val="2"/>
          <w:shd w:val="solid" w:color="000000" w:fill="000000"/>
          <w:fitText w:val="280" w:id="-961887744"/>
          <w14:textFill>
            <w14:solidFill>
              <w14:srgbClr w14:val="000000">
                <w14:alpha w14:val="100000"/>
              </w14:srgbClr>
            </w14:solidFill>
          </w14:textFill>
        </w:rPr>
        <w:t>|</w:t>
      </w:r>
      <w:r w:rsidRPr="00A14BC4">
        <w:t>%</w:t>
      </w:r>
    </w:p>
    <w:p w14:paraId="4E0BFAC6" w14:textId="148EECB2" w:rsidR="00A26972" w:rsidRPr="00A14BC4" w:rsidRDefault="00A26972" w:rsidP="00BA75EB">
      <w:pPr>
        <w:pStyle w:val="TableFigureFooter"/>
        <w:keepNext/>
        <w:keepLines/>
      </w:pPr>
      <w:r w:rsidRPr="00A14BC4">
        <w:t>b</w:t>
      </w:r>
      <w:r w:rsidRPr="00A14BC4">
        <w:tab/>
        <w:t>Yr 1=</w:t>
      </w:r>
      <w:r w:rsidR="00640EC9" w:rsidRPr="00640EC9">
        <w:rPr>
          <w:color w:val="000000"/>
          <w:spacing w:val="40"/>
          <w:shd w:val="solid" w:color="000000" w:fill="000000"/>
          <w:fitText w:val="280" w:id="-961887743"/>
          <w14:textFill>
            <w14:solidFill>
              <w14:srgbClr w14:val="000000">
                <w14:alpha w14:val="100000"/>
              </w14:srgbClr>
            </w14:solidFill>
          </w14:textFill>
        </w:rPr>
        <w:t xml:space="preserve">|  </w:t>
      </w:r>
      <w:r w:rsidR="00640EC9" w:rsidRPr="00640EC9">
        <w:rPr>
          <w:color w:val="000000"/>
          <w:spacing w:val="2"/>
          <w:shd w:val="solid" w:color="000000" w:fill="000000"/>
          <w:fitText w:val="280" w:id="-961887743"/>
          <w14:textFill>
            <w14:solidFill>
              <w14:srgbClr w14:val="000000">
                <w14:alpha w14:val="100000"/>
              </w14:srgbClr>
            </w14:solidFill>
          </w14:textFill>
        </w:rPr>
        <w:t>|</w:t>
      </w:r>
      <w:r w:rsidRPr="00A14BC4">
        <w:t>%, Yr 2=</w:t>
      </w:r>
      <w:r w:rsidR="00640EC9" w:rsidRPr="00640EC9">
        <w:rPr>
          <w:color w:val="000000"/>
          <w:spacing w:val="40"/>
          <w:shd w:val="solid" w:color="000000" w:fill="000000"/>
          <w:fitText w:val="280" w:id="-961887742"/>
          <w14:textFill>
            <w14:solidFill>
              <w14:srgbClr w14:val="000000">
                <w14:alpha w14:val="100000"/>
              </w14:srgbClr>
            </w14:solidFill>
          </w14:textFill>
        </w:rPr>
        <w:t xml:space="preserve">|  </w:t>
      </w:r>
      <w:r w:rsidR="00640EC9" w:rsidRPr="00640EC9">
        <w:rPr>
          <w:color w:val="000000"/>
          <w:spacing w:val="2"/>
          <w:shd w:val="solid" w:color="000000" w:fill="000000"/>
          <w:fitText w:val="280" w:id="-961887742"/>
          <w14:textFill>
            <w14:solidFill>
              <w14:srgbClr w14:val="000000">
                <w14:alpha w14:val="100000"/>
              </w14:srgbClr>
            </w14:solidFill>
          </w14:textFill>
        </w:rPr>
        <w:t>|</w:t>
      </w:r>
      <w:r w:rsidRPr="00A14BC4">
        <w:t>%, Yr 3=</w:t>
      </w:r>
      <w:r w:rsidR="00640EC9" w:rsidRPr="00640EC9">
        <w:rPr>
          <w:color w:val="000000"/>
          <w:spacing w:val="40"/>
          <w:shd w:val="solid" w:color="000000" w:fill="000000"/>
          <w:fitText w:val="280" w:id="-961887741"/>
          <w14:textFill>
            <w14:solidFill>
              <w14:srgbClr w14:val="000000">
                <w14:alpha w14:val="100000"/>
              </w14:srgbClr>
            </w14:solidFill>
          </w14:textFill>
        </w:rPr>
        <w:t xml:space="preserve">|  </w:t>
      </w:r>
      <w:r w:rsidR="00640EC9" w:rsidRPr="00640EC9">
        <w:rPr>
          <w:color w:val="000000"/>
          <w:spacing w:val="2"/>
          <w:shd w:val="solid" w:color="000000" w:fill="000000"/>
          <w:fitText w:val="280" w:id="-961887741"/>
          <w14:textFill>
            <w14:solidFill>
              <w14:srgbClr w14:val="000000">
                <w14:alpha w14:val="100000"/>
              </w14:srgbClr>
            </w14:solidFill>
          </w14:textFill>
        </w:rPr>
        <w:t>|</w:t>
      </w:r>
      <w:r w:rsidRPr="00A14BC4">
        <w:t>%, Yr 4=</w:t>
      </w:r>
      <w:r w:rsidR="00640EC9" w:rsidRPr="00640EC9">
        <w:rPr>
          <w:color w:val="000000"/>
          <w:spacing w:val="36"/>
          <w:shd w:val="solid" w:color="000000" w:fill="000000"/>
          <w:fitText w:val="268" w:id="-961887740"/>
          <w14:textFill>
            <w14:solidFill>
              <w14:srgbClr w14:val="000000">
                <w14:alpha w14:val="100000"/>
              </w14:srgbClr>
            </w14:solidFill>
          </w14:textFill>
        </w:rPr>
        <w:t xml:space="preserve">|  </w:t>
      </w:r>
      <w:r w:rsidR="00640EC9" w:rsidRPr="00640EC9">
        <w:rPr>
          <w:color w:val="000000"/>
          <w:spacing w:val="2"/>
          <w:shd w:val="solid" w:color="000000" w:fill="000000"/>
          <w:fitText w:val="268" w:id="-961887740"/>
          <w14:textFill>
            <w14:solidFill>
              <w14:srgbClr w14:val="000000">
                <w14:alpha w14:val="100000"/>
              </w14:srgbClr>
            </w14:solidFill>
          </w14:textFill>
        </w:rPr>
        <w:t>|</w:t>
      </w:r>
      <w:r w:rsidRPr="00A14BC4">
        <w:t>%, Yr 5=</w:t>
      </w:r>
      <w:r w:rsidR="00640EC9" w:rsidRPr="00640EC9">
        <w:rPr>
          <w:color w:val="000000"/>
          <w:spacing w:val="36"/>
          <w:shd w:val="solid" w:color="000000" w:fill="000000"/>
          <w:fitText w:val="268" w:id="-961887739"/>
          <w14:textFill>
            <w14:solidFill>
              <w14:srgbClr w14:val="000000">
                <w14:alpha w14:val="100000"/>
              </w14:srgbClr>
            </w14:solidFill>
          </w14:textFill>
        </w:rPr>
        <w:t xml:space="preserve">|  </w:t>
      </w:r>
      <w:r w:rsidR="00640EC9" w:rsidRPr="00640EC9">
        <w:rPr>
          <w:color w:val="000000"/>
          <w:spacing w:val="2"/>
          <w:shd w:val="solid" w:color="000000" w:fill="000000"/>
          <w:fitText w:val="268" w:id="-961887739"/>
          <w14:textFill>
            <w14:solidFill>
              <w14:srgbClr w14:val="000000">
                <w14:alpha w14:val="100000"/>
              </w14:srgbClr>
            </w14:solidFill>
          </w14:textFill>
        </w:rPr>
        <w:t>|</w:t>
      </w:r>
      <w:r w:rsidRPr="00A14BC4">
        <w:t>%, Yr 6=</w:t>
      </w:r>
      <w:r w:rsidR="00640EC9" w:rsidRPr="00640EC9">
        <w:rPr>
          <w:color w:val="000000"/>
          <w:spacing w:val="36"/>
          <w:shd w:val="solid" w:color="000000" w:fill="000000"/>
          <w:fitText w:val="268" w:id="-961887738"/>
          <w14:textFill>
            <w14:solidFill>
              <w14:srgbClr w14:val="000000">
                <w14:alpha w14:val="100000"/>
              </w14:srgbClr>
            </w14:solidFill>
          </w14:textFill>
        </w:rPr>
        <w:t xml:space="preserve">|  </w:t>
      </w:r>
      <w:r w:rsidR="00640EC9" w:rsidRPr="00640EC9">
        <w:rPr>
          <w:color w:val="000000"/>
          <w:spacing w:val="2"/>
          <w:shd w:val="solid" w:color="000000" w:fill="000000"/>
          <w:fitText w:val="268" w:id="-961887738"/>
          <w14:textFill>
            <w14:solidFill>
              <w14:srgbClr w14:val="000000">
                <w14:alpha w14:val="100000"/>
              </w14:srgbClr>
            </w14:solidFill>
          </w14:textFill>
        </w:rPr>
        <w:t>|</w:t>
      </w:r>
      <w:r w:rsidRPr="00A14BC4">
        <w:t>%, anifrolumab July 2022 submission</w:t>
      </w:r>
    </w:p>
    <w:p w14:paraId="3CA063C2" w14:textId="327F7CDE" w:rsidR="00A26972" w:rsidRPr="009941F8" w:rsidRDefault="00A26972" w:rsidP="00BA75EB">
      <w:pPr>
        <w:pStyle w:val="TableFigureFooter"/>
        <w:keepNext/>
        <w:keepLines/>
      </w:pPr>
      <w:r w:rsidRPr="00A14BC4">
        <w:t>c</w:t>
      </w:r>
      <w:r w:rsidRPr="00A14BC4">
        <w:tab/>
        <w:t>Yr 1=</w:t>
      </w:r>
      <w:r w:rsidR="00640EC9" w:rsidRPr="00640EC9">
        <w:rPr>
          <w:color w:val="000000"/>
          <w:spacing w:val="40"/>
          <w:shd w:val="solid" w:color="000000" w:fill="000000"/>
          <w:fitText w:val="280" w:id="-961887737"/>
          <w14:textFill>
            <w14:solidFill>
              <w14:srgbClr w14:val="000000">
                <w14:alpha w14:val="100000"/>
              </w14:srgbClr>
            </w14:solidFill>
          </w14:textFill>
        </w:rPr>
        <w:t xml:space="preserve">|  </w:t>
      </w:r>
      <w:r w:rsidR="00640EC9" w:rsidRPr="00640EC9">
        <w:rPr>
          <w:color w:val="000000"/>
          <w:spacing w:val="2"/>
          <w:shd w:val="solid" w:color="000000" w:fill="000000"/>
          <w:fitText w:val="280" w:id="-961887737"/>
          <w14:textFill>
            <w14:solidFill>
              <w14:srgbClr w14:val="000000">
                <w14:alpha w14:val="100000"/>
              </w14:srgbClr>
            </w14:solidFill>
          </w14:textFill>
        </w:rPr>
        <w:t>|</w:t>
      </w:r>
      <w:r w:rsidRPr="00A14BC4">
        <w:t>%, Yr 2=</w:t>
      </w:r>
      <w:r w:rsidR="00640EC9" w:rsidRPr="00640EC9">
        <w:rPr>
          <w:color w:val="000000"/>
          <w:spacing w:val="40"/>
          <w:shd w:val="solid" w:color="000000" w:fill="000000"/>
          <w:fitText w:val="280" w:id="-961887736"/>
          <w14:textFill>
            <w14:solidFill>
              <w14:srgbClr w14:val="000000">
                <w14:alpha w14:val="100000"/>
              </w14:srgbClr>
            </w14:solidFill>
          </w14:textFill>
        </w:rPr>
        <w:t xml:space="preserve">|  </w:t>
      </w:r>
      <w:r w:rsidR="00640EC9" w:rsidRPr="00640EC9">
        <w:rPr>
          <w:color w:val="000000"/>
          <w:spacing w:val="2"/>
          <w:shd w:val="solid" w:color="000000" w:fill="000000"/>
          <w:fitText w:val="280" w:id="-961887736"/>
          <w14:textFill>
            <w14:solidFill>
              <w14:srgbClr w14:val="000000">
                <w14:alpha w14:val="100000"/>
              </w14:srgbClr>
            </w14:solidFill>
          </w14:textFill>
        </w:rPr>
        <w:t>|</w:t>
      </w:r>
      <w:r w:rsidRPr="00A14BC4">
        <w:t>%, Yr 3=</w:t>
      </w:r>
      <w:r w:rsidR="00640EC9" w:rsidRPr="00640EC9">
        <w:rPr>
          <w:color w:val="000000"/>
          <w:spacing w:val="40"/>
          <w:shd w:val="solid" w:color="000000" w:fill="000000"/>
          <w:fitText w:val="280" w:id="-961887488"/>
          <w14:textFill>
            <w14:solidFill>
              <w14:srgbClr w14:val="000000">
                <w14:alpha w14:val="100000"/>
              </w14:srgbClr>
            </w14:solidFill>
          </w14:textFill>
        </w:rPr>
        <w:t xml:space="preserve">|  </w:t>
      </w:r>
      <w:r w:rsidR="00640EC9" w:rsidRPr="00640EC9">
        <w:rPr>
          <w:color w:val="000000"/>
          <w:spacing w:val="2"/>
          <w:shd w:val="solid" w:color="000000" w:fill="000000"/>
          <w:fitText w:val="280" w:id="-961887488"/>
          <w14:textFill>
            <w14:solidFill>
              <w14:srgbClr w14:val="000000">
                <w14:alpha w14:val="100000"/>
              </w14:srgbClr>
            </w14:solidFill>
          </w14:textFill>
        </w:rPr>
        <w:t>|</w:t>
      </w:r>
      <w:r w:rsidRPr="00A14BC4">
        <w:t>%, Yr 4=</w:t>
      </w:r>
      <w:r w:rsidR="00640EC9" w:rsidRPr="00640EC9">
        <w:rPr>
          <w:color w:val="000000"/>
          <w:spacing w:val="36"/>
          <w:shd w:val="solid" w:color="000000" w:fill="000000"/>
          <w:fitText w:val="268" w:id="-961887487"/>
          <w14:textFill>
            <w14:solidFill>
              <w14:srgbClr w14:val="000000">
                <w14:alpha w14:val="100000"/>
              </w14:srgbClr>
            </w14:solidFill>
          </w14:textFill>
        </w:rPr>
        <w:t xml:space="preserve">|  </w:t>
      </w:r>
      <w:r w:rsidR="00640EC9" w:rsidRPr="00640EC9">
        <w:rPr>
          <w:color w:val="000000"/>
          <w:spacing w:val="2"/>
          <w:shd w:val="solid" w:color="000000" w:fill="000000"/>
          <w:fitText w:val="268" w:id="-961887487"/>
          <w14:textFill>
            <w14:solidFill>
              <w14:srgbClr w14:val="000000">
                <w14:alpha w14:val="100000"/>
              </w14:srgbClr>
            </w14:solidFill>
          </w14:textFill>
        </w:rPr>
        <w:t>|</w:t>
      </w:r>
      <w:r w:rsidRPr="00A14BC4">
        <w:t xml:space="preserve">%, Yr 5= </w:t>
      </w:r>
      <w:r w:rsidR="00640EC9" w:rsidRPr="00640EC9">
        <w:rPr>
          <w:color w:val="000000"/>
          <w:spacing w:val="40"/>
          <w:shd w:val="solid" w:color="000000" w:fill="000000"/>
          <w:fitText w:val="280" w:id="-961887486"/>
          <w14:textFill>
            <w14:solidFill>
              <w14:srgbClr w14:val="000000">
                <w14:alpha w14:val="100000"/>
              </w14:srgbClr>
            </w14:solidFill>
          </w14:textFill>
        </w:rPr>
        <w:t xml:space="preserve">|  </w:t>
      </w:r>
      <w:r w:rsidR="00640EC9" w:rsidRPr="00640EC9">
        <w:rPr>
          <w:color w:val="000000"/>
          <w:spacing w:val="2"/>
          <w:shd w:val="solid" w:color="000000" w:fill="000000"/>
          <w:fitText w:val="280" w:id="-961887486"/>
          <w14:textFill>
            <w14:solidFill>
              <w14:srgbClr w14:val="000000">
                <w14:alpha w14:val="100000"/>
              </w14:srgbClr>
            </w14:solidFill>
          </w14:textFill>
        </w:rPr>
        <w:t>|</w:t>
      </w:r>
      <w:r w:rsidRPr="00A14BC4">
        <w:t>%, Yr 6=</w:t>
      </w:r>
      <w:r w:rsidR="00640EC9" w:rsidRPr="00640EC9">
        <w:rPr>
          <w:color w:val="000000"/>
          <w:spacing w:val="40"/>
          <w:shd w:val="solid" w:color="000000" w:fill="000000"/>
          <w:fitText w:val="280" w:id="-961887485"/>
          <w14:textFill>
            <w14:solidFill>
              <w14:srgbClr w14:val="000000">
                <w14:alpha w14:val="100000"/>
              </w14:srgbClr>
            </w14:solidFill>
          </w14:textFill>
        </w:rPr>
        <w:t xml:space="preserve">|  </w:t>
      </w:r>
      <w:r w:rsidR="00640EC9" w:rsidRPr="00640EC9">
        <w:rPr>
          <w:color w:val="000000"/>
          <w:spacing w:val="2"/>
          <w:shd w:val="solid" w:color="000000" w:fill="000000"/>
          <w:fitText w:val="280" w:id="-961887485"/>
          <w14:textFill>
            <w14:solidFill>
              <w14:srgbClr w14:val="000000">
                <w14:alpha w14:val="100000"/>
              </w14:srgbClr>
            </w14:solidFill>
          </w14:textFill>
        </w:rPr>
        <w:t>|</w:t>
      </w:r>
      <w:r w:rsidRPr="00A14BC4">
        <w:t>%, anifrolumab March 2023 resubmission</w:t>
      </w:r>
    </w:p>
    <w:p w14:paraId="701FDD8B" w14:textId="5986A0B6" w:rsidR="00A26972" w:rsidRPr="009941F8" w:rsidRDefault="00A26972" w:rsidP="00BA75EB">
      <w:pPr>
        <w:pStyle w:val="TableFigureFooter"/>
        <w:keepNext/>
        <w:keepLines/>
        <w:ind w:left="165" w:hanging="165"/>
      </w:pPr>
      <w:r w:rsidRPr="009941F8">
        <w:t>d</w:t>
      </w:r>
      <w:r w:rsidRPr="009941F8">
        <w:tab/>
        <w:t>Yr 1=</w:t>
      </w:r>
      <w:r w:rsidR="00640EC9" w:rsidRPr="00640EC9">
        <w:rPr>
          <w:color w:val="000000"/>
          <w:spacing w:val="40"/>
          <w:shd w:val="solid" w:color="000000" w:fill="000000"/>
          <w:fitText w:val="280" w:id="-961887484"/>
          <w14:textFill>
            <w14:solidFill>
              <w14:srgbClr w14:val="000000">
                <w14:alpha w14:val="100000"/>
              </w14:srgbClr>
            </w14:solidFill>
          </w14:textFill>
        </w:rPr>
        <w:t xml:space="preserve">|  </w:t>
      </w:r>
      <w:r w:rsidR="00640EC9" w:rsidRPr="00640EC9">
        <w:rPr>
          <w:color w:val="000000"/>
          <w:spacing w:val="2"/>
          <w:shd w:val="solid" w:color="000000" w:fill="000000"/>
          <w:fitText w:val="280" w:id="-961887484"/>
          <w14:textFill>
            <w14:solidFill>
              <w14:srgbClr w14:val="000000">
                <w14:alpha w14:val="100000"/>
              </w14:srgbClr>
            </w14:solidFill>
          </w14:textFill>
        </w:rPr>
        <w:t>|</w:t>
      </w:r>
      <w:r w:rsidRPr="009941F8">
        <w:t>%, Yr 2=</w:t>
      </w:r>
      <w:r w:rsidR="00640EC9" w:rsidRPr="00640EC9">
        <w:rPr>
          <w:color w:val="000000"/>
          <w:spacing w:val="40"/>
          <w:shd w:val="solid" w:color="000000" w:fill="000000"/>
          <w:fitText w:val="280" w:id="-961887483"/>
          <w14:textFill>
            <w14:solidFill>
              <w14:srgbClr w14:val="000000">
                <w14:alpha w14:val="100000"/>
              </w14:srgbClr>
            </w14:solidFill>
          </w14:textFill>
        </w:rPr>
        <w:t xml:space="preserve">|  </w:t>
      </w:r>
      <w:r w:rsidR="00640EC9" w:rsidRPr="00640EC9">
        <w:rPr>
          <w:color w:val="000000"/>
          <w:spacing w:val="2"/>
          <w:shd w:val="solid" w:color="000000" w:fill="000000"/>
          <w:fitText w:val="280" w:id="-961887483"/>
          <w14:textFill>
            <w14:solidFill>
              <w14:srgbClr w14:val="000000">
                <w14:alpha w14:val="100000"/>
              </w14:srgbClr>
            </w14:solidFill>
          </w14:textFill>
        </w:rPr>
        <w:t>|</w:t>
      </w:r>
      <w:r w:rsidRPr="009941F8">
        <w:t>%, Yr 3=</w:t>
      </w:r>
      <w:r w:rsidR="00640EC9" w:rsidRPr="00640EC9">
        <w:rPr>
          <w:color w:val="000000"/>
          <w:spacing w:val="36"/>
          <w:shd w:val="solid" w:color="000000" w:fill="000000"/>
          <w:fitText w:val="268" w:id="-961887482"/>
          <w14:textFill>
            <w14:solidFill>
              <w14:srgbClr w14:val="000000">
                <w14:alpha w14:val="100000"/>
              </w14:srgbClr>
            </w14:solidFill>
          </w14:textFill>
        </w:rPr>
        <w:t xml:space="preserve">|  </w:t>
      </w:r>
      <w:r w:rsidR="00640EC9" w:rsidRPr="00640EC9">
        <w:rPr>
          <w:color w:val="000000"/>
          <w:spacing w:val="2"/>
          <w:shd w:val="solid" w:color="000000" w:fill="000000"/>
          <w:fitText w:val="268" w:id="-961887482"/>
          <w14:textFill>
            <w14:solidFill>
              <w14:srgbClr w14:val="000000">
                <w14:alpha w14:val="100000"/>
              </w14:srgbClr>
            </w14:solidFill>
          </w14:textFill>
        </w:rPr>
        <w:t>|</w:t>
      </w:r>
      <w:r w:rsidRPr="009941F8">
        <w:t>%, Yr4=</w:t>
      </w:r>
      <w:r w:rsidR="00640EC9" w:rsidRPr="00640EC9">
        <w:rPr>
          <w:color w:val="000000"/>
          <w:spacing w:val="40"/>
          <w:shd w:val="solid" w:color="000000" w:fill="000000"/>
          <w:fitText w:val="280" w:id="-961887481"/>
          <w14:textFill>
            <w14:solidFill>
              <w14:srgbClr w14:val="000000">
                <w14:alpha w14:val="100000"/>
              </w14:srgbClr>
            </w14:solidFill>
          </w14:textFill>
        </w:rPr>
        <w:t xml:space="preserve">|  </w:t>
      </w:r>
      <w:r w:rsidR="00640EC9" w:rsidRPr="00640EC9">
        <w:rPr>
          <w:color w:val="000000"/>
          <w:spacing w:val="2"/>
          <w:shd w:val="solid" w:color="000000" w:fill="000000"/>
          <w:fitText w:val="280" w:id="-961887481"/>
          <w14:textFill>
            <w14:solidFill>
              <w14:srgbClr w14:val="000000">
                <w14:alpha w14:val="100000"/>
              </w14:srgbClr>
            </w14:solidFill>
          </w14:textFill>
        </w:rPr>
        <w:t>|</w:t>
      </w:r>
      <w:r w:rsidRPr="009941F8">
        <w:t>%, Yr 5=</w:t>
      </w:r>
      <w:r w:rsidR="00640EC9" w:rsidRPr="00640EC9">
        <w:rPr>
          <w:color w:val="000000"/>
          <w:spacing w:val="36"/>
          <w:shd w:val="solid" w:color="000000" w:fill="000000"/>
          <w:fitText w:val="268" w:id="-961887480"/>
          <w14:textFill>
            <w14:solidFill>
              <w14:srgbClr w14:val="000000">
                <w14:alpha w14:val="100000"/>
              </w14:srgbClr>
            </w14:solidFill>
          </w14:textFill>
        </w:rPr>
        <w:t xml:space="preserve">|  </w:t>
      </w:r>
      <w:r w:rsidR="00640EC9" w:rsidRPr="00640EC9">
        <w:rPr>
          <w:color w:val="000000"/>
          <w:spacing w:val="2"/>
          <w:shd w:val="solid" w:color="000000" w:fill="000000"/>
          <w:fitText w:val="268" w:id="-961887480"/>
          <w14:textFill>
            <w14:solidFill>
              <w14:srgbClr w14:val="000000">
                <w14:alpha w14:val="100000"/>
              </w14:srgbClr>
            </w14:solidFill>
          </w14:textFill>
        </w:rPr>
        <w:t>|</w:t>
      </w:r>
      <w:r w:rsidRPr="009941F8">
        <w:t>%, Yr 6=</w:t>
      </w:r>
      <w:r w:rsidR="00640EC9" w:rsidRPr="00640EC9">
        <w:rPr>
          <w:color w:val="000000"/>
          <w:spacing w:val="36"/>
          <w:shd w:val="solid" w:color="000000" w:fill="000000"/>
          <w:fitText w:val="268" w:id="-961887479"/>
          <w14:textFill>
            <w14:solidFill>
              <w14:srgbClr w14:val="000000">
                <w14:alpha w14:val="100000"/>
              </w14:srgbClr>
            </w14:solidFill>
          </w14:textFill>
        </w:rPr>
        <w:t xml:space="preserve">|  </w:t>
      </w:r>
      <w:r w:rsidR="00640EC9" w:rsidRPr="00640EC9">
        <w:rPr>
          <w:color w:val="000000"/>
          <w:spacing w:val="2"/>
          <w:shd w:val="solid" w:color="000000" w:fill="000000"/>
          <w:fitText w:val="268" w:id="-961887479"/>
          <w14:textFill>
            <w14:solidFill>
              <w14:srgbClr w14:val="000000">
                <w14:alpha w14:val="100000"/>
              </w14:srgbClr>
            </w14:solidFill>
          </w14:textFill>
        </w:rPr>
        <w:t>|</w:t>
      </w:r>
      <w:r w:rsidRPr="009941F8">
        <w:t>% based on 15-40% range proposed in paragraph 7.10, belimumab PSD, July 2020. Actual uptake for each year were not presented.</w:t>
      </w:r>
    </w:p>
    <w:p w14:paraId="1183160F" w14:textId="77777777" w:rsidR="00A26972" w:rsidRPr="009941F8" w:rsidRDefault="00A26972" w:rsidP="00BA75EB">
      <w:pPr>
        <w:pStyle w:val="TableFigureFooter"/>
        <w:keepNext/>
        <w:keepLines/>
      </w:pPr>
      <w:r w:rsidRPr="009941F8">
        <w:t>e</w:t>
      </w:r>
      <w:r w:rsidRPr="009941F8">
        <w:tab/>
        <w:t xml:space="preserve">proposed in March 2023 pre-PBAC response </w:t>
      </w:r>
    </w:p>
    <w:p w14:paraId="6CF1FAF7" w14:textId="77777777" w:rsidR="00A26972" w:rsidRPr="009941F8" w:rsidRDefault="00A26972" w:rsidP="00BA75EB">
      <w:pPr>
        <w:pStyle w:val="TableFigureFooter"/>
        <w:keepNext/>
        <w:keepLines/>
      </w:pPr>
      <w:r w:rsidRPr="009941F8">
        <w:t>f</w:t>
      </w:r>
      <w:r w:rsidRPr="009941F8">
        <w:tab/>
        <w:t>ALRB patients HDAS, triple therapy on ≥7.5mg/day OCS dose</w:t>
      </w:r>
    </w:p>
    <w:p w14:paraId="1A35B471" w14:textId="77777777" w:rsidR="00A26972" w:rsidRPr="009941F8" w:rsidRDefault="00A26972" w:rsidP="00BA75EB">
      <w:pPr>
        <w:pStyle w:val="TableFigureFooter"/>
        <w:keepNext/>
        <w:keepLines/>
      </w:pPr>
      <w:r w:rsidRPr="009941F8">
        <w:t>g</w:t>
      </w:r>
      <w:r w:rsidRPr="009941F8">
        <w:tab/>
        <w:t xml:space="preserve">proportion patients clinically eligible, on triple therapy in IQVIA February 2022 report </w:t>
      </w:r>
    </w:p>
    <w:p w14:paraId="19581D4F" w14:textId="77777777" w:rsidR="00A26972" w:rsidRPr="009941F8" w:rsidRDefault="00A26972" w:rsidP="00BA75EB">
      <w:pPr>
        <w:pStyle w:val="TableFigureFooter"/>
        <w:keepNext/>
        <w:keepLines/>
      </w:pPr>
      <w:r w:rsidRPr="009941F8">
        <w:t>h</w:t>
      </w:r>
      <w:r w:rsidRPr="009941F8">
        <w:tab/>
        <w:t>proportion patients clinically eligible, on triple therapy and who clinician would willingly prescribe, IQVIA February 2022 report</w:t>
      </w:r>
    </w:p>
    <w:p w14:paraId="64691366" w14:textId="77777777" w:rsidR="00A26972" w:rsidRDefault="00A26972" w:rsidP="00FA3EC9">
      <w:pPr>
        <w:pStyle w:val="TableFigureFooter"/>
        <w:keepNext/>
        <w:keepLines/>
        <w:spacing w:after="0"/>
        <w:ind w:left="164" w:hanging="164"/>
      </w:pPr>
      <w:r w:rsidRPr="009941F8">
        <w:t>i</w:t>
      </w:r>
      <w:r w:rsidRPr="009941F8">
        <w:tab/>
        <w:t>proportion patients with SLEDAI-2K≥10, IQVIA February 2022 report. With triple therapy restrictions relaxed in the proposed restriction, this may represent an upper bound of patients</w:t>
      </w:r>
    </w:p>
    <w:p w14:paraId="0B874EBC" w14:textId="77777777" w:rsidR="004B1CAE" w:rsidRPr="00831A70" w:rsidRDefault="004B1CAE" w:rsidP="004B1CAE">
      <w:pPr>
        <w:keepNext/>
        <w:keepLine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rPr>
        <w:t>The redacted values correspond to the following ranges:</w:t>
      </w:r>
    </w:p>
    <w:p w14:paraId="5FD1BCA9" w14:textId="46BAB52C" w:rsidR="004B1CAE" w:rsidRPr="00831A70" w:rsidRDefault="004B1CAE" w:rsidP="004B1CAE">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1</w:t>
      </w:r>
      <w:r w:rsidRPr="00831A70">
        <w:rPr>
          <w:rFonts w:ascii="Arial Narrow" w:eastAsia="SimSun" w:hAnsi="Arial Narrow"/>
          <w:i/>
          <w:iCs/>
          <w:snapToGrid w:val="0"/>
          <w:sz w:val="18"/>
          <w:szCs w:val="22"/>
        </w:rPr>
        <w:t xml:space="preserve"> $0 to &lt; $10 million</w:t>
      </w:r>
    </w:p>
    <w:p w14:paraId="2E6184C8" w14:textId="732FC56E" w:rsidR="009002D9" w:rsidRPr="00831A70" w:rsidRDefault="009002D9" w:rsidP="009002D9">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2</w:t>
      </w:r>
      <w:r w:rsidRPr="00831A70">
        <w:rPr>
          <w:rFonts w:ascii="Arial Narrow" w:eastAsia="SimSun" w:hAnsi="Arial Narrow"/>
          <w:i/>
          <w:iCs/>
          <w:snapToGrid w:val="0"/>
          <w:sz w:val="18"/>
          <w:szCs w:val="22"/>
        </w:rPr>
        <w:t xml:space="preserve"> $10 million to &lt; $20 million</w:t>
      </w:r>
    </w:p>
    <w:p w14:paraId="25F387B8" w14:textId="258B369D" w:rsidR="009002D9" w:rsidRPr="00831A70" w:rsidRDefault="009002D9" w:rsidP="009002D9">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3</w:t>
      </w:r>
      <w:r w:rsidRPr="00831A70">
        <w:rPr>
          <w:rFonts w:ascii="Arial Narrow" w:eastAsia="SimSun" w:hAnsi="Arial Narrow"/>
          <w:i/>
          <w:iCs/>
          <w:snapToGrid w:val="0"/>
          <w:sz w:val="18"/>
          <w:szCs w:val="22"/>
        </w:rPr>
        <w:t xml:space="preserve"> $60 million to &lt; $70 million</w:t>
      </w:r>
    </w:p>
    <w:p w14:paraId="40E7C50C" w14:textId="304FAA61" w:rsidR="009002D9" w:rsidRPr="00831A70" w:rsidRDefault="009002D9" w:rsidP="009002D9">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4</w:t>
      </w:r>
      <w:r w:rsidRPr="00831A70">
        <w:rPr>
          <w:rFonts w:ascii="Arial Narrow" w:eastAsia="SimSun" w:hAnsi="Arial Narrow"/>
          <w:i/>
          <w:iCs/>
          <w:snapToGrid w:val="0"/>
          <w:sz w:val="18"/>
          <w:szCs w:val="22"/>
        </w:rPr>
        <w:t xml:space="preserve"> $80 million to &lt; $90 million</w:t>
      </w:r>
    </w:p>
    <w:p w14:paraId="7A40DAEB" w14:textId="7427B825" w:rsidR="009002D9" w:rsidRPr="00831A70" w:rsidRDefault="009002D9" w:rsidP="009002D9">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5</w:t>
      </w:r>
      <w:r w:rsidRPr="00831A70">
        <w:rPr>
          <w:rFonts w:ascii="Arial Narrow" w:eastAsia="SimSun" w:hAnsi="Arial Narrow"/>
          <w:i/>
          <w:iCs/>
          <w:snapToGrid w:val="0"/>
          <w:sz w:val="18"/>
          <w:szCs w:val="22"/>
        </w:rPr>
        <w:t xml:space="preserve"> $100 million to &lt; $200 million</w:t>
      </w:r>
    </w:p>
    <w:p w14:paraId="3CF7DA9B" w14:textId="5F909832" w:rsidR="009002D9" w:rsidRPr="00831A70" w:rsidRDefault="009002D9" w:rsidP="009002D9">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6</w:t>
      </w:r>
      <w:r w:rsidRPr="00831A70">
        <w:rPr>
          <w:rFonts w:ascii="Arial Narrow" w:eastAsia="SimSun" w:hAnsi="Arial Narrow"/>
          <w:i/>
          <w:iCs/>
          <w:snapToGrid w:val="0"/>
          <w:sz w:val="18"/>
          <w:szCs w:val="22"/>
        </w:rPr>
        <w:t xml:space="preserve"> $40 million to &lt; $50 million</w:t>
      </w:r>
    </w:p>
    <w:p w14:paraId="39956ED5" w14:textId="664C9916" w:rsidR="009002D9" w:rsidRPr="00831A70" w:rsidRDefault="009002D9" w:rsidP="009002D9">
      <w:pPr>
        <w:keepNext/>
        <w:keepLines/>
        <w:tabs>
          <w:tab w:val="left" w:pos="1761"/>
        </w:tabs>
        <w:spacing w:after="120"/>
        <w:contextualSpacing/>
        <w:rPr>
          <w:rFonts w:ascii="Arial Narrow" w:eastAsia="SimSun" w:hAnsi="Arial Narrow"/>
          <w:i/>
          <w:iCs/>
          <w:snapToGrid w:val="0"/>
          <w:sz w:val="18"/>
          <w:szCs w:val="22"/>
        </w:rPr>
      </w:pPr>
      <w:r w:rsidRPr="00831A70">
        <w:rPr>
          <w:rFonts w:ascii="Arial Narrow" w:eastAsia="SimSun" w:hAnsi="Arial Narrow"/>
          <w:i/>
          <w:iCs/>
          <w:snapToGrid w:val="0"/>
          <w:sz w:val="18"/>
          <w:szCs w:val="22"/>
          <w:vertAlign w:val="superscript"/>
        </w:rPr>
        <w:t>7</w:t>
      </w:r>
      <w:r w:rsidRPr="00831A70">
        <w:rPr>
          <w:rFonts w:ascii="Arial Narrow" w:eastAsia="SimSun" w:hAnsi="Arial Narrow"/>
          <w:i/>
          <w:iCs/>
          <w:snapToGrid w:val="0"/>
          <w:sz w:val="18"/>
          <w:szCs w:val="22"/>
        </w:rPr>
        <w:t xml:space="preserve"> $70 million to &lt; $80 million</w:t>
      </w:r>
    </w:p>
    <w:p w14:paraId="4F68D6AD" w14:textId="55AFBD46" w:rsidR="003037C7" w:rsidRDefault="003F1929" w:rsidP="00233562">
      <w:pPr>
        <w:tabs>
          <w:tab w:val="left" w:pos="1761"/>
        </w:tabs>
        <w:rPr>
          <w:rFonts w:ascii="Arial Narrow" w:eastAsia="SimSun" w:hAnsi="Arial Narrow"/>
          <w:i/>
          <w:iCs/>
          <w:snapToGrid w:val="0"/>
          <w:sz w:val="18"/>
          <w:szCs w:val="22"/>
        </w:rPr>
      </w:pPr>
      <w:bookmarkStart w:id="92" w:name="_Hlk166502753"/>
      <w:r w:rsidRPr="00831A70">
        <w:rPr>
          <w:rFonts w:ascii="Arial Narrow" w:eastAsia="SimSun" w:hAnsi="Arial Narrow"/>
          <w:i/>
          <w:iCs/>
          <w:snapToGrid w:val="0"/>
          <w:sz w:val="18"/>
          <w:szCs w:val="22"/>
          <w:vertAlign w:val="superscript"/>
        </w:rPr>
        <w:t>8</w:t>
      </w:r>
      <w:r w:rsidR="004B1CAE" w:rsidRPr="00831A70">
        <w:rPr>
          <w:rFonts w:ascii="Arial Narrow" w:eastAsia="SimSun" w:hAnsi="Arial Narrow"/>
          <w:i/>
          <w:iCs/>
          <w:snapToGrid w:val="0"/>
          <w:sz w:val="18"/>
          <w:szCs w:val="22"/>
        </w:rPr>
        <w:t xml:space="preserve"> $</w:t>
      </w:r>
      <w:r w:rsidRPr="00831A70">
        <w:rPr>
          <w:rFonts w:ascii="Arial Narrow" w:eastAsia="SimSun" w:hAnsi="Arial Narrow"/>
          <w:i/>
          <w:iCs/>
          <w:snapToGrid w:val="0"/>
          <w:sz w:val="18"/>
          <w:szCs w:val="22"/>
        </w:rPr>
        <w:t>5</w:t>
      </w:r>
      <w:r w:rsidR="004B1CAE" w:rsidRPr="00831A70">
        <w:rPr>
          <w:rFonts w:ascii="Arial Narrow" w:eastAsia="SimSun" w:hAnsi="Arial Narrow"/>
          <w:i/>
          <w:iCs/>
          <w:snapToGrid w:val="0"/>
          <w:sz w:val="18"/>
          <w:szCs w:val="22"/>
        </w:rPr>
        <w:t>0 million to &lt; $</w:t>
      </w:r>
      <w:r w:rsidRPr="00831A70">
        <w:rPr>
          <w:rFonts w:ascii="Arial Narrow" w:eastAsia="SimSun" w:hAnsi="Arial Narrow"/>
          <w:i/>
          <w:iCs/>
          <w:snapToGrid w:val="0"/>
          <w:sz w:val="18"/>
          <w:szCs w:val="22"/>
        </w:rPr>
        <w:t>6</w:t>
      </w:r>
      <w:r w:rsidR="004B1CAE" w:rsidRPr="00831A70">
        <w:rPr>
          <w:rFonts w:ascii="Arial Narrow" w:eastAsia="SimSun" w:hAnsi="Arial Narrow"/>
          <w:i/>
          <w:iCs/>
          <w:snapToGrid w:val="0"/>
          <w:sz w:val="18"/>
          <w:szCs w:val="22"/>
        </w:rPr>
        <w:t>0 million</w:t>
      </w:r>
    </w:p>
    <w:p w14:paraId="067C1085" w14:textId="79B745FF" w:rsidR="004B1CAE" w:rsidRPr="00233562" w:rsidRDefault="003037C7" w:rsidP="00233562">
      <w:pPr>
        <w:tabs>
          <w:tab w:val="left" w:pos="1761"/>
        </w:tabs>
        <w:spacing w:after="120"/>
        <w:rPr>
          <w:rFonts w:eastAsia="SimSun"/>
          <w:i/>
          <w:iCs/>
        </w:rPr>
      </w:pPr>
      <w:r>
        <w:rPr>
          <w:rFonts w:ascii="Arial Narrow" w:eastAsia="SimSun" w:hAnsi="Arial Narrow"/>
          <w:i/>
          <w:iCs/>
          <w:snapToGrid w:val="0"/>
          <w:sz w:val="18"/>
          <w:szCs w:val="22"/>
          <w:vertAlign w:val="superscript"/>
        </w:rPr>
        <w:t>9</w:t>
      </w:r>
      <w:r w:rsidRPr="00831A70">
        <w:rPr>
          <w:rFonts w:ascii="Arial Narrow" w:eastAsia="SimSun" w:hAnsi="Arial Narrow"/>
          <w:i/>
          <w:iCs/>
          <w:snapToGrid w:val="0"/>
          <w:sz w:val="18"/>
          <w:szCs w:val="22"/>
        </w:rPr>
        <w:t xml:space="preserve"> $</w:t>
      </w:r>
      <w:r>
        <w:rPr>
          <w:rFonts w:ascii="Arial Narrow" w:eastAsia="SimSun" w:hAnsi="Arial Narrow"/>
          <w:i/>
          <w:iCs/>
          <w:snapToGrid w:val="0"/>
          <w:sz w:val="18"/>
          <w:szCs w:val="22"/>
        </w:rPr>
        <w:t>2</w:t>
      </w:r>
      <w:r w:rsidRPr="00831A70">
        <w:rPr>
          <w:rFonts w:ascii="Arial Narrow" w:eastAsia="SimSun" w:hAnsi="Arial Narrow"/>
          <w:i/>
          <w:iCs/>
          <w:snapToGrid w:val="0"/>
          <w:sz w:val="18"/>
          <w:szCs w:val="22"/>
        </w:rPr>
        <w:t>0 million to &lt; $</w:t>
      </w:r>
      <w:r>
        <w:rPr>
          <w:rFonts w:ascii="Arial Narrow" w:eastAsia="SimSun" w:hAnsi="Arial Narrow"/>
          <w:i/>
          <w:iCs/>
          <w:snapToGrid w:val="0"/>
          <w:sz w:val="18"/>
          <w:szCs w:val="22"/>
        </w:rPr>
        <w:t>3</w:t>
      </w:r>
      <w:r w:rsidRPr="00831A70">
        <w:rPr>
          <w:rFonts w:ascii="Arial Narrow" w:eastAsia="SimSun" w:hAnsi="Arial Narrow"/>
          <w:i/>
          <w:iCs/>
          <w:snapToGrid w:val="0"/>
          <w:sz w:val="18"/>
          <w:szCs w:val="22"/>
        </w:rPr>
        <w:t>0 million</w:t>
      </w:r>
      <w:bookmarkEnd w:id="92"/>
    </w:p>
    <w:p w14:paraId="2238DEE9" w14:textId="3E6A228B" w:rsidR="00576972" w:rsidRPr="009941F8" w:rsidRDefault="00576972" w:rsidP="00A244E2">
      <w:pPr>
        <w:pStyle w:val="4-SubsectionHeading"/>
      </w:pPr>
      <w:bookmarkStart w:id="93" w:name="_Toc22897648"/>
      <w:bookmarkStart w:id="94" w:name="_Toc156918352"/>
      <w:r w:rsidRPr="009941F8">
        <w:t>Quality Use of Medicines</w:t>
      </w:r>
      <w:bookmarkEnd w:id="93"/>
      <w:bookmarkEnd w:id="94"/>
    </w:p>
    <w:p w14:paraId="20F9DC4E" w14:textId="333A4B9F" w:rsidR="00A26972" w:rsidRPr="009941F8" w:rsidRDefault="00A26972" w:rsidP="00A244E2">
      <w:pPr>
        <w:pStyle w:val="3-BodyText"/>
      </w:pPr>
      <w:r w:rsidRPr="009941F8">
        <w:t xml:space="preserve">There were no material changes </w:t>
      </w:r>
      <w:r w:rsidR="00B27268" w:rsidRPr="009941F8">
        <w:t xml:space="preserve">in quality use of medicine </w:t>
      </w:r>
      <w:r w:rsidRPr="009941F8">
        <w:t>compared to the March</w:t>
      </w:r>
      <w:r w:rsidR="003037C7">
        <w:t> </w:t>
      </w:r>
      <w:r w:rsidRPr="009941F8">
        <w:t xml:space="preserve">2023 resubmission. The resubmission referred to the AstraZeneca Global </w:t>
      </w:r>
      <w:r w:rsidRPr="009941F8">
        <w:lastRenderedPageBreak/>
        <w:t>Patient Safety group which manages pharmacovigilance activities locally. The resubmission stated that there was minimal risk of incorrect administration as anifrolumab is administered by health care professionals with a flat 300</w:t>
      </w:r>
      <w:r w:rsidR="00BA75EB">
        <w:t xml:space="preserve"> </w:t>
      </w:r>
      <w:r w:rsidRPr="009941F8">
        <w:t xml:space="preserve">mg dosage. </w:t>
      </w:r>
    </w:p>
    <w:p w14:paraId="2C855E0D" w14:textId="77777777" w:rsidR="00A26972" w:rsidRPr="009941F8" w:rsidRDefault="00A26972" w:rsidP="00A244E2">
      <w:pPr>
        <w:pStyle w:val="3-BodyText"/>
      </w:pPr>
      <w:r w:rsidRPr="009941F8">
        <w:t>The resubmission also mentioned plans to provide educational materials to patients and healthcare professionals including a website and text message reminders for infusions.</w:t>
      </w:r>
    </w:p>
    <w:p w14:paraId="6015A395" w14:textId="2EDB6A4E" w:rsidR="00576972" w:rsidRPr="009941F8" w:rsidRDefault="00576972" w:rsidP="00A244E2">
      <w:pPr>
        <w:pStyle w:val="4-SubsectionHeading"/>
      </w:pPr>
      <w:bookmarkStart w:id="95" w:name="_Toc22897649"/>
      <w:bookmarkStart w:id="96" w:name="_Toc156918353"/>
      <w:r w:rsidRPr="009941F8">
        <w:t>Financial Management – Risk Sharing Arrangements</w:t>
      </w:r>
      <w:bookmarkEnd w:id="95"/>
      <w:bookmarkEnd w:id="96"/>
    </w:p>
    <w:p w14:paraId="4F7060B9" w14:textId="736B4578" w:rsidR="00A26972" w:rsidRPr="009941F8" w:rsidRDefault="00A26972" w:rsidP="00A244E2">
      <w:pPr>
        <w:pStyle w:val="3-BodyText"/>
      </w:pPr>
      <w:r w:rsidRPr="009941F8">
        <w:t xml:space="preserve">The resubmission proposed a risk </w:t>
      </w:r>
      <w:r w:rsidR="00895C93" w:rsidRPr="009941F8">
        <w:t>sharing arrangement</w:t>
      </w:r>
      <w:r w:rsidRPr="009941F8">
        <w:t xml:space="preserve"> based on tiered expenditure caps. </w:t>
      </w:r>
      <w:r w:rsidR="009239EE">
        <w:t xml:space="preserve">For use between Tier 1, which was based on the resubmission’s utilisation estimates, and Tier 2 a rebate of </w:t>
      </w:r>
      <w:r w:rsidR="00640EC9" w:rsidRPr="00CE7EC7">
        <w:rPr>
          <w:color w:val="000000"/>
          <w:w w:val="15"/>
          <w:shd w:val="solid" w:color="000000" w:fill="000000"/>
          <w:fitText w:val="-20" w:id="-961887478"/>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87478"/>
          <w14:textFill>
            <w14:solidFill>
              <w14:srgbClr w14:val="000000">
                <w14:alpha w14:val="100000"/>
              </w14:srgbClr>
            </w14:solidFill>
          </w14:textFill>
        </w:rPr>
        <w:t>|</w:t>
      </w:r>
      <w:r w:rsidR="009239EE">
        <w:t xml:space="preserve">% was proposed. </w:t>
      </w:r>
      <w:r w:rsidR="001E257E" w:rsidRPr="009941F8">
        <w:t>The submission stated that the Tier</w:t>
      </w:r>
      <w:r w:rsidR="00F30FCE">
        <w:t> </w:t>
      </w:r>
      <w:r w:rsidR="001E257E" w:rsidRPr="009941F8">
        <w:t xml:space="preserve">2 utilisation cap was proposed based on the high potential for increased uptake among SLE patients, and proposed </w:t>
      </w:r>
      <w:r w:rsidR="009239EE">
        <w:t xml:space="preserve">a </w:t>
      </w:r>
      <w:r w:rsidR="00640EC9" w:rsidRPr="00CE7EC7">
        <w:rPr>
          <w:color w:val="000000"/>
          <w:w w:val="15"/>
          <w:shd w:val="solid" w:color="000000" w:fill="000000"/>
          <w:fitText w:val="-20" w:id="-961887477"/>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87477"/>
          <w14:textFill>
            <w14:solidFill>
              <w14:srgbClr w14:val="000000">
                <w14:alpha w14:val="100000"/>
              </w14:srgbClr>
            </w14:solidFill>
          </w14:textFill>
        </w:rPr>
        <w:t>|</w:t>
      </w:r>
      <w:r w:rsidR="001E257E" w:rsidRPr="009941F8">
        <w:t xml:space="preserve">% rebate </w:t>
      </w:r>
      <w:r w:rsidR="009239EE">
        <w:t xml:space="preserve">for use </w:t>
      </w:r>
      <w:r w:rsidR="001E257E" w:rsidRPr="009941F8">
        <w:t>above this threshold</w:t>
      </w:r>
      <w:r w:rsidR="009941F8">
        <w:t xml:space="preserve">. </w:t>
      </w:r>
      <w:r w:rsidR="001E257E" w:rsidRPr="009941F8">
        <w:t>The proposed Tier 2 cap</w:t>
      </w:r>
      <w:r w:rsidR="003F712C" w:rsidRPr="009941F8">
        <w:t xml:space="preserve"> thresholds</w:t>
      </w:r>
      <w:r w:rsidR="001E257E" w:rsidRPr="009941F8">
        <w:t xml:space="preserve"> were approximately </w:t>
      </w:r>
      <w:r w:rsidR="00640EC9" w:rsidRPr="00CE7EC7">
        <w:rPr>
          <w:color w:val="000000"/>
          <w:w w:val="15"/>
          <w:shd w:val="solid" w:color="000000" w:fill="000000"/>
          <w:fitText w:val="-20" w:id="-961887476"/>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87476"/>
          <w14:textFill>
            <w14:solidFill>
              <w14:srgbClr w14:val="000000">
                <w14:alpha w14:val="100000"/>
              </w14:srgbClr>
            </w14:solidFill>
          </w14:textFill>
        </w:rPr>
        <w:t>|</w:t>
      </w:r>
      <w:r w:rsidR="001E257E" w:rsidRPr="009941F8">
        <w:t>% higher than the</w:t>
      </w:r>
      <w:r w:rsidR="009239EE">
        <w:t xml:space="preserve"> re</w:t>
      </w:r>
      <w:r w:rsidR="001E257E" w:rsidRPr="009941F8">
        <w:t>submission’s utilisation estimates</w:t>
      </w:r>
      <w:r w:rsidR="009941F8">
        <w:t xml:space="preserve">. </w:t>
      </w:r>
    </w:p>
    <w:p w14:paraId="0C455D94" w14:textId="64AC8B64" w:rsidR="00A244E2" w:rsidRPr="009941F8" w:rsidRDefault="00A244E2" w:rsidP="00A244E2">
      <w:pPr>
        <w:pStyle w:val="3-BodyText"/>
        <w:numPr>
          <w:ilvl w:val="0"/>
          <w:numId w:val="0"/>
        </w:numPr>
        <w:ind w:left="720"/>
        <w:rPr>
          <w:i/>
          <w:iCs/>
        </w:rPr>
      </w:pPr>
      <w:r w:rsidRPr="009941F8">
        <w:rPr>
          <w:rFonts w:eastAsia="SimSun"/>
          <w:i/>
          <w:iCs/>
        </w:rPr>
        <w:t>For more detail on PBAC’s view, see section 7 PBAC outcome.</w:t>
      </w:r>
    </w:p>
    <w:p w14:paraId="00296824" w14:textId="77777777" w:rsidR="00A244E2" w:rsidRPr="009941F8" w:rsidRDefault="00A244E2" w:rsidP="00A244E2">
      <w:pPr>
        <w:pStyle w:val="2-SectionHeading"/>
      </w:pPr>
      <w:bookmarkStart w:id="97" w:name="_Hlk76381249"/>
      <w:r w:rsidRPr="009941F8">
        <w:t>PBAC Outcome</w:t>
      </w:r>
    </w:p>
    <w:p w14:paraId="12557181" w14:textId="5418AE1C" w:rsidR="005B549D" w:rsidRPr="009941F8" w:rsidRDefault="00D8218E" w:rsidP="00460084">
      <w:pPr>
        <w:widowControl w:val="0"/>
        <w:numPr>
          <w:ilvl w:val="1"/>
          <w:numId w:val="1"/>
        </w:numPr>
        <w:spacing w:after="120"/>
        <w:rPr>
          <w:rFonts w:asciiTheme="minorHAnsi" w:hAnsiTheme="minorHAnsi"/>
          <w:snapToGrid w:val="0"/>
        </w:rPr>
      </w:pPr>
      <w:bookmarkStart w:id="98" w:name="_Hlk111543188"/>
      <w:r w:rsidRPr="009941F8">
        <w:rPr>
          <w:rFonts w:asciiTheme="minorHAnsi" w:hAnsiTheme="minorHAnsi"/>
          <w:snapToGrid w:val="0"/>
        </w:rPr>
        <w:t xml:space="preserve">The PBAC recommended </w:t>
      </w:r>
      <w:r w:rsidR="00A405D9" w:rsidRPr="009941F8">
        <w:rPr>
          <w:rFonts w:asciiTheme="minorHAnsi" w:hAnsiTheme="minorHAnsi"/>
          <w:snapToGrid w:val="0"/>
        </w:rPr>
        <w:t>a complex authority required (CAR) Section 100 Highly Specialised Drugs (S100 HSD) Authority Required (In Writing/HPOS) listing of anifrolumab for the treatment of patients with severe systemic lupus erythematosus (SLE) with high disease activity despite standard of care (SOC). The PBAC was satisfied that anifrolumab provides, for some patients, a significant improvement in efficacy over SOC alone for the management of SLE in the requested population</w:t>
      </w:r>
      <w:bookmarkStart w:id="99" w:name="_Hlk150713234"/>
      <w:r w:rsidR="009941F8">
        <w:rPr>
          <w:rFonts w:asciiTheme="minorHAnsi" w:hAnsiTheme="minorHAnsi"/>
          <w:snapToGrid w:val="0"/>
        </w:rPr>
        <w:t xml:space="preserve">. </w:t>
      </w:r>
      <w:r w:rsidR="005B549D" w:rsidRPr="009941F8">
        <w:rPr>
          <w:rFonts w:asciiTheme="minorHAnsi" w:hAnsiTheme="minorHAnsi"/>
          <w:snapToGrid w:val="0"/>
        </w:rPr>
        <w:t>T</w:t>
      </w:r>
      <w:r w:rsidR="00A405D9" w:rsidRPr="009941F8">
        <w:rPr>
          <w:rFonts w:asciiTheme="minorHAnsi" w:hAnsiTheme="minorHAnsi"/>
          <w:snapToGrid w:val="0"/>
        </w:rPr>
        <w:t xml:space="preserve">he PBAC’s recommendation for listing was based on, among other matters, its assessment that the resubmission sufficiently addressed the concerns raised </w:t>
      </w:r>
      <w:r w:rsidR="00895C93" w:rsidRPr="009941F8">
        <w:rPr>
          <w:rFonts w:asciiTheme="minorHAnsi" w:hAnsiTheme="minorHAnsi"/>
          <w:snapToGrid w:val="0"/>
        </w:rPr>
        <w:t>with</w:t>
      </w:r>
      <w:r w:rsidR="00A405D9" w:rsidRPr="009941F8">
        <w:rPr>
          <w:rFonts w:asciiTheme="minorHAnsi" w:hAnsiTheme="minorHAnsi"/>
          <w:snapToGrid w:val="0"/>
        </w:rPr>
        <w:t xml:space="preserve"> the previous resubmission, and that the cost-effectiveness of anifrolumab would be acceptable at the price proposed in the pre-PBAC response</w:t>
      </w:r>
      <w:bookmarkEnd w:id="99"/>
      <w:r w:rsidR="009941F8">
        <w:rPr>
          <w:rFonts w:asciiTheme="minorHAnsi" w:hAnsiTheme="minorHAnsi"/>
          <w:snapToGrid w:val="0"/>
        </w:rPr>
        <w:t xml:space="preserve">. </w:t>
      </w:r>
      <w:r w:rsidRPr="009941F8">
        <w:rPr>
          <w:rFonts w:asciiTheme="minorHAnsi" w:hAnsiTheme="minorHAnsi"/>
          <w:snapToGrid w:val="0"/>
        </w:rPr>
        <w:t xml:space="preserve">The PBAC considered that the financial impact estimates were reasonable and that a risk sharing arrangement </w:t>
      </w:r>
      <w:r w:rsidR="009239EE">
        <w:rPr>
          <w:rFonts w:asciiTheme="minorHAnsi" w:hAnsiTheme="minorHAnsi"/>
          <w:snapToGrid w:val="0"/>
        </w:rPr>
        <w:t xml:space="preserve">(RSA) </w:t>
      </w:r>
      <w:r w:rsidRPr="009941F8">
        <w:rPr>
          <w:rFonts w:asciiTheme="minorHAnsi" w:hAnsiTheme="minorHAnsi"/>
          <w:snapToGrid w:val="0"/>
        </w:rPr>
        <w:t xml:space="preserve">would mitigate any risks related to </w:t>
      </w:r>
      <w:r w:rsidR="0036358E" w:rsidRPr="009941F8">
        <w:rPr>
          <w:bCs/>
        </w:rPr>
        <w:t>variability of patient treatment patterns and use outside of that intended</w:t>
      </w:r>
      <w:r w:rsidRPr="009941F8">
        <w:rPr>
          <w:rFonts w:asciiTheme="minorHAnsi" w:hAnsiTheme="minorHAnsi"/>
          <w:snapToGrid w:val="0"/>
        </w:rPr>
        <w:t>.</w:t>
      </w:r>
      <w:r w:rsidR="001644CC" w:rsidRPr="009941F8">
        <w:rPr>
          <w:rFonts w:asciiTheme="minorHAnsi" w:hAnsiTheme="minorHAnsi"/>
          <w:snapToGrid w:val="0"/>
        </w:rPr>
        <w:t xml:space="preserve"> </w:t>
      </w:r>
    </w:p>
    <w:bookmarkEnd w:id="98"/>
    <w:p w14:paraId="1E9F87FA" w14:textId="52069025" w:rsidR="000D3868" w:rsidRPr="009941F8" w:rsidRDefault="0023353D" w:rsidP="00460084">
      <w:pPr>
        <w:widowControl w:val="0"/>
        <w:numPr>
          <w:ilvl w:val="1"/>
          <w:numId w:val="1"/>
        </w:numPr>
        <w:spacing w:after="120"/>
      </w:pPr>
      <w:r w:rsidRPr="009941F8">
        <w:rPr>
          <w:rFonts w:asciiTheme="minorHAnsi" w:hAnsiTheme="minorHAnsi"/>
          <w:snapToGrid w:val="0"/>
        </w:rPr>
        <w:t>The PBAC noted that the impact of SLE is significant for patients and c</w:t>
      </w:r>
      <w:r w:rsidR="000D3868" w:rsidRPr="009941F8">
        <w:rPr>
          <w:rFonts w:asciiTheme="minorHAnsi" w:hAnsiTheme="minorHAnsi"/>
          <w:snapToGrid w:val="0"/>
        </w:rPr>
        <w:t>onsidered there is a clinical need for effective treatments in the requested population</w:t>
      </w:r>
      <w:r w:rsidR="009941F8">
        <w:rPr>
          <w:rFonts w:asciiTheme="minorHAnsi" w:hAnsiTheme="minorHAnsi"/>
          <w:snapToGrid w:val="0"/>
        </w:rPr>
        <w:t xml:space="preserve">. </w:t>
      </w:r>
      <w:r w:rsidRPr="009941F8">
        <w:rPr>
          <w:rFonts w:asciiTheme="minorHAnsi" w:hAnsiTheme="minorHAnsi"/>
          <w:snapToGrid w:val="0"/>
        </w:rPr>
        <w:t>The PBAC</w:t>
      </w:r>
      <w:r w:rsidR="000D3868" w:rsidRPr="009941F8">
        <w:rPr>
          <w:rFonts w:asciiTheme="minorHAnsi" w:hAnsiTheme="minorHAnsi"/>
          <w:snapToGrid w:val="0"/>
        </w:rPr>
        <w:t xml:space="preserve"> noted the strong consumer support for this item</w:t>
      </w:r>
      <w:r w:rsidRPr="009941F8">
        <w:rPr>
          <w:rFonts w:asciiTheme="minorHAnsi" w:hAnsiTheme="minorHAnsi"/>
          <w:snapToGrid w:val="0"/>
        </w:rPr>
        <w:t xml:space="preserve"> and considered that some of the impacts described </w:t>
      </w:r>
      <w:r w:rsidR="000D3868" w:rsidRPr="009941F8">
        <w:t>are</w:t>
      </w:r>
      <w:r w:rsidR="00A53C54" w:rsidRPr="009941F8">
        <w:t xml:space="preserve"> difficult to measure in clinical trials</w:t>
      </w:r>
      <w:r w:rsidRPr="009941F8">
        <w:t>, such as quality of life impacts associated with fluctuating disease severity</w:t>
      </w:r>
      <w:r w:rsidR="000D3868" w:rsidRPr="009941F8">
        <w:t>.</w:t>
      </w:r>
    </w:p>
    <w:p w14:paraId="67777BE4" w14:textId="582AA68A" w:rsidR="0023353D" w:rsidRPr="009941F8" w:rsidRDefault="00EF2154" w:rsidP="00460084">
      <w:pPr>
        <w:widowControl w:val="0"/>
        <w:numPr>
          <w:ilvl w:val="1"/>
          <w:numId w:val="1"/>
        </w:numPr>
        <w:spacing w:after="120"/>
        <w:rPr>
          <w:rFonts w:asciiTheme="minorHAnsi" w:hAnsiTheme="minorHAnsi"/>
          <w:snapToGrid w:val="0"/>
        </w:rPr>
      </w:pPr>
      <w:r w:rsidRPr="009941F8">
        <w:rPr>
          <w:snapToGrid w:val="0"/>
        </w:rPr>
        <w:t xml:space="preserve">The PBAC recalled it had previously acknowledged that the low level of certainty in the evidence and the </w:t>
      </w:r>
      <w:r w:rsidR="009239EE">
        <w:rPr>
          <w:snapToGrid w:val="0"/>
        </w:rPr>
        <w:t>modest and uncertain i</w:t>
      </w:r>
      <w:r w:rsidRPr="009941F8">
        <w:rPr>
          <w:snapToGrid w:val="0"/>
        </w:rPr>
        <w:t>ncremental benefit between anifrolumab and placebo likely reflect</w:t>
      </w:r>
      <w:r w:rsidR="009239EE">
        <w:rPr>
          <w:snapToGrid w:val="0"/>
        </w:rPr>
        <w:t>ed</w:t>
      </w:r>
      <w:r w:rsidRPr="009941F8">
        <w:rPr>
          <w:snapToGrid w:val="0"/>
        </w:rPr>
        <w:t>, in part, the complex and variable nature of the condition and the challenges associated with assessing outcomes in SLE (</w:t>
      </w:r>
      <w:r w:rsidR="008036EB" w:rsidRPr="009941F8">
        <w:rPr>
          <w:snapToGrid w:val="0"/>
        </w:rPr>
        <w:t>paragraph 7.10, anifrolumab</w:t>
      </w:r>
      <w:r w:rsidRPr="009941F8">
        <w:rPr>
          <w:snapToGrid w:val="0"/>
        </w:rPr>
        <w:t xml:space="preserve"> PSD, March 2023)</w:t>
      </w:r>
      <w:r w:rsidR="009941F8">
        <w:rPr>
          <w:snapToGrid w:val="0"/>
        </w:rPr>
        <w:t xml:space="preserve">. </w:t>
      </w:r>
      <w:r w:rsidR="0023353D" w:rsidRPr="009941F8">
        <w:t xml:space="preserve">The PBAC noted </w:t>
      </w:r>
      <w:r w:rsidR="0023353D" w:rsidRPr="009941F8">
        <w:rPr>
          <w:rFonts w:asciiTheme="minorHAnsi" w:hAnsiTheme="minorHAnsi"/>
          <w:snapToGrid w:val="0"/>
        </w:rPr>
        <w:t xml:space="preserve">that the submission had incorporated </w:t>
      </w:r>
      <w:r w:rsidR="0023353D" w:rsidRPr="009941F8">
        <w:rPr>
          <w:rFonts w:asciiTheme="minorHAnsi" w:hAnsiTheme="minorHAnsi"/>
          <w:snapToGrid w:val="0"/>
        </w:rPr>
        <w:lastRenderedPageBreak/>
        <w:t xml:space="preserve">the advice from clinical experts provided at the clinical consultation meeting that was convened by the PBAC in July 2023 (see paragraph </w:t>
      </w:r>
      <w:r w:rsidR="0023353D" w:rsidRPr="009941F8">
        <w:rPr>
          <w:rFonts w:asciiTheme="minorHAnsi" w:hAnsiTheme="minorHAnsi"/>
          <w:snapToGrid w:val="0"/>
        </w:rPr>
        <w:fldChar w:fldCharType="begin" w:fldLock="1"/>
      </w:r>
      <w:r w:rsidR="0023353D" w:rsidRPr="009941F8">
        <w:rPr>
          <w:rFonts w:asciiTheme="minorHAnsi" w:hAnsiTheme="minorHAnsi"/>
          <w:snapToGrid w:val="0"/>
        </w:rPr>
        <w:instrText xml:space="preserve"> REF _Ref162018856 \r \h </w:instrText>
      </w:r>
      <w:r w:rsidR="00DD043C" w:rsidRPr="009941F8">
        <w:rPr>
          <w:rFonts w:asciiTheme="minorHAnsi" w:hAnsiTheme="minorHAnsi"/>
          <w:snapToGrid w:val="0"/>
        </w:rPr>
        <w:instrText xml:space="preserve"> \* MERGEFORMAT </w:instrText>
      </w:r>
      <w:r w:rsidR="0023353D" w:rsidRPr="009941F8">
        <w:rPr>
          <w:rFonts w:asciiTheme="minorHAnsi" w:hAnsiTheme="minorHAnsi"/>
          <w:snapToGrid w:val="0"/>
        </w:rPr>
      </w:r>
      <w:r w:rsidR="0023353D" w:rsidRPr="009941F8">
        <w:rPr>
          <w:rFonts w:asciiTheme="minorHAnsi" w:hAnsiTheme="minorHAnsi"/>
          <w:snapToGrid w:val="0"/>
        </w:rPr>
        <w:fldChar w:fldCharType="separate"/>
      </w:r>
      <w:r w:rsidR="00F07501">
        <w:rPr>
          <w:rFonts w:asciiTheme="minorHAnsi" w:hAnsiTheme="minorHAnsi"/>
          <w:snapToGrid w:val="0"/>
        </w:rPr>
        <w:t>2.2</w:t>
      </w:r>
      <w:r w:rsidR="0023353D" w:rsidRPr="009941F8">
        <w:rPr>
          <w:rFonts w:asciiTheme="minorHAnsi" w:hAnsiTheme="minorHAnsi"/>
          <w:snapToGrid w:val="0"/>
        </w:rPr>
        <w:fldChar w:fldCharType="end"/>
      </w:r>
      <w:r w:rsidR="0023353D" w:rsidRPr="009941F8">
        <w:rPr>
          <w:rFonts w:asciiTheme="minorHAnsi" w:hAnsiTheme="minorHAnsi"/>
          <w:snapToGrid w:val="0"/>
        </w:rPr>
        <w:t>)</w:t>
      </w:r>
      <w:r w:rsidR="009941F8">
        <w:rPr>
          <w:rFonts w:asciiTheme="minorHAnsi" w:hAnsiTheme="minorHAnsi"/>
          <w:snapToGrid w:val="0"/>
        </w:rPr>
        <w:t xml:space="preserve">. </w:t>
      </w:r>
      <w:r w:rsidR="0023353D" w:rsidRPr="009941F8">
        <w:rPr>
          <w:rFonts w:asciiTheme="minorHAnsi" w:hAnsiTheme="minorHAnsi"/>
          <w:snapToGrid w:val="0"/>
        </w:rPr>
        <w:t xml:space="preserve">The PBAC considered that LLDAS response was a clinically meaningful outcome, and the additional analyses of LLDAS provided by the resubmission </w:t>
      </w:r>
      <w:r w:rsidR="00D47C08" w:rsidRPr="009941F8">
        <w:rPr>
          <w:rFonts w:asciiTheme="minorHAnsi" w:hAnsiTheme="minorHAnsi"/>
          <w:snapToGrid w:val="0"/>
        </w:rPr>
        <w:t>were informative</w:t>
      </w:r>
      <w:r w:rsidR="0023353D" w:rsidRPr="009941F8">
        <w:rPr>
          <w:rFonts w:asciiTheme="minorHAnsi" w:hAnsiTheme="minorHAnsi"/>
          <w:snapToGrid w:val="0"/>
        </w:rPr>
        <w:t>.</w:t>
      </w:r>
    </w:p>
    <w:p w14:paraId="633E52AC" w14:textId="57DD8B26" w:rsidR="00D979F0" w:rsidRPr="009941F8" w:rsidRDefault="00D979F0" w:rsidP="00D979F0">
      <w:pPr>
        <w:widowControl w:val="0"/>
        <w:numPr>
          <w:ilvl w:val="1"/>
          <w:numId w:val="1"/>
        </w:numPr>
        <w:spacing w:after="120"/>
        <w:rPr>
          <w:rFonts w:asciiTheme="minorHAnsi" w:hAnsiTheme="minorHAnsi"/>
          <w:snapToGrid w:val="0"/>
        </w:rPr>
      </w:pPr>
      <w:r w:rsidRPr="009941F8">
        <w:t xml:space="preserve">Consistent with its March 2023 and July 2022 advice, the PBAC considered that the proposed clinical place for anifrolumab, which was in patients with persistent disease activity despite receiving SOC, was appropriate. </w:t>
      </w:r>
    </w:p>
    <w:p w14:paraId="200B56AA" w14:textId="77777777" w:rsidR="009239EE" w:rsidRPr="009941F8" w:rsidRDefault="009239EE" w:rsidP="009239EE">
      <w:pPr>
        <w:widowControl w:val="0"/>
        <w:numPr>
          <w:ilvl w:val="1"/>
          <w:numId w:val="1"/>
        </w:numPr>
        <w:spacing w:after="120"/>
      </w:pPr>
      <w:bookmarkStart w:id="100" w:name="_Ref162260574"/>
      <w:r w:rsidRPr="009941F8">
        <w:t>The PBAC provided the following advice with regards to the proposed restrictions:</w:t>
      </w:r>
      <w:bookmarkEnd w:id="100"/>
    </w:p>
    <w:p w14:paraId="6E088E39" w14:textId="77777777" w:rsidR="009239EE" w:rsidRPr="009941F8" w:rsidRDefault="009239EE" w:rsidP="009239EE">
      <w:pPr>
        <w:pStyle w:val="3-BodyText"/>
        <w:numPr>
          <w:ilvl w:val="1"/>
          <w:numId w:val="38"/>
        </w:numPr>
        <w:ind w:left="1080"/>
        <w:rPr>
          <w:rFonts w:ascii="Calibri" w:hAnsi="Calibri"/>
          <w:snapToGrid/>
        </w:rPr>
      </w:pPr>
      <w:r w:rsidRPr="009941F8">
        <w:rPr>
          <w:rFonts w:ascii="Calibri" w:hAnsi="Calibri"/>
          <w:snapToGrid/>
        </w:rPr>
        <w:t xml:space="preserve">The PBAC noted that the requested listing was less restrictive compared to that included in the previous submissions as it no longer required patients to be on triple therapy SOC if there was evidence of either contraindication or severe intolerance to one or more agents. The PBAC considered that provisions to allow for contraindications and severe intolerance would be consistent with other PBS restrictions and were reasonable. </w:t>
      </w:r>
    </w:p>
    <w:p w14:paraId="59451213" w14:textId="4E507A58" w:rsidR="009239EE" w:rsidRPr="009941F8" w:rsidRDefault="009239EE" w:rsidP="009239EE">
      <w:pPr>
        <w:pStyle w:val="3-BodyText"/>
        <w:numPr>
          <w:ilvl w:val="1"/>
          <w:numId w:val="38"/>
        </w:numPr>
        <w:ind w:left="1080"/>
        <w:rPr>
          <w:rFonts w:ascii="Calibri" w:hAnsi="Calibri"/>
          <w:snapToGrid/>
        </w:rPr>
      </w:pPr>
      <w:r w:rsidRPr="009941F8">
        <w:rPr>
          <w:rFonts w:ascii="Calibri" w:hAnsi="Calibri"/>
          <w:snapToGrid/>
        </w:rPr>
        <w:t xml:space="preserve">The PBAC noted that the PSCR opposed the suggested changes by the Secretariat on the Prescriber Instruction: “Prescribers should refer to the relevant TGA-approved product information for dosing schedules where there is a contraindication or severe intolerance” (paragraph </w:t>
      </w:r>
      <w:r w:rsidRPr="009941F8">
        <w:rPr>
          <w:rFonts w:ascii="Calibri" w:hAnsi="Calibri"/>
          <w:snapToGrid/>
        </w:rPr>
        <w:fldChar w:fldCharType="begin" w:fldLock="1"/>
      </w:r>
      <w:r w:rsidRPr="009941F8">
        <w:rPr>
          <w:rFonts w:ascii="Calibri" w:hAnsi="Calibri"/>
          <w:snapToGrid/>
        </w:rPr>
        <w:instrText xml:space="preserve"> REF _Ref162024143 \r \h </w:instrText>
      </w:r>
      <w:r w:rsidRPr="009941F8">
        <w:rPr>
          <w:rFonts w:ascii="Calibri" w:hAnsi="Calibri"/>
          <w:snapToGrid/>
        </w:rPr>
      </w:r>
      <w:r w:rsidRPr="009941F8">
        <w:rPr>
          <w:rFonts w:ascii="Calibri" w:hAnsi="Calibri"/>
          <w:snapToGrid/>
        </w:rPr>
        <w:fldChar w:fldCharType="separate"/>
      </w:r>
      <w:r w:rsidR="00F07501">
        <w:rPr>
          <w:rFonts w:ascii="Calibri" w:hAnsi="Calibri"/>
          <w:snapToGrid/>
        </w:rPr>
        <w:t>3.9</w:t>
      </w:r>
      <w:r w:rsidRPr="009941F8">
        <w:rPr>
          <w:rFonts w:ascii="Calibri" w:hAnsi="Calibri"/>
          <w:snapToGrid/>
        </w:rPr>
        <w:fldChar w:fldCharType="end"/>
      </w:r>
      <w:r w:rsidRPr="009941F8">
        <w:rPr>
          <w:rFonts w:ascii="Calibri" w:hAnsi="Calibri"/>
          <w:snapToGrid/>
        </w:rPr>
        <w:t>)</w:t>
      </w:r>
      <w:r>
        <w:rPr>
          <w:rFonts w:ascii="Calibri" w:hAnsi="Calibri"/>
          <w:snapToGrid/>
        </w:rPr>
        <w:t xml:space="preserve">. </w:t>
      </w:r>
      <w:r w:rsidRPr="009941F8">
        <w:rPr>
          <w:rFonts w:ascii="Calibri" w:hAnsi="Calibri"/>
          <w:snapToGrid/>
        </w:rPr>
        <w:t xml:space="preserve">However, the PBAC considered that an instruction to refer to the relevant product information documents would be more appropriate </w:t>
      </w:r>
      <w:r>
        <w:rPr>
          <w:rFonts w:ascii="Calibri" w:hAnsi="Calibri"/>
          <w:snapToGrid/>
        </w:rPr>
        <w:t>than the detailed instructions proposed as</w:t>
      </w:r>
      <w:r w:rsidRPr="009941F8">
        <w:rPr>
          <w:rFonts w:ascii="Calibri" w:hAnsi="Calibri"/>
          <w:snapToGrid/>
        </w:rPr>
        <w:t xml:space="preserve"> anifrolumab prescribing would be limited to relevant specialists.</w:t>
      </w:r>
    </w:p>
    <w:p w14:paraId="49D335FF" w14:textId="0F0B74DD" w:rsidR="009239EE" w:rsidRPr="009941F8" w:rsidRDefault="009239EE" w:rsidP="009239EE">
      <w:pPr>
        <w:pStyle w:val="3-BodyText"/>
        <w:numPr>
          <w:ilvl w:val="1"/>
          <w:numId w:val="38"/>
        </w:numPr>
        <w:ind w:left="1080"/>
        <w:rPr>
          <w:rFonts w:ascii="Calibri" w:hAnsi="Calibri"/>
          <w:snapToGrid/>
        </w:rPr>
      </w:pPr>
      <w:r w:rsidRPr="009941F8">
        <w:rPr>
          <w:rFonts w:ascii="Calibri" w:hAnsi="Calibri"/>
          <w:snapToGrid/>
        </w:rPr>
        <w:t>The PBAC considered that it was not necessary to limit prescribing to specific prescriber types (e.g. rheumatologists or immunologists) and that a simplified restriction stating that the patient “Must be treated by a specialist physician experienced in the management of this condition,” was appropriate given that prescribing would be performed primarily by rheumatologists and immunologists, but may include other specialties such as dermatologists and nephrologists, given the complexity of SLE.</w:t>
      </w:r>
    </w:p>
    <w:p w14:paraId="46CB6256" w14:textId="24178097" w:rsidR="009239EE" w:rsidRPr="009941F8" w:rsidRDefault="009239EE" w:rsidP="009239EE">
      <w:pPr>
        <w:pStyle w:val="3-BodyText"/>
        <w:numPr>
          <w:ilvl w:val="1"/>
          <w:numId w:val="38"/>
        </w:numPr>
        <w:ind w:left="1080"/>
        <w:rPr>
          <w:rFonts w:ascii="Calibri" w:hAnsi="Calibri"/>
          <w:snapToGrid/>
        </w:rPr>
      </w:pPr>
      <w:r w:rsidRPr="009941F8">
        <w:rPr>
          <w:rFonts w:ascii="Calibri" w:hAnsi="Calibri"/>
          <w:snapToGrid/>
        </w:rPr>
        <w:t xml:space="preserve">The requested restriction for initial treatment specified that the name of the specialist consulted must be provided at the time of application. The PBAC advised </w:t>
      </w:r>
      <w:r>
        <w:rPr>
          <w:rFonts w:ascii="Calibri" w:hAnsi="Calibri"/>
          <w:snapToGrid/>
        </w:rPr>
        <w:t xml:space="preserve">that it was </w:t>
      </w:r>
      <w:r w:rsidRPr="009941F8">
        <w:rPr>
          <w:rFonts w:ascii="Calibri" w:hAnsi="Calibri"/>
          <w:snapToGrid/>
        </w:rPr>
        <w:t xml:space="preserve">not necessary to provide </w:t>
      </w:r>
      <w:r>
        <w:rPr>
          <w:rFonts w:ascii="Calibri" w:hAnsi="Calibri"/>
          <w:snapToGrid/>
        </w:rPr>
        <w:t xml:space="preserve">this </w:t>
      </w:r>
      <w:r w:rsidRPr="009941F8">
        <w:rPr>
          <w:rFonts w:ascii="Calibri" w:hAnsi="Calibri"/>
          <w:snapToGrid/>
        </w:rPr>
        <w:t>as all relevant source records must be kept in each patient’s medical records.</w:t>
      </w:r>
    </w:p>
    <w:p w14:paraId="038849E6" w14:textId="5E73F1D8" w:rsidR="009239EE" w:rsidRPr="009941F8" w:rsidRDefault="009239EE" w:rsidP="009239EE">
      <w:pPr>
        <w:pStyle w:val="3-BodyText"/>
        <w:numPr>
          <w:ilvl w:val="1"/>
          <w:numId w:val="38"/>
        </w:numPr>
        <w:ind w:left="1080"/>
        <w:rPr>
          <w:rFonts w:ascii="Calibri" w:hAnsi="Calibri"/>
          <w:snapToGrid/>
        </w:rPr>
      </w:pPr>
      <w:r w:rsidRPr="009941F8">
        <w:t xml:space="preserve">The PBAC noted that the use of LLDAS as a stopping rule at 6 months as proposed by the </w:t>
      </w:r>
      <w:r>
        <w:t>re</w:t>
      </w:r>
      <w:r w:rsidRPr="009941F8">
        <w:t xml:space="preserve">submission may disadvantage some patients, particularly those with more severe SLE, who would be required to stop treatment even if they </w:t>
      </w:r>
      <w:r>
        <w:t>were experiencing</w:t>
      </w:r>
      <w:r w:rsidRPr="009941F8">
        <w:t xml:space="preserve"> improvement (see paragraph </w:t>
      </w:r>
      <w:r w:rsidRPr="009941F8">
        <w:fldChar w:fldCharType="begin" w:fldLock="1"/>
      </w:r>
      <w:r w:rsidRPr="009941F8">
        <w:instrText xml:space="preserve"> REF _Ref162250087 \r \h </w:instrText>
      </w:r>
      <w:r w:rsidRPr="009941F8">
        <w:fldChar w:fldCharType="separate"/>
      </w:r>
      <w:r w:rsidR="00F07501">
        <w:t>3.4</w:t>
      </w:r>
      <w:r w:rsidRPr="009941F8">
        <w:fldChar w:fldCharType="end"/>
      </w:r>
      <w:r w:rsidRPr="009941F8">
        <w:t>). Therefore</w:t>
      </w:r>
      <w:r>
        <w:t>,</w:t>
      </w:r>
      <w:r w:rsidRPr="009941F8">
        <w:t xml:space="preserve"> the PBAC considered that </w:t>
      </w:r>
      <w:r>
        <w:t xml:space="preserve">the continuing </w:t>
      </w:r>
      <w:r w:rsidRPr="009941F8">
        <w:t xml:space="preserve">supply restriction should require evidence of progress towards LLDAS </w:t>
      </w:r>
      <w:r>
        <w:t xml:space="preserve">for patients who have received less than 12 months treatment </w:t>
      </w:r>
      <w:r w:rsidRPr="009941F8">
        <w:t>but allow up to 12 months for attainment of LLDAS</w:t>
      </w:r>
      <w:r>
        <w:t xml:space="preserve">. The PBAC noted that this was </w:t>
      </w:r>
      <w:r w:rsidRPr="009941F8">
        <w:t xml:space="preserve">consistent with the clinical trial data which showed more patients achieved LLDAS at </w:t>
      </w:r>
      <w:r w:rsidRPr="009941F8">
        <w:lastRenderedPageBreak/>
        <w:t>52</w:t>
      </w:r>
      <w:r w:rsidR="003037C7">
        <w:t> </w:t>
      </w:r>
      <w:r w:rsidRPr="009941F8">
        <w:t xml:space="preserve">weeks compared with 24 weeks (paragraph </w:t>
      </w:r>
      <w:r w:rsidRPr="009941F8">
        <w:fldChar w:fldCharType="begin" w:fldLock="1"/>
      </w:r>
      <w:r w:rsidRPr="009941F8">
        <w:instrText xml:space="preserve"> REF _Ref162023552 \r \h </w:instrText>
      </w:r>
      <w:r w:rsidRPr="009941F8">
        <w:fldChar w:fldCharType="separate"/>
      </w:r>
      <w:r w:rsidR="00F07501">
        <w:t>3.3</w:t>
      </w:r>
      <w:r w:rsidRPr="009941F8">
        <w:fldChar w:fldCharType="end"/>
      </w:r>
      <w:r w:rsidRPr="009941F8">
        <w:t>)</w:t>
      </w:r>
      <w:r>
        <w:t xml:space="preserve">. </w:t>
      </w:r>
      <w:r w:rsidRPr="009941F8">
        <w:rPr>
          <w:rFonts w:ascii="Calibri" w:hAnsi="Calibri"/>
          <w:snapToGrid/>
        </w:rPr>
        <w:t>The PBAC considered the balance of supply restriction was no longer required.</w:t>
      </w:r>
    </w:p>
    <w:p w14:paraId="1E87A911" w14:textId="77777777" w:rsidR="009239EE" w:rsidRPr="009941F8" w:rsidRDefault="009239EE" w:rsidP="009239EE">
      <w:pPr>
        <w:pStyle w:val="3-BodyText"/>
        <w:numPr>
          <w:ilvl w:val="1"/>
          <w:numId w:val="38"/>
        </w:numPr>
        <w:ind w:left="1080"/>
        <w:rPr>
          <w:rFonts w:ascii="Calibri" w:hAnsi="Calibri"/>
          <w:snapToGrid/>
        </w:rPr>
      </w:pPr>
      <w:r w:rsidRPr="009941F8">
        <w:rPr>
          <w:rFonts w:ascii="Calibri" w:hAnsi="Calibri"/>
          <w:snapToGrid/>
        </w:rPr>
        <w:t>The proposed continuing restriction does not mandate that anifrolumab be continued as add-on therapy, despite the TGA registered indication stating that it should be. The PBAC considered it was reasonable for the continuing restriction to remain silent on the requirement for anifrolumab to be used as add-on therapy because these patients would be managed by specialists in the condition.</w:t>
      </w:r>
    </w:p>
    <w:p w14:paraId="69B73352" w14:textId="7A05A009" w:rsidR="009239EE" w:rsidRPr="009941F8" w:rsidRDefault="009239EE" w:rsidP="009239EE">
      <w:pPr>
        <w:pStyle w:val="3-BodyText"/>
        <w:numPr>
          <w:ilvl w:val="1"/>
          <w:numId w:val="38"/>
        </w:numPr>
        <w:ind w:left="1080"/>
        <w:rPr>
          <w:rFonts w:ascii="Calibri" w:hAnsi="Calibri"/>
          <w:snapToGrid/>
        </w:rPr>
      </w:pPr>
      <w:r w:rsidRPr="009941F8">
        <w:t>Consistent with previous advice, the PBAC considered that patients should be able to discontinue anifrolumab without preventing future use as SLE is a fluctuating disease. Therefore, the continuing treatment phase allows for recommencement of treatment after a break. The PSCR proposed recommencement within 24 rather than 12 months to align with biologics for rheumatoid arthritis</w:t>
      </w:r>
      <w:r>
        <w:t xml:space="preserve">. </w:t>
      </w:r>
      <w:r w:rsidRPr="009941F8">
        <w:t xml:space="preserve">The PBAC considered a treatment break of up to 12 months was reasonable, and if more than 12 months has passed since the date that the treatment was ceased, then the patient should recommence treatment via the initial supply restriction if they meet all the criteria. </w:t>
      </w:r>
    </w:p>
    <w:p w14:paraId="7F99422C" w14:textId="1529CCEE" w:rsidR="00B86281" w:rsidRPr="009941F8" w:rsidRDefault="00D979F0" w:rsidP="00460084">
      <w:pPr>
        <w:pStyle w:val="3-BodyText"/>
        <w:widowControl w:val="0"/>
      </w:pPr>
      <w:r w:rsidRPr="009941F8">
        <w:t xml:space="preserve">The </w:t>
      </w:r>
      <w:r w:rsidR="0000731F" w:rsidRPr="009941F8">
        <w:t>evidence to</w:t>
      </w:r>
      <w:r w:rsidRPr="009941F8">
        <w:t xml:space="preserve"> support the clinical claim was again drawn from three head-to-head randomised controlled trials comparing anifrolumab to SOC alone in adults with moderate to severe SLE (TULIP 1, TULIP 2, and MUSE) and an extension study (MUSE LTE), with additional clinical data from the TULIP extension study (TULIP LTE)</w:t>
      </w:r>
      <w:r w:rsidR="009941F8">
        <w:t xml:space="preserve">. </w:t>
      </w:r>
      <w:r w:rsidR="00B86281" w:rsidRPr="009941F8">
        <w:t xml:space="preserve"> Compared to the March 2023 resubmission, the main change to the clinical data presented in this resubmission was the inclusion of results for the outcome LLDAS attainment from the included trials.</w:t>
      </w:r>
    </w:p>
    <w:p w14:paraId="57BD90F0" w14:textId="77777777" w:rsidR="009239EE" w:rsidRPr="009239EE" w:rsidRDefault="00CB6CEC" w:rsidP="009239EE">
      <w:pPr>
        <w:pStyle w:val="3-BodyText"/>
        <w:widowControl w:val="0"/>
        <w:rPr>
          <w:rFonts w:ascii="Calibri" w:hAnsi="Calibri"/>
          <w:snapToGrid/>
        </w:rPr>
      </w:pPr>
      <w:r w:rsidRPr="009941F8">
        <w:t>The PBAC considered that the clinical interpretation remained unchanged from the March 2023 PBAC consideration</w:t>
      </w:r>
      <w:r w:rsidR="009941F8">
        <w:t xml:space="preserve">. </w:t>
      </w:r>
      <w:r w:rsidR="00B86281" w:rsidRPr="009941F8">
        <w:t>Consistent with its March 2023 and July 2022 advice, the PBAC considered the claim of superiority to SOC alone in terms of effectiveness was supported based on improvement in disease activity for some patients; however, the magnitude of benefit was modest and uncertain</w:t>
      </w:r>
      <w:r w:rsidR="009941F8">
        <w:t xml:space="preserve">. </w:t>
      </w:r>
      <w:r w:rsidRPr="009941F8">
        <w:t xml:space="preserve"> </w:t>
      </w:r>
      <w:r w:rsidR="00DD043C" w:rsidRPr="009941F8">
        <w:t xml:space="preserve">The PBAC agreed with the ESC that the LLDAS results provided additional confidence in the clinical benefit of anifrolumab compared with SOC but did not address the question of magnitude of benefit given the issues relating to the LLDAS definition applied and the use of an amended response rule in the resubmission’s post hoc analyses. </w:t>
      </w:r>
    </w:p>
    <w:p w14:paraId="3A55FC1B" w14:textId="0CBAA65B" w:rsidR="004B12EB" w:rsidRPr="009239EE" w:rsidRDefault="00647A43" w:rsidP="009239EE">
      <w:pPr>
        <w:pStyle w:val="3-BodyText"/>
        <w:widowControl w:val="0"/>
        <w:rPr>
          <w:rFonts w:ascii="Calibri" w:hAnsi="Calibri"/>
          <w:snapToGrid/>
        </w:rPr>
      </w:pPr>
      <w:r w:rsidRPr="009941F8">
        <w:t xml:space="preserve">The PBAC noted that a Markov cohort model was provided by the resubmission, which was </w:t>
      </w:r>
      <w:r w:rsidR="00744F61" w:rsidRPr="009941F8">
        <w:t>based on</w:t>
      </w:r>
      <w:r w:rsidRPr="009941F8">
        <w:t xml:space="preserve"> previous advice that a simpler model </w:t>
      </w:r>
      <w:r w:rsidR="008036EB" w:rsidRPr="009941F8">
        <w:t xml:space="preserve">structure </w:t>
      </w:r>
      <w:r w:rsidRPr="009941F8">
        <w:t>may be more reasonable and provide greater transparency in the underlying assumptions compared with the individual patient microsimulation model provided by the March 2023 resubmission (para</w:t>
      </w:r>
      <w:r w:rsidR="008036EB" w:rsidRPr="009941F8">
        <w:t>graph</w:t>
      </w:r>
      <w:r w:rsidRPr="009941F8">
        <w:t xml:space="preserve"> 6.63, anifrolumab PSD, March 2023)</w:t>
      </w:r>
      <w:r w:rsidR="009941F8">
        <w:t xml:space="preserve">. </w:t>
      </w:r>
    </w:p>
    <w:p w14:paraId="03504E7A" w14:textId="7A1529E4" w:rsidR="004B12EB" w:rsidRPr="009941F8" w:rsidRDefault="008D01AA" w:rsidP="003F49FF">
      <w:pPr>
        <w:numPr>
          <w:ilvl w:val="1"/>
          <w:numId w:val="1"/>
        </w:numPr>
        <w:spacing w:after="120"/>
      </w:pPr>
      <w:r w:rsidRPr="009941F8">
        <w:rPr>
          <w:rFonts w:asciiTheme="minorHAnsi" w:hAnsiTheme="minorHAnsi"/>
          <w:snapToGrid w:val="0"/>
        </w:rPr>
        <w:t xml:space="preserve">The PBAC considered the current model was more transparent in comparison with the March 2023 model; however, some of the economic issues were not adequately addressed by the resubmission and the modelling of LLDAS was unlikely to reflect true disease trajectory (see paragraph </w:t>
      </w:r>
      <w:r w:rsidRPr="009941F8">
        <w:rPr>
          <w:rFonts w:asciiTheme="minorHAnsi" w:hAnsiTheme="minorHAnsi"/>
          <w:snapToGrid w:val="0"/>
        </w:rPr>
        <w:fldChar w:fldCharType="begin" w:fldLock="1"/>
      </w:r>
      <w:r w:rsidRPr="009941F8">
        <w:rPr>
          <w:rFonts w:asciiTheme="minorHAnsi" w:hAnsiTheme="minorHAnsi"/>
          <w:snapToGrid w:val="0"/>
        </w:rPr>
        <w:instrText xml:space="preserve"> REF _Ref162261035 \r \h </w:instrText>
      </w:r>
      <w:r w:rsidRPr="009941F8">
        <w:rPr>
          <w:rFonts w:asciiTheme="minorHAnsi" w:hAnsiTheme="minorHAnsi"/>
          <w:snapToGrid w:val="0"/>
        </w:rPr>
      </w:r>
      <w:r w:rsidRPr="009941F8">
        <w:rPr>
          <w:rFonts w:asciiTheme="minorHAnsi" w:hAnsiTheme="minorHAnsi"/>
          <w:snapToGrid w:val="0"/>
        </w:rPr>
        <w:fldChar w:fldCharType="separate"/>
      </w:r>
      <w:r w:rsidR="00F07501">
        <w:rPr>
          <w:rFonts w:asciiTheme="minorHAnsi" w:hAnsiTheme="minorHAnsi"/>
          <w:snapToGrid w:val="0"/>
        </w:rPr>
        <w:t>6.77</w:t>
      </w:r>
      <w:r w:rsidRPr="009941F8">
        <w:rPr>
          <w:rFonts w:asciiTheme="minorHAnsi" w:hAnsiTheme="minorHAnsi"/>
          <w:snapToGrid w:val="0"/>
        </w:rPr>
        <w:fldChar w:fldCharType="end"/>
      </w:r>
      <w:r w:rsidRPr="009941F8">
        <w:rPr>
          <w:rFonts w:asciiTheme="minorHAnsi" w:hAnsiTheme="minorHAnsi"/>
          <w:snapToGrid w:val="0"/>
        </w:rPr>
        <w:t>)</w:t>
      </w:r>
      <w:r w:rsidR="009941F8">
        <w:rPr>
          <w:rFonts w:asciiTheme="minorHAnsi" w:hAnsiTheme="minorHAnsi"/>
          <w:snapToGrid w:val="0"/>
        </w:rPr>
        <w:t xml:space="preserve">. </w:t>
      </w:r>
      <w:r w:rsidRPr="009941F8">
        <w:rPr>
          <w:rFonts w:asciiTheme="minorHAnsi" w:hAnsiTheme="minorHAnsi"/>
          <w:snapToGrid w:val="0"/>
        </w:rPr>
        <w:t>In addition, t</w:t>
      </w:r>
      <w:r w:rsidRPr="009941F8">
        <w:rPr>
          <w:lang w:eastAsia="en-US"/>
        </w:rPr>
        <w:t xml:space="preserve">he PBAC considered that the </w:t>
      </w:r>
      <w:r w:rsidRPr="009941F8">
        <w:rPr>
          <w:lang w:eastAsia="en-US"/>
        </w:rPr>
        <w:lastRenderedPageBreak/>
        <w:t xml:space="preserve">revised model had </w:t>
      </w:r>
      <w:r w:rsidR="008036EB" w:rsidRPr="009941F8">
        <w:rPr>
          <w:lang w:eastAsia="en-US"/>
        </w:rPr>
        <w:t>remained</w:t>
      </w:r>
      <w:r w:rsidRPr="009941F8">
        <w:rPr>
          <w:lang w:eastAsia="en-US"/>
        </w:rPr>
        <w:t xml:space="preserve"> unnecessar</w:t>
      </w:r>
      <w:r w:rsidR="008036EB" w:rsidRPr="009941F8">
        <w:rPr>
          <w:lang w:eastAsia="en-US"/>
        </w:rPr>
        <w:t>ily</w:t>
      </w:r>
      <w:r w:rsidRPr="009941F8">
        <w:rPr>
          <w:lang w:eastAsia="en-US"/>
        </w:rPr>
        <w:t xml:space="preserve"> complex due to the large number of health states </w:t>
      </w:r>
      <w:r w:rsidRPr="009941F8">
        <w:t xml:space="preserve">and </w:t>
      </w:r>
      <w:r w:rsidR="008036EB" w:rsidRPr="009941F8">
        <w:t xml:space="preserve">that </w:t>
      </w:r>
      <w:r w:rsidR="004B12EB" w:rsidRPr="009941F8">
        <w:t xml:space="preserve">the modelled benefit for anifrolumab associated with LLDAS attainment was highly uncertain. </w:t>
      </w:r>
    </w:p>
    <w:p w14:paraId="69337C7C" w14:textId="0CC3877F" w:rsidR="008036EB" w:rsidRPr="009941F8" w:rsidRDefault="008036EB" w:rsidP="00460084">
      <w:pPr>
        <w:widowControl w:val="0"/>
        <w:numPr>
          <w:ilvl w:val="1"/>
          <w:numId w:val="1"/>
        </w:numPr>
        <w:spacing w:after="120"/>
        <w:rPr>
          <w:rFonts w:asciiTheme="minorHAnsi" w:hAnsiTheme="minorHAnsi"/>
          <w:snapToGrid w:val="0"/>
        </w:rPr>
      </w:pPr>
      <w:r w:rsidRPr="009941F8">
        <w:rPr>
          <w:rFonts w:asciiTheme="minorHAnsi" w:hAnsiTheme="minorHAnsi"/>
          <w:snapToGrid w:val="0"/>
        </w:rPr>
        <w:t>The PBAC noted that the pre-PBAC response had proposed a revised base case ICER of $</w:t>
      </w:r>
      <w:r w:rsidR="001174F4" w:rsidRPr="001174F4">
        <w:rPr>
          <w:rFonts w:asciiTheme="minorHAnsi" w:hAnsiTheme="minorHAnsi"/>
          <w:snapToGrid w:val="0"/>
        </w:rPr>
        <w:t xml:space="preserve">55,000 to &lt; $75,000 </w:t>
      </w:r>
      <w:r w:rsidRPr="009941F8">
        <w:rPr>
          <w:rFonts w:asciiTheme="minorHAnsi" w:hAnsiTheme="minorHAnsi"/>
          <w:snapToGrid w:val="0"/>
        </w:rPr>
        <w:t>per QALY by making the following adjustments to the model:</w:t>
      </w:r>
    </w:p>
    <w:p w14:paraId="703BBD8F" w14:textId="1BEDB8AC" w:rsidR="008036EB" w:rsidRPr="009941F8" w:rsidRDefault="008036EB" w:rsidP="008036EB">
      <w:pPr>
        <w:widowControl w:val="0"/>
        <w:numPr>
          <w:ilvl w:val="1"/>
          <w:numId w:val="46"/>
        </w:numPr>
        <w:spacing w:after="120"/>
        <w:ind w:left="1080"/>
        <w:rPr>
          <w:rFonts w:asciiTheme="minorHAnsi" w:hAnsiTheme="minorHAnsi"/>
          <w:snapToGrid w:val="0"/>
        </w:rPr>
      </w:pPr>
      <w:r w:rsidRPr="009941F8">
        <w:rPr>
          <w:rFonts w:asciiTheme="minorHAnsi" w:hAnsiTheme="minorHAnsi"/>
          <w:snapToGrid w:val="0"/>
        </w:rPr>
        <w:t xml:space="preserve">The </w:t>
      </w:r>
      <w:r w:rsidR="00EB7903" w:rsidRPr="009941F8">
        <w:rPr>
          <w:rFonts w:asciiTheme="minorHAnsi" w:hAnsiTheme="minorHAnsi"/>
          <w:snapToGrid w:val="0"/>
        </w:rPr>
        <w:t>effective ex-manufacturer price</w:t>
      </w:r>
      <w:r w:rsidRPr="009941F8">
        <w:rPr>
          <w:rFonts w:asciiTheme="minorHAnsi" w:hAnsiTheme="minorHAnsi"/>
          <w:snapToGrid w:val="0"/>
        </w:rPr>
        <w:t xml:space="preserve"> was reduced to $</w:t>
      </w:r>
      <w:r w:rsidR="00640EC9" w:rsidRPr="00CE7EC7">
        <w:rPr>
          <w:rFonts w:asciiTheme="minorHAnsi" w:hAnsiTheme="minorHAnsi"/>
          <w:snapToGrid w:val="0"/>
          <w:color w:val="000000"/>
          <w:w w:val="15"/>
          <w:shd w:val="solid" w:color="000000" w:fill="000000"/>
          <w:fitText w:val="-20" w:id="-961887475"/>
          <w14:textFill>
            <w14:solidFill>
              <w14:srgbClr w14:val="000000">
                <w14:alpha w14:val="100000"/>
              </w14:srgbClr>
            </w14:solidFill>
          </w14:textFill>
        </w:rPr>
        <w:t xml:space="preserve">|  </w:t>
      </w:r>
      <w:r w:rsidR="00640EC9" w:rsidRPr="00CE7EC7">
        <w:rPr>
          <w:rFonts w:asciiTheme="minorHAnsi" w:hAnsiTheme="minorHAnsi"/>
          <w:snapToGrid w:val="0"/>
          <w:color w:val="000000"/>
          <w:spacing w:val="-69"/>
          <w:w w:val="15"/>
          <w:shd w:val="solid" w:color="000000" w:fill="000000"/>
          <w:fitText w:val="-20" w:id="-961887475"/>
          <w14:textFill>
            <w14:solidFill>
              <w14:srgbClr w14:val="000000">
                <w14:alpha w14:val="100000"/>
              </w14:srgbClr>
            </w14:solidFill>
          </w14:textFill>
        </w:rPr>
        <w:t>|</w:t>
      </w:r>
      <w:r w:rsidRPr="009941F8">
        <w:rPr>
          <w:rFonts w:asciiTheme="minorHAnsi" w:hAnsiTheme="minorHAnsi"/>
          <w:snapToGrid w:val="0"/>
        </w:rPr>
        <w:t xml:space="preserve">. </w:t>
      </w:r>
    </w:p>
    <w:p w14:paraId="2E3697D6" w14:textId="79D67861" w:rsidR="008036EB" w:rsidRPr="009941F8" w:rsidRDefault="008036EB" w:rsidP="008036EB">
      <w:pPr>
        <w:widowControl w:val="0"/>
        <w:numPr>
          <w:ilvl w:val="1"/>
          <w:numId w:val="46"/>
        </w:numPr>
        <w:spacing w:after="120"/>
        <w:ind w:left="1080"/>
        <w:rPr>
          <w:rFonts w:asciiTheme="minorHAnsi" w:hAnsiTheme="minorHAnsi"/>
          <w:snapToGrid w:val="0"/>
        </w:rPr>
      </w:pPr>
      <w:r w:rsidRPr="009941F8">
        <w:rPr>
          <w:rFonts w:asciiTheme="minorHAnsi" w:hAnsiTheme="minorHAnsi"/>
          <w:snapToGrid w:val="0"/>
        </w:rPr>
        <w:t xml:space="preserve">The LLDAS health state cost was increased from </w:t>
      </w:r>
      <w:r w:rsidRPr="00831A70">
        <w:rPr>
          <w:rFonts w:asciiTheme="minorHAnsi" w:hAnsiTheme="minorHAnsi"/>
          <w:snapToGrid w:val="0"/>
        </w:rPr>
        <w:t>$95.60 to $340.10. The</w:t>
      </w:r>
      <w:r w:rsidRPr="009941F8">
        <w:rPr>
          <w:rFonts w:asciiTheme="minorHAnsi" w:hAnsiTheme="minorHAnsi"/>
          <w:snapToGrid w:val="0"/>
        </w:rPr>
        <w:t xml:space="preserve"> PBAC noted that this cost remained significantly lower than that proposed by the ESC of </w:t>
      </w:r>
      <w:r w:rsidRPr="00831A70">
        <w:rPr>
          <w:rFonts w:asciiTheme="minorHAnsi" w:hAnsiTheme="minorHAnsi"/>
          <w:snapToGrid w:val="0"/>
        </w:rPr>
        <w:t>$3,773 (from</w:t>
      </w:r>
      <w:r w:rsidRPr="009941F8">
        <w:rPr>
          <w:rFonts w:asciiTheme="minorHAnsi" w:hAnsiTheme="minorHAnsi"/>
          <w:snapToGrid w:val="0"/>
        </w:rPr>
        <w:t xml:space="preserve"> Yeo 2020). The PBAC acknowledged that the cost from Yeo 2020 was likely higher than would be expected in the modelled LLDAS state </w:t>
      </w:r>
      <w:r w:rsidR="009239EE">
        <w:rPr>
          <w:rFonts w:asciiTheme="minorHAnsi" w:hAnsiTheme="minorHAnsi"/>
          <w:snapToGrid w:val="0"/>
        </w:rPr>
        <w:t xml:space="preserve">as </w:t>
      </w:r>
      <w:r w:rsidR="009239EE" w:rsidRPr="009941F8">
        <w:rPr>
          <w:rFonts w:eastAsiaTheme="minorEastAsia"/>
          <w:lang w:eastAsia="en-US"/>
        </w:rPr>
        <w:t>the analysis in Yeo 2020 reported on patients that spent at least 50% of their time in LLDAS during the follow-up period, whereas the modelled LLDAS health state assumed patients spent 100% of the cycle in LLDAS.</w:t>
      </w:r>
    </w:p>
    <w:p w14:paraId="54757C1F" w14:textId="3DD7A932" w:rsidR="008036EB" w:rsidRPr="009941F8" w:rsidRDefault="008036EB" w:rsidP="008036EB">
      <w:pPr>
        <w:widowControl w:val="0"/>
        <w:numPr>
          <w:ilvl w:val="1"/>
          <w:numId w:val="46"/>
        </w:numPr>
        <w:spacing w:after="120"/>
        <w:ind w:left="1080"/>
        <w:rPr>
          <w:rFonts w:asciiTheme="minorHAnsi" w:hAnsiTheme="minorHAnsi"/>
          <w:snapToGrid w:val="0"/>
        </w:rPr>
      </w:pPr>
      <w:r w:rsidRPr="009941F8">
        <w:rPr>
          <w:rFonts w:asciiTheme="minorHAnsi" w:hAnsiTheme="minorHAnsi"/>
          <w:snapToGrid w:val="0"/>
        </w:rPr>
        <w:t>Patients who discontinued anifrolumab moved into the placebo non-responder state. The PBAC considered that this was reasonable;</w:t>
      </w:r>
    </w:p>
    <w:p w14:paraId="61B21C49" w14:textId="77777777" w:rsidR="008036EB" w:rsidRPr="009941F8" w:rsidRDefault="008036EB" w:rsidP="008036EB">
      <w:pPr>
        <w:widowControl w:val="0"/>
        <w:numPr>
          <w:ilvl w:val="1"/>
          <w:numId w:val="46"/>
        </w:numPr>
        <w:spacing w:after="120"/>
        <w:ind w:left="1080"/>
        <w:rPr>
          <w:rFonts w:asciiTheme="minorHAnsi" w:hAnsiTheme="minorHAnsi"/>
          <w:snapToGrid w:val="0"/>
        </w:rPr>
      </w:pPr>
      <w:r w:rsidRPr="009941F8">
        <w:rPr>
          <w:rFonts w:asciiTheme="minorHAnsi" w:hAnsiTheme="minorHAnsi"/>
          <w:snapToGrid w:val="0"/>
        </w:rPr>
        <w:t>The time horizon was reduced from 59 years to 15 years. The PBAC considered that a 15 year time horizon was reasonable.</w:t>
      </w:r>
    </w:p>
    <w:p w14:paraId="4A1D3C95" w14:textId="0E601D2F" w:rsidR="00C44237" w:rsidRPr="009941F8" w:rsidRDefault="00C44237" w:rsidP="008036EB">
      <w:pPr>
        <w:widowControl w:val="0"/>
        <w:numPr>
          <w:ilvl w:val="1"/>
          <w:numId w:val="1"/>
        </w:numPr>
        <w:spacing w:after="120"/>
        <w:rPr>
          <w:rFonts w:asciiTheme="minorHAnsi" w:hAnsiTheme="minorHAnsi"/>
          <w:snapToGrid w:val="0"/>
        </w:rPr>
      </w:pPr>
      <w:r w:rsidRPr="009941F8">
        <w:rPr>
          <w:rFonts w:asciiTheme="minorHAnsi" w:hAnsiTheme="minorHAnsi"/>
          <w:snapToGrid w:val="0"/>
        </w:rPr>
        <w:t>The PBAC noted that the revised base case assumed a mortality benefit for patients who attained LLDAS. The PBAC considered that the modelling of the benefit was uncertain and that its removal, as suggested by ESC, was conservative</w:t>
      </w:r>
      <w:r w:rsidR="009239EE">
        <w:rPr>
          <w:rFonts w:asciiTheme="minorHAnsi" w:hAnsiTheme="minorHAnsi"/>
          <w:snapToGrid w:val="0"/>
        </w:rPr>
        <w:t xml:space="preserve">. The PBAC noted that </w:t>
      </w:r>
      <w:r w:rsidR="009239EE" w:rsidRPr="009941F8">
        <w:t xml:space="preserve">the resubmission provided evidence supporting an association between LLDAS and reduced mortality; however, </w:t>
      </w:r>
      <w:r w:rsidR="009239EE">
        <w:t xml:space="preserve">considered that </w:t>
      </w:r>
      <w:r w:rsidR="009239EE" w:rsidRPr="009941F8">
        <w:t>the modelling of survival in the model was uncertain</w:t>
      </w:r>
      <w:r w:rsidR="009239EE">
        <w:t>.</w:t>
      </w:r>
      <w:r w:rsidR="009239EE" w:rsidRPr="009941F8">
        <w:rPr>
          <w:rFonts w:asciiTheme="minorHAnsi" w:hAnsiTheme="minorHAnsi"/>
          <w:snapToGrid w:val="0"/>
        </w:rPr>
        <w:t xml:space="preserve"> </w:t>
      </w:r>
    </w:p>
    <w:p w14:paraId="1924E183" w14:textId="383AD702" w:rsidR="00627C48" w:rsidRPr="009941F8" w:rsidRDefault="008036EB" w:rsidP="008036EB">
      <w:pPr>
        <w:widowControl w:val="0"/>
        <w:numPr>
          <w:ilvl w:val="1"/>
          <w:numId w:val="1"/>
        </w:numPr>
        <w:spacing w:after="120"/>
        <w:rPr>
          <w:rFonts w:asciiTheme="minorHAnsi" w:hAnsiTheme="minorHAnsi"/>
          <w:snapToGrid w:val="0"/>
        </w:rPr>
      </w:pPr>
      <w:r w:rsidRPr="009941F8">
        <w:rPr>
          <w:rFonts w:asciiTheme="minorHAnsi" w:hAnsiTheme="minorHAnsi"/>
          <w:snapToGrid w:val="0"/>
        </w:rPr>
        <w:t>The PBAC noted the additional multivariate sensitivity analyses which were based on the pre-PBAC revised model</w:t>
      </w:r>
      <w:r w:rsidR="00C44237" w:rsidRPr="009941F8">
        <w:rPr>
          <w:rFonts w:asciiTheme="minorHAnsi" w:hAnsiTheme="minorHAnsi"/>
          <w:snapToGrid w:val="0"/>
        </w:rPr>
        <w:t>,</w:t>
      </w:r>
      <w:r w:rsidRPr="009941F8">
        <w:rPr>
          <w:rFonts w:asciiTheme="minorHAnsi" w:hAnsiTheme="minorHAnsi"/>
          <w:snapToGrid w:val="0"/>
        </w:rPr>
        <w:t xml:space="preserve"> and which (i) removed the assumed mortality benefit associated with LLDAS, (ii) applied alternate utility values from Wang 2014, and (iii) varied the cost applied to the LLDAS health state. </w:t>
      </w:r>
      <w:r w:rsidR="009239EE">
        <w:rPr>
          <w:rFonts w:asciiTheme="minorHAnsi" w:hAnsiTheme="minorHAnsi"/>
          <w:snapToGrid w:val="0"/>
        </w:rPr>
        <w:t>T</w:t>
      </w:r>
      <w:r w:rsidR="009239EE" w:rsidRPr="009941F8">
        <w:rPr>
          <w:rFonts w:asciiTheme="minorHAnsi" w:hAnsiTheme="minorHAnsi"/>
          <w:snapToGrid w:val="0"/>
        </w:rPr>
        <w:t xml:space="preserve">he PBAC considered that the larger utility difference for LLDAS versus no LLDAS from Wang 2014 was </w:t>
      </w:r>
      <w:r w:rsidR="009239EE">
        <w:rPr>
          <w:rFonts w:asciiTheme="minorHAnsi" w:hAnsiTheme="minorHAnsi"/>
          <w:snapToGrid w:val="0"/>
        </w:rPr>
        <w:t xml:space="preserve">an informative exploratory analysis, </w:t>
      </w:r>
      <w:r w:rsidR="009239EE" w:rsidRPr="009941F8">
        <w:t>given the strong input from consumers regarding the wide</w:t>
      </w:r>
      <w:r w:rsidR="009239EE">
        <w:t>-</w:t>
      </w:r>
      <w:r w:rsidR="009239EE" w:rsidRPr="009941F8">
        <w:t>ranging negative impacts of the condition which could be improved by effective treatment</w:t>
      </w:r>
      <w:r w:rsidR="009239EE" w:rsidRPr="009941F8">
        <w:rPr>
          <w:rFonts w:asciiTheme="minorHAnsi" w:hAnsiTheme="minorHAnsi"/>
          <w:snapToGrid w:val="0"/>
        </w:rPr>
        <w:t>.</w:t>
      </w:r>
      <w:r w:rsidR="009239EE">
        <w:rPr>
          <w:rFonts w:asciiTheme="minorHAnsi" w:hAnsiTheme="minorHAnsi"/>
          <w:snapToGrid w:val="0"/>
        </w:rPr>
        <w:t xml:space="preserve"> </w:t>
      </w:r>
      <w:r w:rsidRPr="009941F8">
        <w:rPr>
          <w:rFonts w:asciiTheme="minorHAnsi" w:hAnsiTheme="minorHAnsi"/>
          <w:snapToGrid w:val="0"/>
        </w:rPr>
        <w:t>The PBAC noted that these analyses resulted in ICERs that ranged from $</w:t>
      </w:r>
      <w:r w:rsidR="001174F4" w:rsidRPr="001174F4">
        <w:rPr>
          <w:rFonts w:asciiTheme="minorHAnsi" w:hAnsiTheme="minorHAnsi"/>
          <w:snapToGrid w:val="0"/>
        </w:rPr>
        <w:t>45,000 to &lt; $55,000</w:t>
      </w:r>
      <w:r w:rsidR="003037C7">
        <w:rPr>
          <w:rFonts w:asciiTheme="minorHAnsi" w:hAnsiTheme="minorHAnsi"/>
          <w:snapToGrid w:val="0"/>
        </w:rPr>
        <w:t xml:space="preserve"> </w:t>
      </w:r>
      <w:r w:rsidRPr="009941F8">
        <w:rPr>
          <w:rFonts w:asciiTheme="minorHAnsi" w:hAnsiTheme="minorHAnsi"/>
          <w:snapToGrid w:val="0"/>
        </w:rPr>
        <w:t>per QALY to $</w:t>
      </w:r>
      <w:r w:rsidR="00801159" w:rsidRPr="00801159">
        <w:rPr>
          <w:rFonts w:asciiTheme="minorHAnsi" w:hAnsiTheme="minorHAnsi"/>
          <w:snapToGrid w:val="0"/>
        </w:rPr>
        <w:t>75,000 to &lt; $95,000</w:t>
      </w:r>
      <w:r w:rsidR="003037C7">
        <w:rPr>
          <w:rFonts w:asciiTheme="minorHAnsi" w:hAnsiTheme="minorHAnsi"/>
          <w:snapToGrid w:val="0"/>
        </w:rPr>
        <w:t xml:space="preserve"> </w:t>
      </w:r>
      <w:r w:rsidRPr="009941F8">
        <w:rPr>
          <w:rFonts w:asciiTheme="minorHAnsi" w:hAnsiTheme="minorHAnsi"/>
          <w:snapToGrid w:val="0"/>
        </w:rPr>
        <w:t xml:space="preserve">per QALY. Overall, the PBAC considered anifrolumab could be considered cost effective at the </w:t>
      </w:r>
      <w:r w:rsidR="00EB7903" w:rsidRPr="009941F8">
        <w:rPr>
          <w:rFonts w:asciiTheme="minorHAnsi" w:hAnsiTheme="minorHAnsi"/>
          <w:snapToGrid w:val="0"/>
        </w:rPr>
        <w:t>ex-manufacturer price</w:t>
      </w:r>
      <w:r w:rsidRPr="009941F8">
        <w:rPr>
          <w:rFonts w:asciiTheme="minorHAnsi" w:hAnsiTheme="minorHAnsi"/>
          <w:snapToGrid w:val="0"/>
        </w:rPr>
        <w:t xml:space="preserve"> of $</w:t>
      </w:r>
      <w:r w:rsidR="00640EC9" w:rsidRPr="00CE7EC7">
        <w:rPr>
          <w:rFonts w:asciiTheme="minorHAnsi" w:hAnsiTheme="minorHAnsi"/>
          <w:snapToGrid w:val="0"/>
          <w:color w:val="000000"/>
          <w:w w:val="15"/>
          <w:shd w:val="solid" w:color="000000" w:fill="000000"/>
          <w:fitText w:val="-20" w:id="-961887474"/>
          <w14:textFill>
            <w14:solidFill>
              <w14:srgbClr w14:val="000000">
                <w14:alpha w14:val="100000"/>
              </w14:srgbClr>
            </w14:solidFill>
          </w14:textFill>
        </w:rPr>
        <w:t xml:space="preserve">|  </w:t>
      </w:r>
      <w:r w:rsidR="00640EC9" w:rsidRPr="00CE7EC7">
        <w:rPr>
          <w:rFonts w:asciiTheme="minorHAnsi" w:hAnsiTheme="minorHAnsi"/>
          <w:snapToGrid w:val="0"/>
          <w:color w:val="000000"/>
          <w:spacing w:val="-69"/>
          <w:w w:val="15"/>
          <w:shd w:val="solid" w:color="000000" w:fill="000000"/>
          <w:fitText w:val="-20" w:id="-961887474"/>
          <w14:textFill>
            <w14:solidFill>
              <w14:srgbClr w14:val="000000">
                <w14:alpha w14:val="100000"/>
              </w14:srgbClr>
            </w14:solidFill>
          </w14:textFill>
        </w:rPr>
        <w:t>|</w:t>
      </w:r>
      <w:r w:rsidRPr="009941F8">
        <w:rPr>
          <w:rFonts w:asciiTheme="minorHAnsi" w:hAnsiTheme="minorHAnsi"/>
          <w:snapToGrid w:val="0"/>
        </w:rPr>
        <w:t xml:space="preserve"> </w:t>
      </w:r>
      <w:r w:rsidR="00EB7903" w:rsidRPr="009941F8">
        <w:rPr>
          <w:rFonts w:asciiTheme="minorHAnsi" w:hAnsiTheme="minorHAnsi"/>
          <w:snapToGrid w:val="0"/>
        </w:rPr>
        <w:t>propos</w:t>
      </w:r>
      <w:r w:rsidRPr="009941F8">
        <w:rPr>
          <w:rFonts w:asciiTheme="minorHAnsi" w:hAnsiTheme="minorHAnsi"/>
          <w:snapToGrid w:val="0"/>
        </w:rPr>
        <w:t>ed in the pre-PBAC response.</w:t>
      </w:r>
      <w:r w:rsidR="00320306" w:rsidRPr="009941F8">
        <w:rPr>
          <w:rFonts w:asciiTheme="minorHAnsi" w:hAnsiTheme="minorHAnsi"/>
          <w:snapToGrid w:val="0"/>
        </w:rPr>
        <w:t xml:space="preserve"> </w:t>
      </w:r>
    </w:p>
    <w:p w14:paraId="5B57E4F8" w14:textId="0CC781D1" w:rsidR="00627C48" w:rsidRPr="009941F8" w:rsidRDefault="00320306" w:rsidP="00627C48">
      <w:pPr>
        <w:widowControl w:val="0"/>
        <w:numPr>
          <w:ilvl w:val="1"/>
          <w:numId w:val="1"/>
        </w:numPr>
        <w:spacing w:after="120"/>
        <w:rPr>
          <w:rFonts w:asciiTheme="minorHAnsi" w:hAnsiTheme="minorHAnsi"/>
          <w:snapToGrid w:val="0"/>
        </w:rPr>
      </w:pPr>
      <w:r w:rsidRPr="009941F8">
        <w:rPr>
          <w:rFonts w:asciiTheme="minorHAnsi" w:hAnsiTheme="minorHAnsi"/>
          <w:snapToGrid w:val="0"/>
        </w:rPr>
        <w:t xml:space="preserve">The PBAC noted the </w:t>
      </w:r>
      <w:r w:rsidR="00627C48" w:rsidRPr="009941F8">
        <w:rPr>
          <w:rFonts w:asciiTheme="minorHAnsi" w:hAnsiTheme="minorHAnsi"/>
          <w:snapToGrid w:val="0"/>
        </w:rPr>
        <w:t xml:space="preserve">economic </w:t>
      </w:r>
      <w:r w:rsidRPr="009941F8">
        <w:rPr>
          <w:rFonts w:asciiTheme="minorHAnsi" w:hAnsiTheme="minorHAnsi"/>
          <w:snapToGrid w:val="0"/>
        </w:rPr>
        <w:t xml:space="preserve">model incorporated a </w:t>
      </w:r>
      <w:r w:rsidR="009239EE">
        <w:rPr>
          <w:rFonts w:asciiTheme="minorHAnsi" w:hAnsiTheme="minorHAnsi"/>
          <w:snapToGrid w:val="0"/>
        </w:rPr>
        <w:t>6-month</w:t>
      </w:r>
      <w:r w:rsidRPr="009941F8">
        <w:rPr>
          <w:rFonts w:asciiTheme="minorHAnsi" w:hAnsiTheme="minorHAnsi"/>
          <w:snapToGrid w:val="0"/>
        </w:rPr>
        <w:t xml:space="preserve"> continuation rule</w:t>
      </w:r>
      <w:r w:rsidR="009239EE">
        <w:rPr>
          <w:rFonts w:asciiTheme="minorHAnsi" w:hAnsiTheme="minorHAnsi"/>
          <w:snapToGrid w:val="0"/>
        </w:rPr>
        <w:t>;</w:t>
      </w:r>
      <w:r w:rsidRPr="009941F8">
        <w:rPr>
          <w:rFonts w:asciiTheme="minorHAnsi" w:hAnsiTheme="minorHAnsi"/>
          <w:snapToGrid w:val="0"/>
        </w:rPr>
        <w:t xml:space="preserve"> however</w:t>
      </w:r>
      <w:r w:rsidR="009239EE">
        <w:rPr>
          <w:rFonts w:asciiTheme="minorHAnsi" w:hAnsiTheme="minorHAnsi"/>
          <w:snapToGrid w:val="0"/>
        </w:rPr>
        <w:t>,</w:t>
      </w:r>
      <w:r w:rsidRPr="009941F8">
        <w:rPr>
          <w:rFonts w:asciiTheme="minorHAnsi" w:hAnsiTheme="minorHAnsi"/>
          <w:snapToGrid w:val="0"/>
        </w:rPr>
        <w:t xml:space="preserve"> </w:t>
      </w:r>
      <w:r w:rsidR="009239EE">
        <w:rPr>
          <w:rFonts w:asciiTheme="minorHAnsi" w:hAnsiTheme="minorHAnsi"/>
          <w:snapToGrid w:val="0"/>
        </w:rPr>
        <w:t>advised</w:t>
      </w:r>
      <w:r w:rsidRPr="009941F8">
        <w:rPr>
          <w:rFonts w:asciiTheme="minorHAnsi" w:hAnsiTheme="minorHAnsi"/>
          <w:snapToGrid w:val="0"/>
        </w:rPr>
        <w:t xml:space="preserve"> allowing up to 12 months of treatment in patients with </w:t>
      </w:r>
      <w:r w:rsidRPr="009941F8">
        <w:t xml:space="preserve">evidence of progress towards LLDAS at 6 months </w:t>
      </w:r>
      <w:r w:rsidR="00627C48" w:rsidRPr="009941F8">
        <w:t>(paragraph</w:t>
      </w:r>
      <w:r w:rsidR="009239EE">
        <w:t xml:space="preserve"> </w:t>
      </w:r>
      <w:r w:rsidR="009239EE">
        <w:fldChar w:fldCharType="begin" w:fldLock="1"/>
      </w:r>
      <w:r w:rsidR="009239EE">
        <w:instrText xml:space="preserve"> REF _Ref162260574 \r \h </w:instrText>
      </w:r>
      <w:r w:rsidR="009239EE">
        <w:fldChar w:fldCharType="separate"/>
      </w:r>
      <w:r w:rsidR="00F07501">
        <w:t>7.5</w:t>
      </w:r>
      <w:r w:rsidR="009239EE">
        <w:fldChar w:fldCharType="end"/>
      </w:r>
      <w:r w:rsidR="00627C48" w:rsidRPr="009941F8">
        <w:t>)</w:t>
      </w:r>
      <w:r w:rsidR="009239EE">
        <w:t>. The PBAC considered that this change</w:t>
      </w:r>
      <w:r w:rsidR="00627C48" w:rsidRPr="009941F8">
        <w:t xml:space="preserve"> </w:t>
      </w:r>
      <w:r w:rsidRPr="009941F8">
        <w:t>was unlikely to substantially impact on the cost-effectiveness of anifr</w:t>
      </w:r>
      <w:r w:rsidR="00627C48" w:rsidRPr="009941F8">
        <w:t>ol</w:t>
      </w:r>
      <w:r w:rsidRPr="009941F8">
        <w:t>umab</w:t>
      </w:r>
      <w:r w:rsidR="00627C48" w:rsidRPr="009941F8">
        <w:t xml:space="preserve">. </w:t>
      </w:r>
      <w:r w:rsidR="009239EE">
        <w:t>In addition</w:t>
      </w:r>
      <w:r w:rsidR="00627C48" w:rsidRPr="009941F8">
        <w:t xml:space="preserve">, the PBAC </w:t>
      </w:r>
      <w:r w:rsidR="00A66F16" w:rsidRPr="009941F8">
        <w:t>noted</w:t>
      </w:r>
      <w:r w:rsidR="00627C48" w:rsidRPr="009941F8">
        <w:t xml:space="preserve"> the risk of extended use beyond 6 months in a large proportion of patients </w:t>
      </w:r>
      <w:r w:rsidR="00A66F16" w:rsidRPr="009941F8">
        <w:t>would</w:t>
      </w:r>
      <w:r w:rsidR="00627C48" w:rsidRPr="009941F8">
        <w:t xml:space="preserve"> be managed through </w:t>
      </w:r>
      <w:r w:rsidR="00A66F16" w:rsidRPr="009941F8">
        <w:t>the</w:t>
      </w:r>
      <w:r w:rsidR="00627C48" w:rsidRPr="009941F8">
        <w:t xml:space="preserve"> RSA</w:t>
      </w:r>
      <w:r w:rsidR="00A66F16" w:rsidRPr="009941F8">
        <w:t xml:space="preserve"> as outlined in paragraph</w:t>
      </w:r>
      <w:r w:rsidR="009239EE">
        <w:t xml:space="preserve"> </w:t>
      </w:r>
      <w:r w:rsidR="009239EE">
        <w:lastRenderedPageBreak/>
        <w:fldChar w:fldCharType="begin" w:fldLock="1"/>
      </w:r>
      <w:r w:rsidR="009239EE">
        <w:instrText xml:space="preserve"> REF _Ref162531511 \r \h </w:instrText>
      </w:r>
      <w:r w:rsidR="009239EE">
        <w:fldChar w:fldCharType="separate"/>
      </w:r>
      <w:r w:rsidR="00F07501">
        <w:t>7.15</w:t>
      </w:r>
      <w:r w:rsidR="009239EE">
        <w:fldChar w:fldCharType="end"/>
      </w:r>
      <w:r w:rsidR="009941F8">
        <w:t xml:space="preserve">. </w:t>
      </w:r>
    </w:p>
    <w:p w14:paraId="31E70CC7" w14:textId="2111D891" w:rsidR="009B46D4" w:rsidRPr="009941F8" w:rsidRDefault="00E5615C" w:rsidP="00460084">
      <w:pPr>
        <w:widowControl w:val="0"/>
        <w:numPr>
          <w:ilvl w:val="1"/>
          <w:numId w:val="1"/>
        </w:numPr>
        <w:spacing w:after="120"/>
      </w:pPr>
      <w:r w:rsidRPr="009941F8">
        <w:t xml:space="preserve">The PBAC </w:t>
      </w:r>
      <w:r w:rsidR="008036EB" w:rsidRPr="009941F8">
        <w:t>noted</w:t>
      </w:r>
      <w:r w:rsidRPr="009941F8">
        <w:t xml:space="preserve"> that the r</w:t>
      </w:r>
      <w:r w:rsidR="003F4569" w:rsidRPr="009941F8">
        <w:t xml:space="preserve">evised financial estimates were generally consistent with </w:t>
      </w:r>
      <w:r w:rsidR="008036EB" w:rsidRPr="009941F8">
        <w:t xml:space="preserve">July 2022 </w:t>
      </w:r>
      <w:r w:rsidR="003F4569" w:rsidRPr="009941F8">
        <w:t>DUSC advice</w:t>
      </w:r>
      <w:r w:rsidR="008036EB" w:rsidRPr="009941F8">
        <w:t xml:space="preserve"> which was appropriate</w:t>
      </w:r>
      <w:bookmarkStart w:id="101" w:name="_Ref110346315"/>
      <w:r w:rsidR="009941F8">
        <w:t xml:space="preserve">. </w:t>
      </w:r>
      <w:r w:rsidRPr="009941F8">
        <w:rPr>
          <w:rFonts w:asciiTheme="minorHAnsi" w:hAnsiTheme="minorHAnsi"/>
          <w:snapToGrid w:val="0"/>
        </w:rPr>
        <w:t>The PBAC noted that the net cost to the PBS/RPBS over the first 6 years of listing was $</w:t>
      </w:r>
      <w:r w:rsidR="00801159" w:rsidRPr="00801159">
        <w:rPr>
          <w:rFonts w:asciiTheme="minorHAnsi" w:hAnsiTheme="minorHAnsi"/>
          <w:snapToGrid w:val="0"/>
        </w:rPr>
        <w:t>50 million to &lt; $60 million</w:t>
      </w:r>
      <w:r w:rsidR="00801159" w:rsidRPr="00801159" w:rsidDel="00801159">
        <w:rPr>
          <w:rFonts w:asciiTheme="minorHAnsi" w:hAnsiTheme="minorHAnsi"/>
          <w:snapToGrid w:val="0"/>
        </w:rPr>
        <w:t xml:space="preserve"> </w:t>
      </w:r>
      <w:r w:rsidR="008036EB" w:rsidRPr="009941F8">
        <w:rPr>
          <w:rFonts w:asciiTheme="minorHAnsi" w:hAnsiTheme="minorHAnsi"/>
          <w:snapToGrid w:val="0"/>
        </w:rPr>
        <w:t xml:space="preserve">when </w:t>
      </w:r>
      <w:r w:rsidRPr="009941F8">
        <w:rPr>
          <w:rFonts w:asciiTheme="minorHAnsi" w:hAnsiTheme="minorHAnsi"/>
          <w:snapToGrid w:val="0"/>
        </w:rPr>
        <w:t>using the anifrolumab effective price proposed in the pre-PBAC response (</w:t>
      </w:r>
      <w:r w:rsidRPr="009941F8">
        <w:rPr>
          <w:rFonts w:asciiTheme="minorHAnsi" w:hAnsiTheme="minorHAnsi"/>
          <w:snapToGrid w:val="0"/>
        </w:rPr>
        <w:fldChar w:fldCharType="begin" w:fldLock="1"/>
      </w:r>
      <w:r w:rsidRPr="009941F8">
        <w:rPr>
          <w:rFonts w:asciiTheme="minorHAnsi" w:hAnsiTheme="minorHAnsi"/>
          <w:snapToGrid w:val="0"/>
        </w:rPr>
        <w:instrText xml:space="preserve"> REF _Ref121662510 \h </w:instrText>
      </w:r>
      <w:r w:rsidRPr="009941F8">
        <w:rPr>
          <w:rFonts w:asciiTheme="minorHAnsi" w:hAnsiTheme="minorHAnsi"/>
          <w:snapToGrid w:val="0"/>
        </w:rPr>
      </w:r>
      <w:r w:rsidRPr="009941F8">
        <w:rPr>
          <w:rFonts w:asciiTheme="minorHAnsi" w:hAnsiTheme="minorHAnsi"/>
          <w:snapToGrid w:val="0"/>
        </w:rPr>
        <w:fldChar w:fldCharType="separate"/>
      </w:r>
      <w:r w:rsidR="00F07501" w:rsidRPr="009941F8">
        <w:t xml:space="preserve">Table </w:t>
      </w:r>
      <w:r w:rsidR="00F07501">
        <w:rPr>
          <w:noProof/>
        </w:rPr>
        <w:t>17</w:t>
      </w:r>
      <w:r w:rsidRPr="009941F8">
        <w:rPr>
          <w:rFonts w:asciiTheme="minorHAnsi" w:hAnsiTheme="minorHAnsi"/>
          <w:snapToGrid w:val="0"/>
        </w:rPr>
        <w:fldChar w:fldCharType="end"/>
      </w:r>
      <w:r w:rsidRPr="009941F8">
        <w:rPr>
          <w:rFonts w:asciiTheme="minorHAnsi" w:hAnsiTheme="minorHAnsi"/>
          <w:snapToGrid w:val="0"/>
        </w:rPr>
        <w:t>)</w:t>
      </w:r>
      <w:r w:rsidR="008036EB" w:rsidRPr="009941F8">
        <w:rPr>
          <w:rFonts w:asciiTheme="minorHAnsi" w:hAnsiTheme="minorHAnsi"/>
          <w:snapToGrid w:val="0"/>
        </w:rPr>
        <w:t xml:space="preserve">, </w:t>
      </w:r>
      <w:r w:rsidR="009239EE">
        <w:rPr>
          <w:rFonts w:asciiTheme="minorHAnsi" w:hAnsiTheme="minorHAnsi"/>
          <w:snapToGrid w:val="0"/>
        </w:rPr>
        <w:t xml:space="preserve">and that this </w:t>
      </w:r>
      <w:r w:rsidR="008036EB" w:rsidRPr="009941F8">
        <w:rPr>
          <w:rFonts w:asciiTheme="minorHAnsi" w:hAnsiTheme="minorHAnsi"/>
          <w:snapToGrid w:val="0"/>
        </w:rPr>
        <w:t>was substantially lower than that estimated in the March 2023 resubmission</w:t>
      </w:r>
      <w:bookmarkEnd w:id="101"/>
      <w:r w:rsidR="009941F8">
        <w:t xml:space="preserve">. </w:t>
      </w:r>
    </w:p>
    <w:p w14:paraId="77FA6495" w14:textId="44ADF822" w:rsidR="006A3BAE" w:rsidRPr="009941F8" w:rsidRDefault="00E5615C" w:rsidP="00460084">
      <w:pPr>
        <w:widowControl w:val="0"/>
        <w:numPr>
          <w:ilvl w:val="1"/>
          <w:numId w:val="1"/>
        </w:numPr>
        <w:spacing w:after="120"/>
      </w:pPr>
      <w:bookmarkStart w:id="102" w:name="_Ref162531511"/>
      <w:r w:rsidRPr="009941F8">
        <w:rPr>
          <w:rFonts w:asciiTheme="minorHAnsi" w:hAnsiTheme="minorHAnsi"/>
          <w:snapToGrid w:val="0"/>
        </w:rPr>
        <w:t xml:space="preserve">The PBAC considered the </w:t>
      </w:r>
      <w:r w:rsidR="008036EB" w:rsidRPr="009941F8">
        <w:rPr>
          <w:rFonts w:asciiTheme="minorHAnsi" w:hAnsiTheme="minorHAnsi"/>
          <w:snapToGrid w:val="0"/>
        </w:rPr>
        <w:t xml:space="preserve">utilisation </w:t>
      </w:r>
      <w:r w:rsidRPr="009941F8">
        <w:rPr>
          <w:rFonts w:asciiTheme="minorHAnsi" w:hAnsiTheme="minorHAnsi"/>
          <w:snapToGrid w:val="0"/>
        </w:rPr>
        <w:t xml:space="preserve">estimates </w:t>
      </w:r>
      <w:r w:rsidR="00F411F8" w:rsidRPr="009941F8">
        <w:rPr>
          <w:rFonts w:asciiTheme="minorHAnsi" w:hAnsiTheme="minorHAnsi"/>
          <w:snapToGrid w:val="0"/>
        </w:rPr>
        <w:t xml:space="preserve">as presented in the </w:t>
      </w:r>
      <w:r w:rsidR="009239EE">
        <w:rPr>
          <w:rFonts w:asciiTheme="minorHAnsi" w:hAnsiTheme="minorHAnsi"/>
          <w:snapToGrid w:val="0"/>
        </w:rPr>
        <w:fldChar w:fldCharType="begin" w:fldLock="1"/>
      </w:r>
      <w:r w:rsidR="009239EE">
        <w:rPr>
          <w:rFonts w:asciiTheme="minorHAnsi" w:hAnsiTheme="minorHAnsi"/>
          <w:snapToGrid w:val="0"/>
        </w:rPr>
        <w:instrText xml:space="preserve"> REF _Ref121662510 \h </w:instrText>
      </w:r>
      <w:r w:rsidR="009239EE">
        <w:rPr>
          <w:rFonts w:asciiTheme="minorHAnsi" w:hAnsiTheme="minorHAnsi"/>
          <w:snapToGrid w:val="0"/>
        </w:rPr>
      </w:r>
      <w:r w:rsidR="009239EE">
        <w:rPr>
          <w:rFonts w:asciiTheme="minorHAnsi" w:hAnsiTheme="minorHAnsi"/>
          <w:snapToGrid w:val="0"/>
        </w:rPr>
        <w:fldChar w:fldCharType="separate"/>
      </w:r>
      <w:r w:rsidR="00F07501" w:rsidRPr="009941F8">
        <w:t xml:space="preserve">Table </w:t>
      </w:r>
      <w:r w:rsidR="00F07501">
        <w:rPr>
          <w:noProof/>
        </w:rPr>
        <w:t>17</w:t>
      </w:r>
      <w:r w:rsidR="009239EE">
        <w:rPr>
          <w:rFonts w:asciiTheme="minorHAnsi" w:hAnsiTheme="minorHAnsi"/>
          <w:snapToGrid w:val="0"/>
        </w:rPr>
        <w:fldChar w:fldCharType="end"/>
      </w:r>
      <w:r w:rsidR="00F411F8" w:rsidRPr="009941F8">
        <w:rPr>
          <w:rFonts w:asciiTheme="minorHAnsi" w:hAnsiTheme="minorHAnsi"/>
          <w:snapToGrid w:val="0"/>
        </w:rPr>
        <w:t xml:space="preserve"> </w:t>
      </w:r>
      <w:r w:rsidRPr="009941F8">
        <w:rPr>
          <w:rFonts w:asciiTheme="minorHAnsi" w:hAnsiTheme="minorHAnsi"/>
          <w:snapToGrid w:val="0"/>
        </w:rPr>
        <w:t xml:space="preserve">would be appropriate for use in a </w:t>
      </w:r>
      <w:r w:rsidR="009239EE">
        <w:rPr>
          <w:rFonts w:asciiTheme="minorHAnsi" w:hAnsiTheme="minorHAnsi"/>
          <w:snapToGrid w:val="0"/>
        </w:rPr>
        <w:t>RSA</w:t>
      </w:r>
      <w:r w:rsidR="009941F8">
        <w:t xml:space="preserve">. </w:t>
      </w:r>
      <w:r w:rsidR="00AD45EF" w:rsidRPr="009941F8">
        <w:t xml:space="preserve">The PBAC advised that a </w:t>
      </w:r>
      <w:r w:rsidR="009239EE">
        <w:t>RSA</w:t>
      </w:r>
      <w:r w:rsidR="00AD45EF" w:rsidRPr="009941F8">
        <w:t xml:space="preserve"> with </w:t>
      </w:r>
      <w:r w:rsidR="009239EE">
        <w:t xml:space="preserve">a </w:t>
      </w:r>
      <w:r w:rsidR="00640EC9" w:rsidRPr="00CE7EC7">
        <w:rPr>
          <w:color w:val="000000"/>
          <w:w w:val="15"/>
          <w:shd w:val="solid" w:color="000000" w:fill="000000"/>
          <w:fitText w:val="-20" w:id="-961887473"/>
          <w14:textFill>
            <w14:solidFill>
              <w14:srgbClr w14:val="000000">
                <w14:alpha w14:val="100000"/>
              </w14:srgbClr>
            </w14:solidFill>
          </w14:textFill>
        </w:rPr>
        <w:t xml:space="preserve">|  </w:t>
      </w:r>
      <w:r w:rsidR="00640EC9" w:rsidRPr="00CE7EC7">
        <w:rPr>
          <w:color w:val="000000"/>
          <w:spacing w:val="-69"/>
          <w:w w:val="15"/>
          <w:shd w:val="solid" w:color="000000" w:fill="000000"/>
          <w:fitText w:val="-20" w:id="-961887473"/>
          <w14:textFill>
            <w14:solidFill>
              <w14:srgbClr w14:val="000000">
                <w14:alpha w14:val="100000"/>
              </w14:srgbClr>
            </w14:solidFill>
          </w14:textFill>
        </w:rPr>
        <w:t>|</w:t>
      </w:r>
      <w:r w:rsidR="006A3BAE" w:rsidRPr="009941F8">
        <w:t>% rebate for expenditure above this level</w:t>
      </w:r>
      <w:r w:rsidR="00AD45EF" w:rsidRPr="009941F8">
        <w:t>,</w:t>
      </w:r>
      <w:r w:rsidR="006A3BAE" w:rsidRPr="009941F8">
        <w:t xml:space="preserve"> applied as a single tier cap</w:t>
      </w:r>
      <w:r w:rsidR="009239EE">
        <w:t>,</w:t>
      </w:r>
      <w:r w:rsidR="00AD45EF" w:rsidRPr="009941F8">
        <w:t xml:space="preserve"> would be appropriate</w:t>
      </w:r>
      <w:r w:rsidR="009941F8">
        <w:t xml:space="preserve">. </w:t>
      </w:r>
      <w:r w:rsidR="006A3BAE" w:rsidRPr="009941F8">
        <w:t xml:space="preserve">The PBAC </w:t>
      </w:r>
      <w:r w:rsidR="00AD45EF" w:rsidRPr="009941F8">
        <w:t xml:space="preserve">considered that </w:t>
      </w:r>
      <w:r w:rsidR="006A3BAE" w:rsidRPr="009941F8">
        <w:t>greater precision of the estimates was unlikely to be possible</w:t>
      </w:r>
      <w:r w:rsidR="00AD45EF" w:rsidRPr="009941F8">
        <w:t xml:space="preserve"> due to lack of data in relation to the proportion of patients stopping and restarting treatment after a treatment break, and the </w:t>
      </w:r>
      <w:r w:rsidR="006A3BAE" w:rsidRPr="009941F8">
        <w:rPr>
          <w:bCs/>
        </w:rPr>
        <w:t xml:space="preserve">length of treatment (pattern of attainment/retainment of LLDAS), </w:t>
      </w:r>
      <w:r w:rsidR="00AD45EF" w:rsidRPr="009941F8">
        <w:rPr>
          <w:bCs/>
        </w:rPr>
        <w:t xml:space="preserve">given that </w:t>
      </w:r>
      <w:r w:rsidR="006A3BAE" w:rsidRPr="009941F8">
        <w:rPr>
          <w:bCs/>
        </w:rPr>
        <w:t xml:space="preserve">SLE </w:t>
      </w:r>
      <w:r w:rsidR="00AD45EF" w:rsidRPr="009941F8">
        <w:rPr>
          <w:bCs/>
        </w:rPr>
        <w:t xml:space="preserve">is a fluctuating </w:t>
      </w:r>
      <w:r w:rsidR="006A3BAE" w:rsidRPr="009941F8">
        <w:rPr>
          <w:bCs/>
        </w:rPr>
        <w:t>condition</w:t>
      </w:r>
      <w:r w:rsidR="009941F8">
        <w:rPr>
          <w:bCs/>
        </w:rPr>
        <w:t xml:space="preserve">. </w:t>
      </w:r>
      <w:r w:rsidR="00AD45EF" w:rsidRPr="009941F8">
        <w:rPr>
          <w:bCs/>
        </w:rPr>
        <w:t xml:space="preserve">The PBAC considered </w:t>
      </w:r>
      <w:r w:rsidR="009239EE">
        <w:rPr>
          <w:bCs/>
        </w:rPr>
        <w:t>a</w:t>
      </w:r>
      <w:r w:rsidR="00AD45EF" w:rsidRPr="009941F8">
        <w:rPr>
          <w:bCs/>
        </w:rPr>
        <w:t xml:space="preserve"> </w:t>
      </w:r>
      <w:r w:rsidR="00640EC9" w:rsidRPr="00CE7EC7">
        <w:rPr>
          <w:bCs/>
          <w:color w:val="000000"/>
          <w:w w:val="15"/>
          <w:shd w:val="solid" w:color="000000" w:fill="000000"/>
          <w:fitText w:val="-20" w:id="-961887472"/>
          <w14:textFill>
            <w14:solidFill>
              <w14:srgbClr w14:val="000000">
                <w14:alpha w14:val="100000"/>
              </w14:srgbClr>
            </w14:solidFill>
          </w14:textFill>
        </w:rPr>
        <w:t xml:space="preserve">|  </w:t>
      </w:r>
      <w:r w:rsidR="00640EC9" w:rsidRPr="00CE7EC7">
        <w:rPr>
          <w:bCs/>
          <w:color w:val="000000"/>
          <w:spacing w:val="-69"/>
          <w:w w:val="15"/>
          <w:shd w:val="solid" w:color="000000" w:fill="000000"/>
          <w:fitText w:val="-20" w:id="-961887472"/>
          <w14:textFill>
            <w14:solidFill>
              <w14:srgbClr w14:val="000000">
                <w14:alpha w14:val="100000"/>
              </w14:srgbClr>
            </w14:solidFill>
          </w14:textFill>
        </w:rPr>
        <w:t>|</w:t>
      </w:r>
      <w:r w:rsidR="00AD45EF" w:rsidRPr="009941F8">
        <w:rPr>
          <w:bCs/>
        </w:rPr>
        <w:t xml:space="preserve">% rebate would </w:t>
      </w:r>
      <w:r w:rsidR="006A3BAE" w:rsidRPr="009941F8">
        <w:rPr>
          <w:bCs/>
        </w:rPr>
        <w:t>mitigate</w:t>
      </w:r>
      <w:r w:rsidR="00AD45EF" w:rsidRPr="009941F8">
        <w:rPr>
          <w:bCs/>
        </w:rPr>
        <w:t xml:space="preserve"> financial risks associated with v</w:t>
      </w:r>
      <w:r w:rsidR="006A3BAE" w:rsidRPr="009941F8">
        <w:rPr>
          <w:bCs/>
        </w:rPr>
        <w:t xml:space="preserve">ariability </w:t>
      </w:r>
      <w:r w:rsidR="00AD45EF" w:rsidRPr="009941F8">
        <w:rPr>
          <w:bCs/>
        </w:rPr>
        <w:t xml:space="preserve">of patient treatment patterns </w:t>
      </w:r>
      <w:r w:rsidR="00F411F8" w:rsidRPr="009941F8">
        <w:rPr>
          <w:bCs/>
        </w:rPr>
        <w:t>and</w:t>
      </w:r>
      <w:r w:rsidR="006A3BAE" w:rsidRPr="009941F8">
        <w:rPr>
          <w:bCs/>
        </w:rPr>
        <w:t xml:space="preserve"> use outside of </w:t>
      </w:r>
      <w:r w:rsidR="0036358E" w:rsidRPr="009941F8">
        <w:rPr>
          <w:bCs/>
        </w:rPr>
        <w:t>that</w:t>
      </w:r>
      <w:r w:rsidR="00AD45EF" w:rsidRPr="009941F8">
        <w:rPr>
          <w:bCs/>
        </w:rPr>
        <w:t xml:space="preserve"> </w:t>
      </w:r>
      <w:r w:rsidR="006A3BAE" w:rsidRPr="009941F8">
        <w:rPr>
          <w:bCs/>
        </w:rPr>
        <w:t>intended</w:t>
      </w:r>
      <w:r w:rsidR="009941F8">
        <w:rPr>
          <w:bCs/>
        </w:rPr>
        <w:t>.</w:t>
      </w:r>
      <w:bookmarkEnd w:id="102"/>
      <w:r w:rsidR="009941F8">
        <w:rPr>
          <w:bCs/>
        </w:rPr>
        <w:t xml:space="preserve"> </w:t>
      </w:r>
    </w:p>
    <w:p w14:paraId="6ACE1F9D" w14:textId="12233CAB" w:rsidR="00537C25" w:rsidRPr="009941F8" w:rsidRDefault="00537C25" w:rsidP="00537C25">
      <w:pPr>
        <w:widowControl w:val="0"/>
        <w:numPr>
          <w:ilvl w:val="1"/>
          <w:numId w:val="1"/>
        </w:numPr>
        <w:spacing w:after="120"/>
        <w:rPr>
          <w:rFonts w:asciiTheme="minorHAnsi" w:hAnsiTheme="minorHAnsi"/>
          <w:bCs/>
          <w:snapToGrid w:val="0"/>
        </w:rPr>
      </w:pPr>
      <w:r w:rsidRPr="009941F8">
        <w:rPr>
          <w:rFonts w:asciiTheme="minorHAnsi" w:hAnsiTheme="minorHAnsi"/>
          <w:snapToGrid w:val="0"/>
        </w:rPr>
        <w:t>The PBAC advised that anifrolumab should not be treated as interchangeable with any other drugs.</w:t>
      </w:r>
    </w:p>
    <w:p w14:paraId="3C8F341D" w14:textId="13943170" w:rsidR="00BE627F" w:rsidRPr="009941F8" w:rsidRDefault="00BE627F" w:rsidP="00BE627F">
      <w:pPr>
        <w:widowControl w:val="0"/>
        <w:numPr>
          <w:ilvl w:val="1"/>
          <w:numId w:val="1"/>
        </w:numPr>
        <w:spacing w:after="120"/>
        <w:rPr>
          <w:rFonts w:asciiTheme="minorHAnsi" w:hAnsiTheme="minorHAnsi"/>
          <w:bCs/>
          <w:snapToGrid w:val="0"/>
        </w:rPr>
      </w:pPr>
      <w:r w:rsidRPr="009941F8">
        <w:rPr>
          <w:rFonts w:asciiTheme="minorHAnsi" w:hAnsiTheme="minorHAnsi"/>
          <w:bCs/>
          <w:snapToGrid w:val="0"/>
        </w:rPr>
        <w:t>The PBAC advised that anifrolumab is not suitable for prescribing by nurse practitioners.</w:t>
      </w:r>
    </w:p>
    <w:p w14:paraId="5CCF0CDB" w14:textId="77777777" w:rsidR="00BE627F" w:rsidRPr="009941F8" w:rsidRDefault="00BE627F" w:rsidP="00BE627F">
      <w:pPr>
        <w:widowControl w:val="0"/>
        <w:numPr>
          <w:ilvl w:val="1"/>
          <w:numId w:val="1"/>
        </w:numPr>
        <w:spacing w:after="120"/>
        <w:rPr>
          <w:rFonts w:asciiTheme="minorHAnsi" w:hAnsiTheme="minorHAnsi"/>
          <w:bCs/>
          <w:snapToGrid w:val="0"/>
        </w:rPr>
      </w:pPr>
      <w:r w:rsidRPr="009941F8">
        <w:rPr>
          <w:rFonts w:asciiTheme="minorHAnsi" w:hAnsiTheme="minorHAnsi"/>
          <w:bCs/>
          <w:snapToGrid w:val="0"/>
        </w:rPr>
        <w:t xml:space="preserve">The PBAC recommended that the Early Supply Rule should apply. </w:t>
      </w:r>
    </w:p>
    <w:p w14:paraId="5DCC59B9" w14:textId="0B0848C6" w:rsidR="00A244E2" w:rsidRPr="009941F8" w:rsidRDefault="00E27464" w:rsidP="00233562">
      <w:pPr>
        <w:widowControl w:val="0"/>
        <w:numPr>
          <w:ilvl w:val="1"/>
          <w:numId w:val="1"/>
        </w:numPr>
        <w:spacing w:after="120"/>
      </w:pPr>
      <w:r w:rsidRPr="009941F8">
        <w:rPr>
          <w:rFonts w:asciiTheme="minorHAnsi" w:hAnsiTheme="minorHAnsi" w:cstheme="minorHAnsi"/>
        </w:rPr>
        <w:t>The P</w:t>
      </w:r>
      <w:r w:rsidR="00A244E2" w:rsidRPr="009941F8">
        <w:t xml:space="preserve">BAC found that the criteria prescribed by the </w:t>
      </w:r>
      <w:r w:rsidR="00A244E2" w:rsidRPr="00F8396F">
        <w:rPr>
          <w:i/>
          <w:iCs/>
        </w:rPr>
        <w:t>National Health (Pharmaceuticals and Vaccines – Cost Recovery) Regulations 2022</w:t>
      </w:r>
      <w:r w:rsidR="00A244E2" w:rsidRPr="009941F8">
        <w:t xml:space="preserve"> for Pricing Pathway A were not met. </w:t>
      </w:r>
      <w:r w:rsidR="004F2B97" w:rsidRPr="009941F8">
        <w:t>Specifically,</w:t>
      </w:r>
      <w:r w:rsidR="00A244E2" w:rsidRPr="009941F8">
        <w:t xml:space="preserve"> the PBAC found that in the circumstances of its recommendation for</w:t>
      </w:r>
      <w:r w:rsidR="002551A0" w:rsidRPr="009941F8">
        <w:t xml:space="preserve"> anifrolumab</w:t>
      </w:r>
      <w:r w:rsidR="00A244E2" w:rsidRPr="009941F8">
        <w:t>:</w:t>
      </w:r>
    </w:p>
    <w:p w14:paraId="3F417D69" w14:textId="6D7E2B2F" w:rsidR="002551A0" w:rsidRPr="009941F8" w:rsidRDefault="002551A0" w:rsidP="009239EE">
      <w:pPr>
        <w:widowControl w:val="0"/>
        <w:numPr>
          <w:ilvl w:val="1"/>
          <w:numId w:val="32"/>
        </w:numPr>
        <w:spacing w:after="120"/>
        <w:ind w:left="1080"/>
        <w:rPr>
          <w:rFonts w:asciiTheme="minorHAnsi" w:hAnsiTheme="minorHAnsi" w:cstheme="minorHAnsi"/>
        </w:rPr>
      </w:pPr>
      <w:r w:rsidRPr="009941F8">
        <w:rPr>
          <w:rFonts w:asciiTheme="minorHAnsi" w:hAnsiTheme="minorHAnsi" w:cstheme="minorHAnsi"/>
        </w:rPr>
        <w:t xml:space="preserve">The treatment is </w:t>
      </w:r>
      <w:r w:rsidR="000B25AF" w:rsidRPr="009941F8">
        <w:rPr>
          <w:rFonts w:asciiTheme="minorHAnsi" w:hAnsiTheme="minorHAnsi" w:cstheme="minorHAnsi"/>
        </w:rPr>
        <w:t xml:space="preserve">not </w:t>
      </w:r>
      <w:r w:rsidRPr="009941F8">
        <w:rPr>
          <w:rFonts w:asciiTheme="minorHAnsi" w:hAnsiTheme="minorHAnsi" w:cstheme="minorHAnsi"/>
        </w:rPr>
        <w:t xml:space="preserve">expected to provide a substantial and clinically relevant improvement in efficacy, over </w:t>
      </w:r>
      <w:r w:rsidR="000B25AF" w:rsidRPr="009941F8">
        <w:rPr>
          <w:rFonts w:asciiTheme="minorHAnsi" w:hAnsiTheme="minorHAnsi" w:cstheme="minorHAnsi"/>
        </w:rPr>
        <w:t>standard of care</w:t>
      </w:r>
      <w:r w:rsidRPr="009941F8">
        <w:rPr>
          <w:rFonts w:asciiTheme="minorHAnsi" w:hAnsiTheme="minorHAnsi" w:cstheme="minorHAnsi"/>
        </w:rPr>
        <w:t xml:space="preserve">, </w:t>
      </w:r>
      <w:r w:rsidR="000B25AF" w:rsidRPr="009941F8">
        <w:rPr>
          <w:rFonts w:asciiTheme="minorHAnsi" w:hAnsiTheme="minorHAnsi" w:cstheme="minorHAnsi"/>
        </w:rPr>
        <w:t>because while relevant</w:t>
      </w:r>
      <w:r w:rsidR="004874A0" w:rsidRPr="009941F8">
        <w:rPr>
          <w:rFonts w:asciiTheme="minorHAnsi" w:hAnsiTheme="minorHAnsi" w:cstheme="minorHAnsi"/>
        </w:rPr>
        <w:t xml:space="preserve"> for patients experiencing a treatment response</w:t>
      </w:r>
      <w:r w:rsidR="000B25AF" w:rsidRPr="009941F8">
        <w:rPr>
          <w:rFonts w:asciiTheme="minorHAnsi" w:hAnsiTheme="minorHAnsi" w:cstheme="minorHAnsi"/>
        </w:rPr>
        <w:t xml:space="preserve">, the </w:t>
      </w:r>
      <w:r w:rsidR="004874A0" w:rsidRPr="009941F8">
        <w:rPr>
          <w:rFonts w:asciiTheme="minorHAnsi" w:hAnsiTheme="minorHAnsi" w:cstheme="minorHAnsi"/>
        </w:rPr>
        <w:t xml:space="preserve">magnitude of </w:t>
      </w:r>
      <w:r w:rsidR="000B25AF" w:rsidRPr="009941F8">
        <w:rPr>
          <w:rFonts w:asciiTheme="minorHAnsi" w:hAnsiTheme="minorHAnsi" w:cstheme="minorHAnsi"/>
        </w:rPr>
        <w:t xml:space="preserve">treatment benefit </w:t>
      </w:r>
      <w:r w:rsidR="004874A0" w:rsidRPr="009941F8">
        <w:rPr>
          <w:rFonts w:asciiTheme="minorHAnsi" w:hAnsiTheme="minorHAnsi" w:cstheme="minorHAnsi"/>
        </w:rPr>
        <w:t xml:space="preserve">compared with current treatment options </w:t>
      </w:r>
      <w:r w:rsidR="000B25AF" w:rsidRPr="009941F8">
        <w:rPr>
          <w:rFonts w:asciiTheme="minorHAnsi" w:hAnsiTheme="minorHAnsi" w:cstheme="minorHAnsi"/>
        </w:rPr>
        <w:t xml:space="preserve">is </w:t>
      </w:r>
      <w:r w:rsidR="004874A0" w:rsidRPr="009941F8">
        <w:rPr>
          <w:rFonts w:asciiTheme="minorHAnsi" w:hAnsiTheme="minorHAnsi" w:cstheme="minorHAnsi"/>
        </w:rPr>
        <w:t>uncertain</w:t>
      </w:r>
      <w:r w:rsidRPr="009941F8">
        <w:rPr>
          <w:rFonts w:asciiTheme="minorHAnsi" w:hAnsiTheme="minorHAnsi" w:cstheme="minorHAnsi"/>
        </w:rPr>
        <w:t>;</w:t>
      </w:r>
    </w:p>
    <w:p w14:paraId="4E74F3BE" w14:textId="79DC0200" w:rsidR="002551A0" w:rsidRPr="009941F8" w:rsidRDefault="002551A0" w:rsidP="009239EE">
      <w:pPr>
        <w:widowControl w:val="0"/>
        <w:numPr>
          <w:ilvl w:val="1"/>
          <w:numId w:val="32"/>
        </w:numPr>
        <w:spacing w:after="120"/>
        <w:ind w:left="1080"/>
        <w:rPr>
          <w:rFonts w:asciiTheme="minorHAnsi" w:hAnsiTheme="minorHAnsi" w:cstheme="minorHAnsi"/>
        </w:rPr>
      </w:pPr>
      <w:r w:rsidRPr="009941F8">
        <w:rPr>
          <w:rFonts w:asciiTheme="minorHAnsi" w:hAnsiTheme="minorHAnsi" w:cstheme="minorHAnsi"/>
        </w:rPr>
        <w:t xml:space="preserve">The treatment is expected to address a high and urgent unmet clinical need because there are </w:t>
      </w:r>
      <w:r w:rsidR="000B25AF" w:rsidRPr="009941F8">
        <w:rPr>
          <w:rFonts w:asciiTheme="minorHAnsi" w:hAnsiTheme="minorHAnsi" w:cstheme="minorHAnsi"/>
        </w:rPr>
        <w:t xml:space="preserve">limited </w:t>
      </w:r>
      <w:r w:rsidRPr="009941F8">
        <w:rPr>
          <w:rFonts w:asciiTheme="minorHAnsi" w:hAnsiTheme="minorHAnsi" w:cstheme="minorHAnsi"/>
        </w:rPr>
        <w:t>current treatment options for the condition;</w:t>
      </w:r>
    </w:p>
    <w:p w14:paraId="0839CF08" w14:textId="3D4BE4BD" w:rsidR="00A244E2" w:rsidRPr="009941F8" w:rsidRDefault="00A244E2" w:rsidP="003F49FF">
      <w:pPr>
        <w:numPr>
          <w:ilvl w:val="1"/>
          <w:numId w:val="32"/>
        </w:numPr>
        <w:spacing w:after="120"/>
        <w:ind w:left="1077" w:hanging="357"/>
        <w:rPr>
          <w:rFonts w:asciiTheme="minorHAnsi" w:hAnsiTheme="minorHAnsi" w:cstheme="minorHAnsi"/>
        </w:rPr>
      </w:pPr>
      <w:r w:rsidRPr="009941F8">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E27464" w:rsidRPr="009941F8">
        <w:rPr>
          <w:rFonts w:asciiTheme="minorHAnsi" w:hAnsiTheme="minorHAnsi" w:cstheme="minorHAnsi"/>
        </w:rPr>
        <w:t>.</w:t>
      </w:r>
    </w:p>
    <w:p w14:paraId="1C26C38F" w14:textId="29208B56" w:rsidR="00A244E2" w:rsidRPr="009941F8" w:rsidRDefault="00E27464" w:rsidP="00460084">
      <w:pPr>
        <w:widowControl w:val="0"/>
        <w:numPr>
          <w:ilvl w:val="1"/>
          <w:numId w:val="1"/>
        </w:numPr>
        <w:spacing w:after="120"/>
        <w:rPr>
          <w:rFonts w:asciiTheme="minorHAnsi" w:hAnsiTheme="minorHAnsi"/>
          <w:bCs/>
          <w:i/>
          <w:snapToGrid w:val="0"/>
        </w:rPr>
      </w:pPr>
      <w:r w:rsidRPr="009941F8">
        <w:rPr>
          <w:rFonts w:asciiTheme="minorHAnsi" w:hAnsiTheme="minorHAnsi"/>
          <w:bCs/>
          <w:snapToGrid w:val="0"/>
        </w:rPr>
        <w:t xml:space="preserve">The PBAC noted that this submission is not eligible for an Independent Review as it received a positive recommendation. </w:t>
      </w:r>
    </w:p>
    <w:p w14:paraId="695D616A" w14:textId="77777777" w:rsidR="00A244E2" w:rsidRPr="009941F8" w:rsidRDefault="00A244E2" w:rsidP="00A244E2">
      <w:pPr>
        <w:spacing w:before="240"/>
        <w:rPr>
          <w:rFonts w:asciiTheme="minorHAnsi" w:hAnsiTheme="minorHAnsi"/>
          <w:b/>
          <w:bCs/>
          <w:snapToGrid w:val="0"/>
        </w:rPr>
      </w:pPr>
      <w:r w:rsidRPr="009941F8">
        <w:rPr>
          <w:rFonts w:asciiTheme="minorHAnsi" w:hAnsiTheme="minorHAnsi"/>
          <w:b/>
          <w:bCs/>
          <w:snapToGrid w:val="0"/>
        </w:rPr>
        <w:t>Outcome:</w:t>
      </w:r>
    </w:p>
    <w:p w14:paraId="67825B39" w14:textId="16B8E98D" w:rsidR="005A0B2C" w:rsidRPr="009941F8" w:rsidRDefault="005A0B2C" w:rsidP="005A0B2C">
      <w:pPr>
        <w:rPr>
          <w:rFonts w:asciiTheme="minorHAnsi" w:hAnsiTheme="minorHAnsi"/>
          <w:bCs/>
          <w:snapToGrid w:val="0"/>
        </w:rPr>
      </w:pPr>
      <w:r w:rsidRPr="009941F8">
        <w:rPr>
          <w:rFonts w:asciiTheme="minorHAnsi" w:hAnsiTheme="minorHAnsi"/>
          <w:bCs/>
          <w:snapToGrid w:val="0"/>
        </w:rPr>
        <w:t>Recommended</w:t>
      </w:r>
    </w:p>
    <w:bookmarkEnd w:id="97"/>
    <w:p w14:paraId="48C585D8" w14:textId="606B72F8" w:rsidR="00A244E2" w:rsidRPr="009941F8" w:rsidRDefault="00A244E2" w:rsidP="00A244E2">
      <w:pPr>
        <w:pStyle w:val="2-SectionHeading"/>
        <w:rPr>
          <w:iCs/>
        </w:rPr>
      </w:pPr>
      <w:r w:rsidRPr="009941F8">
        <w:lastRenderedPageBreak/>
        <w:t>Recommended listing</w:t>
      </w:r>
    </w:p>
    <w:p w14:paraId="295B86FB" w14:textId="5EB83DF2" w:rsidR="00537FC0" w:rsidRPr="003037C7" w:rsidRDefault="00537FC0" w:rsidP="00233562">
      <w:pPr>
        <w:widowControl w:val="0"/>
        <w:numPr>
          <w:ilvl w:val="1"/>
          <w:numId w:val="1"/>
        </w:numPr>
        <w:spacing w:after="120"/>
        <w:rPr>
          <w:rFonts w:asciiTheme="minorHAnsi" w:hAnsiTheme="minorHAnsi"/>
          <w:bCs/>
          <w:snapToGrid w:val="0"/>
        </w:rPr>
      </w:pPr>
      <w:r w:rsidRPr="009941F8">
        <w:rPr>
          <w:rFonts w:asciiTheme="minorHAnsi" w:hAnsiTheme="minorHAnsi"/>
          <w:snapToGrid w:val="0"/>
        </w:rPr>
        <w:t>Add new item:</w:t>
      </w:r>
    </w:p>
    <w:p w14:paraId="0E432B26" w14:textId="77777777" w:rsidR="00512D20" w:rsidRPr="009941F8" w:rsidRDefault="00512D20" w:rsidP="00233562">
      <w:pPr>
        <w:keepNext/>
        <w:keepLines/>
        <w:rPr>
          <w:rFonts w:ascii="Times New Roman" w:eastAsiaTheme="minorHAnsi" w:hAnsi="Times New Roman" w:cs="Times New Roman"/>
          <w:b/>
          <w:bCs/>
        </w:rPr>
      </w:pPr>
      <w:bookmarkStart w:id="103" w:name="_Hlk161828560"/>
      <w:r w:rsidRPr="009941F8">
        <w:rPr>
          <w:b/>
          <w:bCs/>
        </w:rPr>
        <w:t xml:space="preserve">Initial treatment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1659"/>
        <w:gridCol w:w="1661"/>
        <w:gridCol w:w="1659"/>
        <w:gridCol w:w="1866"/>
      </w:tblGrid>
      <w:tr w:rsidR="00512D20" w:rsidRPr="00512D20" w14:paraId="4ACDDF8B" w14:textId="77777777" w:rsidTr="00F6118B">
        <w:tc>
          <w:tcPr>
            <w:tcW w:w="1225" w:type="pct"/>
            <w:tcBorders>
              <w:top w:val="single" w:sz="4" w:space="0" w:color="auto"/>
              <w:left w:val="single" w:sz="4" w:space="0" w:color="auto"/>
              <w:bottom w:val="single" w:sz="4" w:space="0" w:color="auto"/>
              <w:right w:val="single" w:sz="4" w:space="0" w:color="auto"/>
            </w:tcBorders>
            <w:hideMark/>
          </w:tcPr>
          <w:p w14:paraId="41DB14FE" w14:textId="77777777" w:rsidR="00512D20" w:rsidRPr="00512D20" w:rsidRDefault="00512D20" w:rsidP="00460084">
            <w:pPr>
              <w:keepNext/>
              <w:keepLines/>
              <w:rPr>
                <w:rFonts w:ascii="Arial Narrow" w:hAnsi="Arial Narrow"/>
                <w:b/>
                <w:bCs/>
                <w:sz w:val="20"/>
              </w:rPr>
            </w:pPr>
            <w:r w:rsidRPr="00512D20">
              <w:rPr>
                <w:rFonts w:ascii="Arial Narrow" w:hAnsi="Arial Narrow"/>
                <w:b/>
                <w:bCs/>
                <w:sz w:val="20"/>
              </w:rPr>
              <w:t>MEDICINAL PRODUCT</w:t>
            </w:r>
          </w:p>
          <w:p w14:paraId="0CC11E7E" w14:textId="77777777" w:rsidR="00512D20" w:rsidRPr="00512D20" w:rsidRDefault="00512D20" w:rsidP="00460084">
            <w:pPr>
              <w:pStyle w:val="PbacTableHeading"/>
              <w:keepNext/>
              <w:keepLines/>
              <w:spacing w:after="0" w:line="256" w:lineRule="auto"/>
            </w:pPr>
            <w:r w:rsidRPr="00512D20">
              <w:rPr>
                <w:bCs/>
              </w:rPr>
              <w:t>medicinal product pack</w:t>
            </w:r>
          </w:p>
        </w:tc>
        <w:tc>
          <w:tcPr>
            <w:tcW w:w="915" w:type="pct"/>
            <w:tcBorders>
              <w:top w:val="single" w:sz="4" w:space="0" w:color="auto"/>
              <w:left w:val="single" w:sz="4" w:space="0" w:color="auto"/>
              <w:bottom w:val="single" w:sz="4" w:space="0" w:color="auto"/>
              <w:right w:val="single" w:sz="4" w:space="0" w:color="auto"/>
            </w:tcBorders>
            <w:hideMark/>
          </w:tcPr>
          <w:p w14:paraId="67BB8B35" w14:textId="77777777" w:rsidR="00512D20" w:rsidRPr="00512D20" w:rsidRDefault="00512D20" w:rsidP="00460084">
            <w:pPr>
              <w:pStyle w:val="PbacTableHeading"/>
              <w:keepNext/>
              <w:keepLines/>
              <w:spacing w:after="0" w:line="256" w:lineRule="auto"/>
              <w:jc w:val="center"/>
            </w:pPr>
            <w:r w:rsidRPr="00512D20">
              <w:t>PBS item code</w:t>
            </w:r>
          </w:p>
        </w:tc>
        <w:tc>
          <w:tcPr>
            <w:tcW w:w="916" w:type="pct"/>
            <w:tcBorders>
              <w:top w:val="single" w:sz="4" w:space="0" w:color="auto"/>
              <w:left w:val="single" w:sz="4" w:space="0" w:color="auto"/>
              <w:bottom w:val="single" w:sz="4" w:space="0" w:color="auto"/>
              <w:right w:val="single" w:sz="4" w:space="0" w:color="auto"/>
            </w:tcBorders>
            <w:hideMark/>
          </w:tcPr>
          <w:p w14:paraId="20D85C61" w14:textId="77777777" w:rsidR="00512D20" w:rsidRPr="00512D20" w:rsidRDefault="00512D20" w:rsidP="00460084">
            <w:pPr>
              <w:pStyle w:val="PbacTableHeading"/>
              <w:keepNext/>
              <w:keepLines/>
              <w:spacing w:after="0" w:line="256" w:lineRule="auto"/>
              <w:jc w:val="center"/>
            </w:pPr>
            <w:r w:rsidRPr="00512D20">
              <w:t>Max. qty (packs)</w:t>
            </w:r>
          </w:p>
        </w:tc>
        <w:tc>
          <w:tcPr>
            <w:tcW w:w="915" w:type="pct"/>
            <w:tcBorders>
              <w:top w:val="single" w:sz="4" w:space="0" w:color="auto"/>
              <w:left w:val="single" w:sz="4" w:space="0" w:color="auto"/>
              <w:bottom w:val="single" w:sz="4" w:space="0" w:color="auto"/>
              <w:right w:val="single" w:sz="4" w:space="0" w:color="auto"/>
            </w:tcBorders>
            <w:hideMark/>
          </w:tcPr>
          <w:p w14:paraId="275CACD6" w14:textId="77777777" w:rsidR="00512D20" w:rsidRPr="00512D20" w:rsidRDefault="00512D20" w:rsidP="00460084">
            <w:pPr>
              <w:pStyle w:val="PbacTableHeading"/>
              <w:keepNext/>
              <w:keepLines/>
              <w:spacing w:after="0" w:line="256" w:lineRule="auto"/>
              <w:jc w:val="center"/>
            </w:pPr>
            <w:r w:rsidRPr="00512D20">
              <w:t>Max. qty (units)</w:t>
            </w:r>
          </w:p>
        </w:tc>
        <w:tc>
          <w:tcPr>
            <w:tcW w:w="1029" w:type="pct"/>
            <w:tcBorders>
              <w:top w:val="single" w:sz="4" w:space="0" w:color="auto"/>
              <w:left w:val="single" w:sz="4" w:space="0" w:color="auto"/>
              <w:bottom w:val="single" w:sz="4" w:space="0" w:color="auto"/>
              <w:right w:val="single" w:sz="4" w:space="0" w:color="auto"/>
            </w:tcBorders>
            <w:hideMark/>
          </w:tcPr>
          <w:p w14:paraId="295F5F0B" w14:textId="77777777" w:rsidR="00512D20" w:rsidRPr="00512D20" w:rsidRDefault="00512D20" w:rsidP="00460084">
            <w:pPr>
              <w:pStyle w:val="PbacTableHeading"/>
              <w:keepNext/>
              <w:keepLines/>
              <w:spacing w:after="0" w:line="256" w:lineRule="auto"/>
              <w:jc w:val="center"/>
            </w:pPr>
            <w:r w:rsidRPr="00512D20">
              <w:t>№. of repeats</w:t>
            </w:r>
          </w:p>
        </w:tc>
      </w:tr>
      <w:tr w:rsidR="00512D20" w:rsidRPr="00512D20" w14:paraId="5F8011F9" w14:textId="77777777" w:rsidTr="00F6118B">
        <w:tc>
          <w:tcPr>
            <w:tcW w:w="1225" w:type="pct"/>
            <w:tcBorders>
              <w:top w:val="single" w:sz="4" w:space="0" w:color="auto"/>
              <w:left w:val="single" w:sz="4" w:space="0" w:color="auto"/>
              <w:bottom w:val="single" w:sz="4" w:space="0" w:color="auto"/>
              <w:right w:val="single" w:sz="4" w:space="0" w:color="auto"/>
            </w:tcBorders>
            <w:hideMark/>
          </w:tcPr>
          <w:p w14:paraId="5705BA53" w14:textId="77777777" w:rsidR="00512D20" w:rsidRPr="00512D20" w:rsidRDefault="00512D20" w:rsidP="00460084">
            <w:pPr>
              <w:pStyle w:val="PBACTableText"/>
              <w:keepNext/>
              <w:keepLines/>
              <w:spacing w:before="0" w:after="0" w:line="256" w:lineRule="auto"/>
            </w:pPr>
            <w:r w:rsidRPr="00512D20">
              <w:t>ANIFROLUMAB</w:t>
            </w:r>
          </w:p>
          <w:p w14:paraId="11C9F266" w14:textId="77777777" w:rsidR="00512D20" w:rsidRPr="00512D20" w:rsidRDefault="00512D20" w:rsidP="00460084">
            <w:pPr>
              <w:pStyle w:val="PBACTableText"/>
              <w:keepNext/>
              <w:keepLines/>
              <w:spacing w:before="0" w:after="0" w:line="256" w:lineRule="auto"/>
            </w:pPr>
            <w:r w:rsidRPr="00512D20">
              <w:t>Injection</w:t>
            </w:r>
          </w:p>
        </w:tc>
        <w:tc>
          <w:tcPr>
            <w:tcW w:w="915" w:type="pct"/>
            <w:tcBorders>
              <w:top w:val="single" w:sz="4" w:space="0" w:color="auto"/>
              <w:left w:val="single" w:sz="4" w:space="0" w:color="auto"/>
              <w:bottom w:val="single" w:sz="4" w:space="0" w:color="auto"/>
              <w:right w:val="single" w:sz="4" w:space="0" w:color="auto"/>
            </w:tcBorders>
            <w:hideMark/>
          </w:tcPr>
          <w:p w14:paraId="0B64EA48" w14:textId="77777777" w:rsidR="00512D20" w:rsidRPr="00512D20" w:rsidRDefault="00512D20" w:rsidP="00460084">
            <w:pPr>
              <w:pStyle w:val="PBACTableText"/>
              <w:keepNext/>
              <w:keepLines/>
              <w:spacing w:before="0" w:after="0" w:line="256" w:lineRule="auto"/>
              <w:jc w:val="center"/>
            </w:pPr>
            <w:r w:rsidRPr="00512D20">
              <w:t>NEW (Public)</w:t>
            </w:r>
          </w:p>
          <w:p w14:paraId="397C7A9D" w14:textId="77777777" w:rsidR="00512D20" w:rsidRPr="00512D20" w:rsidRDefault="00512D20" w:rsidP="00460084">
            <w:pPr>
              <w:pStyle w:val="PBACTableText"/>
              <w:keepNext/>
              <w:keepLines/>
              <w:spacing w:before="0" w:after="0" w:line="256" w:lineRule="auto"/>
              <w:jc w:val="center"/>
            </w:pPr>
            <w:r w:rsidRPr="00512D20">
              <w:t>NEW (Private)</w:t>
            </w:r>
          </w:p>
        </w:tc>
        <w:tc>
          <w:tcPr>
            <w:tcW w:w="916" w:type="pct"/>
            <w:tcBorders>
              <w:top w:val="single" w:sz="4" w:space="0" w:color="auto"/>
              <w:left w:val="single" w:sz="4" w:space="0" w:color="auto"/>
              <w:bottom w:val="single" w:sz="4" w:space="0" w:color="auto"/>
              <w:right w:val="single" w:sz="4" w:space="0" w:color="auto"/>
            </w:tcBorders>
            <w:hideMark/>
          </w:tcPr>
          <w:p w14:paraId="7778A42F" w14:textId="77777777" w:rsidR="00512D20" w:rsidRPr="00512D20" w:rsidRDefault="00512D20" w:rsidP="00460084">
            <w:pPr>
              <w:pStyle w:val="PBACTableText"/>
              <w:keepNext/>
              <w:keepLines/>
              <w:spacing w:before="0" w:after="0" w:line="256" w:lineRule="auto"/>
              <w:jc w:val="center"/>
              <w:rPr>
                <w:highlight w:val="green"/>
              </w:rPr>
            </w:pPr>
            <w:r w:rsidRPr="00512D20">
              <w:t>1</w:t>
            </w:r>
          </w:p>
        </w:tc>
        <w:tc>
          <w:tcPr>
            <w:tcW w:w="915" w:type="pct"/>
            <w:tcBorders>
              <w:top w:val="single" w:sz="4" w:space="0" w:color="auto"/>
              <w:left w:val="single" w:sz="4" w:space="0" w:color="auto"/>
              <w:bottom w:val="single" w:sz="4" w:space="0" w:color="auto"/>
              <w:right w:val="single" w:sz="4" w:space="0" w:color="auto"/>
            </w:tcBorders>
            <w:hideMark/>
          </w:tcPr>
          <w:p w14:paraId="6A3FA664" w14:textId="77777777" w:rsidR="00512D20" w:rsidRPr="00512D20" w:rsidRDefault="00512D20" w:rsidP="00460084">
            <w:pPr>
              <w:pStyle w:val="PBACTableText"/>
              <w:keepNext/>
              <w:keepLines/>
              <w:spacing w:before="0" w:after="0" w:line="256" w:lineRule="auto"/>
              <w:jc w:val="center"/>
              <w:rPr>
                <w:highlight w:val="green"/>
              </w:rPr>
            </w:pPr>
            <w:r w:rsidRPr="00512D20">
              <w:t>1</w:t>
            </w:r>
          </w:p>
        </w:tc>
        <w:tc>
          <w:tcPr>
            <w:tcW w:w="1029" w:type="pct"/>
            <w:tcBorders>
              <w:top w:val="single" w:sz="4" w:space="0" w:color="auto"/>
              <w:left w:val="single" w:sz="4" w:space="0" w:color="auto"/>
              <w:bottom w:val="single" w:sz="4" w:space="0" w:color="auto"/>
              <w:right w:val="single" w:sz="4" w:space="0" w:color="auto"/>
            </w:tcBorders>
            <w:hideMark/>
          </w:tcPr>
          <w:p w14:paraId="26DF4C55" w14:textId="77777777" w:rsidR="00512D20" w:rsidRPr="00512D20" w:rsidRDefault="00512D20" w:rsidP="00460084">
            <w:pPr>
              <w:pStyle w:val="PBACTableText"/>
              <w:keepNext/>
              <w:keepLines/>
              <w:spacing w:before="0" w:after="0" w:line="256" w:lineRule="auto"/>
              <w:jc w:val="center"/>
              <w:rPr>
                <w:highlight w:val="green"/>
              </w:rPr>
            </w:pPr>
            <w:r w:rsidRPr="00512D20">
              <w:t>5</w:t>
            </w:r>
          </w:p>
        </w:tc>
      </w:tr>
      <w:tr w:rsidR="00512D20" w:rsidRPr="00512D20" w14:paraId="28037520" w14:textId="77777777" w:rsidTr="00F6118B">
        <w:tc>
          <w:tcPr>
            <w:tcW w:w="5000" w:type="pct"/>
            <w:gridSpan w:val="5"/>
            <w:tcBorders>
              <w:top w:val="single" w:sz="4" w:space="0" w:color="auto"/>
              <w:left w:val="single" w:sz="4" w:space="0" w:color="auto"/>
              <w:bottom w:val="single" w:sz="4" w:space="0" w:color="auto"/>
              <w:right w:val="single" w:sz="4" w:space="0" w:color="auto"/>
            </w:tcBorders>
            <w:hideMark/>
          </w:tcPr>
          <w:p w14:paraId="4F3E6708" w14:textId="77777777" w:rsidR="00512D20" w:rsidRPr="00512D20" w:rsidRDefault="00512D20" w:rsidP="00460084">
            <w:pPr>
              <w:pStyle w:val="PBACTableText"/>
              <w:keepNext/>
              <w:keepLines/>
              <w:spacing w:before="0" w:after="0" w:line="256" w:lineRule="auto"/>
            </w:pPr>
            <w:r w:rsidRPr="00512D20">
              <w:t>Available brands</w:t>
            </w:r>
          </w:p>
        </w:tc>
      </w:tr>
      <w:tr w:rsidR="00512D20" w:rsidRPr="00512D20" w14:paraId="06C9D33D" w14:textId="77777777" w:rsidTr="00F6118B">
        <w:tc>
          <w:tcPr>
            <w:tcW w:w="5000" w:type="pct"/>
            <w:gridSpan w:val="5"/>
            <w:tcBorders>
              <w:top w:val="single" w:sz="4" w:space="0" w:color="auto"/>
              <w:left w:val="single" w:sz="4" w:space="0" w:color="auto"/>
              <w:bottom w:val="single" w:sz="4" w:space="0" w:color="auto"/>
              <w:right w:val="single" w:sz="4" w:space="0" w:color="auto"/>
            </w:tcBorders>
            <w:hideMark/>
          </w:tcPr>
          <w:p w14:paraId="27B11096" w14:textId="77777777" w:rsidR="00512D20" w:rsidRPr="00512D20" w:rsidRDefault="00512D20" w:rsidP="00460084">
            <w:pPr>
              <w:pStyle w:val="PBACTableText"/>
              <w:keepNext/>
              <w:keepLines/>
              <w:spacing w:before="0" w:after="0" w:line="256" w:lineRule="auto"/>
            </w:pPr>
            <w:r w:rsidRPr="00512D20">
              <w:t>Saphnelo</w:t>
            </w:r>
          </w:p>
          <w:p w14:paraId="4ED61AAA" w14:textId="77777777" w:rsidR="00512D20" w:rsidRPr="00512D20" w:rsidRDefault="00512D20" w:rsidP="00460084">
            <w:pPr>
              <w:pStyle w:val="PBACTableText"/>
              <w:keepNext/>
              <w:keepLines/>
              <w:spacing w:before="0" w:after="0" w:line="256" w:lineRule="auto"/>
            </w:pPr>
            <w:r w:rsidRPr="00512D20">
              <w:t>anifrolumab 300 mg/2 mL injection, 2 mL vial</w:t>
            </w:r>
          </w:p>
        </w:tc>
      </w:tr>
      <w:tr w:rsidR="00590ABF" w:rsidRPr="00512D20" w14:paraId="37E0F3F3"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FB906F" w14:textId="77777777" w:rsidR="00590ABF" w:rsidRPr="00512D20" w:rsidRDefault="00590ABF" w:rsidP="00460084">
            <w:pPr>
              <w:rPr>
                <w:rFonts w:ascii="Arial Narrow" w:hAnsi="Arial Narrow"/>
                <w:sz w:val="20"/>
                <w:szCs w:val="20"/>
              </w:rPr>
            </w:pPr>
            <w:r w:rsidRPr="00512D20">
              <w:rPr>
                <w:rFonts w:ascii="Arial Narrow" w:hAnsi="Arial Narrow"/>
                <w:b/>
                <w:sz w:val="20"/>
                <w:szCs w:val="20"/>
              </w:rPr>
              <w:t xml:space="preserve">Category / Program:  </w:t>
            </w:r>
            <w:r w:rsidRPr="00512D20">
              <w:rPr>
                <w:rFonts w:ascii="Arial Narrow" w:hAnsi="Arial Narrow"/>
                <w:sz w:val="20"/>
                <w:szCs w:val="20"/>
              </w:rPr>
              <w:t>Section 100 – Highly Specialised Drugs Program</w:t>
            </w:r>
          </w:p>
        </w:tc>
      </w:tr>
      <w:tr w:rsidR="00590ABF" w:rsidRPr="00512D20" w14:paraId="7F8737DE" w14:textId="77777777" w:rsidTr="00F6118B">
        <w:trPr>
          <w:trHeight w:val="240"/>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793F8A" w14:textId="77777777" w:rsidR="00590ABF" w:rsidRPr="00512D20" w:rsidRDefault="00590ABF" w:rsidP="00460084">
            <w:pPr>
              <w:rPr>
                <w:rFonts w:ascii="Arial Narrow" w:hAnsi="Arial Narrow"/>
                <w:b/>
                <w:sz w:val="20"/>
                <w:szCs w:val="20"/>
                <w:highlight w:val="green"/>
              </w:rPr>
            </w:pPr>
            <w:r w:rsidRPr="00512D20">
              <w:rPr>
                <w:rFonts w:ascii="Arial Narrow" w:hAnsi="Arial Narrow"/>
                <w:b/>
                <w:sz w:val="20"/>
                <w:szCs w:val="20"/>
              </w:rPr>
              <w:t xml:space="preserve">Prescriber type:  </w:t>
            </w:r>
            <w:r w:rsidRPr="00512D20">
              <w:rPr>
                <w:rFonts w:ascii="Arial Narrow" w:hAnsi="Arial Narrow"/>
                <w:sz w:val="20"/>
                <w:szCs w:val="20"/>
              </w:rPr>
              <w:fldChar w:fldCharType="begin" w:fldLock="1">
                <w:ffData>
                  <w:name w:val=""/>
                  <w:enabled/>
                  <w:calcOnExit w:val="0"/>
                  <w:checkBox>
                    <w:sizeAuto/>
                    <w:default w:val="1"/>
                  </w:checkBox>
                </w:ffData>
              </w:fldChar>
            </w:r>
            <w:r w:rsidRPr="00512D20">
              <w:rPr>
                <w:rFonts w:ascii="Arial Narrow" w:hAnsi="Arial Narrow"/>
                <w:sz w:val="20"/>
                <w:szCs w:val="20"/>
              </w:rPr>
              <w:instrText xml:space="preserve"> FORMCHECKBOX </w:instrText>
            </w:r>
            <w:r w:rsidR="00CE7EC7">
              <w:rPr>
                <w:rFonts w:ascii="Arial Narrow" w:hAnsi="Arial Narrow"/>
                <w:sz w:val="20"/>
                <w:szCs w:val="20"/>
              </w:rPr>
            </w:r>
            <w:r w:rsidR="00CE7EC7">
              <w:rPr>
                <w:rFonts w:ascii="Arial Narrow" w:hAnsi="Arial Narrow"/>
                <w:sz w:val="20"/>
                <w:szCs w:val="20"/>
              </w:rPr>
              <w:fldChar w:fldCharType="separate"/>
            </w:r>
            <w:r w:rsidRPr="00512D20">
              <w:rPr>
                <w:rFonts w:ascii="Arial Narrow" w:hAnsi="Arial Narrow"/>
                <w:sz w:val="20"/>
                <w:szCs w:val="20"/>
              </w:rPr>
              <w:fldChar w:fldCharType="end"/>
            </w:r>
            <w:r w:rsidRPr="00512D20">
              <w:rPr>
                <w:rFonts w:ascii="Arial Narrow" w:hAnsi="Arial Narrow"/>
                <w:sz w:val="20"/>
                <w:szCs w:val="20"/>
              </w:rPr>
              <w:t>Medical Practitioners</w:t>
            </w:r>
          </w:p>
        </w:tc>
      </w:tr>
      <w:tr w:rsidR="00590ABF" w:rsidRPr="00512D20" w14:paraId="2D52302E" w14:textId="77777777" w:rsidTr="00F6118B">
        <w:trPr>
          <w:trHeight w:val="55"/>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5245F2" w14:textId="77777777" w:rsidR="00590ABF" w:rsidRPr="00512D20" w:rsidRDefault="00590ABF" w:rsidP="00460084">
            <w:pPr>
              <w:rPr>
                <w:rFonts w:ascii="Arial Narrow" w:hAnsi="Arial Narrow"/>
                <w:sz w:val="20"/>
                <w:szCs w:val="20"/>
                <w:highlight w:val="green"/>
              </w:rPr>
            </w:pPr>
            <w:r w:rsidRPr="00512D20">
              <w:rPr>
                <w:rFonts w:ascii="Arial Narrow" w:hAnsi="Arial Narrow"/>
                <w:b/>
                <w:sz w:val="20"/>
                <w:szCs w:val="20"/>
              </w:rPr>
              <w:t>Restriction Level / Method:</w:t>
            </w:r>
            <w:r w:rsidRPr="00512D20">
              <w:rPr>
                <w:rFonts w:ascii="Arial Narrow" w:hAnsi="Arial Narrow"/>
                <w:sz w:val="20"/>
                <w:szCs w:val="20"/>
              </w:rPr>
              <w:t xml:space="preserve"> </w:t>
            </w:r>
            <w:r w:rsidRPr="00512D20">
              <w:rPr>
                <w:rFonts w:ascii="Arial Narrow" w:hAnsi="Arial Narrow"/>
                <w:sz w:val="20"/>
                <w:szCs w:val="20"/>
              </w:rPr>
              <w:fldChar w:fldCharType="begin" w:fldLock="1">
                <w:ffData>
                  <w:name w:val="Check3"/>
                  <w:enabled/>
                  <w:calcOnExit w:val="0"/>
                  <w:checkBox>
                    <w:sizeAuto/>
                    <w:default w:val="1"/>
                  </w:checkBox>
                </w:ffData>
              </w:fldChar>
            </w:r>
            <w:r w:rsidRPr="00512D20">
              <w:rPr>
                <w:rFonts w:ascii="Arial Narrow" w:hAnsi="Arial Narrow"/>
                <w:sz w:val="20"/>
                <w:szCs w:val="20"/>
              </w:rPr>
              <w:instrText xml:space="preserve"> FORMCHECKBOX </w:instrText>
            </w:r>
            <w:r w:rsidR="00CE7EC7">
              <w:rPr>
                <w:rFonts w:ascii="Arial Narrow" w:hAnsi="Arial Narrow"/>
                <w:sz w:val="20"/>
                <w:szCs w:val="20"/>
              </w:rPr>
            </w:r>
            <w:r w:rsidR="00CE7EC7">
              <w:rPr>
                <w:rFonts w:ascii="Arial Narrow" w:hAnsi="Arial Narrow"/>
                <w:sz w:val="20"/>
                <w:szCs w:val="20"/>
              </w:rPr>
              <w:fldChar w:fldCharType="separate"/>
            </w:r>
            <w:r w:rsidRPr="00512D20">
              <w:rPr>
                <w:rFonts w:ascii="Arial Narrow" w:hAnsi="Arial Narrow"/>
                <w:sz w:val="20"/>
                <w:szCs w:val="20"/>
              </w:rPr>
              <w:fldChar w:fldCharType="end"/>
            </w:r>
            <w:r w:rsidRPr="00512D20">
              <w:rPr>
                <w:rFonts w:ascii="Arial Narrow" w:hAnsi="Arial Narrow"/>
                <w:sz w:val="20"/>
                <w:szCs w:val="20"/>
              </w:rPr>
              <w:t xml:space="preserve">Authority Required – In Writing only via post/HPOS upload  </w:t>
            </w:r>
          </w:p>
        </w:tc>
      </w:tr>
      <w:tr w:rsidR="00590ABF" w:rsidRPr="00512D20" w14:paraId="22111004" w14:textId="77777777" w:rsidTr="00F6118B">
        <w:trPr>
          <w:trHeight w:val="283"/>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D1E7C5"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Administrative Advice:</w:t>
            </w:r>
          </w:p>
          <w:p w14:paraId="4F41957F" w14:textId="0D02843B" w:rsidR="00590ABF" w:rsidRPr="00512D20" w:rsidRDefault="00590ABF" w:rsidP="00460084">
            <w:pPr>
              <w:rPr>
                <w:rFonts w:ascii="Arial Narrow" w:hAnsi="Arial Narrow"/>
                <w:sz w:val="20"/>
                <w:szCs w:val="20"/>
              </w:rPr>
            </w:pPr>
            <w:r w:rsidRPr="00512D20">
              <w:rPr>
                <w:rFonts w:ascii="Arial Narrow" w:hAnsi="Arial Narrow"/>
                <w:sz w:val="20"/>
                <w:szCs w:val="20"/>
              </w:rPr>
              <w:t>Special Pricing Arrangements apply</w:t>
            </w:r>
          </w:p>
        </w:tc>
      </w:tr>
      <w:tr w:rsidR="00590ABF" w:rsidRPr="00512D20" w14:paraId="4AACA85C" w14:textId="77777777" w:rsidTr="00F6118B">
        <w:trPr>
          <w:trHeight w:val="283"/>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212A7F"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Administrative Advice:</w:t>
            </w:r>
          </w:p>
          <w:p w14:paraId="78680C4C" w14:textId="77777777" w:rsidR="00590ABF" w:rsidRPr="00512D20" w:rsidRDefault="00590ABF" w:rsidP="00460084">
            <w:pPr>
              <w:rPr>
                <w:rFonts w:ascii="Arial Narrow" w:hAnsi="Arial Narrow"/>
                <w:b/>
                <w:sz w:val="20"/>
                <w:szCs w:val="20"/>
              </w:rPr>
            </w:pPr>
            <w:r w:rsidRPr="00512D20">
              <w:rPr>
                <w:rFonts w:ascii="Arial Narrow" w:hAnsi="Arial Narrow"/>
                <w:bCs/>
                <w:sz w:val="20"/>
                <w:szCs w:val="20"/>
              </w:rPr>
              <w:t>No increase in the maximum number of repeats may be authorised.</w:t>
            </w:r>
          </w:p>
        </w:tc>
      </w:tr>
      <w:tr w:rsidR="00590ABF" w:rsidRPr="00512D20" w14:paraId="13C02998" w14:textId="77777777" w:rsidTr="00F6118B">
        <w:trPr>
          <w:trHeight w:val="283"/>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163EFA"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Administrative Advice:</w:t>
            </w:r>
          </w:p>
          <w:p w14:paraId="667AE56B" w14:textId="77777777" w:rsidR="00590ABF" w:rsidRPr="00512D20" w:rsidRDefault="00590ABF" w:rsidP="00460084">
            <w:pPr>
              <w:rPr>
                <w:rFonts w:ascii="Arial Narrow" w:hAnsi="Arial Narrow"/>
                <w:b/>
                <w:sz w:val="20"/>
                <w:szCs w:val="20"/>
              </w:rPr>
            </w:pPr>
            <w:r w:rsidRPr="00512D20">
              <w:rPr>
                <w:rFonts w:ascii="Arial Narrow" w:hAnsi="Arial Narrow"/>
                <w:bCs/>
                <w:sz w:val="20"/>
                <w:szCs w:val="20"/>
              </w:rPr>
              <w:t>No increase in the maximum quantity or number of units may be authorised.</w:t>
            </w:r>
          </w:p>
        </w:tc>
      </w:tr>
      <w:tr w:rsidR="00590ABF" w:rsidRPr="00512D20" w14:paraId="5261495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C2CD9" w14:textId="77777777" w:rsidR="00590ABF" w:rsidRPr="00512D20" w:rsidRDefault="00590ABF" w:rsidP="00460084">
            <w:pPr>
              <w:rPr>
                <w:rFonts w:ascii="Arial Narrow" w:hAnsi="Arial Narrow"/>
                <w:b/>
                <w:bCs/>
                <w:sz w:val="20"/>
                <w:szCs w:val="20"/>
                <w:highlight w:val="green"/>
              </w:rPr>
            </w:pPr>
          </w:p>
        </w:tc>
      </w:tr>
      <w:tr w:rsidR="00512D20" w:rsidRPr="00512D20" w14:paraId="65002D2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484807" w14:textId="77777777" w:rsidR="00512D20" w:rsidRPr="00512D20" w:rsidDel="003D449F" w:rsidRDefault="00512D20" w:rsidP="00460084">
            <w:pPr>
              <w:rPr>
                <w:rFonts w:ascii="Arial Narrow" w:hAnsi="Arial Narrow"/>
                <w:b/>
                <w:bCs/>
                <w:sz w:val="20"/>
                <w:szCs w:val="20"/>
              </w:rPr>
            </w:pPr>
            <w:r w:rsidRPr="00512D20">
              <w:rPr>
                <w:rFonts w:ascii="Arial Narrow" w:eastAsia="Calibri" w:hAnsi="Arial Narrow"/>
                <w:b/>
                <w:sz w:val="20"/>
                <w:szCs w:val="20"/>
              </w:rPr>
              <w:t>Restriction Summary [New] / Treatment of Concept: [New]</w:t>
            </w:r>
          </w:p>
        </w:tc>
      </w:tr>
      <w:tr w:rsidR="00590ABF" w:rsidRPr="00512D20" w14:paraId="7541AAA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ADF29F"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Indication:</w:t>
            </w:r>
            <w:r w:rsidRPr="00512D20">
              <w:rPr>
                <w:rFonts w:ascii="Arial Narrow" w:hAnsi="Arial Narrow"/>
                <w:sz w:val="20"/>
                <w:szCs w:val="20"/>
              </w:rPr>
              <w:t xml:space="preserve"> Systemic lupus erythematosus</w:t>
            </w:r>
          </w:p>
        </w:tc>
      </w:tr>
      <w:tr w:rsidR="00590ABF" w:rsidRPr="00512D20" w14:paraId="508B152F"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045704" w14:textId="77777777" w:rsidR="00590ABF" w:rsidRPr="00512D20" w:rsidRDefault="00590ABF" w:rsidP="00460084">
            <w:pPr>
              <w:rPr>
                <w:rFonts w:ascii="Arial Narrow" w:hAnsi="Arial Narrow"/>
                <w:sz w:val="20"/>
                <w:szCs w:val="20"/>
                <w:highlight w:val="green"/>
                <w:lang w:eastAsia="en-US"/>
              </w:rPr>
            </w:pPr>
            <w:r w:rsidRPr="00512D20">
              <w:rPr>
                <w:rFonts w:ascii="Arial Narrow" w:hAnsi="Arial Narrow"/>
                <w:b/>
                <w:bCs/>
                <w:sz w:val="20"/>
                <w:szCs w:val="20"/>
              </w:rPr>
              <w:t>Treatment Phase:</w:t>
            </w:r>
            <w:r w:rsidRPr="00512D20">
              <w:rPr>
                <w:rFonts w:ascii="Arial Narrow" w:hAnsi="Arial Narrow"/>
                <w:sz w:val="20"/>
                <w:szCs w:val="20"/>
              </w:rPr>
              <w:t xml:space="preserve"> Initial treatment</w:t>
            </w:r>
          </w:p>
        </w:tc>
      </w:tr>
      <w:tr w:rsidR="00590ABF" w:rsidRPr="00512D20" w14:paraId="074CEDBA"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D332B3" w14:textId="77777777" w:rsidR="00590ABF" w:rsidRPr="00512D20" w:rsidRDefault="00590ABF" w:rsidP="00460084">
            <w:pPr>
              <w:rPr>
                <w:rFonts w:ascii="Arial Narrow" w:eastAsiaTheme="minorHAnsi" w:hAnsi="Arial Narrow"/>
                <w:b/>
                <w:bCs/>
                <w:sz w:val="20"/>
                <w:szCs w:val="20"/>
              </w:rPr>
            </w:pPr>
          </w:p>
        </w:tc>
      </w:tr>
      <w:tr w:rsidR="00590ABF" w:rsidRPr="00512D20" w14:paraId="1E27D21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C6A7FF"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Clinical criteria:</w:t>
            </w:r>
          </w:p>
        </w:tc>
      </w:tr>
      <w:tr w:rsidR="00590ABF" w:rsidRPr="00512D20" w14:paraId="18FFD24C"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86BCA5" w14:textId="77777777" w:rsidR="00590ABF" w:rsidRPr="00512D20" w:rsidRDefault="00590ABF" w:rsidP="00460084">
            <w:pPr>
              <w:rPr>
                <w:rFonts w:ascii="Arial Narrow" w:eastAsiaTheme="majorEastAsia" w:hAnsi="Arial Narrow"/>
                <w:sz w:val="20"/>
                <w:szCs w:val="20"/>
                <w:lang w:bidi="en-US"/>
              </w:rPr>
            </w:pPr>
            <w:r w:rsidRPr="00512D20">
              <w:rPr>
                <w:rFonts w:ascii="Arial Narrow" w:eastAsiaTheme="majorEastAsia" w:hAnsi="Arial Narrow"/>
                <w:sz w:val="20"/>
                <w:szCs w:val="20"/>
                <w:lang w:bidi="en-US"/>
              </w:rPr>
              <w:t>Patient must have a confirmed and documented diagnosis of systemic lupus erythematosus (SLE) according to the American College of Rheumatology (ACR)/European League Against Rheumatism (EULAR) SLE Classification Criteria 2019</w:t>
            </w:r>
          </w:p>
        </w:tc>
      </w:tr>
      <w:tr w:rsidR="00590ABF" w:rsidRPr="00512D20" w14:paraId="3A30760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A77496" w14:textId="77777777" w:rsidR="00590ABF" w:rsidRPr="00512D20" w:rsidRDefault="00590ABF" w:rsidP="00460084">
            <w:pPr>
              <w:rPr>
                <w:rFonts w:ascii="Arial Narrow" w:hAnsi="Arial Narrow"/>
                <w:sz w:val="20"/>
                <w:szCs w:val="20"/>
                <w:lang w:eastAsia="en-US"/>
              </w:rPr>
            </w:pPr>
            <w:r w:rsidRPr="00512D20">
              <w:rPr>
                <w:rFonts w:ascii="Arial Narrow" w:hAnsi="Arial Narrow"/>
                <w:b/>
                <w:bCs/>
                <w:sz w:val="20"/>
                <w:szCs w:val="20"/>
              </w:rPr>
              <w:t>AND</w:t>
            </w:r>
          </w:p>
        </w:tc>
      </w:tr>
      <w:tr w:rsidR="00590ABF" w:rsidRPr="00512D20" w14:paraId="1AF3472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9DF600"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Clinical criteria:</w:t>
            </w:r>
          </w:p>
        </w:tc>
      </w:tr>
      <w:tr w:rsidR="00590ABF" w:rsidRPr="00512D20" w14:paraId="1B92342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A8161" w14:textId="77777777" w:rsidR="00590ABF" w:rsidRPr="00512D20" w:rsidRDefault="00590ABF" w:rsidP="00460084">
            <w:pPr>
              <w:rPr>
                <w:rFonts w:ascii="Arial Narrow" w:hAnsi="Arial Narrow"/>
                <w:sz w:val="20"/>
                <w:szCs w:val="20"/>
                <w:highlight w:val="green"/>
              </w:rPr>
            </w:pPr>
            <w:r w:rsidRPr="00512D20">
              <w:rPr>
                <w:rFonts w:ascii="Arial Narrow" w:hAnsi="Arial Narrow"/>
                <w:sz w:val="20"/>
                <w:szCs w:val="20"/>
              </w:rPr>
              <w:t>Patient must have persistent disease activity as supported by a SLE Disease Activity Index 2000 (SLEDAI-2K) score of at least 10 points</w:t>
            </w:r>
          </w:p>
        </w:tc>
      </w:tr>
      <w:tr w:rsidR="00590ABF" w:rsidRPr="00512D20" w14:paraId="149F4830"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9A5443"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AND</w:t>
            </w:r>
          </w:p>
        </w:tc>
      </w:tr>
      <w:tr w:rsidR="00590ABF" w:rsidRPr="00512D20" w14:paraId="4C4E6DE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C6AFAD"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Clinical criteria:</w:t>
            </w:r>
          </w:p>
        </w:tc>
      </w:tr>
      <w:tr w:rsidR="00590ABF" w:rsidRPr="00512D20" w14:paraId="305312DC"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3968A" w14:textId="451D43CE" w:rsidR="00590ABF" w:rsidRPr="00512D20" w:rsidRDefault="00590ABF" w:rsidP="00460084">
            <w:pPr>
              <w:rPr>
                <w:rFonts w:ascii="Arial Narrow" w:hAnsi="Arial Narrow"/>
                <w:sz w:val="20"/>
                <w:szCs w:val="20"/>
              </w:rPr>
            </w:pPr>
            <w:r w:rsidRPr="00512D20">
              <w:rPr>
                <w:rFonts w:ascii="Arial Narrow" w:hAnsi="Arial Narrow"/>
                <w:sz w:val="20"/>
                <w:szCs w:val="20"/>
              </w:rPr>
              <w:t xml:space="preserve">Patient must be currently receiving hydroxychloroquine, with treatment received for at least 12 weeks, unless contraindicated/intolerant necessitating treatment withdrawal </w:t>
            </w:r>
          </w:p>
        </w:tc>
      </w:tr>
      <w:tr w:rsidR="00590ABF" w:rsidRPr="00512D20" w14:paraId="73F7C46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833792" w14:textId="77777777" w:rsidR="00590ABF" w:rsidRPr="00512D20" w:rsidRDefault="00590ABF" w:rsidP="00460084">
            <w:pPr>
              <w:rPr>
                <w:rFonts w:ascii="Arial Narrow" w:hAnsi="Arial Narrow"/>
                <w:sz w:val="20"/>
                <w:szCs w:val="20"/>
                <w:lang w:eastAsia="en-US"/>
              </w:rPr>
            </w:pPr>
            <w:r w:rsidRPr="00512D20">
              <w:rPr>
                <w:rFonts w:ascii="Arial Narrow" w:hAnsi="Arial Narrow"/>
                <w:b/>
                <w:bCs/>
                <w:sz w:val="20"/>
                <w:szCs w:val="20"/>
              </w:rPr>
              <w:t>AND</w:t>
            </w:r>
          </w:p>
        </w:tc>
      </w:tr>
      <w:tr w:rsidR="00590ABF" w:rsidRPr="00512D20" w14:paraId="02ACA21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79644"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Clinical criteria:</w:t>
            </w:r>
          </w:p>
        </w:tc>
      </w:tr>
      <w:tr w:rsidR="00590ABF" w:rsidRPr="00512D20" w14:paraId="4E27D0C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0FC5E5" w14:textId="02FDF47E" w:rsidR="00590ABF" w:rsidRPr="00512D20" w:rsidRDefault="00590ABF" w:rsidP="00460084">
            <w:pPr>
              <w:rPr>
                <w:rFonts w:ascii="Arial Narrow" w:hAnsi="Arial Narrow"/>
                <w:bCs/>
                <w:sz w:val="20"/>
                <w:szCs w:val="20"/>
              </w:rPr>
            </w:pPr>
            <w:r w:rsidRPr="00512D20">
              <w:rPr>
                <w:rFonts w:ascii="Arial Narrow" w:hAnsi="Arial Narrow"/>
                <w:bCs/>
                <w:sz w:val="20"/>
                <w:szCs w:val="20"/>
              </w:rPr>
              <w:t>Patient must be currently receiving immunosuppressant medication, with treatment received for at least 12 weeks, with either (i) minimum dose of methotrexate 20 mg per week, (ii) azathioprine 100 mg per day, (iii)</w:t>
            </w:r>
            <w:r w:rsidR="00F6118B">
              <w:rPr>
                <w:rFonts w:ascii="Arial Narrow" w:hAnsi="Arial Narrow"/>
                <w:bCs/>
                <w:sz w:val="20"/>
                <w:szCs w:val="20"/>
              </w:rPr>
              <w:t xml:space="preserve"> </w:t>
            </w:r>
            <w:r w:rsidRPr="00512D20">
              <w:rPr>
                <w:rFonts w:ascii="Arial Narrow" w:hAnsi="Arial Narrow"/>
                <w:bCs/>
                <w:sz w:val="20"/>
                <w:szCs w:val="20"/>
              </w:rPr>
              <w:t>mycophenolate 1,000 mg per day</w:t>
            </w:r>
            <w:r w:rsidRPr="00512D20">
              <w:rPr>
                <w:rFonts w:ascii="Arial Narrow" w:hAnsi="Arial Narrow"/>
                <w:b/>
                <w:sz w:val="20"/>
                <w:szCs w:val="20"/>
              </w:rPr>
              <w:t xml:space="preserve"> </w:t>
            </w:r>
            <w:r w:rsidRPr="00512D20">
              <w:rPr>
                <w:rFonts w:ascii="Arial Narrow" w:hAnsi="Arial Narrow"/>
                <w:sz w:val="20"/>
                <w:szCs w:val="20"/>
              </w:rPr>
              <w:t>unless contraindicated/intolerant necessitating treatment withdrawal</w:t>
            </w:r>
          </w:p>
        </w:tc>
      </w:tr>
      <w:tr w:rsidR="00590ABF" w:rsidRPr="00512D20" w14:paraId="5404EFEC"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01AADE"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AND</w:t>
            </w:r>
          </w:p>
        </w:tc>
      </w:tr>
      <w:tr w:rsidR="00590ABF" w:rsidRPr="00512D20" w14:paraId="5416CFCF"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514D80"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Clinical criteria:</w:t>
            </w:r>
          </w:p>
        </w:tc>
      </w:tr>
      <w:tr w:rsidR="00590ABF" w:rsidRPr="00512D20" w14:paraId="1E562446"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FB6B74" w14:textId="5895C205" w:rsidR="00590ABF" w:rsidRPr="00512D20" w:rsidRDefault="00590ABF" w:rsidP="00460084">
            <w:pPr>
              <w:rPr>
                <w:rFonts w:ascii="Arial Narrow" w:hAnsi="Arial Narrow"/>
                <w:sz w:val="20"/>
                <w:szCs w:val="20"/>
                <w:highlight w:val="green"/>
              </w:rPr>
            </w:pPr>
            <w:r w:rsidRPr="00512D20">
              <w:rPr>
                <w:rFonts w:ascii="Arial Narrow" w:hAnsi="Arial Narrow"/>
                <w:sz w:val="20"/>
                <w:szCs w:val="20"/>
              </w:rPr>
              <w:t>Patient must be currently receiving prednisolone or equivalent of at least 7.5 mg per day, with treatment received for at least 4 weeks, unless contraindicated/intolerant necessitating treatment withdrawal</w:t>
            </w:r>
          </w:p>
        </w:tc>
      </w:tr>
      <w:tr w:rsidR="00590ABF" w:rsidRPr="00512D20" w14:paraId="4CC7B3A5"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BB5564" w14:textId="77777777" w:rsidR="00590ABF" w:rsidRPr="00512D20" w:rsidRDefault="00590ABF" w:rsidP="00460084">
            <w:pPr>
              <w:rPr>
                <w:rFonts w:ascii="Arial Narrow" w:hAnsi="Arial Narrow"/>
                <w:sz w:val="20"/>
                <w:szCs w:val="20"/>
                <w:highlight w:val="green"/>
                <w:lang w:eastAsia="en-US"/>
              </w:rPr>
            </w:pPr>
            <w:r w:rsidRPr="00512D20">
              <w:rPr>
                <w:rFonts w:ascii="Arial Narrow" w:hAnsi="Arial Narrow"/>
                <w:b/>
                <w:bCs/>
                <w:sz w:val="20"/>
                <w:szCs w:val="20"/>
              </w:rPr>
              <w:t>AND</w:t>
            </w:r>
          </w:p>
        </w:tc>
      </w:tr>
      <w:tr w:rsidR="00590ABF" w:rsidRPr="00512D20" w14:paraId="3E9BADE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05ABC6" w14:textId="77777777" w:rsidR="00590ABF" w:rsidRPr="00512D20" w:rsidRDefault="00590ABF" w:rsidP="00460084">
            <w:pPr>
              <w:rPr>
                <w:rFonts w:ascii="Arial Narrow" w:hAnsi="Arial Narrow"/>
                <w:sz w:val="20"/>
                <w:szCs w:val="20"/>
                <w:highlight w:val="green"/>
              </w:rPr>
            </w:pPr>
            <w:r w:rsidRPr="00512D20">
              <w:rPr>
                <w:rFonts w:ascii="Arial Narrow" w:hAnsi="Arial Narrow"/>
                <w:b/>
                <w:bCs/>
                <w:sz w:val="20"/>
                <w:szCs w:val="20"/>
              </w:rPr>
              <w:t>Clinical criteria:</w:t>
            </w:r>
          </w:p>
        </w:tc>
      </w:tr>
      <w:tr w:rsidR="00590ABF" w:rsidRPr="00512D20" w14:paraId="44AE9443"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37D336" w14:textId="6D483550" w:rsidR="00590ABF" w:rsidRPr="00512D20" w:rsidRDefault="00590ABF" w:rsidP="00460084">
            <w:pPr>
              <w:rPr>
                <w:rFonts w:ascii="Arial Narrow" w:hAnsi="Arial Narrow"/>
                <w:sz w:val="20"/>
                <w:szCs w:val="20"/>
                <w:highlight w:val="green"/>
              </w:rPr>
            </w:pPr>
            <w:r w:rsidRPr="00512D20">
              <w:rPr>
                <w:rFonts w:ascii="Arial Narrow" w:hAnsi="Arial Narrow"/>
                <w:sz w:val="20"/>
                <w:szCs w:val="20"/>
              </w:rPr>
              <w:lastRenderedPageBreak/>
              <w:t>Patient must not have either (i) severe active lupus nephritis, (ii) severe active central nervous system systemic lupus erythematosus</w:t>
            </w:r>
          </w:p>
        </w:tc>
      </w:tr>
      <w:tr w:rsidR="00590ABF" w:rsidRPr="00512D20" w14:paraId="006F129C"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5C77DD"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AND</w:t>
            </w:r>
          </w:p>
        </w:tc>
      </w:tr>
      <w:tr w:rsidR="00590ABF" w:rsidRPr="00512D20" w14:paraId="444A4EB0"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62CC74" w14:textId="77777777" w:rsidR="00590ABF" w:rsidRPr="00512D20" w:rsidRDefault="00590ABF" w:rsidP="00460084">
            <w:pPr>
              <w:rPr>
                <w:rFonts w:ascii="Arial Narrow" w:hAnsi="Arial Narrow"/>
                <w:sz w:val="20"/>
                <w:szCs w:val="20"/>
              </w:rPr>
            </w:pPr>
            <w:r w:rsidRPr="00512D20">
              <w:rPr>
                <w:rFonts w:ascii="Arial Narrow" w:hAnsi="Arial Narrow"/>
                <w:b/>
                <w:bCs/>
                <w:sz w:val="20"/>
                <w:szCs w:val="20"/>
              </w:rPr>
              <w:t>Treatment criteria:</w:t>
            </w:r>
          </w:p>
        </w:tc>
      </w:tr>
      <w:tr w:rsidR="00590ABF" w:rsidRPr="00512D20" w14:paraId="6F47326F"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1A581" w14:textId="77777777" w:rsidR="00590ABF" w:rsidRPr="00512D20" w:rsidRDefault="00590ABF" w:rsidP="00460084">
            <w:pPr>
              <w:rPr>
                <w:rFonts w:ascii="Arial Narrow" w:hAnsi="Arial Narrow"/>
                <w:sz w:val="20"/>
                <w:szCs w:val="20"/>
              </w:rPr>
            </w:pPr>
            <w:r w:rsidRPr="00512D20">
              <w:rPr>
                <w:rFonts w:ascii="Arial Narrow" w:hAnsi="Arial Narrow"/>
                <w:sz w:val="20"/>
                <w:szCs w:val="20"/>
              </w:rPr>
              <w:t>Must be treated by a specialist physician experienced in the management of this condition</w:t>
            </w:r>
          </w:p>
        </w:tc>
      </w:tr>
      <w:tr w:rsidR="00590ABF" w:rsidRPr="00512D20" w14:paraId="4B81169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269DD1" w14:textId="77777777" w:rsidR="00590ABF" w:rsidRPr="00512D20" w:rsidRDefault="00590ABF" w:rsidP="00460084">
            <w:pPr>
              <w:rPr>
                <w:rFonts w:ascii="Arial Narrow" w:hAnsi="Arial Narrow"/>
                <w:sz w:val="20"/>
                <w:szCs w:val="20"/>
              </w:rPr>
            </w:pPr>
          </w:p>
        </w:tc>
      </w:tr>
      <w:tr w:rsidR="00590ABF" w:rsidRPr="00512D20" w14:paraId="2C583502" w14:textId="77777777" w:rsidTr="00F6118B">
        <w:trPr>
          <w:trHeight w:val="88"/>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9EFCD4" w14:textId="77777777" w:rsidR="00590ABF" w:rsidRPr="00512D20" w:rsidRDefault="00590ABF" w:rsidP="00110CF9">
            <w:pPr>
              <w:keepNext/>
              <w:rPr>
                <w:rFonts w:ascii="Arial Narrow" w:hAnsi="Arial Narrow"/>
                <w:b/>
                <w:bCs/>
                <w:sz w:val="20"/>
                <w:szCs w:val="20"/>
              </w:rPr>
            </w:pPr>
            <w:r w:rsidRPr="00512D20">
              <w:rPr>
                <w:rFonts w:ascii="Arial Narrow" w:hAnsi="Arial Narrow"/>
                <w:b/>
                <w:bCs/>
                <w:sz w:val="20"/>
                <w:szCs w:val="20"/>
              </w:rPr>
              <w:t>Prescribing Instructions:</w:t>
            </w:r>
          </w:p>
          <w:p w14:paraId="3D5621B7" w14:textId="77777777" w:rsidR="00590ABF" w:rsidRPr="00512D20" w:rsidRDefault="00590ABF" w:rsidP="00460084">
            <w:pPr>
              <w:rPr>
                <w:rFonts w:ascii="Arial Narrow" w:hAnsi="Arial Narrow"/>
                <w:sz w:val="20"/>
                <w:szCs w:val="20"/>
              </w:rPr>
            </w:pPr>
            <w:r w:rsidRPr="00512D20">
              <w:rPr>
                <w:rFonts w:ascii="Arial Narrow" w:hAnsi="Arial Narrow"/>
                <w:sz w:val="20"/>
                <w:szCs w:val="20"/>
              </w:rPr>
              <w:t>Prescribers should refer to the relevant TGA-approved product information for dosing schedules where there is a contraindication or severe intolerance.</w:t>
            </w:r>
          </w:p>
        </w:tc>
      </w:tr>
      <w:tr w:rsidR="00590ABF" w:rsidRPr="00512D20" w14:paraId="6CF2276D" w14:textId="77777777" w:rsidTr="00F6118B">
        <w:trPr>
          <w:trHeight w:val="88"/>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24C57A"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Prescribing Instructions:</w:t>
            </w:r>
          </w:p>
          <w:p w14:paraId="28B8932B" w14:textId="77777777" w:rsidR="00590ABF" w:rsidRPr="00512D20" w:rsidRDefault="00590ABF" w:rsidP="00460084">
            <w:pPr>
              <w:rPr>
                <w:rFonts w:ascii="Arial Narrow" w:hAnsi="Arial Narrow"/>
                <w:sz w:val="20"/>
                <w:szCs w:val="20"/>
              </w:rPr>
            </w:pPr>
            <w:r w:rsidRPr="00512D20">
              <w:rPr>
                <w:rFonts w:ascii="Arial Narrow" w:hAnsi="Arial Narrow"/>
                <w:sz w:val="20"/>
                <w:szCs w:val="20"/>
              </w:rPr>
              <w:t>The authority application must be made in writing via HPOS form upload or mail and must include:</w:t>
            </w:r>
          </w:p>
          <w:p w14:paraId="4BF294CA" w14:textId="77777777" w:rsidR="00590ABF" w:rsidRPr="00512D20" w:rsidRDefault="00590ABF" w:rsidP="00460084">
            <w:pPr>
              <w:rPr>
                <w:rFonts w:ascii="Arial Narrow" w:hAnsi="Arial Narrow"/>
                <w:sz w:val="20"/>
                <w:szCs w:val="20"/>
              </w:rPr>
            </w:pPr>
          </w:p>
          <w:p w14:paraId="3442DDC1" w14:textId="77777777" w:rsidR="00590ABF" w:rsidRPr="00512D20" w:rsidRDefault="00590ABF" w:rsidP="00512D20">
            <w:pPr>
              <w:pStyle w:val="ListParagraph"/>
              <w:numPr>
                <w:ilvl w:val="0"/>
                <w:numId w:val="21"/>
              </w:numPr>
              <w:spacing w:after="0"/>
              <w:ind w:left="272" w:hanging="272"/>
              <w:contextualSpacing/>
              <w:jc w:val="left"/>
              <w:rPr>
                <w:rFonts w:ascii="Arial Narrow" w:hAnsi="Arial Narrow"/>
                <w:sz w:val="20"/>
                <w:szCs w:val="20"/>
              </w:rPr>
            </w:pPr>
            <w:r w:rsidRPr="00512D20">
              <w:rPr>
                <w:rFonts w:ascii="Arial Narrow" w:hAnsi="Arial Narrow"/>
                <w:sz w:val="20"/>
                <w:szCs w:val="20"/>
              </w:rPr>
              <w:t>details of the ACR/EULAR SLE Classification Criteria 2019 confirming diagnosis of SLE</w:t>
            </w:r>
          </w:p>
          <w:p w14:paraId="0441FCD3" w14:textId="77777777" w:rsidR="00590ABF" w:rsidRPr="00512D20" w:rsidRDefault="00590ABF" w:rsidP="00512D20">
            <w:pPr>
              <w:pStyle w:val="ListParagraph"/>
              <w:numPr>
                <w:ilvl w:val="0"/>
                <w:numId w:val="21"/>
              </w:numPr>
              <w:spacing w:after="0"/>
              <w:ind w:left="272" w:hanging="272"/>
              <w:contextualSpacing/>
              <w:jc w:val="left"/>
              <w:rPr>
                <w:rFonts w:ascii="Arial Narrow" w:hAnsi="Arial Narrow"/>
                <w:sz w:val="20"/>
                <w:szCs w:val="20"/>
              </w:rPr>
            </w:pPr>
            <w:r w:rsidRPr="00512D20">
              <w:rPr>
                <w:rFonts w:ascii="Arial Narrow" w:hAnsi="Arial Narrow"/>
                <w:sz w:val="20"/>
                <w:szCs w:val="20"/>
              </w:rPr>
              <w:t>details (date and score) of the completed SLEDAI-2K score sheet</w:t>
            </w:r>
          </w:p>
          <w:p w14:paraId="728CD79B" w14:textId="77777777" w:rsidR="00590ABF" w:rsidRPr="00512D20" w:rsidRDefault="00590ABF" w:rsidP="00512D20">
            <w:pPr>
              <w:pStyle w:val="ListParagraph"/>
              <w:numPr>
                <w:ilvl w:val="0"/>
                <w:numId w:val="21"/>
              </w:numPr>
              <w:spacing w:after="0"/>
              <w:ind w:left="272" w:hanging="272"/>
              <w:contextualSpacing/>
              <w:jc w:val="left"/>
              <w:rPr>
                <w:rFonts w:ascii="Arial Narrow" w:hAnsi="Arial Narrow"/>
                <w:sz w:val="20"/>
                <w:szCs w:val="20"/>
              </w:rPr>
            </w:pPr>
            <w:r w:rsidRPr="00512D20">
              <w:rPr>
                <w:rFonts w:ascii="Arial Narrow" w:hAnsi="Arial Narrow"/>
                <w:sz w:val="20"/>
                <w:szCs w:val="20"/>
              </w:rPr>
              <w:t>details of current systemic therapy used (dosage, date of commencement and duration of therapy including prior anifrolumab use)</w:t>
            </w:r>
          </w:p>
          <w:p w14:paraId="203854EA" w14:textId="77777777" w:rsidR="00590ABF" w:rsidRPr="00512D20" w:rsidRDefault="00590ABF" w:rsidP="00512D20">
            <w:pPr>
              <w:pStyle w:val="ListParagraph"/>
              <w:numPr>
                <w:ilvl w:val="0"/>
                <w:numId w:val="21"/>
              </w:numPr>
              <w:spacing w:after="0"/>
              <w:ind w:left="272" w:hanging="272"/>
              <w:contextualSpacing/>
              <w:jc w:val="left"/>
              <w:rPr>
                <w:rFonts w:ascii="Arial Narrow" w:hAnsi="Arial Narrow"/>
                <w:sz w:val="20"/>
                <w:szCs w:val="20"/>
              </w:rPr>
            </w:pPr>
            <w:r w:rsidRPr="00512D20">
              <w:rPr>
                <w:rFonts w:ascii="Arial Narrow" w:hAnsi="Arial Narrow"/>
                <w:sz w:val="20"/>
                <w:szCs w:val="20"/>
              </w:rPr>
              <w:t xml:space="preserve">details of contraindication/intolerances to prior therapies (drug name, the degree of toxicity and dose).  </w:t>
            </w:r>
          </w:p>
          <w:p w14:paraId="2C1E555F" w14:textId="77777777" w:rsidR="00590ABF" w:rsidRPr="00512D20" w:rsidRDefault="00590ABF" w:rsidP="00460084">
            <w:pPr>
              <w:rPr>
                <w:rFonts w:ascii="Arial Narrow" w:hAnsi="Arial Narrow"/>
                <w:sz w:val="20"/>
                <w:szCs w:val="20"/>
              </w:rPr>
            </w:pPr>
          </w:p>
          <w:p w14:paraId="22BDF87A" w14:textId="77777777" w:rsidR="00590ABF" w:rsidRPr="00512D20" w:rsidRDefault="00590ABF" w:rsidP="00460084">
            <w:pPr>
              <w:rPr>
                <w:rFonts w:ascii="Arial Narrow" w:hAnsi="Arial Narrow"/>
                <w:b/>
                <w:bCs/>
                <w:strike/>
                <w:sz w:val="20"/>
                <w:szCs w:val="20"/>
              </w:rPr>
            </w:pPr>
            <w:r w:rsidRPr="00512D20">
              <w:rPr>
                <w:rFonts w:ascii="Arial Narrow" w:hAnsi="Arial Narrow"/>
                <w:sz w:val="20"/>
                <w:szCs w:val="20"/>
              </w:rPr>
              <w:t>All the reports must be documented in the patient’s medical records.</w:t>
            </w:r>
          </w:p>
        </w:tc>
      </w:tr>
      <w:tr w:rsidR="00590ABF" w:rsidRPr="00512D20" w14:paraId="61F2BAFE" w14:textId="77777777" w:rsidTr="00F6118B">
        <w:trPr>
          <w:trHeight w:val="1084"/>
        </w:trPr>
        <w:tc>
          <w:tcPr>
            <w:tcW w:w="5000" w:type="pct"/>
            <w:gridSpan w:val="5"/>
            <w:tcBorders>
              <w:top w:val="single" w:sz="4" w:space="0" w:color="auto"/>
              <w:left w:val="single" w:sz="4" w:space="0" w:color="auto"/>
              <w:bottom w:val="nil"/>
              <w:right w:val="single" w:sz="4" w:space="0" w:color="auto"/>
            </w:tcBorders>
            <w:tcMar>
              <w:top w:w="15" w:type="dxa"/>
              <w:left w:w="15" w:type="dxa"/>
              <w:bottom w:w="15" w:type="dxa"/>
              <w:right w:w="15" w:type="dxa"/>
            </w:tcMar>
            <w:vAlign w:val="center"/>
          </w:tcPr>
          <w:p w14:paraId="35C81367" w14:textId="77777777" w:rsidR="00590ABF" w:rsidRPr="00512D20" w:rsidRDefault="00590ABF" w:rsidP="00460084">
            <w:pPr>
              <w:contextualSpacing/>
              <w:rPr>
                <w:rFonts w:ascii="Arial Narrow" w:hAnsi="Arial Narrow"/>
                <w:b/>
                <w:bCs/>
                <w:sz w:val="20"/>
                <w:szCs w:val="20"/>
              </w:rPr>
            </w:pPr>
            <w:r w:rsidRPr="00512D20">
              <w:rPr>
                <w:rFonts w:ascii="Arial Narrow" w:hAnsi="Arial Narrow"/>
                <w:b/>
                <w:bCs/>
                <w:sz w:val="20"/>
                <w:szCs w:val="20"/>
              </w:rPr>
              <w:t>Prescribing Instructions:</w:t>
            </w:r>
          </w:p>
          <w:p w14:paraId="579D13B5" w14:textId="77777777" w:rsidR="00590ABF" w:rsidRPr="00512D20" w:rsidRDefault="00590ABF" w:rsidP="00460084">
            <w:pPr>
              <w:contextualSpacing/>
              <w:rPr>
                <w:rFonts w:ascii="Arial Narrow" w:hAnsi="Arial Narrow"/>
                <w:sz w:val="20"/>
                <w:szCs w:val="20"/>
              </w:rPr>
            </w:pPr>
            <w:r w:rsidRPr="00512D20">
              <w:rPr>
                <w:rFonts w:ascii="Arial Narrow" w:hAnsi="Arial Narrow"/>
                <w:sz w:val="20"/>
                <w:szCs w:val="20"/>
              </w:rPr>
              <w:t>If the application is submitted through HPOS form upload or mail, it must include:</w:t>
            </w:r>
          </w:p>
          <w:p w14:paraId="4009F6EC" w14:textId="77777777" w:rsidR="00590ABF" w:rsidRPr="00512D20" w:rsidRDefault="00590ABF" w:rsidP="00460084">
            <w:pPr>
              <w:contextualSpacing/>
              <w:rPr>
                <w:rFonts w:ascii="Arial Narrow" w:hAnsi="Arial Narrow"/>
                <w:sz w:val="20"/>
                <w:szCs w:val="20"/>
              </w:rPr>
            </w:pPr>
          </w:p>
          <w:p w14:paraId="5952925A" w14:textId="77777777" w:rsidR="00590ABF" w:rsidRPr="00512D20" w:rsidRDefault="00590ABF" w:rsidP="00512D20">
            <w:pPr>
              <w:pStyle w:val="ListParagraph"/>
              <w:numPr>
                <w:ilvl w:val="0"/>
                <w:numId w:val="22"/>
              </w:numPr>
              <w:spacing w:after="0"/>
              <w:ind w:left="268" w:hanging="268"/>
              <w:contextualSpacing/>
              <w:jc w:val="left"/>
              <w:rPr>
                <w:rFonts w:ascii="Arial Narrow" w:hAnsi="Arial Narrow"/>
                <w:sz w:val="20"/>
                <w:szCs w:val="20"/>
              </w:rPr>
            </w:pPr>
            <w:r w:rsidRPr="00512D20">
              <w:rPr>
                <w:rFonts w:ascii="Arial Narrow" w:hAnsi="Arial Narrow"/>
                <w:sz w:val="20"/>
                <w:szCs w:val="20"/>
              </w:rPr>
              <w:t>a completed authority prescription form; and</w:t>
            </w:r>
          </w:p>
          <w:p w14:paraId="4FC55FA2" w14:textId="77777777" w:rsidR="00590ABF" w:rsidRPr="00512D20" w:rsidRDefault="00590ABF" w:rsidP="00512D20">
            <w:pPr>
              <w:pStyle w:val="ListParagraph"/>
              <w:numPr>
                <w:ilvl w:val="0"/>
                <w:numId w:val="22"/>
              </w:numPr>
              <w:spacing w:after="0"/>
              <w:ind w:left="268" w:hanging="268"/>
              <w:contextualSpacing/>
              <w:jc w:val="left"/>
              <w:rPr>
                <w:rFonts w:ascii="Arial Narrow" w:hAnsi="Arial Narrow"/>
                <w:sz w:val="20"/>
                <w:szCs w:val="20"/>
              </w:rPr>
            </w:pPr>
            <w:r w:rsidRPr="00512D20">
              <w:rPr>
                <w:rFonts w:ascii="Arial Narrow" w:hAnsi="Arial Narrow"/>
                <w:sz w:val="20"/>
                <w:szCs w:val="20"/>
              </w:rPr>
              <w:t xml:space="preserve">a completed authority application form relevant to the indication and treatment phase (the latest version is located on the website specified in the Administrative Advice) </w:t>
            </w:r>
          </w:p>
        </w:tc>
      </w:tr>
      <w:tr w:rsidR="00590ABF" w:rsidRPr="00512D20" w14:paraId="2B4DCD0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CA63D7" w14:textId="77777777" w:rsidR="00590ABF" w:rsidRPr="00512D20" w:rsidRDefault="00590ABF" w:rsidP="00460084">
            <w:pPr>
              <w:rPr>
                <w:rFonts w:ascii="Arial Narrow" w:hAnsi="Arial Narrow"/>
                <w:b/>
                <w:bCs/>
                <w:sz w:val="20"/>
                <w:szCs w:val="20"/>
              </w:rPr>
            </w:pPr>
            <w:r w:rsidRPr="00512D20">
              <w:rPr>
                <w:rFonts w:ascii="Arial Narrow" w:hAnsi="Arial Narrow"/>
                <w:b/>
                <w:bCs/>
                <w:sz w:val="20"/>
                <w:szCs w:val="20"/>
              </w:rPr>
              <w:t>Administrative Advice:</w:t>
            </w:r>
          </w:p>
          <w:p w14:paraId="0865251F" w14:textId="77777777" w:rsidR="00590ABF" w:rsidRPr="00512D20" w:rsidRDefault="00590ABF" w:rsidP="00460084">
            <w:pPr>
              <w:rPr>
                <w:rFonts w:ascii="Arial Narrow" w:hAnsi="Arial Narrow"/>
                <w:sz w:val="20"/>
                <w:szCs w:val="20"/>
              </w:rPr>
            </w:pPr>
            <w:r w:rsidRPr="00512D20">
              <w:rPr>
                <w:rFonts w:ascii="Arial Narrow" w:hAnsi="Arial Narrow"/>
                <w:sz w:val="20"/>
                <w:szCs w:val="20"/>
              </w:rPr>
              <w:t>SLEDAI-2K can be accessed via Gladman 2002 J. Rheumatol. 29 (2) 288-291 or from AstraZeneca Medical Information on 1800 805 342.</w:t>
            </w:r>
          </w:p>
        </w:tc>
      </w:tr>
      <w:tr w:rsidR="00590ABF" w:rsidRPr="00512D20" w14:paraId="609CAB0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29D37" w14:textId="77777777" w:rsidR="00590ABF" w:rsidRPr="00512D20" w:rsidRDefault="00590ABF" w:rsidP="00590ABF">
            <w:pPr>
              <w:pStyle w:val="TableText0"/>
              <w:keepNext w:val="0"/>
              <w:rPr>
                <w:b/>
              </w:rPr>
            </w:pPr>
            <w:r w:rsidRPr="00512D20">
              <w:rPr>
                <w:b/>
              </w:rPr>
              <w:t xml:space="preserve">Administrative Advice: </w:t>
            </w:r>
          </w:p>
          <w:p w14:paraId="38C6113C" w14:textId="77777777" w:rsidR="00590ABF" w:rsidRPr="00512D20" w:rsidRDefault="00590ABF" w:rsidP="00590ABF">
            <w:pPr>
              <w:pStyle w:val="TableText0"/>
              <w:keepNext w:val="0"/>
              <w:rPr>
                <w:bCs w:val="0"/>
              </w:rPr>
            </w:pPr>
            <w:r w:rsidRPr="00512D20">
              <w:rPr>
                <w:bCs w:val="0"/>
              </w:rPr>
              <w:t>Any queries concerning the arrangements to prescribe may be directed to Services Australia on 1800 700 270 (hours of operation 8 a.m. to 5 p.m. Monday to Friday).</w:t>
            </w:r>
          </w:p>
          <w:p w14:paraId="219004DD" w14:textId="77777777" w:rsidR="00590ABF" w:rsidRPr="00512D20" w:rsidRDefault="00590ABF" w:rsidP="00590ABF">
            <w:pPr>
              <w:pStyle w:val="TableText0"/>
              <w:keepNext w:val="0"/>
              <w:rPr>
                <w:bCs w:val="0"/>
              </w:rPr>
            </w:pPr>
            <w:r w:rsidRPr="00512D20">
              <w:rPr>
                <w:bCs w:val="0"/>
              </w:rPr>
              <w:t>Prescribing information (including Authority Application forms and other relevant documentation as applicable) is available on the Services Australia website at www.servicesaustralia.gov.au</w:t>
            </w:r>
          </w:p>
          <w:p w14:paraId="2D175280" w14:textId="77777777" w:rsidR="00590ABF" w:rsidRPr="00512D20" w:rsidRDefault="00590ABF" w:rsidP="00590ABF">
            <w:pPr>
              <w:pStyle w:val="TableText0"/>
              <w:keepNext w:val="0"/>
              <w:rPr>
                <w:bCs w:val="0"/>
              </w:rPr>
            </w:pPr>
            <w:r w:rsidRPr="00512D20">
              <w:rPr>
                <w:bCs w:val="0"/>
              </w:rPr>
              <w:t>Applications for authority to prescribe should be submitted online using the form upload facility in Health Professional Online Services (HPOS) at www.servicesaustralia.gov.au/hpos</w:t>
            </w:r>
          </w:p>
          <w:p w14:paraId="72C4C586" w14:textId="77777777" w:rsidR="00590ABF" w:rsidRPr="00512D20" w:rsidRDefault="00590ABF" w:rsidP="00590ABF">
            <w:pPr>
              <w:pStyle w:val="TableText0"/>
              <w:keepNext w:val="0"/>
              <w:rPr>
                <w:bCs w:val="0"/>
              </w:rPr>
            </w:pPr>
            <w:r w:rsidRPr="00512D20">
              <w:rPr>
                <w:bCs w:val="0"/>
              </w:rPr>
              <w:t>Or mailed to:</w:t>
            </w:r>
          </w:p>
          <w:p w14:paraId="01DA9B65" w14:textId="77777777" w:rsidR="00590ABF" w:rsidRPr="00512D20" w:rsidRDefault="00590ABF" w:rsidP="00590ABF">
            <w:pPr>
              <w:pStyle w:val="TableText0"/>
              <w:keepNext w:val="0"/>
              <w:rPr>
                <w:bCs w:val="0"/>
              </w:rPr>
            </w:pPr>
            <w:r w:rsidRPr="00512D20">
              <w:rPr>
                <w:bCs w:val="0"/>
              </w:rPr>
              <w:t>Services Australia</w:t>
            </w:r>
          </w:p>
          <w:p w14:paraId="3A8832F4" w14:textId="77777777" w:rsidR="00590ABF" w:rsidRPr="00512D20" w:rsidRDefault="00590ABF" w:rsidP="00590ABF">
            <w:pPr>
              <w:pStyle w:val="TableText0"/>
              <w:keepNext w:val="0"/>
              <w:rPr>
                <w:bCs w:val="0"/>
              </w:rPr>
            </w:pPr>
            <w:r w:rsidRPr="00512D20">
              <w:rPr>
                <w:bCs w:val="0"/>
              </w:rPr>
              <w:t>Complex Drugs</w:t>
            </w:r>
          </w:p>
          <w:p w14:paraId="16179C81" w14:textId="77777777" w:rsidR="00590ABF" w:rsidRPr="00512D20" w:rsidRDefault="00590ABF" w:rsidP="00590ABF">
            <w:pPr>
              <w:pStyle w:val="TableText0"/>
              <w:keepNext w:val="0"/>
              <w:rPr>
                <w:bCs w:val="0"/>
              </w:rPr>
            </w:pPr>
            <w:r w:rsidRPr="00512D20">
              <w:rPr>
                <w:bCs w:val="0"/>
              </w:rPr>
              <w:t>Reply Paid 9826</w:t>
            </w:r>
          </w:p>
          <w:p w14:paraId="22DBAD86" w14:textId="77777777" w:rsidR="00590ABF" w:rsidRPr="00512D20" w:rsidRDefault="00590ABF" w:rsidP="00590ABF">
            <w:pPr>
              <w:rPr>
                <w:rFonts w:ascii="Arial Narrow" w:hAnsi="Arial Narrow"/>
                <w:sz w:val="20"/>
                <w:szCs w:val="20"/>
              </w:rPr>
            </w:pPr>
            <w:r w:rsidRPr="00512D20">
              <w:rPr>
                <w:rFonts w:ascii="Arial Narrow" w:hAnsi="Arial Narrow"/>
                <w:sz w:val="20"/>
                <w:szCs w:val="20"/>
              </w:rPr>
              <w:t>HOBART TAS 700</w:t>
            </w:r>
          </w:p>
        </w:tc>
      </w:tr>
      <w:tr w:rsidR="00512D20" w:rsidRPr="00512D20" w14:paraId="48E77094"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8FCE4EE" w14:textId="77777777" w:rsidR="00512D20" w:rsidRPr="00512D20" w:rsidRDefault="00512D20" w:rsidP="00460084">
            <w:pPr>
              <w:rPr>
                <w:rFonts w:ascii="Arial Narrow" w:hAnsi="Arial Narrow"/>
                <w:sz w:val="20"/>
                <w:szCs w:val="20"/>
              </w:rPr>
            </w:pPr>
          </w:p>
        </w:tc>
      </w:tr>
      <w:tr w:rsidR="00512D20" w:rsidRPr="00512D20" w14:paraId="533ABEE8"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D6A9BD" w14:textId="77777777" w:rsidR="00512D20" w:rsidRPr="00512D20" w:rsidRDefault="00512D20" w:rsidP="00460084">
            <w:pPr>
              <w:rPr>
                <w:rFonts w:ascii="Arial Narrow" w:hAnsi="Arial Narrow"/>
                <w:b/>
                <w:bCs/>
                <w:sz w:val="20"/>
                <w:szCs w:val="20"/>
                <w:highlight w:val="green"/>
              </w:rPr>
            </w:pPr>
            <w:r w:rsidRPr="00512D20">
              <w:rPr>
                <w:rFonts w:ascii="Arial Narrow" w:hAnsi="Arial Narrow"/>
                <w:b/>
                <w:bCs/>
                <w:sz w:val="20"/>
                <w:szCs w:val="20"/>
              </w:rPr>
              <w:t>Restriction Summary [New] / Treatment of Concept: [New]</w:t>
            </w:r>
          </w:p>
        </w:tc>
      </w:tr>
      <w:tr w:rsidR="00D1164C" w:rsidRPr="00512D20" w14:paraId="616A57DE"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6DD3FE"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Indication:</w:t>
            </w:r>
            <w:r w:rsidRPr="00512D20">
              <w:rPr>
                <w:rFonts w:ascii="Arial Narrow" w:hAnsi="Arial Narrow"/>
                <w:sz w:val="20"/>
                <w:szCs w:val="20"/>
              </w:rPr>
              <w:t xml:space="preserve"> Systemic lupus erythematosus</w:t>
            </w:r>
          </w:p>
        </w:tc>
      </w:tr>
      <w:tr w:rsidR="00D1164C" w:rsidRPr="00512D20" w14:paraId="1DC85E4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21E12D" w14:textId="77777777" w:rsidR="00D1164C" w:rsidRPr="00512D20" w:rsidRDefault="00D1164C" w:rsidP="00F6118B">
            <w:pPr>
              <w:ind w:right="77"/>
              <w:rPr>
                <w:rFonts w:ascii="Arial Narrow" w:hAnsi="Arial Narrow"/>
                <w:strike/>
                <w:sz w:val="20"/>
                <w:szCs w:val="20"/>
                <w:highlight w:val="green"/>
              </w:rPr>
            </w:pPr>
            <w:r w:rsidRPr="00512D20">
              <w:rPr>
                <w:rFonts w:ascii="Arial Narrow" w:hAnsi="Arial Narrow"/>
                <w:b/>
                <w:bCs/>
                <w:sz w:val="20"/>
                <w:szCs w:val="20"/>
              </w:rPr>
              <w:t>Treatment Phase:</w:t>
            </w:r>
            <w:r w:rsidRPr="00512D20">
              <w:rPr>
                <w:rFonts w:ascii="Arial Narrow" w:hAnsi="Arial Narrow"/>
                <w:sz w:val="20"/>
                <w:szCs w:val="20"/>
              </w:rPr>
              <w:t xml:space="preserve"> Transitioning from non-PBS to PBS-subsidised supply – ‘Grandfather’ arrangements</w:t>
            </w:r>
          </w:p>
        </w:tc>
      </w:tr>
      <w:tr w:rsidR="00D1164C" w:rsidRPr="00512D20" w14:paraId="73464E1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1BEC55" w14:textId="77777777" w:rsidR="00D1164C" w:rsidRPr="00512D20" w:rsidRDefault="00D1164C" w:rsidP="00F6118B">
            <w:pPr>
              <w:ind w:right="77"/>
              <w:rPr>
                <w:rFonts w:ascii="Arial Narrow" w:hAnsi="Arial Narrow"/>
                <w:b/>
                <w:bCs/>
                <w:sz w:val="20"/>
                <w:szCs w:val="20"/>
              </w:rPr>
            </w:pPr>
          </w:p>
        </w:tc>
      </w:tr>
      <w:tr w:rsidR="00D1164C" w:rsidRPr="00512D20" w14:paraId="08592CB3"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57B21F" w14:textId="77777777" w:rsidR="00D1164C" w:rsidRPr="00512D20" w:rsidRDefault="00D1164C" w:rsidP="00F6118B">
            <w:pPr>
              <w:ind w:right="77"/>
              <w:rPr>
                <w:rFonts w:ascii="Arial Narrow" w:eastAsiaTheme="majorEastAsia" w:hAnsi="Arial Narrow"/>
                <w:b/>
                <w:bCs/>
                <w:sz w:val="20"/>
                <w:szCs w:val="20"/>
                <w:lang w:bidi="en-US"/>
              </w:rPr>
            </w:pPr>
            <w:r w:rsidRPr="00512D20">
              <w:rPr>
                <w:rFonts w:ascii="Arial Narrow" w:eastAsiaTheme="majorEastAsia" w:hAnsi="Arial Narrow"/>
                <w:b/>
                <w:bCs/>
                <w:sz w:val="20"/>
                <w:szCs w:val="20"/>
                <w:lang w:bidi="en-US"/>
              </w:rPr>
              <w:t>Clinical criteria:</w:t>
            </w:r>
          </w:p>
        </w:tc>
      </w:tr>
      <w:tr w:rsidR="00D1164C" w:rsidRPr="00512D20" w14:paraId="5EC462D7"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C7DF0B" w14:textId="186ABDAC" w:rsidR="00D1164C" w:rsidRPr="00512D20" w:rsidRDefault="00D1164C" w:rsidP="00F6118B">
            <w:pPr>
              <w:ind w:right="77"/>
              <w:rPr>
                <w:rFonts w:ascii="Arial Narrow" w:eastAsiaTheme="majorEastAsia" w:hAnsi="Arial Narrow"/>
                <w:sz w:val="20"/>
                <w:szCs w:val="20"/>
                <w:lang w:bidi="en-US"/>
              </w:rPr>
            </w:pPr>
            <w:r w:rsidRPr="00512D20">
              <w:rPr>
                <w:rFonts w:ascii="Arial Narrow" w:eastAsiaTheme="majorEastAsia" w:hAnsi="Arial Narrow"/>
                <w:sz w:val="20"/>
                <w:szCs w:val="20"/>
                <w:lang w:bidi="en-US"/>
              </w:rPr>
              <w:t>Patient must have received non-PBS-subsidised treatment with this drug for this PBS indication prior to [listing date]</w:t>
            </w:r>
          </w:p>
        </w:tc>
      </w:tr>
      <w:tr w:rsidR="00D1164C" w:rsidRPr="00512D20" w14:paraId="14533334"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EEA596" w14:textId="77777777" w:rsidR="00D1164C" w:rsidRPr="00512D20" w:rsidRDefault="00D1164C" w:rsidP="00F6118B">
            <w:pPr>
              <w:ind w:right="77"/>
              <w:rPr>
                <w:rFonts w:ascii="Arial Narrow" w:eastAsiaTheme="majorEastAsia" w:hAnsi="Arial Narrow"/>
                <w:b/>
                <w:bCs/>
                <w:sz w:val="20"/>
                <w:szCs w:val="20"/>
                <w:lang w:bidi="en-US"/>
              </w:rPr>
            </w:pPr>
            <w:r w:rsidRPr="00512D20">
              <w:rPr>
                <w:rFonts w:ascii="Arial Narrow" w:eastAsiaTheme="majorEastAsia" w:hAnsi="Arial Narrow"/>
                <w:b/>
                <w:bCs/>
                <w:sz w:val="20"/>
                <w:szCs w:val="20"/>
                <w:lang w:bidi="en-US"/>
              </w:rPr>
              <w:t>AND</w:t>
            </w:r>
          </w:p>
        </w:tc>
      </w:tr>
      <w:tr w:rsidR="00D1164C" w:rsidRPr="00512D20" w14:paraId="4CE32D3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40A412"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Clinical criteria:</w:t>
            </w:r>
          </w:p>
        </w:tc>
      </w:tr>
      <w:tr w:rsidR="00D1164C" w:rsidRPr="00512D20" w14:paraId="37D5382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785157" w14:textId="77777777" w:rsidR="00D1164C" w:rsidRPr="00512D20" w:rsidRDefault="00D1164C" w:rsidP="00F6118B">
            <w:pPr>
              <w:ind w:right="77"/>
              <w:rPr>
                <w:rFonts w:ascii="Arial Narrow" w:eastAsiaTheme="majorEastAsia" w:hAnsi="Arial Narrow"/>
                <w:sz w:val="20"/>
                <w:szCs w:val="20"/>
                <w:lang w:bidi="en-US"/>
              </w:rPr>
            </w:pPr>
            <w:r w:rsidRPr="00512D20">
              <w:rPr>
                <w:rFonts w:ascii="Arial Narrow" w:eastAsiaTheme="majorEastAsia" w:hAnsi="Arial Narrow"/>
                <w:sz w:val="20"/>
                <w:szCs w:val="20"/>
                <w:lang w:bidi="en-US"/>
              </w:rPr>
              <w:t>Patient must have had a confirmed and documented diagnosis of systemic lupus erythematosus (SLE) according to the American College of Rheumatology (ACR)/European League Against Rheumatism (EULAR) SLE Classification Criteria 2019 prior to commencing therapy with this drug for this condition</w:t>
            </w:r>
          </w:p>
        </w:tc>
      </w:tr>
      <w:tr w:rsidR="00D1164C" w:rsidRPr="00512D20" w14:paraId="0D915C2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A4DBCE" w14:textId="77777777" w:rsidR="00D1164C" w:rsidRPr="00512D20" w:rsidRDefault="00D1164C" w:rsidP="00F6118B">
            <w:pPr>
              <w:ind w:right="77"/>
              <w:rPr>
                <w:rFonts w:ascii="Arial Narrow" w:hAnsi="Arial Narrow"/>
                <w:sz w:val="20"/>
                <w:szCs w:val="20"/>
                <w:lang w:eastAsia="en-US"/>
              </w:rPr>
            </w:pPr>
            <w:r w:rsidRPr="00512D20">
              <w:rPr>
                <w:rFonts w:ascii="Arial Narrow" w:hAnsi="Arial Narrow"/>
                <w:b/>
                <w:bCs/>
                <w:sz w:val="20"/>
                <w:szCs w:val="20"/>
              </w:rPr>
              <w:lastRenderedPageBreak/>
              <w:t>AND</w:t>
            </w:r>
          </w:p>
        </w:tc>
      </w:tr>
      <w:tr w:rsidR="00D1164C" w:rsidRPr="00512D20" w14:paraId="4DFB5155"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FA78DC"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Clinical criteria:</w:t>
            </w:r>
          </w:p>
        </w:tc>
      </w:tr>
      <w:tr w:rsidR="00D1164C" w:rsidRPr="00512D20" w14:paraId="6341824E"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21B59F" w14:textId="77777777" w:rsidR="00D1164C" w:rsidRPr="00512D20" w:rsidRDefault="00D1164C" w:rsidP="00F6118B">
            <w:pPr>
              <w:ind w:right="77"/>
              <w:rPr>
                <w:rFonts w:ascii="Arial Narrow" w:hAnsi="Arial Narrow"/>
                <w:sz w:val="20"/>
                <w:szCs w:val="20"/>
                <w:highlight w:val="green"/>
              </w:rPr>
            </w:pPr>
            <w:r w:rsidRPr="00512D20">
              <w:rPr>
                <w:rFonts w:ascii="Arial Narrow" w:hAnsi="Arial Narrow"/>
                <w:sz w:val="20"/>
                <w:szCs w:val="20"/>
              </w:rPr>
              <w:t xml:space="preserve">Patient must have had persistent disease activity as supported by a SLE Disease Activity Index 2000 (SLEDAI-2K) score of at least 10 points </w:t>
            </w:r>
            <w:r w:rsidRPr="00512D20">
              <w:rPr>
                <w:rFonts w:ascii="Arial Narrow" w:eastAsiaTheme="majorEastAsia" w:hAnsi="Arial Narrow"/>
                <w:sz w:val="20"/>
                <w:szCs w:val="20"/>
                <w:lang w:bidi="en-US"/>
              </w:rPr>
              <w:t>prior to commencing therapy with this drug for this condition</w:t>
            </w:r>
          </w:p>
        </w:tc>
      </w:tr>
      <w:tr w:rsidR="00D1164C" w:rsidRPr="00512D20" w14:paraId="05BDEDB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1E9EC6"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AND</w:t>
            </w:r>
          </w:p>
        </w:tc>
      </w:tr>
      <w:tr w:rsidR="00D1164C" w:rsidRPr="00512D20" w14:paraId="3833E3B8"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24DCB6"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Clinical criteria:</w:t>
            </w:r>
          </w:p>
        </w:tc>
      </w:tr>
      <w:tr w:rsidR="00D1164C" w:rsidRPr="00512D20" w14:paraId="07D61AC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9CC8F4" w14:textId="7B19F67A" w:rsidR="00D1164C" w:rsidRPr="00512D20" w:rsidRDefault="00D1164C" w:rsidP="00F6118B">
            <w:pPr>
              <w:ind w:right="77"/>
              <w:rPr>
                <w:rFonts w:ascii="Arial Narrow" w:hAnsi="Arial Narrow"/>
                <w:sz w:val="20"/>
                <w:szCs w:val="20"/>
              </w:rPr>
            </w:pPr>
            <w:r w:rsidRPr="00512D20">
              <w:rPr>
                <w:rFonts w:ascii="Arial Narrow" w:hAnsi="Arial Narrow"/>
                <w:sz w:val="20"/>
                <w:szCs w:val="20"/>
              </w:rPr>
              <w:t xml:space="preserve">Patient must have been receiving hydroxychloroquine for at least 12 weeks </w:t>
            </w:r>
            <w:r w:rsidRPr="00512D20">
              <w:rPr>
                <w:rFonts w:ascii="Arial Narrow" w:eastAsiaTheme="majorEastAsia" w:hAnsi="Arial Narrow"/>
                <w:sz w:val="20"/>
                <w:szCs w:val="20"/>
                <w:lang w:bidi="en-US"/>
              </w:rPr>
              <w:t>prior to commencing therapy with this drug for this condition</w:t>
            </w:r>
          </w:p>
        </w:tc>
      </w:tr>
      <w:tr w:rsidR="00D1164C" w:rsidRPr="00512D20" w14:paraId="29437683"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DAC851" w14:textId="77777777" w:rsidR="00D1164C" w:rsidRPr="00512D20" w:rsidRDefault="00D1164C" w:rsidP="00F6118B">
            <w:pPr>
              <w:ind w:right="77"/>
              <w:rPr>
                <w:rFonts w:ascii="Arial Narrow" w:hAnsi="Arial Narrow"/>
                <w:sz w:val="20"/>
                <w:szCs w:val="20"/>
                <w:lang w:eastAsia="en-US"/>
              </w:rPr>
            </w:pPr>
            <w:r w:rsidRPr="00512D20">
              <w:rPr>
                <w:rFonts w:ascii="Arial Narrow" w:hAnsi="Arial Narrow"/>
                <w:b/>
                <w:bCs/>
                <w:sz w:val="20"/>
                <w:szCs w:val="20"/>
              </w:rPr>
              <w:t>AND</w:t>
            </w:r>
          </w:p>
        </w:tc>
      </w:tr>
      <w:tr w:rsidR="00D1164C" w:rsidRPr="00512D20" w14:paraId="5AA51767"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0E677F" w14:textId="77777777" w:rsidR="00D1164C" w:rsidRPr="00512D20" w:rsidRDefault="00D1164C" w:rsidP="00F6118B">
            <w:pPr>
              <w:ind w:right="77"/>
              <w:rPr>
                <w:rFonts w:ascii="Arial Narrow" w:hAnsi="Arial Narrow"/>
                <w:b/>
                <w:bCs/>
                <w:sz w:val="20"/>
                <w:szCs w:val="20"/>
              </w:rPr>
            </w:pPr>
            <w:r w:rsidRPr="00512D20">
              <w:rPr>
                <w:rFonts w:ascii="Arial Narrow" w:hAnsi="Arial Narrow"/>
                <w:b/>
                <w:bCs/>
                <w:sz w:val="20"/>
                <w:szCs w:val="20"/>
              </w:rPr>
              <w:t>Clinical criteria:</w:t>
            </w:r>
          </w:p>
        </w:tc>
      </w:tr>
      <w:tr w:rsidR="00D1164C" w:rsidRPr="00512D20" w14:paraId="36E783CE"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4EE657" w14:textId="0879C4B8" w:rsidR="00D1164C" w:rsidRPr="00512D20" w:rsidRDefault="00D1164C" w:rsidP="00F6118B">
            <w:pPr>
              <w:ind w:right="77"/>
              <w:rPr>
                <w:rFonts w:ascii="Arial Narrow" w:hAnsi="Arial Narrow"/>
                <w:bCs/>
                <w:sz w:val="20"/>
                <w:szCs w:val="20"/>
              </w:rPr>
            </w:pPr>
            <w:r w:rsidRPr="00512D20">
              <w:rPr>
                <w:rFonts w:ascii="Arial Narrow" w:hAnsi="Arial Narrow"/>
                <w:bCs/>
                <w:sz w:val="20"/>
                <w:szCs w:val="20"/>
              </w:rPr>
              <w:t>Patient must have been receiving immunosuppressant medication for at least 12 weeks with either (i) minimum dose of methotrexate 20 mg per week (ii) azathioprine 100 mg per day (iii)</w:t>
            </w:r>
            <w:r w:rsidRPr="00512D20">
              <w:rPr>
                <w:rFonts w:ascii="Arial Narrow" w:hAnsi="Arial Narrow"/>
                <w:b/>
                <w:strike/>
                <w:sz w:val="20"/>
                <w:szCs w:val="20"/>
              </w:rPr>
              <w:t xml:space="preserve"> </w:t>
            </w:r>
            <w:r w:rsidRPr="00512D20">
              <w:rPr>
                <w:rFonts w:ascii="Arial Narrow" w:hAnsi="Arial Narrow"/>
                <w:bCs/>
                <w:sz w:val="20"/>
                <w:szCs w:val="20"/>
              </w:rPr>
              <w:t xml:space="preserve">mycophenolate 1,000 mg per day, </w:t>
            </w:r>
            <w:r w:rsidRPr="00512D20">
              <w:rPr>
                <w:rFonts w:ascii="Arial Narrow" w:eastAsiaTheme="majorEastAsia" w:hAnsi="Arial Narrow"/>
                <w:sz w:val="20"/>
                <w:szCs w:val="20"/>
                <w:lang w:bidi="en-US"/>
              </w:rPr>
              <w:t xml:space="preserve">prior to commencing therapy with this drug for this condition </w:t>
            </w:r>
            <w:r w:rsidRPr="00512D20">
              <w:rPr>
                <w:rFonts w:ascii="Arial Narrow" w:hAnsi="Arial Narrow"/>
                <w:sz w:val="20"/>
                <w:szCs w:val="20"/>
              </w:rPr>
              <w:t>unless contraindicated/intolerant necessitating treatment withdrawal</w:t>
            </w:r>
          </w:p>
        </w:tc>
      </w:tr>
      <w:tr w:rsidR="00D1164C" w:rsidRPr="00512D20" w14:paraId="3A52448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BF2098" w14:textId="77777777" w:rsidR="00D1164C" w:rsidRPr="00512D20" w:rsidRDefault="00D1164C" w:rsidP="00F6118B">
            <w:pPr>
              <w:ind w:right="77"/>
              <w:rPr>
                <w:rFonts w:ascii="Arial Narrow" w:hAnsi="Arial Narrow"/>
                <w:b/>
                <w:bCs/>
                <w:sz w:val="20"/>
                <w:szCs w:val="20"/>
              </w:rPr>
            </w:pPr>
            <w:r w:rsidRPr="00512D20">
              <w:rPr>
                <w:rFonts w:ascii="Arial Narrow" w:hAnsi="Arial Narrow"/>
                <w:b/>
                <w:bCs/>
                <w:sz w:val="20"/>
                <w:szCs w:val="20"/>
              </w:rPr>
              <w:t>AND</w:t>
            </w:r>
          </w:p>
        </w:tc>
      </w:tr>
      <w:tr w:rsidR="00D1164C" w:rsidRPr="00512D20" w14:paraId="27AFA23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49BBA0"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Clinical criteria:</w:t>
            </w:r>
          </w:p>
        </w:tc>
      </w:tr>
      <w:tr w:rsidR="00D1164C" w:rsidRPr="00512D20" w14:paraId="2D71CAC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94619E" w14:textId="413F725D" w:rsidR="00D1164C" w:rsidRPr="00512D20" w:rsidRDefault="00D1164C" w:rsidP="00F6118B">
            <w:pPr>
              <w:ind w:right="77"/>
              <w:rPr>
                <w:rFonts w:ascii="Arial Narrow" w:hAnsi="Arial Narrow"/>
                <w:sz w:val="20"/>
                <w:szCs w:val="20"/>
                <w:highlight w:val="green"/>
              </w:rPr>
            </w:pPr>
            <w:r w:rsidRPr="00512D20">
              <w:rPr>
                <w:rFonts w:ascii="Arial Narrow" w:hAnsi="Arial Narrow"/>
                <w:sz w:val="20"/>
                <w:szCs w:val="20"/>
              </w:rPr>
              <w:t xml:space="preserve">Patient must have been receiving prednisolone or equivalent of at least 7.5 mg per day for at least 4 weeks </w:t>
            </w:r>
            <w:r w:rsidRPr="00512D20">
              <w:rPr>
                <w:rFonts w:ascii="Arial Narrow" w:eastAsiaTheme="majorEastAsia" w:hAnsi="Arial Narrow"/>
                <w:sz w:val="20"/>
                <w:szCs w:val="20"/>
                <w:lang w:bidi="en-US"/>
              </w:rPr>
              <w:t xml:space="preserve">prior to commencing therapy with this drug for this condition </w:t>
            </w:r>
            <w:r w:rsidRPr="00512D20">
              <w:rPr>
                <w:rFonts w:ascii="Arial Narrow" w:hAnsi="Arial Narrow"/>
                <w:sz w:val="20"/>
                <w:szCs w:val="20"/>
              </w:rPr>
              <w:t>unless contraindicated/intolerant necessitating treatment withdrawal</w:t>
            </w:r>
          </w:p>
        </w:tc>
      </w:tr>
      <w:tr w:rsidR="00D1164C" w:rsidRPr="00512D20" w14:paraId="53EBFA6F"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79A642" w14:textId="77777777" w:rsidR="00D1164C" w:rsidRPr="00512D20" w:rsidRDefault="00D1164C" w:rsidP="00F6118B">
            <w:pPr>
              <w:ind w:right="77"/>
              <w:rPr>
                <w:rFonts w:ascii="Arial Narrow" w:hAnsi="Arial Narrow"/>
                <w:sz w:val="20"/>
                <w:szCs w:val="20"/>
                <w:highlight w:val="green"/>
                <w:lang w:eastAsia="en-US"/>
              </w:rPr>
            </w:pPr>
            <w:r w:rsidRPr="00512D20">
              <w:rPr>
                <w:rFonts w:ascii="Arial Narrow" w:hAnsi="Arial Narrow"/>
                <w:b/>
                <w:bCs/>
                <w:sz w:val="20"/>
                <w:szCs w:val="20"/>
              </w:rPr>
              <w:t>AND</w:t>
            </w:r>
          </w:p>
        </w:tc>
      </w:tr>
      <w:tr w:rsidR="00D1164C" w:rsidRPr="00512D20" w14:paraId="0E561DE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BB6672" w14:textId="77777777" w:rsidR="00D1164C" w:rsidRPr="00512D20" w:rsidRDefault="00D1164C" w:rsidP="00F6118B">
            <w:pPr>
              <w:ind w:right="77"/>
              <w:rPr>
                <w:rFonts w:ascii="Arial Narrow" w:hAnsi="Arial Narrow"/>
                <w:sz w:val="20"/>
                <w:szCs w:val="20"/>
                <w:highlight w:val="green"/>
              </w:rPr>
            </w:pPr>
            <w:r w:rsidRPr="00512D20">
              <w:rPr>
                <w:rFonts w:ascii="Arial Narrow" w:hAnsi="Arial Narrow"/>
                <w:b/>
                <w:bCs/>
                <w:sz w:val="20"/>
                <w:szCs w:val="20"/>
              </w:rPr>
              <w:t>Clinical criteria:</w:t>
            </w:r>
          </w:p>
        </w:tc>
      </w:tr>
      <w:tr w:rsidR="00D1164C" w:rsidRPr="00512D20" w14:paraId="2087F82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BF9A1D" w14:textId="63523963" w:rsidR="00D1164C" w:rsidRPr="00512D20" w:rsidRDefault="00D1164C" w:rsidP="00F6118B">
            <w:pPr>
              <w:ind w:right="77"/>
              <w:rPr>
                <w:rFonts w:ascii="Arial Narrow" w:hAnsi="Arial Narrow"/>
                <w:sz w:val="20"/>
                <w:szCs w:val="20"/>
                <w:highlight w:val="green"/>
              </w:rPr>
            </w:pPr>
            <w:r w:rsidRPr="00512D20">
              <w:rPr>
                <w:rFonts w:ascii="Arial Narrow" w:hAnsi="Arial Narrow"/>
                <w:sz w:val="20"/>
                <w:szCs w:val="20"/>
              </w:rPr>
              <w:t>Patient must not have either (i) severe active lupus nephritis (ii) severe active central nervous system systemic lupus erythematosus</w:t>
            </w:r>
          </w:p>
        </w:tc>
      </w:tr>
      <w:tr w:rsidR="00D1164C" w:rsidRPr="00512D20" w14:paraId="368019D8"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EBF0C2" w14:textId="77777777" w:rsidR="00D1164C" w:rsidRPr="00512D20" w:rsidRDefault="00D1164C" w:rsidP="00F6118B">
            <w:pPr>
              <w:ind w:right="77"/>
              <w:rPr>
                <w:rFonts w:ascii="Arial Narrow" w:hAnsi="Arial Narrow"/>
                <w:b/>
                <w:bCs/>
                <w:sz w:val="20"/>
                <w:szCs w:val="20"/>
              </w:rPr>
            </w:pPr>
            <w:r w:rsidRPr="00512D20">
              <w:rPr>
                <w:rFonts w:ascii="Arial Narrow" w:hAnsi="Arial Narrow"/>
                <w:b/>
                <w:bCs/>
                <w:sz w:val="20"/>
                <w:szCs w:val="20"/>
              </w:rPr>
              <w:t>AND</w:t>
            </w:r>
          </w:p>
        </w:tc>
      </w:tr>
      <w:tr w:rsidR="00D1164C" w:rsidRPr="00512D20" w14:paraId="32B9BA7E"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DEF15" w14:textId="77777777" w:rsidR="00D1164C" w:rsidRPr="00512D20" w:rsidRDefault="00D1164C" w:rsidP="00F6118B">
            <w:pPr>
              <w:ind w:right="77"/>
              <w:rPr>
                <w:rFonts w:ascii="Arial Narrow" w:hAnsi="Arial Narrow"/>
                <w:sz w:val="20"/>
                <w:szCs w:val="20"/>
              </w:rPr>
            </w:pPr>
            <w:r w:rsidRPr="00512D20">
              <w:rPr>
                <w:rFonts w:ascii="Arial Narrow" w:hAnsi="Arial Narrow"/>
                <w:b/>
                <w:bCs/>
                <w:sz w:val="20"/>
                <w:szCs w:val="20"/>
              </w:rPr>
              <w:t>Treatment criteria:</w:t>
            </w:r>
          </w:p>
        </w:tc>
      </w:tr>
      <w:tr w:rsidR="00D1164C" w:rsidRPr="00512D20" w14:paraId="79BFD70E"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A10814" w14:textId="77777777" w:rsidR="00D1164C" w:rsidRPr="00512D20" w:rsidRDefault="00D1164C" w:rsidP="00F6118B">
            <w:pPr>
              <w:ind w:right="77"/>
              <w:rPr>
                <w:rFonts w:ascii="Arial Narrow" w:hAnsi="Arial Narrow"/>
                <w:sz w:val="20"/>
                <w:szCs w:val="20"/>
              </w:rPr>
            </w:pPr>
            <w:r w:rsidRPr="00512D20">
              <w:rPr>
                <w:rFonts w:ascii="Arial Narrow" w:hAnsi="Arial Narrow"/>
                <w:sz w:val="20"/>
                <w:szCs w:val="20"/>
              </w:rPr>
              <w:t>Must be treated by a specialist physician experienced in the management of this condition</w:t>
            </w:r>
          </w:p>
        </w:tc>
      </w:tr>
      <w:tr w:rsidR="00D1164C" w:rsidRPr="00512D20" w14:paraId="3964C469"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04C1D" w14:textId="77777777" w:rsidR="00D1164C" w:rsidRPr="00512D20" w:rsidRDefault="00D1164C" w:rsidP="00F6118B">
            <w:pPr>
              <w:ind w:right="77"/>
              <w:rPr>
                <w:rFonts w:ascii="Arial Narrow" w:hAnsi="Arial Narrow"/>
                <w:sz w:val="20"/>
                <w:szCs w:val="20"/>
              </w:rPr>
            </w:pPr>
          </w:p>
        </w:tc>
      </w:tr>
      <w:tr w:rsidR="00D1164C" w:rsidRPr="00512D20" w14:paraId="15198700" w14:textId="77777777" w:rsidTr="00F6118B">
        <w:trPr>
          <w:trHeight w:val="88"/>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6272CA" w14:textId="77777777" w:rsidR="00D1164C" w:rsidRPr="00512D20" w:rsidRDefault="00D1164C" w:rsidP="00F6118B">
            <w:pPr>
              <w:ind w:right="77"/>
              <w:rPr>
                <w:rFonts w:ascii="Arial Narrow" w:hAnsi="Arial Narrow"/>
                <w:b/>
                <w:bCs/>
                <w:sz w:val="20"/>
                <w:szCs w:val="20"/>
              </w:rPr>
            </w:pPr>
            <w:r w:rsidRPr="00512D20">
              <w:rPr>
                <w:rFonts w:ascii="Arial Narrow" w:hAnsi="Arial Narrow"/>
                <w:b/>
                <w:bCs/>
                <w:sz w:val="20"/>
                <w:szCs w:val="20"/>
              </w:rPr>
              <w:t>Prescribing Instructions:</w:t>
            </w:r>
          </w:p>
          <w:p w14:paraId="18DA9883" w14:textId="77777777" w:rsidR="00D1164C" w:rsidRPr="00512D20" w:rsidRDefault="00D1164C" w:rsidP="00F6118B">
            <w:pPr>
              <w:ind w:right="77"/>
              <w:rPr>
                <w:rFonts w:ascii="Arial Narrow" w:hAnsi="Arial Narrow"/>
                <w:sz w:val="20"/>
                <w:szCs w:val="20"/>
              </w:rPr>
            </w:pPr>
            <w:r w:rsidRPr="00512D20">
              <w:rPr>
                <w:rFonts w:ascii="Arial Narrow" w:hAnsi="Arial Narrow"/>
                <w:sz w:val="20"/>
                <w:szCs w:val="20"/>
              </w:rPr>
              <w:t>Prescribers should refer to the relevant TGA-approved product information for dosing schedules where there is a contraindication or severe intolerance.</w:t>
            </w:r>
          </w:p>
        </w:tc>
      </w:tr>
      <w:tr w:rsidR="00D1164C" w:rsidRPr="00512D20" w14:paraId="3BBFE48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715B13" w14:textId="77777777" w:rsidR="00D1164C" w:rsidRPr="00512D20" w:rsidRDefault="00D1164C" w:rsidP="00F6118B">
            <w:pPr>
              <w:ind w:right="77"/>
              <w:rPr>
                <w:rFonts w:ascii="Arial Narrow" w:hAnsi="Arial Narrow"/>
                <w:b/>
                <w:bCs/>
                <w:color w:val="333333"/>
                <w:sz w:val="20"/>
                <w:szCs w:val="20"/>
              </w:rPr>
            </w:pPr>
          </w:p>
        </w:tc>
      </w:tr>
      <w:tr w:rsidR="00D1164C" w:rsidRPr="00512D20" w14:paraId="7C67984E"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3D1BE30" w14:textId="77777777" w:rsidR="00D1164C" w:rsidRPr="00512D20" w:rsidRDefault="00D1164C" w:rsidP="00F6118B">
            <w:pPr>
              <w:ind w:right="77"/>
              <w:rPr>
                <w:rFonts w:ascii="Arial Narrow" w:hAnsi="Arial Narrow"/>
                <w:b/>
                <w:bCs/>
                <w:color w:val="333333"/>
                <w:sz w:val="20"/>
                <w:szCs w:val="20"/>
              </w:rPr>
            </w:pPr>
            <w:r w:rsidRPr="00512D20">
              <w:rPr>
                <w:rFonts w:ascii="Arial Narrow" w:hAnsi="Arial Narrow"/>
                <w:b/>
                <w:bCs/>
                <w:color w:val="333333"/>
                <w:sz w:val="20"/>
                <w:szCs w:val="20"/>
              </w:rPr>
              <w:t>Prescribing Instructions:</w:t>
            </w:r>
          </w:p>
          <w:p w14:paraId="507A3C49" w14:textId="77777777" w:rsidR="00D1164C" w:rsidRPr="00512D20" w:rsidRDefault="00D1164C" w:rsidP="00F6118B">
            <w:pPr>
              <w:ind w:right="77"/>
              <w:rPr>
                <w:rFonts w:ascii="Arial Narrow" w:hAnsi="Arial Narrow"/>
                <w:sz w:val="20"/>
                <w:szCs w:val="20"/>
              </w:rPr>
            </w:pPr>
            <w:r w:rsidRPr="00512D20">
              <w:rPr>
                <w:rFonts w:ascii="Arial Narrow" w:hAnsi="Arial Narrow"/>
                <w:color w:val="333333"/>
                <w:sz w:val="20"/>
                <w:szCs w:val="20"/>
              </w:rPr>
              <w:t>For continuing PBS-subsidised treatment, a Grandfathered patient must qualify under the Continuing treatment criteria.</w:t>
            </w:r>
          </w:p>
        </w:tc>
      </w:tr>
      <w:tr w:rsidR="00D1164C" w:rsidRPr="00512D20" w14:paraId="0ABE92AA" w14:textId="77777777" w:rsidTr="00F6118B">
        <w:trPr>
          <w:trHeight w:val="88"/>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3F30AB" w14:textId="77777777" w:rsidR="00D1164C" w:rsidRPr="00512D20" w:rsidRDefault="00D1164C" w:rsidP="00F6118B">
            <w:pPr>
              <w:ind w:right="77"/>
              <w:rPr>
                <w:rFonts w:ascii="Arial Narrow" w:hAnsi="Arial Narrow"/>
                <w:b/>
                <w:bCs/>
                <w:sz w:val="20"/>
                <w:szCs w:val="20"/>
              </w:rPr>
            </w:pPr>
            <w:r w:rsidRPr="00512D20">
              <w:rPr>
                <w:rFonts w:ascii="Arial Narrow" w:hAnsi="Arial Narrow"/>
                <w:b/>
                <w:bCs/>
                <w:sz w:val="20"/>
                <w:szCs w:val="20"/>
              </w:rPr>
              <w:t>Prescribing Instructions:</w:t>
            </w:r>
          </w:p>
          <w:p w14:paraId="243AF367" w14:textId="77777777" w:rsidR="00D1164C" w:rsidRPr="00512D20" w:rsidRDefault="00D1164C" w:rsidP="00F6118B">
            <w:pPr>
              <w:ind w:right="77"/>
              <w:rPr>
                <w:rFonts w:ascii="Arial Narrow" w:hAnsi="Arial Narrow"/>
                <w:sz w:val="20"/>
                <w:szCs w:val="20"/>
              </w:rPr>
            </w:pPr>
            <w:r w:rsidRPr="00512D20">
              <w:rPr>
                <w:rFonts w:ascii="Arial Narrow" w:hAnsi="Arial Narrow"/>
                <w:sz w:val="20"/>
                <w:szCs w:val="20"/>
              </w:rPr>
              <w:t>The authority application must be made in writing via HPOS form upload or mail and must include:</w:t>
            </w:r>
          </w:p>
          <w:p w14:paraId="049883BF" w14:textId="77777777" w:rsidR="00D1164C" w:rsidRPr="00512D20" w:rsidRDefault="00D1164C" w:rsidP="00F6118B">
            <w:pPr>
              <w:ind w:right="77"/>
              <w:rPr>
                <w:rFonts w:ascii="Arial Narrow" w:hAnsi="Arial Narrow"/>
                <w:sz w:val="20"/>
                <w:szCs w:val="20"/>
              </w:rPr>
            </w:pPr>
          </w:p>
          <w:p w14:paraId="6A02FB3E" w14:textId="77777777" w:rsidR="00D1164C" w:rsidRPr="00512D20" w:rsidRDefault="00D1164C" w:rsidP="00F6118B">
            <w:pPr>
              <w:pStyle w:val="ListParagraph"/>
              <w:numPr>
                <w:ilvl w:val="0"/>
                <w:numId w:val="24"/>
              </w:numPr>
              <w:spacing w:after="0"/>
              <w:ind w:left="360" w:right="77"/>
              <w:contextualSpacing/>
              <w:jc w:val="left"/>
              <w:rPr>
                <w:rFonts w:ascii="Arial Narrow" w:hAnsi="Arial Narrow"/>
                <w:sz w:val="20"/>
                <w:szCs w:val="20"/>
              </w:rPr>
            </w:pPr>
            <w:r w:rsidRPr="00512D20">
              <w:rPr>
                <w:rFonts w:ascii="Arial Narrow" w:hAnsi="Arial Narrow"/>
                <w:sz w:val="20"/>
                <w:szCs w:val="20"/>
              </w:rPr>
              <w:t>details of the ACR/EULAR SLE Classification Criteria 2019 confirming diagnosis of SLE</w:t>
            </w:r>
          </w:p>
          <w:p w14:paraId="0F6D76F5" w14:textId="77777777" w:rsidR="00D1164C" w:rsidRPr="00512D20" w:rsidRDefault="00D1164C" w:rsidP="00F6118B">
            <w:pPr>
              <w:pStyle w:val="ListParagraph"/>
              <w:numPr>
                <w:ilvl w:val="0"/>
                <w:numId w:val="25"/>
              </w:numPr>
              <w:spacing w:after="0"/>
              <w:ind w:left="360" w:right="77"/>
              <w:contextualSpacing/>
              <w:jc w:val="left"/>
              <w:rPr>
                <w:rFonts w:ascii="Arial Narrow" w:hAnsi="Arial Narrow"/>
                <w:sz w:val="20"/>
                <w:szCs w:val="20"/>
              </w:rPr>
            </w:pPr>
            <w:r w:rsidRPr="00512D20">
              <w:rPr>
                <w:rFonts w:ascii="Arial Narrow" w:hAnsi="Arial Narrow"/>
                <w:sz w:val="20"/>
                <w:szCs w:val="20"/>
              </w:rPr>
              <w:t>details (date and score) of the completed SLEDAI-2K score sheet</w:t>
            </w:r>
          </w:p>
          <w:p w14:paraId="75794B06" w14:textId="77777777" w:rsidR="00D1164C" w:rsidRPr="00512D20" w:rsidRDefault="00D1164C" w:rsidP="00F6118B">
            <w:pPr>
              <w:pStyle w:val="ListParagraph"/>
              <w:numPr>
                <w:ilvl w:val="0"/>
                <w:numId w:val="25"/>
              </w:numPr>
              <w:spacing w:after="0"/>
              <w:ind w:left="360" w:right="77"/>
              <w:contextualSpacing/>
              <w:jc w:val="left"/>
              <w:rPr>
                <w:rFonts w:ascii="Arial Narrow" w:hAnsi="Arial Narrow"/>
                <w:sz w:val="20"/>
                <w:szCs w:val="20"/>
              </w:rPr>
            </w:pPr>
            <w:r w:rsidRPr="00512D20">
              <w:rPr>
                <w:rFonts w:ascii="Arial Narrow" w:hAnsi="Arial Narrow"/>
                <w:sz w:val="20"/>
                <w:szCs w:val="20"/>
              </w:rPr>
              <w:t xml:space="preserve">details of current systemic therapy used (dosage, date of commencement and duration of therapy, including prior anifrolumab use).  </w:t>
            </w:r>
          </w:p>
          <w:p w14:paraId="494023F5" w14:textId="77777777" w:rsidR="00D1164C" w:rsidRPr="00512D20" w:rsidRDefault="00D1164C" w:rsidP="00F6118B">
            <w:pPr>
              <w:pStyle w:val="ListParagraph"/>
              <w:numPr>
                <w:ilvl w:val="0"/>
                <w:numId w:val="25"/>
              </w:numPr>
              <w:spacing w:after="0"/>
              <w:ind w:left="360" w:right="77"/>
              <w:contextualSpacing/>
              <w:jc w:val="left"/>
              <w:rPr>
                <w:rFonts w:ascii="Arial Narrow" w:hAnsi="Arial Narrow"/>
                <w:sz w:val="20"/>
                <w:szCs w:val="20"/>
              </w:rPr>
            </w:pPr>
            <w:r w:rsidRPr="00512D20">
              <w:rPr>
                <w:rFonts w:ascii="Arial Narrow" w:hAnsi="Arial Narrow"/>
                <w:sz w:val="20"/>
                <w:szCs w:val="20"/>
              </w:rPr>
              <w:t>details of contraindication/intolerances to prior therapies (drug name, the degree of toxicity and dose).</w:t>
            </w:r>
          </w:p>
          <w:p w14:paraId="3CB054BB" w14:textId="77777777" w:rsidR="00D1164C" w:rsidRPr="00512D20" w:rsidRDefault="00D1164C" w:rsidP="00F6118B">
            <w:pPr>
              <w:ind w:right="77"/>
              <w:rPr>
                <w:rFonts w:ascii="Arial Narrow" w:hAnsi="Arial Narrow"/>
                <w:sz w:val="20"/>
                <w:szCs w:val="20"/>
              </w:rPr>
            </w:pPr>
          </w:p>
          <w:p w14:paraId="53AF64E5" w14:textId="77777777" w:rsidR="00D1164C" w:rsidRPr="00512D20" w:rsidRDefault="00D1164C" w:rsidP="00F6118B">
            <w:pPr>
              <w:ind w:right="77"/>
              <w:rPr>
                <w:rFonts w:ascii="Arial Narrow" w:hAnsi="Arial Narrow"/>
                <w:sz w:val="20"/>
                <w:szCs w:val="20"/>
              </w:rPr>
            </w:pPr>
            <w:r w:rsidRPr="00512D20">
              <w:rPr>
                <w:rFonts w:ascii="Arial Narrow" w:hAnsi="Arial Narrow"/>
                <w:sz w:val="20"/>
                <w:szCs w:val="20"/>
              </w:rPr>
              <w:t>All the reports must be documented in the patient’s medical records.</w:t>
            </w:r>
          </w:p>
        </w:tc>
      </w:tr>
      <w:tr w:rsidR="00D1164C" w:rsidRPr="00512D20" w14:paraId="5608987E" w14:textId="77777777" w:rsidTr="00F6118B">
        <w:trPr>
          <w:trHeight w:val="1084"/>
        </w:trPr>
        <w:tc>
          <w:tcPr>
            <w:tcW w:w="5000" w:type="pct"/>
            <w:gridSpan w:val="5"/>
            <w:tcBorders>
              <w:top w:val="single" w:sz="4" w:space="0" w:color="auto"/>
              <w:left w:val="single" w:sz="4" w:space="0" w:color="auto"/>
              <w:bottom w:val="nil"/>
              <w:right w:val="single" w:sz="4" w:space="0" w:color="auto"/>
            </w:tcBorders>
            <w:tcMar>
              <w:top w:w="15" w:type="dxa"/>
              <w:left w:w="15" w:type="dxa"/>
              <w:bottom w:w="15" w:type="dxa"/>
              <w:right w:w="15" w:type="dxa"/>
            </w:tcMar>
            <w:vAlign w:val="center"/>
            <w:hideMark/>
          </w:tcPr>
          <w:p w14:paraId="34379183" w14:textId="77777777" w:rsidR="00D1164C" w:rsidRPr="00512D20" w:rsidRDefault="00D1164C" w:rsidP="00F6118B">
            <w:pPr>
              <w:ind w:right="77"/>
              <w:contextualSpacing/>
              <w:rPr>
                <w:rFonts w:ascii="Arial Narrow" w:hAnsi="Arial Narrow"/>
                <w:b/>
                <w:bCs/>
                <w:sz w:val="20"/>
                <w:szCs w:val="20"/>
              </w:rPr>
            </w:pPr>
            <w:r w:rsidRPr="00512D20">
              <w:rPr>
                <w:rFonts w:ascii="Arial Narrow" w:hAnsi="Arial Narrow"/>
                <w:b/>
                <w:bCs/>
                <w:sz w:val="20"/>
                <w:szCs w:val="20"/>
              </w:rPr>
              <w:t>Prescribing Instructions:</w:t>
            </w:r>
          </w:p>
          <w:p w14:paraId="52D60BE1" w14:textId="77777777" w:rsidR="00D1164C" w:rsidRPr="00512D20" w:rsidRDefault="00D1164C" w:rsidP="00F6118B">
            <w:pPr>
              <w:ind w:right="77"/>
              <w:contextualSpacing/>
              <w:rPr>
                <w:rFonts w:ascii="Arial Narrow" w:hAnsi="Arial Narrow"/>
                <w:sz w:val="20"/>
                <w:szCs w:val="20"/>
              </w:rPr>
            </w:pPr>
            <w:r w:rsidRPr="00512D20">
              <w:rPr>
                <w:rFonts w:ascii="Arial Narrow" w:hAnsi="Arial Narrow"/>
                <w:sz w:val="20"/>
                <w:szCs w:val="20"/>
              </w:rPr>
              <w:t>If the application is submitted through HPOS form upload or mail, it must include:</w:t>
            </w:r>
          </w:p>
          <w:p w14:paraId="7892A6E7" w14:textId="0D08D0E9" w:rsidR="00D1164C" w:rsidRPr="00512D20" w:rsidRDefault="00D1164C" w:rsidP="00F6118B">
            <w:pPr>
              <w:ind w:left="360" w:right="77" w:hanging="360"/>
              <w:contextualSpacing/>
              <w:jc w:val="left"/>
              <w:rPr>
                <w:rFonts w:ascii="Arial Narrow" w:hAnsi="Arial Narrow"/>
                <w:sz w:val="20"/>
                <w:szCs w:val="20"/>
              </w:rPr>
            </w:pPr>
            <w:r w:rsidRPr="00512D20">
              <w:rPr>
                <w:rFonts w:ascii="Arial Narrow" w:hAnsi="Arial Narrow"/>
                <w:sz w:val="20"/>
                <w:szCs w:val="20"/>
              </w:rPr>
              <w:t>(a)    a completed authority prescription form; and</w:t>
            </w:r>
          </w:p>
          <w:p w14:paraId="2D19E8E6" w14:textId="36C00F9F" w:rsidR="00D1164C" w:rsidRPr="00512D20" w:rsidRDefault="00D1164C" w:rsidP="00F6118B">
            <w:pPr>
              <w:pStyle w:val="ListParagraph"/>
              <w:numPr>
                <w:ilvl w:val="0"/>
                <w:numId w:val="49"/>
              </w:numPr>
              <w:ind w:right="77"/>
              <w:contextualSpacing/>
              <w:jc w:val="left"/>
              <w:rPr>
                <w:rFonts w:ascii="Arial Narrow" w:hAnsi="Arial Narrow"/>
                <w:sz w:val="20"/>
                <w:szCs w:val="20"/>
              </w:rPr>
            </w:pPr>
            <w:r w:rsidRPr="00512D20">
              <w:rPr>
                <w:rFonts w:ascii="Arial Narrow" w:hAnsi="Arial Narrow"/>
                <w:sz w:val="20"/>
                <w:szCs w:val="20"/>
              </w:rPr>
              <w:t xml:space="preserve">a completed authority application form relevant to the indication and treatment phase (the latest version is located on the website specified in the Administrative Advice) </w:t>
            </w:r>
          </w:p>
        </w:tc>
      </w:tr>
      <w:tr w:rsidR="00D1164C" w:rsidRPr="00512D20" w14:paraId="3EDA6024"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E2977C" w14:textId="77777777" w:rsidR="00D1164C" w:rsidRPr="00512D20" w:rsidRDefault="00D1164C" w:rsidP="00F6118B">
            <w:pPr>
              <w:ind w:right="77"/>
              <w:rPr>
                <w:rFonts w:ascii="Arial Narrow" w:hAnsi="Arial Narrow"/>
                <w:sz w:val="20"/>
                <w:szCs w:val="20"/>
              </w:rPr>
            </w:pPr>
          </w:p>
        </w:tc>
      </w:tr>
      <w:tr w:rsidR="00D1164C" w:rsidRPr="00512D20" w14:paraId="6ABED29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D300A1" w14:textId="77777777" w:rsidR="00D1164C" w:rsidRPr="00512D20" w:rsidRDefault="00D1164C" w:rsidP="00F6118B">
            <w:pPr>
              <w:ind w:right="77"/>
              <w:rPr>
                <w:rFonts w:ascii="Arial Narrow" w:hAnsi="Arial Narrow"/>
                <w:b/>
                <w:bCs/>
                <w:sz w:val="20"/>
                <w:szCs w:val="20"/>
              </w:rPr>
            </w:pPr>
            <w:r w:rsidRPr="00512D20">
              <w:rPr>
                <w:rFonts w:ascii="Arial Narrow" w:hAnsi="Arial Narrow"/>
                <w:b/>
                <w:bCs/>
                <w:sz w:val="20"/>
                <w:szCs w:val="20"/>
              </w:rPr>
              <w:t>Administrative Advice:</w:t>
            </w:r>
          </w:p>
          <w:p w14:paraId="77CC1141" w14:textId="77777777" w:rsidR="00D1164C" w:rsidRPr="00512D20" w:rsidRDefault="00D1164C" w:rsidP="00F6118B">
            <w:pPr>
              <w:ind w:right="77"/>
              <w:rPr>
                <w:rFonts w:ascii="Arial Narrow" w:hAnsi="Arial Narrow"/>
                <w:sz w:val="20"/>
                <w:szCs w:val="20"/>
              </w:rPr>
            </w:pPr>
            <w:r w:rsidRPr="00512D20">
              <w:rPr>
                <w:rFonts w:ascii="Arial Narrow" w:hAnsi="Arial Narrow"/>
                <w:sz w:val="20"/>
                <w:szCs w:val="20"/>
              </w:rPr>
              <w:t>SLEDAI-2K can be accessed via Gladman 2002 J. Rheumatol. 29 (2) 288-291 or from AstraZeneca Medical Information on 1800 805 342.</w:t>
            </w:r>
          </w:p>
        </w:tc>
      </w:tr>
      <w:tr w:rsidR="00D1164C" w:rsidRPr="00512D20" w14:paraId="024D0C23"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54E830" w14:textId="77777777" w:rsidR="00D1164C" w:rsidRPr="00512D20" w:rsidRDefault="00D1164C" w:rsidP="00F6118B">
            <w:pPr>
              <w:pStyle w:val="TableText0"/>
              <w:keepNext w:val="0"/>
              <w:keepLines/>
              <w:ind w:right="77"/>
              <w:rPr>
                <w:b/>
              </w:rPr>
            </w:pPr>
            <w:r w:rsidRPr="00512D20">
              <w:rPr>
                <w:b/>
              </w:rPr>
              <w:lastRenderedPageBreak/>
              <w:t xml:space="preserve">Administrative Advice: </w:t>
            </w:r>
          </w:p>
          <w:p w14:paraId="145C5E25" w14:textId="77777777" w:rsidR="00D1164C" w:rsidRPr="00512D20" w:rsidRDefault="00D1164C" w:rsidP="00F6118B">
            <w:pPr>
              <w:pStyle w:val="TableText0"/>
              <w:keepLines/>
              <w:ind w:right="77"/>
              <w:rPr>
                <w:bCs w:val="0"/>
              </w:rPr>
            </w:pPr>
            <w:r w:rsidRPr="00512D20">
              <w:rPr>
                <w:bCs w:val="0"/>
              </w:rPr>
              <w:t>Any queries concerning the arrangements to prescribe may be directed to Services Australia on 1800 700 270 (hours of operation 8 a.m. to 5 p.m. Monday to Friday).</w:t>
            </w:r>
          </w:p>
          <w:p w14:paraId="369469B7" w14:textId="77777777" w:rsidR="00D1164C" w:rsidRPr="00512D20" w:rsidRDefault="00D1164C" w:rsidP="00F6118B">
            <w:pPr>
              <w:pStyle w:val="TableText0"/>
              <w:keepLines/>
              <w:ind w:right="77"/>
              <w:rPr>
                <w:bCs w:val="0"/>
              </w:rPr>
            </w:pPr>
            <w:r w:rsidRPr="00512D20">
              <w:rPr>
                <w:bCs w:val="0"/>
              </w:rPr>
              <w:t>Prescribing information (including Authority Application forms and other relevant documentation as applicable) is available on the Services Australia website at www.servicesaustralia.gov.au</w:t>
            </w:r>
          </w:p>
          <w:p w14:paraId="76A854C3" w14:textId="77777777" w:rsidR="00D1164C" w:rsidRPr="00512D20" w:rsidRDefault="00D1164C" w:rsidP="00F6118B">
            <w:pPr>
              <w:pStyle w:val="TableText0"/>
              <w:keepLines/>
              <w:ind w:right="77"/>
              <w:rPr>
                <w:bCs w:val="0"/>
              </w:rPr>
            </w:pPr>
            <w:r w:rsidRPr="00512D20">
              <w:rPr>
                <w:bCs w:val="0"/>
              </w:rPr>
              <w:t>Applications for authority to prescribe should be submitted online using the form upload facility in Health Professional Online Services (HPOS) at www.servicesaustralia.gov.au/hpos</w:t>
            </w:r>
          </w:p>
          <w:p w14:paraId="32C8C164" w14:textId="77777777" w:rsidR="00D1164C" w:rsidRPr="00512D20" w:rsidRDefault="00D1164C" w:rsidP="00F6118B">
            <w:pPr>
              <w:pStyle w:val="TableText0"/>
              <w:keepLines/>
              <w:ind w:right="77"/>
              <w:rPr>
                <w:bCs w:val="0"/>
              </w:rPr>
            </w:pPr>
            <w:r w:rsidRPr="00512D20">
              <w:rPr>
                <w:bCs w:val="0"/>
              </w:rPr>
              <w:t>Or mailed to:</w:t>
            </w:r>
          </w:p>
          <w:p w14:paraId="5AAFD93E" w14:textId="77777777" w:rsidR="00D1164C" w:rsidRPr="00512D20" w:rsidRDefault="00D1164C" w:rsidP="00F6118B">
            <w:pPr>
              <w:pStyle w:val="TableText0"/>
              <w:keepLines/>
              <w:ind w:right="77"/>
              <w:rPr>
                <w:bCs w:val="0"/>
              </w:rPr>
            </w:pPr>
            <w:r w:rsidRPr="00512D20">
              <w:rPr>
                <w:bCs w:val="0"/>
              </w:rPr>
              <w:t>Services Australia</w:t>
            </w:r>
          </w:p>
          <w:p w14:paraId="272DF70B" w14:textId="77777777" w:rsidR="00D1164C" w:rsidRPr="00512D20" w:rsidRDefault="00D1164C" w:rsidP="00F6118B">
            <w:pPr>
              <w:pStyle w:val="TableText0"/>
              <w:keepLines/>
              <w:ind w:right="77"/>
              <w:rPr>
                <w:bCs w:val="0"/>
              </w:rPr>
            </w:pPr>
            <w:r w:rsidRPr="00512D20">
              <w:rPr>
                <w:bCs w:val="0"/>
              </w:rPr>
              <w:t>Complex Drugs</w:t>
            </w:r>
          </w:p>
          <w:p w14:paraId="296B1A78" w14:textId="77777777" w:rsidR="00D1164C" w:rsidRPr="00512D20" w:rsidRDefault="00D1164C" w:rsidP="00F6118B">
            <w:pPr>
              <w:pStyle w:val="TableText0"/>
              <w:keepLines/>
              <w:ind w:right="77"/>
              <w:rPr>
                <w:bCs w:val="0"/>
              </w:rPr>
            </w:pPr>
            <w:r w:rsidRPr="00512D20">
              <w:rPr>
                <w:bCs w:val="0"/>
              </w:rPr>
              <w:t>Reply Paid 9826</w:t>
            </w:r>
          </w:p>
          <w:p w14:paraId="0CE32D49" w14:textId="77777777" w:rsidR="00D1164C" w:rsidRPr="00512D20" w:rsidRDefault="00D1164C" w:rsidP="00F6118B">
            <w:pPr>
              <w:ind w:right="77"/>
              <w:rPr>
                <w:rFonts w:ascii="Arial Narrow" w:hAnsi="Arial Narrow"/>
                <w:sz w:val="20"/>
                <w:szCs w:val="20"/>
              </w:rPr>
            </w:pPr>
            <w:r w:rsidRPr="00512D20">
              <w:rPr>
                <w:rFonts w:ascii="Arial Narrow" w:hAnsi="Arial Narrow"/>
                <w:sz w:val="20"/>
                <w:szCs w:val="20"/>
              </w:rPr>
              <w:t>HOBART TAS 700</w:t>
            </w:r>
          </w:p>
        </w:tc>
      </w:tr>
    </w:tbl>
    <w:p w14:paraId="68FBA700" w14:textId="77777777" w:rsidR="00357D22" w:rsidRPr="00357D22" w:rsidRDefault="00357D22" w:rsidP="00512D20">
      <w:pPr>
        <w:pStyle w:val="Bodytextitalics"/>
        <w:spacing w:after="0"/>
        <w:rPr>
          <w:i w:val="0"/>
          <w:snapToGrid w:val="0"/>
          <w:sz w:val="20"/>
          <w:szCs w:val="20"/>
        </w:rPr>
      </w:pPr>
    </w:p>
    <w:p w14:paraId="1BB9C48C" w14:textId="77777777" w:rsidR="00512D20" w:rsidRPr="009941F8" w:rsidRDefault="00512D20" w:rsidP="00233562">
      <w:pPr>
        <w:keepNext/>
        <w:keepLines/>
        <w:rPr>
          <w:b/>
          <w:bCs/>
        </w:rPr>
      </w:pPr>
      <w:r w:rsidRPr="009941F8">
        <w:rPr>
          <w:b/>
          <w:bCs/>
        </w:rPr>
        <w:t>Continuing treatment/recommencement of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1670"/>
        <w:gridCol w:w="1672"/>
        <w:gridCol w:w="1670"/>
        <w:gridCol w:w="1773"/>
      </w:tblGrid>
      <w:tr w:rsidR="00512D20" w:rsidRPr="00512D20" w14:paraId="5515B70F" w14:textId="77777777" w:rsidTr="00F6118B">
        <w:tc>
          <w:tcPr>
            <w:tcW w:w="1238" w:type="pct"/>
            <w:tcBorders>
              <w:top w:val="single" w:sz="4" w:space="0" w:color="auto"/>
              <w:left w:val="single" w:sz="4" w:space="0" w:color="auto"/>
              <w:bottom w:val="single" w:sz="4" w:space="0" w:color="auto"/>
              <w:right w:val="single" w:sz="4" w:space="0" w:color="auto"/>
            </w:tcBorders>
            <w:hideMark/>
          </w:tcPr>
          <w:p w14:paraId="40B5DCB7" w14:textId="77777777" w:rsidR="00512D20" w:rsidRPr="00512D20" w:rsidRDefault="00512D20" w:rsidP="00460084">
            <w:pPr>
              <w:keepNext/>
              <w:keepLines/>
              <w:rPr>
                <w:rFonts w:ascii="Arial Narrow" w:hAnsi="Arial Narrow"/>
                <w:b/>
                <w:bCs/>
                <w:sz w:val="20"/>
              </w:rPr>
            </w:pPr>
            <w:r w:rsidRPr="00512D20">
              <w:rPr>
                <w:rFonts w:ascii="Arial Narrow" w:hAnsi="Arial Narrow"/>
                <w:b/>
                <w:bCs/>
                <w:sz w:val="20"/>
              </w:rPr>
              <w:t>MEDICINAL PRODUCT</w:t>
            </w:r>
          </w:p>
          <w:p w14:paraId="1BE1389E" w14:textId="77777777" w:rsidR="00512D20" w:rsidRPr="00512D20" w:rsidRDefault="00512D20" w:rsidP="00460084">
            <w:pPr>
              <w:pStyle w:val="PbacTableHeading"/>
              <w:keepNext/>
              <w:keepLines/>
              <w:spacing w:after="0" w:line="256" w:lineRule="auto"/>
              <w:rPr>
                <w:highlight w:val="green"/>
              </w:rPr>
            </w:pPr>
            <w:r w:rsidRPr="00512D20">
              <w:rPr>
                <w:bCs/>
              </w:rPr>
              <w:t>medicinal product pack</w:t>
            </w:r>
          </w:p>
        </w:tc>
        <w:tc>
          <w:tcPr>
            <w:tcW w:w="926" w:type="pct"/>
            <w:tcBorders>
              <w:top w:val="single" w:sz="4" w:space="0" w:color="auto"/>
              <w:left w:val="single" w:sz="4" w:space="0" w:color="auto"/>
              <w:bottom w:val="single" w:sz="4" w:space="0" w:color="auto"/>
              <w:right w:val="single" w:sz="4" w:space="0" w:color="auto"/>
            </w:tcBorders>
            <w:hideMark/>
          </w:tcPr>
          <w:p w14:paraId="2A45BA99" w14:textId="77777777" w:rsidR="00512D20" w:rsidRPr="00512D20" w:rsidRDefault="00512D20" w:rsidP="00460084">
            <w:pPr>
              <w:pStyle w:val="PbacTableHeading"/>
              <w:keepNext/>
              <w:keepLines/>
              <w:spacing w:after="0" w:line="256" w:lineRule="auto"/>
              <w:jc w:val="center"/>
              <w:rPr>
                <w:highlight w:val="green"/>
              </w:rPr>
            </w:pPr>
            <w:r w:rsidRPr="00512D20">
              <w:t>PBS item code</w:t>
            </w:r>
          </w:p>
        </w:tc>
        <w:tc>
          <w:tcPr>
            <w:tcW w:w="927" w:type="pct"/>
            <w:tcBorders>
              <w:top w:val="single" w:sz="4" w:space="0" w:color="auto"/>
              <w:left w:val="single" w:sz="4" w:space="0" w:color="auto"/>
              <w:bottom w:val="single" w:sz="4" w:space="0" w:color="auto"/>
              <w:right w:val="single" w:sz="4" w:space="0" w:color="auto"/>
            </w:tcBorders>
            <w:hideMark/>
          </w:tcPr>
          <w:p w14:paraId="50145812" w14:textId="77777777" w:rsidR="00512D20" w:rsidRPr="00512D20" w:rsidRDefault="00512D20" w:rsidP="00460084">
            <w:pPr>
              <w:pStyle w:val="PbacTableHeading"/>
              <w:keepNext/>
              <w:keepLines/>
              <w:spacing w:after="0" w:line="256" w:lineRule="auto"/>
              <w:jc w:val="center"/>
              <w:rPr>
                <w:highlight w:val="green"/>
              </w:rPr>
            </w:pPr>
            <w:r w:rsidRPr="00512D20">
              <w:t>Max. qty (packs)</w:t>
            </w:r>
          </w:p>
        </w:tc>
        <w:tc>
          <w:tcPr>
            <w:tcW w:w="926" w:type="pct"/>
            <w:tcBorders>
              <w:top w:val="single" w:sz="4" w:space="0" w:color="auto"/>
              <w:left w:val="single" w:sz="4" w:space="0" w:color="auto"/>
              <w:bottom w:val="single" w:sz="4" w:space="0" w:color="auto"/>
              <w:right w:val="single" w:sz="4" w:space="0" w:color="auto"/>
            </w:tcBorders>
            <w:hideMark/>
          </w:tcPr>
          <w:p w14:paraId="3783983C" w14:textId="77777777" w:rsidR="00512D20" w:rsidRPr="00512D20" w:rsidRDefault="00512D20" w:rsidP="00460084">
            <w:pPr>
              <w:pStyle w:val="PbacTableHeading"/>
              <w:keepNext/>
              <w:keepLines/>
              <w:spacing w:after="0" w:line="256" w:lineRule="auto"/>
              <w:jc w:val="center"/>
              <w:rPr>
                <w:highlight w:val="green"/>
              </w:rPr>
            </w:pPr>
            <w:r w:rsidRPr="00512D20">
              <w:t>Max. qty (units)</w:t>
            </w:r>
          </w:p>
        </w:tc>
        <w:tc>
          <w:tcPr>
            <w:tcW w:w="983" w:type="pct"/>
            <w:tcBorders>
              <w:top w:val="single" w:sz="4" w:space="0" w:color="auto"/>
              <w:left w:val="single" w:sz="4" w:space="0" w:color="auto"/>
              <w:bottom w:val="single" w:sz="4" w:space="0" w:color="auto"/>
              <w:right w:val="single" w:sz="4" w:space="0" w:color="auto"/>
            </w:tcBorders>
            <w:hideMark/>
          </w:tcPr>
          <w:p w14:paraId="4E740CA3" w14:textId="77777777" w:rsidR="00512D20" w:rsidRPr="00512D20" w:rsidRDefault="00512D20" w:rsidP="00460084">
            <w:pPr>
              <w:pStyle w:val="PbacTableHeading"/>
              <w:keepNext/>
              <w:keepLines/>
              <w:spacing w:after="0" w:line="256" w:lineRule="auto"/>
              <w:jc w:val="center"/>
              <w:rPr>
                <w:highlight w:val="green"/>
              </w:rPr>
            </w:pPr>
            <w:r w:rsidRPr="00512D20">
              <w:t>№. of repeats</w:t>
            </w:r>
          </w:p>
        </w:tc>
      </w:tr>
      <w:tr w:rsidR="00512D20" w:rsidRPr="00512D20" w14:paraId="106419E6" w14:textId="77777777" w:rsidTr="00F6118B">
        <w:trPr>
          <w:trHeight w:val="323"/>
        </w:trPr>
        <w:tc>
          <w:tcPr>
            <w:tcW w:w="1238" w:type="pct"/>
            <w:tcBorders>
              <w:top w:val="single" w:sz="4" w:space="0" w:color="auto"/>
              <w:left w:val="single" w:sz="4" w:space="0" w:color="auto"/>
              <w:bottom w:val="single" w:sz="4" w:space="0" w:color="auto"/>
              <w:right w:val="single" w:sz="4" w:space="0" w:color="auto"/>
            </w:tcBorders>
          </w:tcPr>
          <w:p w14:paraId="3D1C9F3A" w14:textId="77777777" w:rsidR="00512D20" w:rsidRPr="00512D20" w:rsidRDefault="00512D20" w:rsidP="00460084">
            <w:pPr>
              <w:pStyle w:val="PBACTableText"/>
              <w:keepNext/>
              <w:keepLines/>
              <w:spacing w:before="0" w:after="0" w:line="256" w:lineRule="auto"/>
            </w:pPr>
            <w:r w:rsidRPr="00512D20">
              <w:t>ANIFROLUMAB</w:t>
            </w:r>
          </w:p>
          <w:p w14:paraId="0E1559AD" w14:textId="77777777" w:rsidR="00512D20" w:rsidRPr="00512D20" w:rsidRDefault="00512D20" w:rsidP="00460084">
            <w:pPr>
              <w:pStyle w:val="PBACTableText"/>
              <w:keepNext/>
              <w:keepLines/>
              <w:spacing w:before="0" w:after="0" w:line="256" w:lineRule="auto"/>
              <w:rPr>
                <w:highlight w:val="green"/>
              </w:rPr>
            </w:pPr>
            <w:r w:rsidRPr="00512D20">
              <w:t xml:space="preserve">Injection </w:t>
            </w:r>
          </w:p>
        </w:tc>
        <w:tc>
          <w:tcPr>
            <w:tcW w:w="926" w:type="pct"/>
            <w:tcBorders>
              <w:top w:val="single" w:sz="4" w:space="0" w:color="auto"/>
              <w:left w:val="single" w:sz="4" w:space="0" w:color="auto"/>
              <w:bottom w:val="single" w:sz="4" w:space="0" w:color="auto"/>
              <w:right w:val="single" w:sz="4" w:space="0" w:color="auto"/>
            </w:tcBorders>
            <w:hideMark/>
          </w:tcPr>
          <w:p w14:paraId="641E0103" w14:textId="77777777" w:rsidR="00512D20" w:rsidRPr="00512D20" w:rsidRDefault="00512D20" w:rsidP="00460084">
            <w:pPr>
              <w:pStyle w:val="PBACTableText"/>
              <w:keepNext/>
              <w:keepLines/>
              <w:spacing w:before="0" w:after="0" w:line="256" w:lineRule="auto"/>
              <w:jc w:val="center"/>
              <w:rPr>
                <w:highlight w:val="green"/>
              </w:rPr>
            </w:pPr>
            <w:r w:rsidRPr="00512D20">
              <w:t>NEW</w:t>
            </w:r>
          </w:p>
        </w:tc>
        <w:tc>
          <w:tcPr>
            <w:tcW w:w="927" w:type="pct"/>
            <w:tcBorders>
              <w:top w:val="single" w:sz="4" w:space="0" w:color="auto"/>
              <w:left w:val="single" w:sz="4" w:space="0" w:color="auto"/>
              <w:bottom w:val="single" w:sz="4" w:space="0" w:color="auto"/>
              <w:right w:val="single" w:sz="4" w:space="0" w:color="auto"/>
            </w:tcBorders>
            <w:hideMark/>
          </w:tcPr>
          <w:p w14:paraId="6E19AEA6" w14:textId="77777777" w:rsidR="00512D20" w:rsidRPr="00512D20" w:rsidRDefault="00512D20" w:rsidP="00460084">
            <w:pPr>
              <w:pStyle w:val="PBACTableText"/>
              <w:keepNext/>
              <w:keepLines/>
              <w:spacing w:before="0" w:after="0" w:line="256" w:lineRule="auto"/>
              <w:jc w:val="center"/>
              <w:rPr>
                <w:highlight w:val="green"/>
              </w:rPr>
            </w:pPr>
            <w:r w:rsidRPr="00512D20">
              <w:t>1</w:t>
            </w:r>
          </w:p>
        </w:tc>
        <w:tc>
          <w:tcPr>
            <w:tcW w:w="926" w:type="pct"/>
            <w:tcBorders>
              <w:top w:val="single" w:sz="4" w:space="0" w:color="auto"/>
              <w:left w:val="single" w:sz="4" w:space="0" w:color="auto"/>
              <w:bottom w:val="single" w:sz="4" w:space="0" w:color="auto"/>
              <w:right w:val="single" w:sz="4" w:space="0" w:color="auto"/>
            </w:tcBorders>
            <w:hideMark/>
          </w:tcPr>
          <w:p w14:paraId="6A4DF8FC" w14:textId="77777777" w:rsidR="00512D20" w:rsidRPr="00512D20" w:rsidRDefault="00512D20" w:rsidP="00460084">
            <w:pPr>
              <w:pStyle w:val="PBACTableText"/>
              <w:keepNext/>
              <w:keepLines/>
              <w:spacing w:before="0" w:after="0" w:line="256" w:lineRule="auto"/>
              <w:jc w:val="center"/>
              <w:rPr>
                <w:highlight w:val="green"/>
              </w:rPr>
            </w:pPr>
            <w:r w:rsidRPr="00512D20">
              <w:t>1</w:t>
            </w:r>
          </w:p>
        </w:tc>
        <w:tc>
          <w:tcPr>
            <w:tcW w:w="983" w:type="pct"/>
            <w:tcBorders>
              <w:top w:val="single" w:sz="4" w:space="0" w:color="auto"/>
              <w:left w:val="single" w:sz="4" w:space="0" w:color="auto"/>
              <w:bottom w:val="single" w:sz="4" w:space="0" w:color="auto"/>
              <w:right w:val="single" w:sz="4" w:space="0" w:color="auto"/>
            </w:tcBorders>
            <w:hideMark/>
          </w:tcPr>
          <w:p w14:paraId="4C55BDED" w14:textId="77777777" w:rsidR="00512D20" w:rsidRPr="00512D20" w:rsidRDefault="00512D20" w:rsidP="00460084">
            <w:pPr>
              <w:pStyle w:val="PBACTableText"/>
              <w:keepNext/>
              <w:keepLines/>
              <w:spacing w:before="0" w:after="0" w:line="256" w:lineRule="auto"/>
              <w:jc w:val="center"/>
              <w:rPr>
                <w:highlight w:val="green"/>
              </w:rPr>
            </w:pPr>
            <w:r w:rsidRPr="00512D20">
              <w:t>5</w:t>
            </w:r>
          </w:p>
        </w:tc>
      </w:tr>
      <w:tr w:rsidR="00512D20" w:rsidRPr="00512D20" w14:paraId="6623D5A6" w14:textId="77777777" w:rsidTr="00F6118B">
        <w:tc>
          <w:tcPr>
            <w:tcW w:w="5000" w:type="pct"/>
            <w:gridSpan w:val="5"/>
            <w:tcBorders>
              <w:top w:val="single" w:sz="4" w:space="0" w:color="auto"/>
              <w:left w:val="single" w:sz="4" w:space="0" w:color="auto"/>
              <w:bottom w:val="single" w:sz="4" w:space="0" w:color="auto"/>
              <w:right w:val="single" w:sz="4" w:space="0" w:color="auto"/>
            </w:tcBorders>
            <w:hideMark/>
          </w:tcPr>
          <w:p w14:paraId="6B423623" w14:textId="77777777" w:rsidR="00512D20" w:rsidRPr="00512D20" w:rsidRDefault="00512D20" w:rsidP="00460084">
            <w:pPr>
              <w:pStyle w:val="PBACTableText"/>
              <w:keepNext/>
              <w:keepLines/>
              <w:spacing w:before="0" w:after="0" w:line="256" w:lineRule="auto"/>
              <w:rPr>
                <w:b/>
                <w:bCs/>
              </w:rPr>
            </w:pPr>
            <w:r w:rsidRPr="00512D20">
              <w:rPr>
                <w:b/>
                <w:bCs/>
              </w:rPr>
              <w:t>Available brands</w:t>
            </w:r>
          </w:p>
        </w:tc>
      </w:tr>
      <w:tr w:rsidR="00512D20" w:rsidRPr="00512D20" w14:paraId="0FCB944E" w14:textId="77777777" w:rsidTr="00F6118B">
        <w:tc>
          <w:tcPr>
            <w:tcW w:w="5000" w:type="pct"/>
            <w:gridSpan w:val="5"/>
            <w:tcBorders>
              <w:top w:val="single" w:sz="4" w:space="0" w:color="auto"/>
              <w:left w:val="single" w:sz="4" w:space="0" w:color="auto"/>
              <w:bottom w:val="single" w:sz="4" w:space="0" w:color="auto"/>
              <w:right w:val="single" w:sz="4" w:space="0" w:color="auto"/>
            </w:tcBorders>
            <w:hideMark/>
          </w:tcPr>
          <w:p w14:paraId="07C821BE" w14:textId="77777777" w:rsidR="00512D20" w:rsidRPr="00512D20" w:rsidRDefault="00512D20" w:rsidP="00460084">
            <w:pPr>
              <w:pStyle w:val="PBACTableText"/>
              <w:keepNext/>
              <w:keepLines/>
              <w:spacing w:before="0" w:after="0" w:line="256" w:lineRule="auto"/>
            </w:pPr>
            <w:r w:rsidRPr="00512D20">
              <w:t>Saphnelo</w:t>
            </w:r>
          </w:p>
          <w:p w14:paraId="23C320BC" w14:textId="77777777" w:rsidR="00512D20" w:rsidRPr="00512D20" w:rsidRDefault="00512D20" w:rsidP="00460084">
            <w:pPr>
              <w:pStyle w:val="PBACTableText"/>
              <w:keepNext/>
              <w:keepLines/>
              <w:spacing w:before="0" w:after="0" w:line="256" w:lineRule="auto"/>
            </w:pPr>
            <w:r w:rsidRPr="00512D20">
              <w:t>anifrolumab 300 mg/2 mL injection, 2 mL vial</w:t>
            </w:r>
          </w:p>
        </w:tc>
      </w:tr>
      <w:tr w:rsidR="00F6118B" w:rsidRPr="00512D20" w14:paraId="61D6D794"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970CE6" w14:textId="77777777" w:rsidR="00F6118B" w:rsidRPr="00512D20" w:rsidRDefault="00F6118B" w:rsidP="00460084">
            <w:pPr>
              <w:rPr>
                <w:rFonts w:ascii="Arial Narrow" w:hAnsi="Arial Narrow"/>
                <w:sz w:val="20"/>
              </w:rPr>
            </w:pPr>
            <w:r w:rsidRPr="00512D20">
              <w:rPr>
                <w:rFonts w:ascii="Arial Narrow" w:hAnsi="Arial Narrow"/>
                <w:b/>
                <w:sz w:val="20"/>
              </w:rPr>
              <w:t xml:space="preserve">Category / Program:  </w:t>
            </w:r>
            <w:r w:rsidRPr="00512D20">
              <w:rPr>
                <w:rFonts w:ascii="Arial Narrow" w:hAnsi="Arial Narrow"/>
                <w:sz w:val="20"/>
              </w:rPr>
              <w:t>Section 100 – Highly Specialised Drugs Program</w:t>
            </w:r>
          </w:p>
        </w:tc>
      </w:tr>
      <w:tr w:rsidR="00F6118B" w:rsidRPr="00512D20" w14:paraId="3A75BC83" w14:textId="77777777" w:rsidTr="00F6118B">
        <w:trPr>
          <w:trHeight w:val="240"/>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1A1E25D" w14:textId="77777777" w:rsidR="00F6118B" w:rsidRPr="00512D20" w:rsidRDefault="00F6118B" w:rsidP="00460084">
            <w:pPr>
              <w:rPr>
                <w:rFonts w:ascii="Arial Narrow" w:hAnsi="Arial Narrow"/>
                <w:b/>
                <w:sz w:val="20"/>
                <w:highlight w:val="green"/>
              </w:rPr>
            </w:pPr>
            <w:r w:rsidRPr="00512D20">
              <w:rPr>
                <w:rFonts w:ascii="Arial Narrow" w:hAnsi="Arial Narrow"/>
                <w:b/>
                <w:sz w:val="20"/>
              </w:rPr>
              <w:t xml:space="preserve">Prescriber type:  </w:t>
            </w:r>
            <w:r w:rsidRPr="00512D20">
              <w:rPr>
                <w:rFonts w:ascii="Arial Narrow" w:hAnsi="Arial Narrow"/>
                <w:sz w:val="20"/>
              </w:rPr>
              <w:fldChar w:fldCharType="begin" w:fldLock="1">
                <w:ffData>
                  <w:name w:val=""/>
                  <w:enabled/>
                  <w:calcOnExit w:val="0"/>
                  <w:checkBox>
                    <w:sizeAuto/>
                    <w:default w:val="1"/>
                  </w:checkBox>
                </w:ffData>
              </w:fldChar>
            </w:r>
            <w:r w:rsidRPr="00512D20">
              <w:rPr>
                <w:rFonts w:ascii="Arial Narrow" w:hAnsi="Arial Narrow"/>
                <w:sz w:val="20"/>
              </w:rPr>
              <w:instrText xml:space="preserve"> FORMCHECKBOX </w:instrText>
            </w:r>
            <w:r w:rsidR="00CE7EC7">
              <w:rPr>
                <w:rFonts w:ascii="Arial Narrow" w:hAnsi="Arial Narrow"/>
                <w:sz w:val="20"/>
              </w:rPr>
            </w:r>
            <w:r w:rsidR="00CE7EC7">
              <w:rPr>
                <w:rFonts w:ascii="Arial Narrow" w:hAnsi="Arial Narrow"/>
                <w:sz w:val="20"/>
              </w:rPr>
              <w:fldChar w:fldCharType="separate"/>
            </w:r>
            <w:r w:rsidRPr="00512D20">
              <w:rPr>
                <w:rFonts w:ascii="Arial Narrow" w:hAnsi="Arial Narrow"/>
                <w:sz w:val="20"/>
              </w:rPr>
              <w:fldChar w:fldCharType="end"/>
            </w:r>
            <w:r w:rsidRPr="00512D20">
              <w:rPr>
                <w:rFonts w:ascii="Arial Narrow" w:hAnsi="Arial Narrow"/>
                <w:sz w:val="20"/>
              </w:rPr>
              <w:t>Medical Practitioners</w:t>
            </w:r>
          </w:p>
        </w:tc>
      </w:tr>
      <w:tr w:rsidR="00F6118B" w:rsidRPr="00512D20" w14:paraId="7146A6FA" w14:textId="77777777" w:rsidTr="00F6118B">
        <w:trPr>
          <w:trHeight w:val="446"/>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3D8609" w14:textId="77777777" w:rsidR="00F6118B" w:rsidRPr="00512D20" w:rsidRDefault="00F6118B" w:rsidP="00460084">
            <w:pPr>
              <w:rPr>
                <w:rFonts w:ascii="Arial Narrow" w:hAnsi="Arial Narrow"/>
                <w:b/>
                <w:sz w:val="20"/>
              </w:rPr>
            </w:pPr>
            <w:r w:rsidRPr="00512D20">
              <w:rPr>
                <w:rFonts w:ascii="Arial Narrow" w:hAnsi="Arial Narrow"/>
                <w:b/>
                <w:sz w:val="20"/>
              </w:rPr>
              <w:t>Restriction Level / Method:</w:t>
            </w:r>
          </w:p>
          <w:p w14:paraId="794BF017" w14:textId="77777777" w:rsidR="00F6118B" w:rsidRPr="00512D20" w:rsidRDefault="00F6118B" w:rsidP="00460084">
            <w:pPr>
              <w:rPr>
                <w:rFonts w:ascii="Arial Narrow" w:hAnsi="Arial Narrow"/>
                <w:sz w:val="20"/>
                <w:highlight w:val="green"/>
              </w:rPr>
            </w:pPr>
            <w:r w:rsidRPr="00512D20">
              <w:rPr>
                <w:rFonts w:ascii="Arial Narrow" w:hAnsi="Arial Narrow"/>
                <w:sz w:val="20"/>
              </w:rPr>
              <w:fldChar w:fldCharType="begin" w:fldLock="1">
                <w:ffData>
                  <w:name w:val="Check3"/>
                  <w:enabled/>
                  <w:calcOnExit w:val="0"/>
                  <w:checkBox>
                    <w:sizeAuto/>
                    <w:default w:val="1"/>
                  </w:checkBox>
                </w:ffData>
              </w:fldChar>
            </w:r>
            <w:r w:rsidRPr="00512D20">
              <w:rPr>
                <w:rFonts w:ascii="Arial Narrow" w:hAnsi="Arial Narrow"/>
                <w:sz w:val="20"/>
              </w:rPr>
              <w:instrText xml:space="preserve"> FORMCHECKBOX </w:instrText>
            </w:r>
            <w:r w:rsidR="00CE7EC7">
              <w:rPr>
                <w:rFonts w:ascii="Arial Narrow" w:hAnsi="Arial Narrow"/>
                <w:sz w:val="20"/>
              </w:rPr>
            </w:r>
            <w:r w:rsidR="00CE7EC7">
              <w:rPr>
                <w:rFonts w:ascii="Arial Narrow" w:hAnsi="Arial Narrow"/>
                <w:sz w:val="20"/>
              </w:rPr>
              <w:fldChar w:fldCharType="separate"/>
            </w:r>
            <w:r w:rsidRPr="00512D20">
              <w:rPr>
                <w:rFonts w:ascii="Arial Narrow" w:hAnsi="Arial Narrow"/>
                <w:sz w:val="20"/>
              </w:rPr>
              <w:fldChar w:fldCharType="end"/>
            </w:r>
            <w:r w:rsidRPr="00512D20">
              <w:rPr>
                <w:rFonts w:ascii="Arial Narrow" w:hAnsi="Arial Narrow"/>
                <w:sz w:val="20"/>
              </w:rPr>
              <w:t>Authority Required – Telephone/Online PBS Authorities immediate assessment</w:t>
            </w:r>
          </w:p>
        </w:tc>
      </w:tr>
      <w:tr w:rsidR="00F6118B" w:rsidRPr="00512D20" w14:paraId="36027BB2" w14:textId="77777777" w:rsidTr="00F6118B">
        <w:trPr>
          <w:trHeight w:val="446"/>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B0128B" w14:textId="77777777" w:rsidR="00F6118B" w:rsidRPr="00512D20" w:rsidRDefault="00F6118B" w:rsidP="00460084">
            <w:pPr>
              <w:rPr>
                <w:rFonts w:ascii="Arial Narrow" w:hAnsi="Arial Narrow"/>
                <w:b/>
                <w:bCs/>
                <w:sz w:val="20"/>
              </w:rPr>
            </w:pPr>
            <w:r w:rsidRPr="00512D20">
              <w:rPr>
                <w:rFonts w:ascii="Arial Narrow" w:hAnsi="Arial Narrow"/>
                <w:b/>
                <w:bCs/>
                <w:sz w:val="20"/>
              </w:rPr>
              <w:t>Administrative Advice:</w:t>
            </w:r>
          </w:p>
          <w:p w14:paraId="40B68B15" w14:textId="35F72002" w:rsidR="00F6118B" w:rsidRPr="00512D20" w:rsidRDefault="00F6118B" w:rsidP="00460084">
            <w:pPr>
              <w:rPr>
                <w:rFonts w:ascii="Arial Narrow" w:hAnsi="Arial Narrow"/>
                <w:sz w:val="20"/>
              </w:rPr>
            </w:pPr>
            <w:r w:rsidRPr="00512D20">
              <w:rPr>
                <w:rFonts w:ascii="Arial Narrow" w:hAnsi="Arial Narrow"/>
                <w:sz w:val="20"/>
              </w:rPr>
              <w:t>Special Pricing Arrangements apply.</w:t>
            </w:r>
          </w:p>
        </w:tc>
      </w:tr>
      <w:tr w:rsidR="00F6118B" w:rsidRPr="00512D20" w14:paraId="2772E1D0" w14:textId="77777777" w:rsidTr="00F6118B">
        <w:trPr>
          <w:trHeight w:val="446"/>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915003" w14:textId="77777777" w:rsidR="00F6118B" w:rsidRPr="00512D20" w:rsidRDefault="00F6118B" w:rsidP="00460084">
            <w:pPr>
              <w:rPr>
                <w:rFonts w:ascii="Arial Narrow" w:hAnsi="Arial Narrow"/>
                <w:b/>
                <w:bCs/>
                <w:sz w:val="20"/>
              </w:rPr>
            </w:pPr>
            <w:r w:rsidRPr="00512D20">
              <w:rPr>
                <w:rFonts w:ascii="Arial Narrow" w:hAnsi="Arial Narrow"/>
                <w:b/>
                <w:bCs/>
                <w:sz w:val="20"/>
              </w:rPr>
              <w:t>Administrative Advice:</w:t>
            </w:r>
          </w:p>
          <w:p w14:paraId="03B73B84" w14:textId="77777777" w:rsidR="00F6118B" w:rsidRPr="00512D20" w:rsidRDefault="00F6118B" w:rsidP="00460084">
            <w:pPr>
              <w:rPr>
                <w:rFonts w:ascii="Arial Narrow" w:hAnsi="Arial Narrow"/>
                <w:b/>
                <w:sz w:val="20"/>
              </w:rPr>
            </w:pPr>
            <w:r w:rsidRPr="00512D20">
              <w:rPr>
                <w:rFonts w:ascii="Arial Narrow" w:hAnsi="Arial Narrow"/>
                <w:bCs/>
                <w:sz w:val="20"/>
              </w:rPr>
              <w:t>No increase in the maximum number of repeats may be authorised.</w:t>
            </w:r>
          </w:p>
        </w:tc>
      </w:tr>
      <w:tr w:rsidR="00F6118B" w:rsidRPr="00512D20" w14:paraId="62488A61" w14:textId="77777777" w:rsidTr="00F6118B">
        <w:trPr>
          <w:trHeight w:val="446"/>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F3B895" w14:textId="77777777" w:rsidR="00F6118B" w:rsidRPr="00512D20" w:rsidRDefault="00F6118B" w:rsidP="00460084">
            <w:pPr>
              <w:rPr>
                <w:rFonts w:ascii="Arial Narrow" w:hAnsi="Arial Narrow"/>
                <w:b/>
                <w:bCs/>
                <w:sz w:val="20"/>
              </w:rPr>
            </w:pPr>
            <w:r w:rsidRPr="00512D20">
              <w:rPr>
                <w:rFonts w:ascii="Arial Narrow" w:hAnsi="Arial Narrow"/>
                <w:b/>
                <w:bCs/>
                <w:sz w:val="20"/>
              </w:rPr>
              <w:t>Administrative Advice:</w:t>
            </w:r>
          </w:p>
          <w:p w14:paraId="6BFCF4CF" w14:textId="77777777" w:rsidR="00F6118B" w:rsidRPr="00512D20" w:rsidRDefault="00F6118B" w:rsidP="00460084">
            <w:pPr>
              <w:rPr>
                <w:rFonts w:ascii="Arial Narrow" w:hAnsi="Arial Narrow"/>
                <w:b/>
                <w:sz w:val="20"/>
              </w:rPr>
            </w:pPr>
            <w:r w:rsidRPr="00512D20">
              <w:rPr>
                <w:rFonts w:ascii="Arial Narrow" w:hAnsi="Arial Narrow"/>
                <w:bCs/>
                <w:sz w:val="20"/>
              </w:rPr>
              <w:t>No increase in the maximum quantity or number of units may be authorised.</w:t>
            </w:r>
          </w:p>
        </w:tc>
      </w:tr>
      <w:tr w:rsidR="00F6118B" w:rsidRPr="00512D20" w14:paraId="12B2B88F"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EF3AE2" w14:textId="77777777" w:rsidR="00F6118B" w:rsidRPr="00512D20" w:rsidDel="00706688" w:rsidRDefault="00F6118B" w:rsidP="00460084">
            <w:pPr>
              <w:rPr>
                <w:rFonts w:ascii="Arial Narrow" w:hAnsi="Arial Narrow"/>
                <w:b/>
                <w:bCs/>
                <w:strike/>
                <w:sz w:val="20"/>
              </w:rPr>
            </w:pPr>
          </w:p>
        </w:tc>
      </w:tr>
      <w:tr w:rsidR="00512D20" w:rsidRPr="00512D20" w14:paraId="734B1176"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5F1239" w14:textId="77777777" w:rsidR="00512D20" w:rsidRPr="00512D20" w:rsidDel="00706688" w:rsidRDefault="00512D20" w:rsidP="00460084">
            <w:pPr>
              <w:rPr>
                <w:rFonts w:ascii="Arial Narrow" w:hAnsi="Arial Narrow"/>
                <w:b/>
                <w:bCs/>
                <w:strike/>
                <w:sz w:val="20"/>
              </w:rPr>
            </w:pPr>
            <w:r w:rsidRPr="00512D20">
              <w:rPr>
                <w:rFonts w:ascii="Arial Narrow" w:eastAsia="Calibri" w:hAnsi="Arial Narrow"/>
                <w:b/>
                <w:sz w:val="20"/>
                <w:szCs w:val="20"/>
              </w:rPr>
              <w:t>Restriction Summary [New] / Treatment of Concept: [New]</w:t>
            </w:r>
          </w:p>
        </w:tc>
      </w:tr>
      <w:tr w:rsidR="00F6118B" w:rsidRPr="00512D20" w14:paraId="3D988C96"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6AD5CB" w14:textId="77777777" w:rsidR="00F6118B" w:rsidRPr="00512D20" w:rsidRDefault="00F6118B" w:rsidP="00460084">
            <w:pPr>
              <w:rPr>
                <w:rFonts w:ascii="Arial Narrow" w:hAnsi="Arial Narrow"/>
                <w:sz w:val="20"/>
              </w:rPr>
            </w:pPr>
            <w:r w:rsidRPr="00512D20">
              <w:rPr>
                <w:rFonts w:ascii="Arial Narrow" w:hAnsi="Arial Narrow"/>
                <w:b/>
                <w:bCs/>
                <w:sz w:val="20"/>
              </w:rPr>
              <w:t>Indication:</w:t>
            </w:r>
            <w:r w:rsidRPr="00512D20">
              <w:rPr>
                <w:rFonts w:ascii="Arial Narrow" w:hAnsi="Arial Narrow"/>
                <w:sz w:val="20"/>
              </w:rPr>
              <w:t xml:space="preserve"> Systemic lupus erythematosus</w:t>
            </w:r>
          </w:p>
        </w:tc>
      </w:tr>
      <w:tr w:rsidR="00F6118B" w:rsidRPr="00512D20" w14:paraId="297EF62C"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248E97" w14:textId="77777777" w:rsidR="00F6118B" w:rsidRPr="00512D20" w:rsidRDefault="00F6118B" w:rsidP="00460084">
            <w:pPr>
              <w:rPr>
                <w:rFonts w:ascii="Arial Narrow" w:hAnsi="Arial Narrow"/>
                <w:sz w:val="20"/>
                <w:highlight w:val="green"/>
                <w:lang w:eastAsia="en-US"/>
              </w:rPr>
            </w:pPr>
            <w:r w:rsidRPr="00512D20">
              <w:rPr>
                <w:rFonts w:ascii="Arial Narrow" w:hAnsi="Arial Narrow"/>
                <w:b/>
                <w:bCs/>
                <w:sz w:val="20"/>
              </w:rPr>
              <w:t>Treatment Phase:</w:t>
            </w:r>
            <w:r w:rsidRPr="00512D20">
              <w:rPr>
                <w:rFonts w:ascii="Arial Narrow" w:hAnsi="Arial Narrow"/>
                <w:sz w:val="20"/>
              </w:rPr>
              <w:t xml:space="preserve"> Continuing or recommencement of treatment (within 12 months of a treatment break)</w:t>
            </w:r>
          </w:p>
        </w:tc>
      </w:tr>
      <w:tr w:rsidR="00F6118B" w:rsidRPr="00512D20" w14:paraId="75E2B74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5BA557" w14:textId="77777777" w:rsidR="00F6118B" w:rsidRPr="00512D20" w:rsidRDefault="00F6118B" w:rsidP="00460084">
            <w:pPr>
              <w:rPr>
                <w:rFonts w:ascii="Arial Narrow" w:eastAsiaTheme="minorHAnsi" w:hAnsi="Arial Narrow"/>
                <w:b/>
                <w:bCs/>
                <w:sz w:val="20"/>
              </w:rPr>
            </w:pPr>
          </w:p>
        </w:tc>
      </w:tr>
      <w:tr w:rsidR="00F6118B" w:rsidRPr="00512D20" w14:paraId="489772D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D49CFE" w14:textId="77777777" w:rsidR="00F6118B" w:rsidRPr="00512D20" w:rsidRDefault="00F6118B" w:rsidP="00460084">
            <w:pPr>
              <w:rPr>
                <w:rFonts w:ascii="Arial Narrow" w:hAnsi="Arial Narrow"/>
                <w:b/>
                <w:bCs/>
                <w:sz w:val="20"/>
              </w:rPr>
            </w:pPr>
            <w:r w:rsidRPr="00512D20">
              <w:rPr>
                <w:rFonts w:ascii="Arial Narrow" w:hAnsi="Arial Narrow"/>
                <w:b/>
                <w:bCs/>
                <w:sz w:val="20"/>
              </w:rPr>
              <w:t>Clinical criteria:</w:t>
            </w:r>
          </w:p>
        </w:tc>
      </w:tr>
      <w:tr w:rsidR="00F6118B" w:rsidRPr="00512D20" w14:paraId="32E942D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C30024" w14:textId="77777777" w:rsidR="00F6118B" w:rsidRPr="00512D20" w:rsidRDefault="00F6118B" w:rsidP="00460084">
            <w:pPr>
              <w:rPr>
                <w:rFonts w:ascii="Arial Narrow" w:hAnsi="Arial Narrow"/>
                <w:sz w:val="20"/>
              </w:rPr>
            </w:pPr>
            <w:r w:rsidRPr="00512D20">
              <w:rPr>
                <w:rFonts w:ascii="Arial Narrow" w:hAnsi="Arial Narrow"/>
                <w:sz w:val="20"/>
              </w:rPr>
              <w:t xml:space="preserve">Patient must have previously been issued with an authority prescription for this drug for this condition. </w:t>
            </w:r>
          </w:p>
        </w:tc>
      </w:tr>
      <w:tr w:rsidR="00F6118B" w:rsidRPr="00512D20" w14:paraId="075AC2A1"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0FD491" w14:textId="77777777" w:rsidR="00F6118B" w:rsidRPr="00512D20" w:rsidRDefault="00F6118B" w:rsidP="00460084">
            <w:pPr>
              <w:rPr>
                <w:rFonts w:ascii="Arial Narrow" w:hAnsi="Arial Narrow"/>
                <w:sz w:val="20"/>
                <w:szCs w:val="20"/>
              </w:rPr>
            </w:pPr>
            <w:r w:rsidRPr="00512D20">
              <w:rPr>
                <w:rFonts w:ascii="Arial Narrow" w:hAnsi="Arial Narrow"/>
                <w:b/>
                <w:sz w:val="20"/>
                <w:szCs w:val="20"/>
              </w:rPr>
              <w:t>AND</w:t>
            </w:r>
          </w:p>
        </w:tc>
      </w:tr>
      <w:tr w:rsidR="00F6118B" w:rsidRPr="00512D20" w14:paraId="52B3D206"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A316EF" w14:textId="77777777" w:rsidR="00F6118B" w:rsidRPr="00512D20" w:rsidRDefault="00F6118B" w:rsidP="00460084">
            <w:pPr>
              <w:rPr>
                <w:rFonts w:ascii="Arial Narrow" w:hAnsi="Arial Narrow"/>
                <w:sz w:val="20"/>
              </w:rPr>
            </w:pPr>
            <w:r w:rsidRPr="00512D20">
              <w:rPr>
                <w:rFonts w:ascii="Arial Narrow" w:hAnsi="Arial Narrow"/>
                <w:b/>
                <w:bCs/>
                <w:sz w:val="20"/>
              </w:rPr>
              <w:t>Clinical criteria:</w:t>
            </w:r>
          </w:p>
        </w:tc>
      </w:tr>
      <w:tr w:rsidR="00F6118B" w:rsidRPr="00512D20" w14:paraId="5665B0B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16AFDE" w14:textId="77777777" w:rsidR="00F6118B" w:rsidRPr="00512D20" w:rsidRDefault="00F6118B" w:rsidP="00F6118B">
            <w:pPr>
              <w:ind w:right="77"/>
              <w:rPr>
                <w:rFonts w:ascii="Arial Narrow" w:hAnsi="Arial Narrow"/>
                <w:sz w:val="20"/>
              </w:rPr>
            </w:pPr>
            <w:r w:rsidRPr="00512D20">
              <w:rPr>
                <w:rFonts w:ascii="Arial Narrow" w:hAnsi="Arial Narrow"/>
                <w:sz w:val="20"/>
              </w:rPr>
              <w:t>Patient must be responding to treatment if they have received less than 12 months of treatment with this drug for this condition; OR</w:t>
            </w:r>
          </w:p>
        </w:tc>
      </w:tr>
      <w:tr w:rsidR="00F6118B" w:rsidRPr="00512D20" w14:paraId="7DDF3903"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390E1C" w14:textId="77777777" w:rsidR="00F6118B" w:rsidRPr="00512D20" w:rsidRDefault="00F6118B" w:rsidP="00F6118B">
            <w:pPr>
              <w:ind w:right="77"/>
              <w:rPr>
                <w:rFonts w:ascii="Arial Narrow" w:hAnsi="Arial Narrow"/>
                <w:sz w:val="20"/>
              </w:rPr>
            </w:pPr>
            <w:r w:rsidRPr="00512D20">
              <w:rPr>
                <w:rFonts w:ascii="Arial Narrow" w:eastAsiaTheme="majorEastAsia" w:hAnsi="Arial Narrow"/>
                <w:sz w:val="20"/>
                <w:szCs w:val="20"/>
                <w:lang w:bidi="en-US"/>
              </w:rPr>
              <w:t xml:space="preserve">Patient must have attained a Lupus Low Disease Activity State (LLDAS) and maintained this state while on treatment </w:t>
            </w:r>
          </w:p>
        </w:tc>
      </w:tr>
      <w:tr w:rsidR="00F6118B" w:rsidRPr="00512D20" w14:paraId="3F1B4BDB" w14:textId="77777777" w:rsidTr="00F6118B">
        <w:trPr>
          <w:trHeight w:val="198"/>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D074BE" w14:textId="77777777" w:rsidR="00F6118B" w:rsidRPr="00512D20" w:rsidRDefault="00F6118B" w:rsidP="00F6118B">
            <w:pPr>
              <w:ind w:right="77"/>
              <w:rPr>
                <w:rFonts w:ascii="Arial Narrow" w:eastAsiaTheme="majorEastAsia" w:hAnsi="Arial Narrow"/>
                <w:b/>
                <w:bCs/>
                <w:sz w:val="20"/>
                <w:szCs w:val="20"/>
                <w:lang w:bidi="en-US"/>
              </w:rPr>
            </w:pPr>
            <w:r w:rsidRPr="00512D20">
              <w:rPr>
                <w:rFonts w:ascii="Arial Narrow" w:eastAsiaTheme="majorEastAsia" w:hAnsi="Arial Narrow"/>
                <w:b/>
                <w:bCs/>
                <w:sz w:val="20"/>
                <w:szCs w:val="20"/>
                <w:lang w:bidi="en-US"/>
              </w:rPr>
              <w:t>AND</w:t>
            </w:r>
          </w:p>
        </w:tc>
      </w:tr>
      <w:tr w:rsidR="00F6118B" w:rsidRPr="00512D20" w14:paraId="759E6187" w14:textId="77777777" w:rsidTr="00F6118B">
        <w:trPr>
          <w:trHeight w:val="216"/>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279C27" w14:textId="77777777" w:rsidR="00F6118B" w:rsidRPr="00512D20" w:rsidRDefault="00F6118B" w:rsidP="00F6118B">
            <w:pPr>
              <w:ind w:right="77"/>
              <w:rPr>
                <w:rFonts w:ascii="Arial Narrow" w:eastAsiaTheme="majorEastAsia" w:hAnsi="Arial Narrow"/>
                <w:sz w:val="20"/>
                <w:szCs w:val="20"/>
                <w:lang w:bidi="en-US"/>
              </w:rPr>
            </w:pPr>
            <w:r w:rsidRPr="00512D20">
              <w:rPr>
                <w:rFonts w:ascii="Arial Narrow" w:hAnsi="Arial Narrow"/>
                <w:b/>
                <w:bCs/>
                <w:sz w:val="20"/>
              </w:rPr>
              <w:t>Treatment criteria:</w:t>
            </w:r>
          </w:p>
        </w:tc>
      </w:tr>
      <w:tr w:rsidR="00F6118B" w:rsidRPr="00512D20" w14:paraId="0A623B0B" w14:textId="77777777" w:rsidTr="00F6118B">
        <w:trPr>
          <w:trHeight w:val="234"/>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FF4762" w14:textId="77777777" w:rsidR="00F6118B" w:rsidRPr="00512D20" w:rsidRDefault="00F6118B" w:rsidP="00F6118B">
            <w:pPr>
              <w:ind w:right="77"/>
              <w:rPr>
                <w:rFonts w:ascii="Arial Narrow" w:eastAsiaTheme="majorEastAsia" w:hAnsi="Arial Narrow"/>
                <w:sz w:val="20"/>
                <w:szCs w:val="20"/>
                <w:lang w:bidi="en-US"/>
              </w:rPr>
            </w:pPr>
            <w:r w:rsidRPr="00512D20">
              <w:rPr>
                <w:rFonts w:ascii="Arial Narrow" w:hAnsi="Arial Narrow"/>
                <w:sz w:val="20"/>
              </w:rPr>
              <w:t>Must be treated by a specialist physician experienced in the management of this condition</w:t>
            </w:r>
          </w:p>
        </w:tc>
      </w:tr>
      <w:tr w:rsidR="00F6118B" w:rsidRPr="00512D20" w14:paraId="6325F538" w14:textId="77777777" w:rsidTr="00F6118B">
        <w:trPr>
          <w:trHeight w:val="335"/>
        </w:trPr>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710DA9" w14:textId="77777777" w:rsidR="00F6118B" w:rsidRPr="00512D20" w:rsidRDefault="00F6118B" w:rsidP="00F6118B">
            <w:pPr>
              <w:ind w:right="77"/>
              <w:rPr>
                <w:rFonts w:ascii="Arial Narrow" w:eastAsiaTheme="majorEastAsia" w:hAnsi="Arial Narrow"/>
                <w:sz w:val="20"/>
                <w:szCs w:val="20"/>
                <w:lang w:bidi="en-US"/>
              </w:rPr>
            </w:pPr>
          </w:p>
        </w:tc>
      </w:tr>
      <w:tr w:rsidR="00F6118B" w:rsidRPr="00512D20" w14:paraId="099F1F0F"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57581E" w14:textId="77777777" w:rsidR="00F6118B" w:rsidRPr="00512D20" w:rsidRDefault="00F6118B" w:rsidP="00F6118B">
            <w:pPr>
              <w:spacing w:after="120"/>
              <w:ind w:right="77"/>
              <w:rPr>
                <w:rFonts w:ascii="Arial Narrow" w:eastAsiaTheme="majorEastAsia" w:hAnsi="Arial Narrow"/>
                <w:b/>
                <w:bCs/>
                <w:sz w:val="20"/>
                <w:szCs w:val="20"/>
                <w:lang w:bidi="en-US"/>
              </w:rPr>
            </w:pPr>
            <w:r w:rsidRPr="00512D20">
              <w:rPr>
                <w:rFonts w:ascii="Arial Narrow" w:eastAsiaTheme="majorEastAsia" w:hAnsi="Arial Narrow"/>
                <w:b/>
                <w:bCs/>
                <w:sz w:val="20"/>
                <w:szCs w:val="20"/>
                <w:lang w:bidi="en-US"/>
              </w:rPr>
              <w:t>Prescribing Instructions:</w:t>
            </w:r>
          </w:p>
          <w:p w14:paraId="08DC4354" w14:textId="77777777" w:rsidR="00F6118B" w:rsidRPr="00512D20" w:rsidRDefault="00F6118B" w:rsidP="00F6118B">
            <w:pPr>
              <w:spacing w:after="120"/>
              <w:ind w:right="77"/>
              <w:rPr>
                <w:rFonts w:ascii="Arial Narrow" w:eastAsiaTheme="majorEastAsia" w:hAnsi="Arial Narrow"/>
                <w:sz w:val="20"/>
                <w:szCs w:val="20"/>
                <w:lang w:bidi="en-US"/>
              </w:rPr>
            </w:pPr>
            <w:r w:rsidRPr="00512D20">
              <w:rPr>
                <w:rFonts w:ascii="Arial Narrow" w:eastAsiaTheme="majorEastAsia" w:hAnsi="Arial Narrow"/>
                <w:sz w:val="20"/>
                <w:szCs w:val="20"/>
                <w:lang w:bidi="en-US"/>
              </w:rPr>
              <w:t>Lupus Low Disease Activity State (LLDAS) is defined as:</w:t>
            </w:r>
          </w:p>
          <w:p w14:paraId="050FAB7C" w14:textId="13A5249B" w:rsidR="00F6118B" w:rsidRPr="00512D20" w:rsidRDefault="00F6118B" w:rsidP="00F6118B">
            <w:pPr>
              <w:pStyle w:val="ListParagraph"/>
              <w:numPr>
                <w:ilvl w:val="0"/>
                <w:numId w:val="34"/>
              </w:numPr>
              <w:spacing w:after="0"/>
              <w:ind w:right="77"/>
              <w:contextualSpacing/>
              <w:rPr>
                <w:rFonts w:ascii="Arial Narrow" w:eastAsiaTheme="majorEastAsia" w:hAnsi="Arial Narrow"/>
                <w:sz w:val="20"/>
                <w:szCs w:val="20"/>
                <w:lang w:bidi="en-US"/>
              </w:rPr>
            </w:pPr>
            <w:r w:rsidRPr="00512D20">
              <w:rPr>
                <w:rFonts w:ascii="Arial Narrow" w:eastAsiaTheme="majorEastAsia" w:hAnsi="Arial Narrow"/>
                <w:sz w:val="20"/>
                <w:szCs w:val="20"/>
                <w:lang w:bidi="en-US"/>
              </w:rPr>
              <w:lastRenderedPageBreak/>
              <w:t>Total SLEDAI-2K of not greater than 4, with no major activity in major organ systems (renal, central nervous system (CNS), cardiopulmonary, vasculitis, fever); and</w:t>
            </w:r>
          </w:p>
          <w:p w14:paraId="45326FD7" w14:textId="77777777" w:rsidR="00F6118B" w:rsidRPr="00512D20" w:rsidRDefault="00F6118B" w:rsidP="00F6118B">
            <w:pPr>
              <w:pStyle w:val="ListBullet"/>
              <w:numPr>
                <w:ilvl w:val="0"/>
                <w:numId w:val="34"/>
              </w:numPr>
              <w:spacing w:line="256" w:lineRule="auto"/>
              <w:ind w:right="77"/>
              <w:rPr>
                <w:lang w:eastAsia="en-US" w:bidi="en-US"/>
              </w:rPr>
            </w:pPr>
            <w:r w:rsidRPr="00512D20">
              <w:rPr>
                <w:rFonts w:ascii="Arial Narrow" w:hAnsi="Arial Narrow"/>
                <w:sz w:val="20"/>
                <w:szCs w:val="20"/>
                <w:lang w:eastAsia="en-US" w:bidi="en-US"/>
              </w:rPr>
              <w:t>No new features of lupus disease activity compared with the previous assessment, and</w:t>
            </w:r>
          </w:p>
          <w:p w14:paraId="3AF962FF" w14:textId="25475E15" w:rsidR="00F6118B" w:rsidRPr="00512D20" w:rsidRDefault="00F6118B" w:rsidP="00F6118B">
            <w:pPr>
              <w:pStyle w:val="ListBullet"/>
              <w:numPr>
                <w:ilvl w:val="0"/>
                <w:numId w:val="34"/>
              </w:numPr>
              <w:spacing w:line="256" w:lineRule="auto"/>
              <w:ind w:right="77"/>
              <w:rPr>
                <w:lang w:eastAsia="en-US" w:bidi="en-US"/>
              </w:rPr>
            </w:pPr>
            <w:r w:rsidRPr="00512D20">
              <w:rPr>
                <w:rFonts w:ascii="Arial Narrow" w:hAnsi="Arial Narrow"/>
                <w:sz w:val="20"/>
                <w:szCs w:val="20"/>
                <w:lang w:eastAsia="en-US" w:bidi="en-US"/>
              </w:rPr>
              <w:t xml:space="preserve">Physician Global Assessment (PGA) of </w:t>
            </w:r>
            <w:r w:rsidRPr="00512D20">
              <w:rPr>
                <w:rFonts w:ascii="Arial Narrow" w:eastAsiaTheme="majorEastAsia" w:hAnsi="Arial Narrow"/>
                <w:sz w:val="20"/>
                <w:szCs w:val="20"/>
                <w:lang w:bidi="en-US"/>
              </w:rPr>
              <w:t xml:space="preserve">not greater than </w:t>
            </w:r>
            <w:r w:rsidRPr="00512D20">
              <w:rPr>
                <w:rFonts w:ascii="Arial Narrow" w:hAnsi="Arial Narrow"/>
                <w:sz w:val="20"/>
                <w:szCs w:val="20"/>
                <w:lang w:eastAsia="en-US" w:bidi="en-US"/>
              </w:rPr>
              <w:t>1, and</w:t>
            </w:r>
          </w:p>
          <w:p w14:paraId="0C57ACF4" w14:textId="6E85D1E3" w:rsidR="00F6118B" w:rsidRPr="00512D20" w:rsidRDefault="00F6118B" w:rsidP="00F6118B">
            <w:pPr>
              <w:pStyle w:val="ListBullet"/>
              <w:numPr>
                <w:ilvl w:val="0"/>
                <w:numId w:val="34"/>
              </w:numPr>
              <w:spacing w:line="256" w:lineRule="auto"/>
              <w:ind w:right="77"/>
              <w:rPr>
                <w:rFonts w:ascii="Arial Narrow" w:hAnsi="Arial Narrow"/>
                <w:sz w:val="20"/>
                <w:szCs w:val="20"/>
                <w:lang w:eastAsia="en-US" w:bidi="en-US"/>
              </w:rPr>
            </w:pPr>
            <w:r w:rsidRPr="00512D20">
              <w:rPr>
                <w:rFonts w:ascii="Arial Narrow" w:hAnsi="Arial Narrow"/>
                <w:sz w:val="20"/>
                <w:szCs w:val="20"/>
                <w:lang w:eastAsia="en-US" w:bidi="en-US"/>
              </w:rPr>
              <w:t>Current prednisolone (or equivalent) dose of not greater than 7.5 mg daily, and</w:t>
            </w:r>
          </w:p>
          <w:p w14:paraId="1A92B7BA" w14:textId="77777777" w:rsidR="00F6118B" w:rsidRPr="00512D20" w:rsidRDefault="00F6118B" w:rsidP="00F6118B">
            <w:pPr>
              <w:pStyle w:val="ListBullet"/>
              <w:numPr>
                <w:ilvl w:val="0"/>
                <w:numId w:val="34"/>
              </w:numPr>
              <w:spacing w:line="256" w:lineRule="auto"/>
              <w:ind w:right="77"/>
              <w:rPr>
                <w:lang w:eastAsia="en-US" w:bidi="en-US"/>
              </w:rPr>
            </w:pPr>
            <w:r w:rsidRPr="00512D20">
              <w:rPr>
                <w:rFonts w:ascii="Arial Narrow" w:hAnsi="Arial Narrow"/>
                <w:sz w:val="20"/>
                <w:szCs w:val="20"/>
                <w:lang w:eastAsia="en-US" w:bidi="en-US"/>
              </w:rPr>
              <w:t>Well tolerated standard maintenance doses of anti-malarial and immunosuppressive drugs are allowed</w:t>
            </w:r>
          </w:p>
        </w:tc>
      </w:tr>
      <w:tr w:rsidR="00F6118B" w:rsidRPr="00512D20" w14:paraId="41F49342"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79557A" w14:textId="77777777" w:rsidR="00F6118B" w:rsidRPr="00512D20" w:rsidRDefault="00F6118B" w:rsidP="00F6118B">
            <w:pPr>
              <w:ind w:right="77"/>
              <w:rPr>
                <w:rFonts w:ascii="Arial Narrow" w:hAnsi="Arial Narrow"/>
                <w:sz w:val="20"/>
                <w:lang w:eastAsia="en-US"/>
              </w:rPr>
            </w:pPr>
            <w:r w:rsidRPr="00512D20">
              <w:rPr>
                <w:rFonts w:ascii="Arial Narrow" w:hAnsi="Arial Narrow"/>
                <w:b/>
                <w:bCs/>
                <w:sz w:val="20"/>
              </w:rPr>
              <w:lastRenderedPageBreak/>
              <w:t>Administrative Advice:</w:t>
            </w:r>
          </w:p>
          <w:p w14:paraId="59D0FFDC" w14:textId="77777777" w:rsidR="00F6118B" w:rsidRPr="00512D20" w:rsidRDefault="00F6118B" w:rsidP="00F6118B">
            <w:pPr>
              <w:ind w:right="77"/>
              <w:rPr>
                <w:rFonts w:ascii="Arial Narrow" w:hAnsi="Arial Narrow"/>
                <w:sz w:val="20"/>
              </w:rPr>
            </w:pPr>
            <w:r w:rsidRPr="00512D20">
              <w:rPr>
                <w:rFonts w:ascii="Arial Narrow" w:hAnsi="Arial Narrow"/>
                <w:sz w:val="20"/>
              </w:rPr>
              <w:t>SLEDAI-2K can be accessed via Gladman 2002 J. Rheumatol. 29 (2) 288-291 or from AstraZeneca Medical Information on 1800 805 342.</w:t>
            </w:r>
          </w:p>
        </w:tc>
      </w:tr>
      <w:tr w:rsidR="00F6118B" w:rsidRPr="00512D20" w14:paraId="1F787E15"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678A7A" w14:textId="77777777" w:rsidR="00F6118B" w:rsidRPr="00512D20" w:rsidRDefault="00F6118B" w:rsidP="00F6118B">
            <w:pPr>
              <w:ind w:right="77"/>
              <w:rPr>
                <w:rFonts w:ascii="Arial Narrow" w:hAnsi="Arial Narrow"/>
                <w:b/>
                <w:bCs/>
                <w:sz w:val="20"/>
              </w:rPr>
            </w:pPr>
            <w:r w:rsidRPr="00512D20">
              <w:rPr>
                <w:rFonts w:ascii="Arial Narrow" w:hAnsi="Arial Narrow"/>
                <w:b/>
                <w:bCs/>
                <w:sz w:val="20"/>
              </w:rPr>
              <w:t>Administrative Advice:</w:t>
            </w:r>
          </w:p>
          <w:p w14:paraId="3A385DEF" w14:textId="17BC43AD" w:rsidR="00F6118B" w:rsidRPr="00512D20" w:rsidRDefault="00F6118B" w:rsidP="00F6118B">
            <w:pPr>
              <w:ind w:right="77"/>
              <w:rPr>
                <w:rFonts w:ascii="Arial Narrow" w:hAnsi="Arial Narrow"/>
                <w:color w:val="7030A0"/>
                <w:sz w:val="20"/>
              </w:rPr>
            </w:pPr>
            <w:r w:rsidRPr="00512D20">
              <w:rPr>
                <w:rFonts w:ascii="Arial Narrow" w:hAnsi="Arial Narrow"/>
                <w:sz w:val="20"/>
              </w:rPr>
              <w:t>PGA can be accessed via Petri 2005 N Engl J Med 353: 2550-8.</w:t>
            </w:r>
          </w:p>
        </w:tc>
      </w:tr>
      <w:tr w:rsidR="00F6118B" w:rsidRPr="00512D20" w14:paraId="1BC912DB"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DD5E26" w14:textId="77777777" w:rsidR="00F6118B" w:rsidRPr="00512D20" w:rsidRDefault="00F6118B" w:rsidP="00110CF9">
            <w:pPr>
              <w:keepNext/>
              <w:ind w:right="79"/>
              <w:rPr>
                <w:rFonts w:ascii="Arial Narrow" w:hAnsi="Arial Narrow"/>
                <w:b/>
                <w:bCs/>
                <w:sz w:val="20"/>
              </w:rPr>
            </w:pPr>
            <w:r w:rsidRPr="00512D20">
              <w:rPr>
                <w:rFonts w:ascii="Arial Narrow" w:hAnsi="Arial Narrow"/>
                <w:b/>
                <w:bCs/>
                <w:sz w:val="20"/>
              </w:rPr>
              <w:t>Prescribing Instruction:</w:t>
            </w:r>
          </w:p>
          <w:p w14:paraId="2571DA1B" w14:textId="77777777" w:rsidR="00F6118B" w:rsidRPr="00512D20" w:rsidRDefault="00F6118B" w:rsidP="00F6118B">
            <w:pPr>
              <w:ind w:right="77"/>
              <w:rPr>
                <w:rFonts w:ascii="Arial Narrow" w:hAnsi="Arial Narrow"/>
                <w:b/>
                <w:bCs/>
                <w:sz w:val="20"/>
              </w:rPr>
            </w:pPr>
            <w:r w:rsidRPr="00512D20">
              <w:rPr>
                <w:rFonts w:ascii="Arial Narrow" w:hAnsi="Arial Narrow"/>
                <w:sz w:val="20"/>
                <w:szCs w:val="20"/>
              </w:rPr>
              <w:t>Where re-treatment with anifrolumab after a break in PBS-subsidised treatment with anifrolumab is being sought, the date of cessation of the previous treatment course with anifrolumab must be included in the application. Re-commencement of treatment with anifrolumab for severe SLE is within 12 months from the date that treatment was ceased</w:t>
            </w:r>
          </w:p>
        </w:tc>
      </w:tr>
      <w:tr w:rsidR="00F6118B" w:rsidRPr="00512D20" w14:paraId="6E5254DD"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6D3334" w14:textId="77777777" w:rsidR="00F6118B" w:rsidRPr="00512D20" w:rsidRDefault="00F6118B" w:rsidP="00F6118B">
            <w:pPr>
              <w:ind w:right="77"/>
              <w:rPr>
                <w:rFonts w:ascii="Arial Narrow" w:hAnsi="Arial Narrow"/>
                <w:bCs/>
                <w:sz w:val="20"/>
              </w:rPr>
            </w:pPr>
          </w:p>
        </w:tc>
      </w:tr>
      <w:tr w:rsidR="00F6118B" w:rsidRPr="00512D20" w14:paraId="6BA929AC" w14:textId="77777777" w:rsidTr="00F6118B">
        <w:tc>
          <w:tcPr>
            <w:tcW w:w="5000" w:type="pct"/>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1686D6" w14:textId="77777777" w:rsidR="00F6118B" w:rsidRPr="00512D20" w:rsidRDefault="00F6118B" w:rsidP="00F6118B">
            <w:pPr>
              <w:ind w:right="77"/>
              <w:rPr>
                <w:rFonts w:ascii="Arial Narrow" w:hAnsi="Arial Narrow"/>
                <w:sz w:val="20"/>
              </w:rPr>
            </w:pPr>
            <w:r w:rsidRPr="00512D20">
              <w:rPr>
                <w:rFonts w:ascii="Arial Narrow" w:hAnsi="Arial Narrow"/>
                <w:b/>
                <w:bCs/>
                <w:sz w:val="20"/>
              </w:rPr>
              <w:t>Administrative Advice:</w:t>
            </w:r>
          </w:p>
          <w:p w14:paraId="523F90F7" w14:textId="77777777" w:rsidR="00F6118B" w:rsidRPr="00512D20" w:rsidDel="001F47C4" w:rsidRDefault="00F6118B" w:rsidP="00F6118B">
            <w:pPr>
              <w:ind w:right="77"/>
              <w:rPr>
                <w:rFonts w:ascii="Arial Narrow" w:hAnsi="Arial Narrow"/>
                <w:sz w:val="20"/>
              </w:rPr>
            </w:pPr>
            <w:r w:rsidRPr="00512D20">
              <w:rPr>
                <w:rFonts w:ascii="Arial Narrow" w:hAnsi="Arial Narrow"/>
                <w:sz w:val="20"/>
              </w:rPr>
              <w:t>Any queries concerning the arrangements to prescribe may be directed to Services Australia on 1800 700 270 (hours of operation 8 a.m. to 5 p.m. Monday to Friday).</w:t>
            </w:r>
          </w:p>
        </w:tc>
      </w:tr>
    </w:tbl>
    <w:bookmarkEnd w:id="103"/>
    <w:p w14:paraId="467F1E6E" w14:textId="77777777" w:rsidR="00C120DA" w:rsidRPr="006841AD" w:rsidRDefault="00C120DA" w:rsidP="00FA3EC9">
      <w:pPr>
        <w:tabs>
          <w:tab w:val="left" w:pos="1080"/>
        </w:tabs>
        <w:autoSpaceDE w:val="0"/>
        <w:autoSpaceDN w:val="0"/>
        <w:adjustRightInd w:val="0"/>
        <w:spacing w:before="120"/>
        <w:rPr>
          <w:rFonts w:asciiTheme="minorHAnsi" w:hAnsiTheme="minorHAnsi"/>
          <w:bCs/>
          <w:snapToGrid w:val="0"/>
        </w:rPr>
      </w:pPr>
      <w:r w:rsidRPr="00936FC8">
        <w:rPr>
          <w:rFonts w:asciiTheme="minorHAnsi" w:hAnsiTheme="minorHAnsi"/>
          <w:b/>
          <w:i/>
        </w:rPr>
        <w:t>This restriction may be subject to further review. Should there be any changes made to the restriction the Sponsor will be informed.</w:t>
      </w:r>
    </w:p>
    <w:p w14:paraId="6DF91695" w14:textId="77777777" w:rsidR="0020504B" w:rsidRPr="00292B48" w:rsidRDefault="0020504B" w:rsidP="0020504B">
      <w:pPr>
        <w:keepNext/>
        <w:numPr>
          <w:ilvl w:val="0"/>
          <w:numId w:val="1"/>
        </w:numPr>
        <w:spacing w:before="240" w:after="120"/>
        <w:jc w:val="left"/>
        <w:outlineLvl w:val="0"/>
        <w:rPr>
          <w:rFonts w:asciiTheme="minorHAnsi" w:hAnsiTheme="minorHAnsi"/>
          <w:b/>
          <w:bCs/>
          <w:snapToGrid w:val="0"/>
          <w:sz w:val="32"/>
          <w:szCs w:val="32"/>
          <w:lang w:val="en-GB"/>
        </w:rPr>
      </w:pPr>
      <w:r w:rsidRPr="00292B48">
        <w:rPr>
          <w:rFonts w:asciiTheme="minorHAnsi" w:hAnsiTheme="minorHAnsi"/>
          <w:b/>
          <w:snapToGrid w:val="0"/>
          <w:sz w:val="32"/>
          <w:szCs w:val="32"/>
        </w:rPr>
        <w:t>Context for Decision</w:t>
      </w:r>
    </w:p>
    <w:p w14:paraId="07E4515C" w14:textId="77777777" w:rsidR="0020504B" w:rsidRPr="00292B48" w:rsidRDefault="0020504B" w:rsidP="0020504B">
      <w:pPr>
        <w:spacing w:after="120"/>
        <w:ind w:left="720"/>
        <w:rPr>
          <w:rFonts w:asciiTheme="minorHAnsi" w:hAnsiTheme="minorHAnsi"/>
          <w:bCs/>
          <w:lang w:val="en-GB"/>
        </w:rPr>
      </w:pPr>
      <w:r w:rsidRPr="00292B4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D11FA61" w14:textId="77777777" w:rsidR="0020504B" w:rsidRPr="00292B48" w:rsidRDefault="0020504B" w:rsidP="0020504B">
      <w:pPr>
        <w:keepNext/>
        <w:numPr>
          <w:ilvl w:val="0"/>
          <w:numId w:val="1"/>
        </w:numPr>
        <w:spacing w:before="240" w:after="120"/>
        <w:jc w:val="left"/>
        <w:outlineLvl w:val="0"/>
        <w:rPr>
          <w:rFonts w:asciiTheme="minorHAnsi" w:hAnsiTheme="minorHAnsi"/>
          <w:b/>
          <w:snapToGrid w:val="0"/>
          <w:sz w:val="32"/>
          <w:szCs w:val="32"/>
        </w:rPr>
      </w:pPr>
      <w:r w:rsidRPr="00292B48">
        <w:rPr>
          <w:rFonts w:asciiTheme="minorHAnsi" w:hAnsiTheme="minorHAnsi"/>
          <w:b/>
          <w:snapToGrid w:val="0"/>
          <w:sz w:val="32"/>
          <w:szCs w:val="32"/>
        </w:rPr>
        <w:t>Sponsor’s Comment</w:t>
      </w:r>
    </w:p>
    <w:p w14:paraId="5FB92BD9" w14:textId="75550C7E" w:rsidR="0020504B" w:rsidRPr="00F30FCE" w:rsidRDefault="0020504B" w:rsidP="00F30FCE">
      <w:pPr>
        <w:spacing w:after="120" w:line="276" w:lineRule="auto"/>
        <w:ind w:left="720"/>
        <w:rPr>
          <w:rFonts w:asciiTheme="minorHAnsi" w:eastAsiaTheme="minorHAnsi" w:hAnsiTheme="minorHAnsi"/>
          <w:bCs/>
          <w:szCs w:val="22"/>
          <w:lang w:eastAsia="en-US"/>
        </w:rPr>
      </w:pPr>
      <w:r w:rsidRPr="00292B48">
        <w:rPr>
          <w:rFonts w:asciiTheme="minorHAnsi" w:eastAsiaTheme="minorHAnsi" w:hAnsiTheme="minorHAnsi"/>
          <w:bCs/>
          <w:szCs w:val="22"/>
          <w:lang w:eastAsia="en-US"/>
        </w:rPr>
        <w:t>The sponsor had no comment.</w:t>
      </w:r>
    </w:p>
    <w:sectPr w:rsidR="0020504B" w:rsidRPr="00F30FCE" w:rsidSect="00121AF0">
      <w:headerReference w:type="default" r:id="rId31"/>
      <w:footerReference w:type="default" r:id="rId3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54ADE" w14:textId="77777777" w:rsidR="009B2544" w:rsidRDefault="009B2544" w:rsidP="00124A51">
      <w:r>
        <w:separator/>
      </w:r>
    </w:p>
    <w:p w14:paraId="0B5625F5" w14:textId="77777777" w:rsidR="009B2544" w:rsidRDefault="009B2544"/>
  </w:endnote>
  <w:endnote w:type="continuationSeparator" w:id="0">
    <w:p w14:paraId="6A810959" w14:textId="77777777" w:rsidR="009B2544" w:rsidRDefault="009B2544" w:rsidP="00124A51">
      <w:r>
        <w:continuationSeparator/>
      </w:r>
    </w:p>
    <w:p w14:paraId="73508B6D" w14:textId="77777777" w:rsidR="009B2544" w:rsidRDefault="009B25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8108" w14:textId="77777777" w:rsidR="00715747" w:rsidRDefault="00715747">
    <w:pPr>
      <w:pStyle w:val="Footer"/>
      <w:jc w:val="center"/>
    </w:pPr>
  </w:p>
  <w:sdt>
    <w:sdtPr>
      <w:rPr>
        <w:b/>
        <w:bCs/>
      </w:rPr>
      <w:id w:val="1801959101"/>
      <w:docPartObj>
        <w:docPartGallery w:val="Page Numbers (Bottom of Page)"/>
        <w:docPartUnique/>
      </w:docPartObj>
    </w:sdtPr>
    <w:sdtEndPr>
      <w:rPr>
        <w:noProof/>
      </w:rPr>
    </w:sdtEndPr>
    <w:sdtContent>
      <w:p w14:paraId="22F71FA8" w14:textId="6737A5C6" w:rsidR="00715747" w:rsidRPr="00715747" w:rsidRDefault="00715747">
        <w:pPr>
          <w:pStyle w:val="Footer"/>
          <w:jc w:val="center"/>
          <w:rPr>
            <w:b/>
            <w:bCs/>
          </w:rPr>
        </w:pPr>
        <w:r w:rsidRPr="00715747">
          <w:rPr>
            <w:b/>
            <w:bCs/>
          </w:rPr>
          <w:fldChar w:fldCharType="begin"/>
        </w:r>
        <w:r w:rsidRPr="00715747">
          <w:rPr>
            <w:b/>
            <w:bCs/>
          </w:rPr>
          <w:instrText xml:space="preserve"> PAGE   \* MERGEFORMAT </w:instrText>
        </w:r>
        <w:r w:rsidRPr="00715747">
          <w:rPr>
            <w:b/>
            <w:bCs/>
          </w:rPr>
          <w:fldChar w:fldCharType="separate"/>
        </w:r>
        <w:r w:rsidRPr="00715747">
          <w:rPr>
            <w:b/>
            <w:bCs/>
            <w:noProof/>
          </w:rPr>
          <w:t>2</w:t>
        </w:r>
        <w:r w:rsidRPr="00715747">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A41C6" w14:textId="77777777" w:rsidR="009B2544" w:rsidRDefault="009B2544" w:rsidP="00124A51">
      <w:r>
        <w:separator/>
      </w:r>
    </w:p>
    <w:p w14:paraId="2A3A3667" w14:textId="77777777" w:rsidR="009B2544" w:rsidRDefault="009B2544"/>
  </w:footnote>
  <w:footnote w:type="continuationSeparator" w:id="0">
    <w:p w14:paraId="0F30A9E8" w14:textId="77777777" w:rsidR="009B2544" w:rsidRDefault="009B2544" w:rsidP="00124A51">
      <w:r>
        <w:continuationSeparator/>
      </w:r>
    </w:p>
    <w:p w14:paraId="58F2E692" w14:textId="77777777" w:rsidR="009B2544" w:rsidRDefault="009B2544"/>
  </w:footnote>
  <w:footnote w:id="1">
    <w:p w14:paraId="7AFE59D0" w14:textId="77777777" w:rsidR="00D42D14" w:rsidRDefault="00D42D14" w:rsidP="00CF09F9">
      <w:pPr>
        <w:pStyle w:val="FootnoteText"/>
      </w:pPr>
      <w:r>
        <w:rPr>
          <w:rStyle w:val="FootnoteReference"/>
        </w:rPr>
        <w:footnoteRef/>
      </w:r>
      <w:r>
        <w:t xml:space="preserve"> </w:t>
      </w:r>
      <w:r w:rsidRPr="009B7669">
        <w:t>Fanouriakis A, Kostopoulou M, Andersen J, et al</w:t>
      </w:r>
      <w:r>
        <w:t xml:space="preserve">. </w:t>
      </w:r>
      <w:r w:rsidRPr="009B7669">
        <w:t>EULAR recommendations for the management of systemic lupus erythematosus: 2023 update</w:t>
      </w:r>
      <w:r>
        <w:t xml:space="preserve">. </w:t>
      </w:r>
      <w:r w:rsidRPr="009B7669">
        <w:t>Annals of the Rheumatic Diseases</w:t>
      </w:r>
      <w:r>
        <w:t>. 2023. 0:1-15.</w:t>
      </w:r>
      <w:r w:rsidRPr="009B7669">
        <w:t xml:space="preserve"> doi: 10.1136/ard-2023-224762</w:t>
      </w:r>
    </w:p>
  </w:footnote>
  <w:footnote w:id="2">
    <w:p w14:paraId="46C35027" w14:textId="77777777" w:rsidR="00D42D14" w:rsidRDefault="00D42D14" w:rsidP="00E71FD3">
      <w:pPr>
        <w:pStyle w:val="FootnoteText"/>
      </w:pPr>
      <w:r>
        <w:rPr>
          <w:rStyle w:val="FootnoteReference"/>
        </w:rPr>
        <w:footnoteRef/>
      </w:r>
      <w:r>
        <w:t xml:space="preserve"> </w:t>
      </w:r>
      <w:r w:rsidRPr="0043215C">
        <w:t>Golder, V., Kandane-Rathnayake, R., Hoi, A.YB. et al. Frequency and predictors of the lupus low disease activity state in a multi-national and multi-ethnic cohort. Arthritis Res</w:t>
      </w:r>
      <w:r>
        <w:t>earch &amp;</w:t>
      </w:r>
      <w:r w:rsidRPr="0043215C">
        <w:t xml:space="preserve"> Ther</w:t>
      </w:r>
      <w:r>
        <w:t>apy. 2016.</w:t>
      </w:r>
      <w:r w:rsidRPr="0043215C">
        <w:t xml:space="preserve"> 18</w:t>
      </w:r>
      <w:r>
        <w:t>(</w:t>
      </w:r>
      <w:r w:rsidRPr="0043215C">
        <w:t>260</w:t>
      </w:r>
      <w:r>
        <w:t>)</w:t>
      </w:r>
      <w:r w:rsidRPr="0043215C">
        <w:t>.</w:t>
      </w:r>
    </w:p>
  </w:footnote>
  <w:footnote w:id="3">
    <w:p w14:paraId="2ABD2D7D" w14:textId="77777777" w:rsidR="00D42D14" w:rsidRDefault="00D42D14" w:rsidP="000C092C">
      <w:pPr>
        <w:pStyle w:val="FootnoteText"/>
      </w:pPr>
      <w:r>
        <w:rPr>
          <w:rStyle w:val="FootnoteReference"/>
        </w:rPr>
        <w:footnoteRef/>
      </w:r>
      <w:r>
        <w:t xml:space="preserve"> </w:t>
      </w:r>
      <w:r w:rsidRPr="00A42058">
        <w:t>Oon S, Huq M, Golder V, Ong PX, Morand EF, Nikpour M. Lupus Low Disease Activity State (LLDAS) discriminates responders in the BLISS-52 and BLISS-76 phase III trials of belimumab in systemic lupus erythematosus. Ann</w:t>
      </w:r>
      <w:r>
        <w:t>als</w:t>
      </w:r>
      <w:r w:rsidRPr="00A42058">
        <w:t xml:space="preserve"> </w:t>
      </w:r>
      <w:r>
        <w:t xml:space="preserve">of </w:t>
      </w:r>
      <w:r w:rsidRPr="00A42058">
        <w:t>Rheum</w:t>
      </w:r>
      <w:r>
        <w:t>atic</w:t>
      </w:r>
      <w:r w:rsidRPr="00A42058">
        <w:t xml:space="preserve"> Dis</w:t>
      </w:r>
      <w:r>
        <w:t>eases</w:t>
      </w:r>
      <w:r w:rsidRPr="00A42058">
        <w:t>. 2019</w:t>
      </w:r>
      <w:r>
        <w:t xml:space="preserve">. </w:t>
      </w:r>
      <w:r w:rsidRPr="00A42058">
        <w:t>78(5):629-633.</w:t>
      </w:r>
    </w:p>
  </w:footnote>
  <w:footnote w:id="4">
    <w:p w14:paraId="6D8F9898" w14:textId="5D2D5344" w:rsidR="00715747" w:rsidRDefault="00715747">
      <w:pPr>
        <w:pStyle w:val="FootnoteText"/>
      </w:pPr>
      <w:r>
        <w:rPr>
          <w:rStyle w:val="FootnoteReference"/>
        </w:rPr>
        <w:footnoteRef/>
      </w:r>
      <w:r>
        <w:t xml:space="preserve"> </w:t>
      </w:r>
      <w:r w:rsidRPr="00233562">
        <w:rPr>
          <w:i/>
          <w:iCs/>
        </w:rPr>
        <w:t>Note that the results presented in Paragraph 4.8 are derived from post-hoc analyses conducted during the evaluation by the ESC specifically for the purposes of informing the PBAC consideration. These analyses were not part of the pre-specified statistical plan for BLISS-52 and BLISS-76. Interpretation of the results and their application should therefore be limited to seeking to understand the basis for the PBAC outcome and should not be used for any other purpose.</w:t>
      </w:r>
    </w:p>
  </w:footnote>
  <w:footnote w:id="5">
    <w:p w14:paraId="254228EC" w14:textId="77777777" w:rsidR="00D42D14" w:rsidRDefault="00D42D14" w:rsidP="00214181">
      <w:pPr>
        <w:pStyle w:val="FootnoteText"/>
      </w:pPr>
      <w:r>
        <w:rPr>
          <w:rStyle w:val="FootnoteReference"/>
        </w:rPr>
        <w:footnoteRef/>
      </w:r>
      <w:r>
        <w:t xml:space="preserve"> </w:t>
      </w:r>
      <w:r w:rsidRPr="00BE0AE1">
        <w:t xml:space="preserve">Morand EF, Van Vollenhoven R, Furie R, </w:t>
      </w:r>
      <w:r>
        <w:t xml:space="preserve">Kalunian K, Yavuz S, Abreu G, Lindholm C, Al-Mossawi H. </w:t>
      </w:r>
      <w:r w:rsidRPr="00BE0AE1">
        <w:t>OP0051 L</w:t>
      </w:r>
      <w:r>
        <w:t xml:space="preserve">upus Low Disease Activity State: Attainment in the Phase 3 Placebo-Controlled TULIP Long-Term Extension Trial of Anifrolumab. </w:t>
      </w:r>
      <w:r w:rsidRPr="00BE0AE1">
        <w:t>Annals of the Rheumatic Diseases</w:t>
      </w:r>
      <w:r>
        <w:t>.</w:t>
      </w:r>
      <w:r w:rsidRPr="00BE0AE1">
        <w:t xml:space="preserve"> 2023</w:t>
      </w:r>
      <w:r>
        <w:t xml:space="preserve">. </w:t>
      </w:r>
      <w:r w:rsidRPr="00BE0AE1">
        <w:t>82:33-34.</w:t>
      </w:r>
    </w:p>
  </w:footnote>
  <w:footnote w:id="6">
    <w:p w14:paraId="7628A831" w14:textId="77777777" w:rsidR="00D42D14" w:rsidRDefault="00D42D14" w:rsidP="00214181">
      <w:pPr>
        <w:pStyle w:val="FootnoteText"/>
      </w:pPr>
      <w:r>
        <w:rPr>
          <w:rStyle w:val="FootnoteReference"/>
        </w:rPr>
        <w:footnoteRef/>
      </w:r>
      <w:r>
        <w:t xml:space="preserve"> </w:t>
      </w:r>
      <w:r w:rsidRPr="00624079">
        <w:t>Van Vollenhoven R, Morand E, Furie R, Bruce I, Abreu G, Tummala R, Al-Mossawi H, Lindholm C. Attainment of Remission with Anifrolumab: A Post Hoc Analysis of Pooled TULIP-1 and TULIP-2 Datasets [abstract]. Arthritis Rheumatol. 2022</w:t>
      </w:r>
      <w:r>
        <w:t>.</w:t>
      </w:r>
      <w:r w:rsidRPr="00624079">
        <w:t xml:space="preserve"> 74 (suppl 9). </w:t>
      </w:r>
      <w:r>
        <w:t xml:space="preserve">Available from: </w:t>
      </w:r>
      <w:r w:rsidRPr="00624079">
        <w:t xml:space="preserve">https://acrabstracts.org/abstract/attainment-of-remission-with-anifrolumab-a-post-hoc-analysis-of-pooled-tulip-1-and-tulip-2-datasets/. Accessed </w:t>
      </w:r>
      <w:r>
        <w:t xml:space="preserve">22 </w:t>
      </w:r>
      <w:r w:rsidRPr="00624079">
        <w:t>November 2023</w:t>
      </w:r>
      <w:r>
        <w:t>.</w:t>
      </w:r>
    </w:p>
  </w:footnote>
  <w:footnote w:id="7">
    <w:p w14:paraId="3E03C03B" w14:textId="77777777" w:rsidR="00D42D14" w:rsidRDefault="00D42D14" w:rsidP="002C02F6">
      <w:pPr>
        <w:pStyle w:val="FootnoteText"/>
      </w:pPr>
      <w:r>
        <w:rPr>
          <w:rStyle w:val="FootnoteReference"/>
        </w:rPr>
        <w:footnoteRef/>
      </w:r>
      <w:r>
        <w:t xml:space="preserve"> </w:t>
      </w:r>
      <w:r w:rsidRPr="009F2946">
        <w:t>Bruce IN, van Vollenhoven RF, Morand EF, Furie RA, Manzi S, White WB, Abreu G, Tummala R. Sustained glucocorticoid tapering in the phase 3 trials of anifrolumab: a post hoc analysis of the TULIP-1 and TULIP-2 trials. Rheumatology (Oxford). 2023</w:t>
      </w:r>
      <w:r>
        <w:t xml:space="preserve">. </w:t>
      </w:r>
      <w:r w:rsidRPr="009F2946">
        <w:t>62(4):1526-1534.</w:t>
      </w:r>
    </w:p>
  </w:footnote>
  <w:footnote w:id="8">
    <w:p w14:paraId="1BCDFF31" w14:textId="77777777" w:rsidR="00D42D14" w:rsidRPr="004C379E" w:rsidRDefault="00D42D14" w:rsidP="00AB7860">
      <w:pPr>
        <w:pStyle w:val="FootnoteText"/>
        <w:rPr>
          <w:lang w:val="en-US"/>
        </w:rPr>
      </w:pPr>
      <w:r>
        <w:rPr>
          <w:rStyle w:val="FootnoteReference"/>
        </w:rPr>
        <w:footnoteRef/>
      </w:r>
      <w:r>
        <w:t xml:space="preserve"> </w:t>
      </w:r>
      <w:r w:rsidRPr="004C379E">
        <w:t>Yeo AL, Koelmeyer R, Kandane-Rathnayake R, Golder V, Hoi A, Huq M, Hammond E, Nab H, Nikpour M, Morand EF. Lupus Low Disease Activity State and Reduced Direct Health Care Costs in Patients With Systemic Lupus Erythematosus. Arthritis Care Res (Hoboken). 2020 Sep;72(9):1289-1295. doi: 10.1002/acr.24023. PMID: 31282076.</w:t>
      </w:r>
    </w:p>
  </w:footnote>
  <w:footnote w:id="9">
    <w:p w14:paraId="53685CFF" w14:textId="77777777" w:rsidR="004D3DDB" w:rsidRDefault="004D3DDB" w:rsidP="004D3DDB">
      <w:pPr>
        <w:pStyle w:val="FootnoteText"/>
      </w:pPr>
      <w:r>
        <w:rPr>
          <w:rStyle w:val="FootnoteReference"/>
        </w:rPr>
        <w:footnoteRef/>
      </w:r>
      <w:r>
        <w:t xml:space="preserve"> B</w:t>
      </w:r>
      <w:r w:rsidRPr="00B57F9A">
        <w:t xml:space="preserve">ruce IN, O'Keeffe AG, </w:t>
      </w:r>
      <w:r>
        <w:t>et al</w:t>
      </w:r>
      <w:r w:rsidRPr="00B57F9A">
        <w:t xml:space="preserve">. Factors associated with damage accrual in patients with systemic lupus erythematosus: results from the Systemic Lupus International Collaborating Clinics (SLICC) Inception Cohort. Ann Rheum Dis. 2015 Sep;74(9):1706-13. doi: 10.1136/annrheumdis-2013-205171. Epub 2014 May 16. </w:t>
      </w:r>
    </w:p>
  </w:footnote>
  <w:footnote w:id="10">
    <w:p w14:paraId="5731B416" w14:textId="77777777" w:rsidR="00D42D14" w:rsidRPr="00202BA0" w:rsidRDefault="00D42D14" w:rsidP="00A26972">
      <w:pPr>
        <w:pStyle w:val="FootnoteText"/>
        <w:rPr>
          <w:lang w:val="en-US"/>
        </w:rPr>
      </w:pPr>
      <w:r>
        <w:rPr>
          <w:rStyle w:val="FootnoteReference"/>
        </w:rPr>
        <w:footnoteRef/>
      </w:r>
      <w:r>
        <w:t xml:space="preserve"> </w:t>
      </w:r>
      <w:r w:rsidRPr="00202BA0">
        <w:t>Kirou KA, Dall`Era M, Aranow C and Anders H-J (2022) Belimumab or anifrolumab for systemic lupus erythematosus? A risk-benefit assessment. Front. Immunol. 13:980079. doi: 10.3389/fimmu.2022.980079</w:t>
      </w:r>
    </w:p>
  </w:footnote>
  <w:footnote w:id="11">
    <w:p w14:paraId="28D6978B" w14:textId="77777777" w:rsidR="00D42D14" w:rsidRPr="000442FA" w:rsidRDefault="00D42D14" w:rsidP="00A26972">
      <w:pPr>
        <w:pStyle w:val="FootnoteText"/>
        <w:rPr>
          <w:lang w:val="en-US"/>
        </w:rPr>
      </w:pPr>
      <w:r>
        <w:rPr>
          <w:rStyle w:val="FootnoteReference"/>
        </w:rPr>
        <w:footnoteRef/>
      </w:r>
      <w:r>
        <w:t xml:space="preserve"> </w:t>
      </w:r>
      <w:r w:rsidRPr="000442FA">
        <w:t>Chan, J., Walters, G.D., Puri, P. et al. Safety and efficacy of biological agents in the treatment of Systemic Lupus Erythematosus (SLE). BMC Rheumatol 7, 37 (2023). https://doi.org/10.1186/s41927-023-00358-3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5195" w14:textId="77777777" w:rsidR="00715747" w:rsidRPr="005470B4" w:rsidRDefault="00715747" w:rsidP="00715747">
    <w:pPr>
      <w:keepNext/>
      <w:tabs>
        <w:tab w:val="center" w:pos="4513"/>
        <w:tab w:val="right" w:pos="9026"/>
      </w:tabs>
      <w:jc w:val="center"/>
      <w:rPr>
        <w:rFonts w:asciiTheme="minorHAnsi" w:eastAsiaTheme="minorEastAsia" w:hAnsiTheme="minorHAnsi" w:cstheme="minorHAnsi"/>
        <w:i/>
      </w:rPr>
    </w:pPr>
    <w:r w:rsidRPr="00976C4C">
      <w:rPr>
        <w:rFonts w:asciiTheme="minorHAnsi" w:eastAsiaTheme="minorEastAsia" w:hAnsiTheme="minorHAnsi" w:cstheme="minorHAnsi"/>
        <w:i/>
      </w:rPr>
      <w:t>Public Summary Document</w:t>
    </w:r>
    <w:r w:rsidRPr="005470B4">
      <w:rPr>
        <w:rFonts w:asciiTheme="minorHAnsi" w:eastAsiaTheme="minorEastAsia" w:hAnsiTheme="minorHAnsi" w:cstheme="minorHAnsi"/>
        <w:i/>
      </w:rPr>
      <w:t xml:space="preserve"> –</w:t>
    </w:r>
    <w:r w:rsidRPr="005470B4">
      <w:rPr>
        <w:rFonts w:asciiTheme="minorHAnsi" w:eastAsiaTheme="minorEastAsia" w:hAnsiTheme="minorHAnsi" w:cstheme="minorHAnsi"/>
        <w:iCs/>
      </w:rPr>
      <w:t xml:space="preserve"> </w:t>
    </w:r>
    <w:r w:rsidRPr="005470B4">
      <w:rPr>
        <w:rFonts w:asciiTheme="minorHAnsi" w:eastAsiaTheme="minorEastAsia" w:hAnsiTheme="minorHAnsi" w:cstheme="minorHAnsi"/>
        <w:i/>
      </w:rPr>
      <w:t>March 2024 PBAC Meeting</w:t>
    </w:r>
  </w:p>
  <w:p w14:paraId="48BE6A41" w14:textId="77777777" w:rsidR="00640EC9" w:rsidRDefault="00640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F265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2D4DAC"/>
    <w:multiLevelType w:val="hybridMultilevel"/>
    <w:tmpl w:val="117C4868"/>
    <w:lvl w:ilvl="0" w:tplc="37AE8C40">
      <w:start w:val="1"/>
      <w:numFmt w:val="bullet"/>
      <w:lvlText w:val="•"/>
      <w:lvlJc w:val="left"/>
      <w:pPr>
        <w:tabs>
          <w:tab w:val="num" w:pos="720"/>
        </w:tabs>
        <w:ind w:left="720" w:hanging="360"/>
      </w:pPr>
      <w:rPr>
        <w:rFonts w:ascii="Arial" w:hAnsi="Arial" w:hint="default"/>
      </w:rPr>
    </w:lvl>
    <w:lvl w:ilvl="1" w:tplc="17383C84" w:tentative="1">
      <w:start w:val="1"/>
      <w:numFmt w:val="bullet"/>
      <w:lvlText w:val="•"/>
      <w:lvlJc w:val="left"/>
      <w:pPr>
        <w:tabs>
          <w:tab w:val="num" w:pos="1440"/>
        </w:tabs>
        <w:ind w:left="1440" w:hanging="360"/>
      </w:pPr>
      <w:rPr>
        <w:rFonts w:ascii="Arial" w:hAnsi="Arial" w:hint="default"/>
      </w:rPr>
    </w:lvl>
    <w:lvl w:ilvl="2" w:tplc="010ED240" w:tentative="1">
      <w:start w:val="1"/>
      <w:numFmt w:val="bullet"/>
      <w:lvlText w:val="•"/>
      <w:lvlJc w:val="left"/>
      <w:pPr>
        <w:tabs>
          <w:tab w:val="num" w:pos="2160"/>
        </w:tabs>
        <w:ind w:left="2160" w:hanging="360"/>
      </w:pPr>
      <w:rPr>
        <w:rFonts w:ascii="Arial" w:hAnsi="Arial" w:hint="default"/>
      </w:rPr>
    </w:lvl>
    <w:lvl w:ilvl="3" w:tplc="5A7014DE" w:tentative="1">
      <w:start w:val="1"/>
      <w:numFmt w:val="bullet"/>
      <w:lvlText w:val="•"/>
      <w:lvlJc w:val="left"/>
      <w:pPr>
        <w:tabs>
          <w:tab w:val="num" w:pos="2880"/>
        </w:tabs>
        <w:ind w:left="2880" w:hanging="360"/>
      </w:pPr>
      <w:rPr>
        <w:rFonts w:ascii="Arial" w:hAnsi="Arial" w:hint="default"/>
      </w:rPr>
    </w:lvl>
    <w:lvl w:ilvl="4" w:tplc="CAFCB8AA" w:tentative="1">
      <w:start w:val="1"/>
      <w:numFmt w:val="bullet"/>
      <w:lvlText w:val="•"/>
      <w:lvlJc w:val="left"/>
      <w:pPr>
        <w:tabs>
          <w:tab w:val="num" w:pos="3600"/>
        </w:tabs>
        <w:ind w:left="3600" w:hanging="360"/>
      </w:pPr>
      <w:rPr>
        <w:rFonts w:ascii="Arial" w:hAnsi="Arial" w:hint="default"/>
      </w:rPr>
    </w:lvl>
    <w:lvl w:ilvl="5" w:tplc="0380B59C" w:tentative="1">
      <w:start w:val="1"/>
      <w:numFmt w:val="bullet"/>
      <w:lvlText w:val="•"/>
      <w:lvlJc w:val="left"/>
      <w:pPr>
        <w:tabs>
          <w:tab w:val="num" w:pos="4320"/>
        </w:tabs>
        <w:ind w:left="4320" w:hanging="360"/>
      </w:pPr>
      <w:rPr>
        <w:rFonts w:ascii="Arial" w:hAnsi="Arial" w:hint="default"/>
      </w:rPr>
    </w:lvl>
    <w:lvl w:ilvl="6" w:tplc="C778C656" w:tentative="1">
      <w:start w:val="1"/>
      <w:numFmt w:val="bullet"/>
      <w:lvlText w:val="•"/>
      <w:lvlJc w:val="left"/>
      <w:pPr>
        <w:tabs>
          <w:tab w:val="num" w:pos="5040"/>
        </w:tabs>
        <w:ind w:left="5040" w:hanging="360"/>
      </w:pPr>
      <w:rPr>
        <w:rFonts w:ascii="Arial" w:hAnsi="Arial" w:hint="default"/>
      </w:rPr>
    </w:lvl>
    <w:lvl w:ilvl="7" w:tplc="5360E03C" w:tentative="1">
      <w:start w:val="1"/>
      <w:numFmt w:val="bullet"/>
      <w:lvlText w:val="•"/>
      <w:lvlJc w:val="left"/>
      <w:pPr>
        <w:tabs>
          <w:tab w:val="num" w:pos="5760"/>
        </w:tabs>
        <w:ind w:left="5760" w:hanging="360"/>
      </w:pPr>
      <w:rPr>
        <w:rFonts w:ascii="Arial" w:hAnsi="Arial" w:hint="default"/>
      </w:rPr>
    </w:lvl>
    <w:lvl w:ilvl="8" w:tplc="23CC91B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5B4C6E"/>
    <w:multiLevelType w:val="hybridMultilevel"/>
    <w:tmpl w:val="978A2144"/>
    <w:lvl w:ilvl="0" w:tplc="0C090001">
      <w:start w:val="1"/>
      <w:numFmt w:val="bullet"/>
      <w:lvlText w:val=""/>
      <w:lvlJc w:val="left"/>
      <w:pPr>
        <w:ind w:left="1440" w:hanging="360"/>
      </w:pPr>
      <w:rPr>
        <w:rFonts w:ascii="Symbol" w:hAnsi="Symbol" w:hint="default"/>
        <w:color w:val="000000" w:themeColor="text1"/>
      </w:r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C8B468F"/>
    <w:multiLevelType w:val="hybridMultilevel"/>
    <w:tmpl w:val="2578D6E6"/>
    <w:lvl w:ilvl="0" w:tplc="F1A61652">
      <w:start w:val="1"/>
      <w:numFmt w:val="bullet"/>
      <w:lvlText w:val="•"/>
      <w:lvlJc w:val="left"/>
      <w:pPr>
        <w:tabs>
          <w:tab w:val="num" w:pos="720"/>
        </w:tabs>
        <w:ind w:left="720" w:hanging="360"/>
      </w:pPr>
      <w:rPr>
        <w:rFonts w:ascii="Arial" w:hAnsi="Arial" w:hint="default"/>
      </w:rPr>
    </w:lvl>
    <w:lvl w:ilvl="1" w:tplc="8626F6BC" w:tentative="1">
      <w:start w:val="1"/>
      <w:numFmt w:val="bullet"/>
      <w:lvlText w:val="•"/>
      <w:lvlJc w:val="left"/>
      <w:pPr>
        <w:tabs>
          <w:tab w:val="num" w:pos="1440"/>
        </w:tabs>
        <w:ind w:left="1440" w:hanging="360"/>
      </w:pPr>
      <w:rPr>
        <w:rFonts w:ascii="Arial" w:hAnsi="Arial" w:hint="default"/>
      </w:rPr>
    </w:lvl>
    <w:lvl w:ilvl="2" w:tplc="1188E53E" w:tentative="1">
      <w:start w:val="1"/>
      <w:numFmt w:val="bullet"/>
      <w:lvlText w:val="•"/>
      <w:lvlJc w:val="left"/>
      <w:pPr>
        <w:tabs>
          <w:tab w:val="num" w:pos="2160"/>
        </w:tabs>
        <w:ind w:left="2160" w:hanging="360"/>
      </w:pPr>
      <w:rPr>
        <w:rFonts w:ascii="Arial" w:hAnsi="Arial" w:hint="default"/>
      </w:rPr>
    </w:lvl>
    <w:lvl w:ilvl="3" w:tplc="0B0662BA" w:tentative="1">
      <w:start w:val="1"/>
      <w:numFmt w:val="bullet"/>
      <w:lvlText w:val="•"/>
      <w:lvlJc w:val="left"/>
      <w:pPr>
        <w:tabs>
          <w:tab w:val="num" w:pos="2880"/>
        </w:tabs>
        <w:ind w:left="2880" w:hanging="360"/>
      </w:pPr>
      <w:rPr>
        <w:rFonts w:ascii="Arial" w:hAnsi="Arial" w:hint="default"/>
      </w:rPr>
    </w:lvl>
    <w:lvl w:ilvl="4" w:tplc="14A6632A" w:tentative="1">
      <w:start w:val="1"/>
      <w:numFmt w:val="bullet"/>
      <w:lvlText w:val="•"/>
      <w:lvlJc w:val="left"/>
      <w:pPr>
        <w:tabs>
          <w:tab w:val="num" w:pos="3600"/>
        </w:tabs>
        <w:ind w:left="3600" w:hanging="360"/>
      </w:pPr>
      <w:rPr>
        <w:rFonts w:ascii="Arial" w:hAnsi="Arial" w:hint="default"/>
      </w:rPr>
    </w:lvl>
    <w:lvl w:ilvl="5" w:tplc="A2A668E8" w:tentative="1">
      <w:start w:val="1"/>
      <w:numFmt w:val="bullet"/>
      <w:lvlText w:val="•"/>
      <w:lvlJc w:val="left"/>
      <w:pPr>
        <w:tabs>
          <w:tab w:val="num" w:pos="4320"/>
        </w:tabs>
        <w:ind w:left="4320" w:hanging="360"/>
      </w:pPr>
      <w:rPr>
        <w:rFonts w:ascii="Arial" w:hAnsi="Arial" w:hint="default"/>
      </w:rPr>
    </w:lvl>
    <w:lvl w:ilvl="6" w:tplc="E6028878" w:tentative="1">
      <w:start w:val="1"/>
      <w:numFmt w:val="bullet"/>
      <w:lvlText w:val="•"/>
      <w:lvlJc w:val="left"/>
      <w:pPr>
        <w:tabs>
          <w:tab w:val="num" w:pos="5040"/>
        </w:tabs>
        <w:ind w:left="5040" w:hanging="360"/>
      </w:pPr>
      <w:rPr>
        <w:rFonts w:ascii="Arial" w:hAnsi="Arial" w:hint="default"/>
      </w:rPr>
    </w:lvl>
    <w:lvl w:ilvl="7" w:tplc="0D5E218A" w:tentative="1">
      <w:start w:val="1"/>
      <w:numFmt w:val="bullet"/>
      <w:lvlText w:val="•"/>
      <w:lvlJc w:val="left"/>
      <w:pPr>
        <w:tabs>
          <w:tab w:val="num" w:pos="5760"/>
        </w:tabs>
        <w:ind w:left="5760" w:hanging="360"/>
      </w:pPr>
      <w:rPr>
        <w:rFonts w:ascii="Arial" w:hAnsi="Arial" w:hint="default"/>
      </w:rPr>
    </w:lvl>
    <w:lvl w:ilvl="8" w:tplc="12500E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2527E2"/>
    <w:multiLevelType w:val="hybridMultilevel"/>
    <w:tmpl w:val="BF8CEFE8"/>
    <w:lvl w:ilvl="0" w:tplc="EF8694A4">
      <w:start w:val="2"/>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E6829D6"/>
    <w:multiLevelType w:val="hybridMultilevel"/>
    <w:tmpl w:val="46FCC29E"/>
    <w:lvl w:ilvl="0" w:tplc="B5FE80E4">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 w15:restartNumberingAfterBreak="0">
    <w:nsid w:val="1FB219F8"/>
    <w:multiLevelType w:val="hybridMultilevel"/>
    <w:tmpl w:val="D6D08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2B0EC4"/>
    <w:multiLevelType w:val="hybridMultilevel"/>
    <w:tmpl w:val="7592C670"/>
    <w:lvl w:ilvl="0" w:tplc="0C090001">
      <w:start w:val="1"/>
      <w:numFmt w:val="bullet"/>
      <w:lvlText w:val=""/>
      <w:lvlJc w:val="left"/>
      <w:pPr>
        <w:ind w:left="1040" w:hanging="360"/>
      </w:pPr>
      <w:rPr>
        <w:rFonts w:ascii="Symbol" w:hAnsi="Symbol" w:hint="default"/>
      </w:rPr>
    </w:lvl>
    <w:lvl w:ilvl="1" w:tplc="0C090003">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1" w15:restartNumberingAfterBreak="0">
    <w:nsid w:val="2F614761"/>
    <w:multiLevelType w:val="hybridMultilevel"/>
    <w:tmpl w:val="B33CBD4A"/>
    <w:lvl w:ilvl="0" w:tplc="FFFFFFFF">
      <w:start w:val="1"/>
      <w:numFmt w:val="lowerLetter"/>
      <w:lvlText w:val="(%1)"/>
      <w:lvlJc w:val="left"/>
      <w:pPr>
        <w:ind w:left="720" w:hanging="360"/>
      </w:pPr>
      <w:rPr>
        <w:rFonts w:ascii="Arial Narrow" w:hAnsi="Arial Narrow"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CC72CD"/>
    <w:multiLevelType w:val="hybridMultilevel"/>
    <w:tmpl w:val="A9DE48C0"/>
    <w:lvl w:ilvl="0" w:tplc="0C090001">
      <w:start w:val="1"/>
      <w:numFmt w:val="bullet"/>
      <w:lvlText w:val=""/>
      <w:lvlJc w:val="left"/>
      <w:pPr>
        <w:ind w:left="360" w:hanging="360"/>
      </w:pPr>
      <w:rPr>
        <w:rFonts w:ascii="Symbol" w:hAnsi="Symbo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7450384"/>
    <w:multiLevelType w:val="hybridMultilevel"/>
    <w:tmpl w:val="50FE9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414A76"/>
    <w:multiLevelType w:val="hybridMultilevel"/>
    <w:tmpl w:val="BF1A00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8EC033C"/>
    <w:multiLevelType w:val="multilevel"/>
    <w:tmpl w:val="8076C6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DD3A05"/>
    <w:multiLevelType w:val="hybridMultilevel"/>
    <w:tmpl w:val="BA028D1E"/>
    <w:lvl w:ilvl="0" w:tplc="0C090001">
      <w:start w:val="1"/>
      <w:numFmt w:val="bullet"/>
      <w:lvlText w:val=""/>
      <w:lvlJc w:val="left"/>
      <w:pPr>
        <w:ind w:left="1040" w:hanging="360"/>
      </w:pPr>
      <w:rPr>
        <w:rFonts w:ascii="Symbol" w:hAnsi="Symbol" w:hint="default"/>
      </w:rPr>
    </w:lvl>
    <w:lvl w:ilvl="1" w:tplc="0C090003">
      <w:start w:val="1"/>
      <w:numFmt w:val="bullet"/>
      <w:lvlText w:val="o"/>
      <w:lvlJc w:val="left"/>
      <w:pPr>
        <w:ind w:left="1760" w:hanging="360"/>
      </w:pPr>
      <w:rPr>
        <w:rFonts w:ascii="Courier New" w:hAnsi="Courier New" w:cs="Courier New" w:hint="default"/>
      </w:rPr>
    </w:lvl>
    <w:lvl w:ilvl="2" w:tplc="2E34DEC6">
      <w:numFmt w:val="bullet"/>
      <w:lvlText w:val="•"/>
      <w:lvlJc w:val="left"/>
      <w:pPr>
        <w:ind w:left="2480" w:hanging="360"/>
      </w:pPr>
      <w:rPr>
        <w:rFonts w:ascii="Calibri" w:eastAsia="Times New Roman" w:hAnsi="Calibri" w:cs="Calibri"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8" w15:restartNumberingAfterBreak="0">
    <w:nsid w:val="3D760B88"/>
    <w:multiLevelType w:val="hybridMultilevel"/>
    <w:tmpl w:val="6240AD6A"/>
    <w:lvl w:ilvl="0" w:tplc="C504DE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0349E0"/>
    <w:multiLevelType w:val="hybridMultilevel"/>
    <w:tmpl w:val="D81E9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1" w15:restartNumberingAfterBreak="0">
    <w:nsid w:val="431E2516"/>
    <w:multiLevelType w:val="hybridMultilevel"/>
    <w:tmpl w:val="92FA18E4"/>
    <w:lvl w:ilvl="0" w:tplc="F48404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A2AD0"/>
    <w:multiLevelType w:val="hybridMultilevel"/>
    <w:tmpl w:val="92FA18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EC3737"/>
    <w:multiLevelType w:val="hybridMultilevel"/>
    <w:tmpl w:val="B33CBD4A"/>
    <w:lvl w:ilvl="0" w:tplc="CEDC5938">
      <w:start w:val="1"/>
      <w:numFmt w:val="lowerLetter"/>
      <w:lvlText w:val="(%1)"/>
      <w:lvlJc w:val="left"/>
      <w:pPr>
        <w:ind w:left="720" w:hanging="360"/>
      </w:pPr>
      <w:rPr>
        <w:rFonts w:ascii="Arial Narrow" w:hAnsi="Arial Narrow"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322FFC"/>
    <w:multiLevelType w:val="hybridMultilevel"/>
    <w:tmpl w:val="2362B0FE"/>
    <w:lvl w:ilvl="0" w:tplc="8F7E36DA">
      <w:start w:val="1"/>
      <w:numFmt w:val="decimal"/>
      <w:lvlText w:val="%1."/>
      <w:lvlJc w:val="left"/>
      <w:pPr>
        <w:ind w:left="360" w:hanging="360"/>
      </w:pPr>
      <w:rPr>
        <w:rFonts w:hint="default"/>
        <w:i w:val="0"/>
        <w:iCs/>
        <w:color w:val="auto"/>
      </w:rPr>
    </w:lvl>
    <w:lvl w:ilvl="1" w:tplc="0C090019" w:tentative="1">
      <w:start w:val="1"/>
      <w:numFmt w:val="lowerLetter"/>
      <w:lvlText w:val="%2."/>
      <w:lvlJc w:val="left"/>
      <w:pPr>
        <w:ind w:left="-2954" w:hanging="360"/>
      </w:pPr>
    </w:lvl>
    <w:lvl w:ilvl="2" w:tplc="0C09001B" w:tentative="1">
      <w:start w:val="1"/>
      <w:numFmt w:val="lowerRoman"/>
      <w:lvlText w:val="%3."/>
      <w:lvlJc w:val="right"/>
      <w:pPr>
        <w:ind w:left="-2234" w:hanging="180"/>
      </w:pPr>
    </w:lvl>
    <w:lvl w:ilvl="3" w:tplc="0C09000F" w:tentative="1">
      <w:start w:val="1"/>
      <w:numFmt w:val="decimal"/>
      <w:lvlText w:val="%4."/>
      <w:lvlJc w:val="left"/>
      <w:pPr>
        <w:ind w:left="-1514" w:hanging="360"/>
      </w:pPr>
    </w:lvl>
    <w:lvl w:ilvl="4" w:tplc="0C090019" w:tentative="1">
      <w:start w:val="1"/>
      <w:numFmt w:val="lowerLetter"/>
      <w:lvlText w:val="%5."/>
      <w:lvlJc w:val="left"/>
      <w:pPr>
        <w:ind w:left="-794" w:hanging="360"/>
      </w:pPr>
    </w:lvl>
    <w:lvl w:ilvl="5" w:tplc="0C09001B" w:tentative="1">
      <w:start w:val="1"/>
      <w:numFmt w:val="lowerRoman"/>
      <w:lvlText w:val="%6."/>
      <w:lvlJc w:val="right"/>
      <w:pPr>
        <w:ind w:left="-74" w:hanging="180"/>
      </w:pPr>
    </w:lvl>
    <w:lvl w:ilvl="6" w:tplc="0C09000F" w:tentative="1">
      <w:start w:val="1"/>
      <w:numFmt w:val="decimal"/>
      <w:lvlText w:val="%7."/>
      <w:lvlJc w:val="left"/>
      <w:pPr>
        <w:ind w:left="646" w:hanging="360"/>
      </w:pPr>
    </w:lvl>
    <w:lvl w:ilvl="7" w:tplc="0C090019" w:tentative="1">
      <w:start w:val="1"/>
      <w:numFmt w:val="lowerLetter"/>
      <w:lvlText w:val="%8."/>
      <w:lvlJc w:val="left"/>
      <w:pPr>
        <w:ind w:left="1366" w:hanging="360"/>
      </w:pPr>
    </w:lvl>
    <w:lvl w:ilvl="8" w:tplc="0C09001B" w:tentative="1">
      <w:start w:val="1"/>
      <w:numFmt w:val="lowerRoman"/>
      <w:lvlText w:val="%9."/>
      <w:lvlJc w:val="right"/>
      <w:pPr>
        <w:ind w:left="2086" w:hanging="180"/>
      </w:pPr>
    </w:lvl>
  </w:abstractNum>
  <w:abstractNum w:abstractNumId="27" w15:restartNumberingAfterBreak="0">
    <w:nsid w:val="4FEF5A0C"/>
    <w:multiLevelType w:val="hybridMultilevel"/>
    <w:tmpl w:val="9C1453E6"/>
    <w:lvl w:ilvl="0" w:tplc="B2C248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1BF405A"/>
    <w:multiLevelType w:val="hybridMultilevel"/>
    <w:tmpl w:val="B540F0D2"/>
    <w:lvl w:ilvl="0" w:tplc="42786840">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20F46BA"/>
    <w:multiLevelType w:val="hybridMultilevel"/>
    <w:tmpl w:val="050E5226"/>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0"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6A84187"/>
    <w:multiLevelType w:val="multilevel"/>
    <w:tmpl w:val="80BC235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AF1161E"/>
    <w:multiLevelType w:val="hybridMultilevel"/>
    <w:tmpl w:val="E9FAA0F4"/>
    <w:lvl w:ilvl="0" w:tplc="5F42CC44">
      <w:start w:val="2"/>
      <w:numFmt w:val="bullet"/>
      <w:lvlText w:val="-"/>
      <w:lvlJc w:val="left"/>
      <w:pPr>
        <w:ind w:left="720" w:hanging="360"/>
      </w:pPr>
      <w:rPr>
        <w:rFonts w:ascii="Arial Narrow" w:eastAsia="Calibr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06034"/>
    <w:multiLevelType w:val="hybridMultilevel"/>
    <w:tmpl w:val="0A1E9174"/>
    <w:lvl w:ilvl="0" w:tplc="6254C846">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8E322E1"/>
    <w:multiLevelType w:val="hybridMultilevel"/>
    <w:tmpl w:val="A58C6B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6C485573"/>
    <w:multiLevelType w:val="hybridMultilevel"/>
    <w:tmpl w:val="F932ADC2"/>
    <w:lvl w:ilvl="0" w:tplc="0C090001">
      <w:start w:val="1"/>
      <w:numFmt w:val="bullet"/>
      <w:lvlText w:val=""/>
      <w:lvlJc w:val="left"/>
      <w:pPr>
        <w:ind w:left="742" w:hanging="360"/>
      </w:pPr>
      <w:rPr>
        <w:rFonts w:ascii="Symbol" w:hAnsi="Symbol" w:hint="default"/>
      </w:rPr>
    </w:lvl>
    <w:lvl w:ilvl="1" w:tplc="FFFFFFFF" w:tentative="1">
      <w:start w:val="1"/>
      <w:numFmt w:val="bullet"/>
      <w:lvlText w:val="o"/>
      <w:lvlJc w:val="left"/>
      <w:pPr>
        <w:ind w:left="1462" w:hanging="360"/>
      </w:pPr>
      <w:rPr>
        <w:rFonts w:ascii="Courier New" w:hAnsi="Courier New" w:cs="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cs="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cs="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3178BD"/>
    <w:multiLevelType w:val="hybridMultilevel"/>
    <w:tmpl w:val="D040A732"/>
    <w:lvl w:ilvl="0" w:tplc="A88A3E72">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1525734">
    <w:abstractNumId w:val="40"/>
  </w:num>
  <w:num w:numId="2" w16cid:durableId="68385824">
    <w:abstractNumId w:val="22"/>
  </w:num>
  <w:num w:numId="3" w16cid:durableId="285428143">
    <w:abstractNumId w:val="23"/>
  </w:num>
  <w:num w:numId="4" w16cid:durableId="1097752058">
    <w:abstractNumId w:val="0"/>
  </w:num>
  <w:num w:numId="5" w16cid:durableId="452795737">
    <w:abstractNumId w:val="40"/>
  </w:num>
  <w:num w:numId="6" w16cid:durableId="89664012">
    <w:abstractNumId w:val="8"/>
  </w:num>
  <w:num w:numId="7" w16cid:durableId="1930114367">
    <w:abstractNumId w:val="16"/>
  </w:num>
  <w:num w:numId="8" w16cid:durableId="737822532">
    <w:abstractNumId w:val="7"/>
  </w:num>
  <w:num w:numId="9" w16cid:durableId="2139563855">
    <w:abstractNumId w:val="34"/>
  </w:num>
  <w:num w:numId="10" w16cid:durableId="366688546">
    <w:abstractNumId w:val="10"/>
  </w:num>
  <w:num w:numId="11" w16cid:durableId="1540705749">
    <w:abstractNumId w:val="17"/>
  </w:num>
  <w:num w:numId="12" w16cid:durableId="256986558">
    <w:abstractNumId w:val="13"/>
  </w:num>
  <w:num w:numId="13" w16cid:durableId="308097963">
    <w:abstractNumId w:val="20"/>
  </w:num>
  <w:num w:numId="14" w16cid:durableId="628125394">
    <w:abstractNumId w:val="3"/>
  </w:num>
  <w:num w:numId="15" w16cid:durableId="1287390309">
    <w:abstractNumId w:val="32"/>
  </w:num>
  <w:num w:numId="16" w16cid:durableId="260719341">
    <w:abstractNumId w:val="19"/>
  </w:num>
  <w:num w:numId="17" w16cid:durableId="649671012">
    <w:abstractNumId w:val="33"/>
  </w:num>
  <w:num w:numId="18" w16cid:durableId="1158034801">
    <w:abstractNumId w:val="14"/>
  </w:num>
  <w:num w:numId="19" w16cid:durableId="858007386">
    <w:abstractNumId w:val="2"/>
  </w:num>
  <w:num w:numId="20" w16cid:durableId="56831619">
    <w:abstractNumId w:val="6"/>
  </w:num>
  <w:num w:numId="21" w16cid:durableId="16806990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2214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1191216">
    <w:abstractNumId w:val="25"/>
  </w:num>
  <w:num w:numId="24" w16cid:durableId="1021588488">
    <w:abstractNumId w:val="27"/>
  </w:num>
  <w:num w:numId="25" w16cid:durableId="93601017">
    <w:abstractNumId w:val="27"/>
    <w:lvlOverride w:ilvl="0">
      <w:lvl w:ilvl="0" w:tplc="B2C24820">
        <w:start w:val="1"/>
        <w:numFmt w:val="lowerLetter"/>
        <w:lvlText w:val="(%1)"/>
        <w:lvlJc w:val="left"/>
        <w:pPr>
          <w:ind w:left="720" w:hanging="360"/>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26" w16cid:durableId="168254783">
    <w:abstractNumId w:val="28"/>
  </w:num>
  <w:num w:numId="27" w16cid:durableId="201019473">
    <w:abstractNumId w:val="21"/>
  </w:num>
  <w:num w:numId="28" w16cid:durableId="758872524">
    <w:abstractNumId w:val="26"/>
  </w:num>
  <w:num w:numId="29" w16cid:durableId="872688874">
    <w:abstractNumId w:val="36"/>
  </w:num>
  <w:num w:numId="30" w16cid:durableId="1635214112">
    <w:abstractNumId w:val="37"/>
  </w:num>
  <w:num w:numId="31" w16cid:durableId="513806616">
    <w:abstractNumId w:val="9"/>
  </w:num>
  <w:num w:numId="32" w16cid:durableId="1150903484">
    <w:abstractNumId w:val="38"/>
  </w:num>
  <w:num w:numId="33" w16cid:durableId="424108137">
    <w:abstractNumId w:val="24"/>
  </w:num>
  <w:num w:numId="34" w16cid:durableId="707100448">
    <w:abstractNumId w:val="11"/>
  </w:num>
  <w:num w:numId="35" w16cid:durableId="1032875386">
    <w:abstractNumId w:val="30"/>
  </w:num>
  <w:num w:numId="36" w16cid:durableId="928074489">
    <w:abstractNumId w:val="12"/>
  </w:num>
  <w:num w:numId="37" w16cid:durableId="835346656">
    <w:abstractNumId w:val="35"/>
  </w:num>
  <w:num w:numId="38" w16cid:durableId="113409610">
    <w:abstractNumId w:val="31"/>
  </w:num>
  <w:num w:numId="39" w16cid:durableId="1270160537">
    <w:abstractNumId w:val="0"/>
  </w:num>
  <w:num w:numId="40" w16cid:durableId="1590625088">
    <w:abstractNumId w:val="0"/>
  </w:num>
  <w:num w:numId="41" w16cid:durableId="1242134883">
    <w:abstractNumId w:val="1"/>
  </w:num>
  <w:num w:numId="42" w16cid:durableId="1327902729">
    <w:abstractNumId w:val="4"/>
  </w:num>
  <w:num w:numId="43" w16cid:durableId="674379621">
    <w:abstractNumId w:val="29"/>
  </w:num>
  <w:num w:numId="44" w16cid:durableId="1766489227">
    <w:abstractNumId w:val="0"/>
  </w:num>
  <w:num w:numId="45" w16cid:durableId="299195198">
    <w:abstractNumId w:val="0"/>
  </w:num>
  <w:num w:numId="46" w16cid:durableId="898247637">
    <w:abstractNumId w:val="15"/>
  </w:num>
  <w:num w:numId="47" w16cid:durableId="67969937">
    <w:abstractNumId w:val="0"/>
  </w:num>
  <w:num w:numId="48" w16cid:durableId="717388928">
    <w:abstractNumId w:val="0"/>
  </w:num>
  <w:num w:numId="49" w16cid:durableId="6341455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F60"/>
    <w:rsid w:val="0000110B"/>
    <w:rsid w:val="0000137E"/>
    <w:rsid w:val="0000212A"/>
    <w:rsid w:val="00002A7F"/>
    <w:rsid w:val="00003499"/>
    <w:rsid w:val="000039B7"/>
    <w:rsid w:val="00004606"/>
    <w:rsid w:val="000049F2"/>
    <w:rsid w:val="000056B9"/>
    <w:rsid w:val="0000639A"/>
    <w:rsid w:val="00006970"/>
    <w:rsid w:val="00006A23"/>
    <w:rsid w:val="00006E34"/>
    <w:rsid w:val="0000731F"/>
    <w:rsid w:val="0001265F"/>
    <w:rsid w:val="00012CFC"/>
    <w:rsid w:val="00013247"/>
    <w:rsid w:val="00014DDB"/>
    <w:rsid w:val="00015886"/>
    <w:rsid w:val="00015A5E"/>
    <w:rsid w:val="000162EF"/>
    <w:rsid w:val="000163D9"/>
    <w:rsid w:val="00016FE4"/>
    <w:rsid w:val="00017ABE"/>
    <w:rsid w:val="00017D6C"/>
    <w:rsid w:val="000207C9"/>
    <w:rsid w:val="00021585"/>
    <w:rsid w:val="00021FFF"/>
    <w:rsid w:val="0002225F"/>
    <w:rsid w:val="00022EED"/>
    <w:rsid w:val="00023763"/>
    <w:rsid w:val="00023D10"/>
    <w:rsid w:val="00023F5F"/>
    <w:rsid w:val="00024EB5"/>
    <w:rsid w:val="00025AD7"/>
    <w:rsid w:val="00025B90"/>
    <w:rsid w:val="000274B8"/>
    <w:rsid w:val="0003215C"/>
    <w:rsid w:val="00033863"/>
    <w:rsid w:val="00034001"/>
    <w:rsid w:val="0003430E"/>
    <w:rsid w:val="00034941"/>
    <w:rsid w:val="0003525F"/>
    <w:rsid w:val="00035DC0"/>
    <w:rsid w:val="00036829"/>
    <w:rsid w:val="00037300"/>
    <w:rsid w:val="00037769"/>
    <w:rsid w:val="00037859"/>
    <w:rsid w:val="00040895"/>
    <w:rsid w:val="000410A0"/>
    <w:rsid w:val="00042E4F"/>
    <w:rsid w:val="000435EE"/>
    <w:rsid w:val="00043C37"/>
    <w:rsid w:val="00044461"/>
    <w:rsid w:val="0004462B"/>
    <w:rsid w:val="00044A2E"/>
    <w:rsid w:val="00045017"/>
    <w:rsid w:val="00045478"/>
    <w:rsid w:val="00045A2B"/>
    <w:rsid w:val="0004698F"/>
    <w:rsid w:val="00046D64"/>
    <w:rsid w:val="000508C2"/>
    <w:rsid w:val="00052277"/>
    <w:rsid w:val="000539D0"/>
    <w:rsid w:val="0005412C"/>
    <w:rsid w:val="000543E9"/>
    <w:rsid w:val="00054621"/>
    <w:rsid w:val="000546D7"/>
    <w:rsid w:val="00054A8D"/>
    <w:rsid w:val="00056ECF"/>
    <w:rsid w:val="000576EC"/>
    <w:rsid w:val="000604DF"/>
    <w:rsid w:val="00062F4F"/>
    <w:rsid w:val="00063230"/>
    <w:rsid w:val="000634AB"/>
    <w:rsid w:val="000653B5"/>
    <w:rsid w:val="00066360"/>
    <w:rsid w:val="00066AF8"/>
    <w:rsid w:val="00067A74"/>
    <w:rsid w:val="00067DF0"/>
    <w:rsid w:val="0007067F"/>
    <w:rsid w:val="00071248"/>
    <w:rsid w:val="000720B9"/>
    <w:rsid w:val="000737F7"/>
    <w:rsid w:val="0007672F"/>
    <w:rsid w:val="00076B54"/>
    <w:rsid w:val="000774F0"/>
    <w:rsid w:val="00080909"/>
    <w:rsid w:val="000812CA"/>
    <w:rsid w:val="00081E63"/>
    <w:rsid w:val="0008258D"/>
    <w:rsid w:val="000832B4"/>
    <w:rsid w:val="00083DEB"/>
    <w:rsid w:val="00083E99"/>
    <w:rsid w:val="000843AB"/>
    <w:rsid w:val="00084A1A"/>
    <w:rsid w:val="00084FA8"/>
    <w:rsid w:val="000856C5"/>
    <w:rsid w:val="00085C31"/>
    <w:rsid w:val="00085D0F"/>
    <w:rsid w:val="00086BC2"/>
    <w:rsid w:val="000902D9"/>
    <w:rsid w:val="00090C7E"/>
    <w:rsid w:val="000911AA"/>
    <w:rsid w:val="000911AC"/>
    <w:rsid w:val="000912F3"/>
    <w:rsid w:val="00092600"/>
    <w:rsid w:val="0009262B"/>
    <w:rsid w:val="00092F86"/>
    <w:rsid w:val="00093310"/>
    <w:rsid w:val="00093BAC"/>
    <w:rsid w:val="00093E39"/>
    <w:rsid w:val="0009445C"/>
    <w:rsid w:val="00095200"/>
    <w:rsid w:val="00095DCF"/>
    <w:rsid w:val="00095FE5"/>
    <w:rsid w:val="00096284"/>
    <w:rsid w:val="00097883"/>
    <w:rsid w:val="000A1365"/>
    <w:rsid w:val="000A1A90"/>
    <w:rsid w:val="000A1BC0"/>
    <w:rsid w:val="000A1FC4"/>
    <w:rsid w:val="000A2F9E"/>
    <w:rsid w:val="000A3C44"/>
    <w:rsid w:val="000A3E47"/>
    <w:rsid w:val="000A4A48"/>
    <w:rsid w:val="000A522B"/>
    <w:rsid w:val="000A6010"/>
    <w:rsid w:val="000A6039"/>
    <w:rsid w:val="000A7453"/>
    <w:rsid w:val="000A7A10"/>
    <w:rsid w:val="000A7A89"/>
    <w:rsid w:val="000A7B13"/>
    <w:rsid w:val="000A7D08"/>
    <w:rsid w:val="000B0121"/>
    <w:rsid w:val="000B0670"/>
    <w:rsid w:val="000B0C13"/>
    <w:rsid w:val="000B0E75"/>
    <w:rsid w:val="000B1109"/>
    <w:rsid w:val="000B25AF"/>
    <w:rsid w:val="000B2DCB"/>
    <w:rsid w:val="000B3AC0"/>
    <w:rsid w:val="000B4BCC"/>
    <w:rsid w:val="000B51C9"/>
    <w:rsid w:val="000B5CE0"/>
    <w:rsid w:val="000B6CAC"/>
    <w:rsid w:val="000B7612"/>
    <w:rsid w:val="000B78AE"/>
    <w:rsid w:val="000C092C"/>
    <w:rsid w:val="000C135B"/>
    <w:rsid w:val="000C1C98"/>
    <w:rsid w:val="000C2C8E"/>
    <w:rsid w:val="000C3DF9"/>
    <w:rsid w:val="000C4CF2"/>
    <w:rsid w:val="000C6713"/>
    <w:rsid w:val="000C6C84"/>
    <w:rsid w:val="000C6FC8"/>
    <w:rsid w:val="000C780A"/>
    <w:rsid w:val="000C7DDC"/>
    <w:rsid w:val="000C7EDE"/>
    <w:rsid w:val="000D0ADF"/>
    <w:rsid w:val="000D1BFC"/>
    <w:rsid w:val="000D1D5D"/>
    <w:rsid w:val="000D281A"/>
    <w:rsid w:val="000D2848"/>
    <w:rsid w:val="000D326A"/>
    <w:rsid w:val="000D34D8"/>
    <w:rsid w:val="000D3868"/>
    <w:rsid w:val="000D3EDD"/>
    <w:rsid w:val="000D51FB"/>
    <w:rsid w:val="000D6922"/>
    <w:rsid w:val="000E0640"/>
    <w:rsid w:val="000E0D3B"/>
    <w:rsid w:val="000E135D"/>
    <w:rsid w:val="000E1564"/>
    <w:rsid w:val="000E1C8B"/>
    <w:rsid w:val="000E3FB4"/>
    <w:rsid w:val="000E44A0"/>
    <w:rsid w:val="000E5633"/>
    <w:rsid w:val="000E68FD"/>
    <w:rsid w:val="000F00BA"/>
    <w:rsid w:val="000F1990"/>
    <w:rsid w:val="000F2D98"/>
    <w:rsid w:val="000F316A"/>
    <w:rsid w:val="000F3C74"/>
    <w:rsid w:val="000F49C2"/>
    <w:rsid w:val="000F4BB8"/>
    <w:rsid w:val="000F4E45"/>
    <w:rsid w:val="000F4FA9"/>
    <w:rsid w:val="000F53FB"/>
    <w:rsid w:val="000F5696"/>
    <w:rsid w:val="000F6D64"/>
    <w:rsid w:val="000F6F06"/>
    <w:rsid w:val="000F7127"/>
    <w:rsid w:val="000F7B54"/>
    <w:rsid w:val="001000B3"/>
    <w:rsid w:val="00100A7A"/>
    <w:rsid w:val="00100C2D"/>
    <w:rsid w:val="00100F8A"/>
    <w:rsid w:val="00101236"/>
    <w:rsid w:val="001012F8"/>
    <w:rsid w:val="0010452E"/>
    <w:rsid w:val="001049CF"/>
    <w:rsid w:val="00105AE2"/>
    <w:rsid w:val="00105E6E"/>
    <w:rsid w:val="001060C6"/>
    <w:rsid w:val="00106B80"/>
    <w:rsid w:val="00107AAD"/>
    <w:rsid w:val="0011032E"/>
    <w:rsid w:val="00110CF9"/>
    <w:rsid w:val="0011348B"/>
    <w:rsid w:val="001134BB"/>
    <w:rsid w:val="00113C9F"/>
    <w:rsid w:val="00115982"/>
    <w:rsid w:val="00116B33"/>
    <w:rsid w:val="00116C53"/>
    <w:rsid w:val="001174F4"/>
    <w:rsid w:val="0011755B"/>
    <w:rsid w:val="00121799"/>
    <w:rsid w:val="00121AF0"/>
    <w:rsid w:val="00121BCA"/>
    <w:rsid w:val="001222FC"/>
    <w:rsid w:val="0012292A"/>
    <w:rsid w:val="00123902"/>
    <w:rsid w:val="00123EE6"/>
    <w:rsid w:val="001247D6"/>
    <w:rsid w:val="00124A51"/>
    <w:rsid w:val="001250B7"/>
    <w:rsid w:val="00125445"/>
    <w:rsid w:val="001254ED"/>
    <w:rsid w:val="001257CE"/>
    <w:rsid w:val="0012612C"/>
    <w:rsid w:val="00126621"/>
    <w:rsid w:val="00126B1D"/>
    <w:rsid w:val="001301E9"/>
    <w:rsid w:val="00130A58"/>
    <w:rsid w:val="00131D82"/>
    <w:rsid w:val="00131F47"/>
    <w:rsid w:val="00132073"/>
    <w:rsid w:val="00132B22"/>
    <w:rsid w:val="00133D36"/>
    <w:rsid w:val="00136685"/>
    <w:rsid w:val="00137645"/>
    <w:rsid w:val="00137C39"/>
    <w:rsid w:val="001400A2"/>
    <w:rsid w:val="0014015A"/>
    <w:rsid w:val="00140964"/>
    <w:rsid w:val="00140E99"/>
    <w:rsid w:val="00143F67"/>
    <w:rsid w:val="00144053"/>
    <w:rsid w:val="001440E0"/>
    <w:rsid w:val="00144BAC"/>
    <w:rsid w:val="00145234"/>
    <w:rsid w:val="00145540"/>
    <w:rsid w:val="00145654"/>
    <w:rsid w:val="001456B0"/>
    <w:rsid w:val="001471BA"/>
    <w:rsid w:val="00150A10"/>
    <w:rsid w:val="0015315D"/>
    <w:rsid w:val="00153EBD"/>
    <w:rsid w:val="00153FFB"/>
    <w:rsid w:val="001547AB"/>
    <w:rsid w:val="001560F7"/>
    <w:rsid w:val="00156F0B"/>
    <w:rsid w:val="00156F8F"/>
    <w:rsid w:val="00157130"/>
    <w:rsid w:val="001576B1"/>
    <w:rsid w:val="0016047B"/>
    <w:rsid w:val="00160A4C"/>
    <w:rsid w:val="00162913"/>
    <w:rsid w:val="00163560"/>
    <w:rsid w:val="00163725"/>
    <w:rsid w:val="001638E0"/>
    <w:rsid w:val="00163C80"/>
    <w:rsid w:val="00163EFF"/>
    <w:rsid w:val="00163F66"/>
    <w:rsid w:val="001644CC"/>
    <w:rsid w:val="0016478E"/>
    <w:rsid w:val="00165227"/>
    <w:rsid w:val="00165B88"/>
    <w:rsid w:val="00165EC4"/>
    <w:rsid w:val="001661FB"/>
    <w:rsid w:val="001671A0"/>
    <w:rsid w:val="0016767F"/>
    <w:rsid w:val="00171CBB"/>
    <w:rsid w:val="001728F0"/>
    <w:rsid w:val="0017330E"/>
    <w:rsid w:val="00173565"/>
    <w:rsid w:val="00173B07"/>
    <w:rsid w:val="00174978"/>
    <w:rsid w:val="00174F82"/>
    <w:rsid w:val="001751FA"/>
    <w:rsid w:val="00175C80"/>
    <w:rsid w:val="0017602B"/>
    <w:rsid w:val="001817ED"/>
    <w:rsid w:val="00181C10"/>
    <w:rsid w:val="00181D9C"/>
    <w:rsid w:val="001837FF"/>
    <w:rsid w:val="00184057"/>
    <w:rsid w:val="00184B0E"/>
    <w:rsid w:val="0018501F"/>
    <w:rsid w:val="0018752F"/>
    <w:rsid w:val="001877F8"/>
    <w:rsid w:val="001902E6"/>
    <w:rsid w:val="00192082"/>
    <w:rsid w:val="00192C6C"/>
    <w:rsid w:val="0019315C"/>
    <w:rsid w:val="00193248"/>
    <w:rsid w:val="0019360D"/>
    <w:rsid w:val="00193838"/>
    <w:rsid w:val="00194AD8"/>
    <w:rsid w:val="00195222"/>
    <w:rsid w:val="00195452"/>
    <w:rsid w:val="001956E3"/>
    <w:rsid w:val="00196E5A"/>
    <w:rsid w:val="001975D8"/>
    <w:rsid w:val="001A1362"/>
    <w:rsid w:val="001A178E"/>
    <w:rsid w:val="001A43FA"/>
    <w:rsid w:val="001A47C5"/>
    <w:rsid w:val="001A59FB"/>
    <w:rsid w:val="001A5E9E"/>
    <w:rsid w:val="001A621E"/>
    <w:rsid w:val="001A6354"/>
    <w:rsid w:val="001A6366"/>
    <w:rsid w:val="001A6E66"/>
    <w:rsid w:val="001A7AE8"/>
    <w:rsid w:val="001B204E"/>
    <w:rsid w:val="001B2257"/>
    <w:rsid w:val="001B2372"/>
    <w:rsid w:val="001B3443"/>
    <w:rsid w:val="001B4D20"/>
    <w:rsid w:val="001B518C"/>
    <w:rsid w:val="001B5845"/>
    <w:rsid w:val="001B64B4"/>
    <w:rsid w:val="001B64F7"/>
    <w:rsid w:val="001B7F84"/>
    <w:rsid w:val="001C0E32"/>
    <w:rsid w:val="001C12F1"/>
    <w:rsid w:val="001C1A75"/>
    <w:rsid w:val="001C1DC1"/>
    <w:rsid w:val="001C2A9B"/>
    <w:rsid w:val="001C3DD6"/>
    <w:rsid w:val="001C4299"/>
    <w:rsid w:val="001C4874"/>
    <w:rsid w:val="001C5F94"/>
    <w:rsid w:val="001C6E66"/>
    <w:rsid w:val="001D1100"/>
    <w:rsid w:val="001D1391"/>
    <w:rsid w:val="001D1AF1"/>
    <w:rsid w:val="001D1D05"/>
    <w:rsid w:val="001D25D7"/>
    <w:rsid w:val="001D4BF6"/>
    <w:rsid w:val="001D4FAC"/>
    <w:rsid w:val="001D50B2"/>
    <w:rsid w:val="001D71F4"/>
    <w:rsid w:val="001D7645"/>
    <w:rsid w:val="001E1E86"/>
    <w:rsid w:val="001E22DA"/>
    <w:rsid w:val="001E238E"/>
    <w:rsid w:val="001E2483"/>
    <w:rsid w:val="001E257E"/>
    <w:rsid w:val="001E2B1E"/>
    <w:rsid w:val="001E2CFF"/>
    <w:rsid w:val="001E2F24"/>
    <w:rsid w:val="001E30D4"/>
    <w:rsid w:val="001E34DF"/>
    <w:rsid w:val="001E3A3F"/>
    <w:rsid w:val="001E52EB"/>
    <w:rsid w:val="001E5748"/>
    <w:rsid w:val="001E61D2"/>
    <w:rsid w:val="001E740C"/>
    <w:rsid w:val="001E752D"/>
    <w:rsid w:val="001F01CC"/>
    <w:rsid w:val="001F1235"/>
    <w:rsid w:val="001F1CB3"/>
    <w:rsid w:val="001F2476"/>
    <w:rsid w:val="001F3052"/>
    <w:rsid w:val="001F38B5"/>
    <w:rsid w:val="001F4081"/>
    <w:rsid w:val="001F4B12"/>
    <w:rsid w:val="001F59E5"/>
    <w:rsid w:val="001F7361"/>
    <w:rsid w:val="002011B0"/>
    <w:rsid w:val="00201F07"/>
    <w:rsid w:val="00203181"/>
    <w:rsid w:val="00203783"/>
    <w:rsid w:val="0020385F"/>
    <w:rsid w:val="0020504B"/>
    <w:rsid w:val="002068A0"/>
    <w:rsid w:val="00207021"/>
    <w:rsid w:val="0020732F"/>
    <w:rsid w:val="00207D00"/>
    <w:rsid w:val="002105C1"/>
    <w:rsid w:val="0021079D"/>
    <w:rsid w:val="002109EE"/>
    <w:rsid w:val="002116FD"/>
    <w:rsid w:val="00211903"/>
    <w:rsid w:val="0021203F"/>
    <w:rsid w:val="002120C1"/>
    <w:rsid w:val="002122BE"/>
    <w:rsid w:val="00212DF2"/>
    <w:rsid w:val="00213EF5"/>
    <w:rsid w:val="00214181"/>
    <w:rsid w:val="00216442"/>
    <w:rsid w:val="00216520"/>
    <w:rsid w:val="00216BF5"/>
    <w:rsid w:val="00217C8B"/>
    <w:rsid w:val="002217BD"/>
    <w:rsid w:val="00223B49"/>
    <w:rsid w:val="00223D5A"/>
    <w:rsid w:val="00223FD3"/>
    <w:rsid w:val="00224035"/>
    <w:rsid w:val="00224DD4"/>
    <w:rsid w:val="0022735A"/>
    <w:rsid w:val="002278A0"/>
    <w:rsid w:val="00227A53"/>
    <w:rsid w:val="0023057C"/>
    <w:rsid w:val="002309CC"/>
    <w:rsid w:val="00231BA9"/>
    <w:rsid w:val="0023209F"/>
    <w:rsid w:val="002324DD"/>
    <w:rsid w:val="002325FE"/>
    <w:rsid w:val="0023353D"/>
    <w:rsid w:val="00233562"/>
    <w:rsid w:val="00233C01"/>
    <w:rsid w:val="0023413C"/>
    <w:rsid w:val="002346F0"/>
    <w:rsid w:val="00235540"/>
    <w:rsid w:val="00235D09"/>
    <w:rsid w:val="0023629D"/>
    <w:rsid w:val="0023707F"/>
    <w:rsid w:val="00237255"/>
    <w:rsid w:val="00240A5F"/>
    <w:rsid w:val="002424AF"/>
    <w:rsid w:val="002424DE"/>
    <w:rsid w:val="002439DC"/>
    <w:rsid w:val="002441D2"/>
    <w:rsid w:val="0024467C"/>
    <w:rsid w:val="00244DC8"/>
    <w:rsid w:val="00244F84"/>
    <w:rsid w:val="00245525"/>
    <w:rsid w:val="002458BA"/>
    <w:rsid w:val="00245CE9"/>
    <w:rsid w:val="0024636C"/>
    <w:rsid w:val="002476BA"/>
    <w:rsid w:val="00247925"/>
    <w:rsid w:val="00251006"/>
    <w:rsid w:val="002524D5"/>
    <w:rsid w:val="0025353E"/>
    <w:rsid w:val="00253B1D"/>
    <w:rsid w:val="00254DCF"/>
    <w:rsid w:val="002551A0"/>
    <w:rsid w:val="0025534B"/>
    <w:rsid w:val="00255BB7"/>
    <w:rsid w:val="00256071"/>
    <w:rsid w:val="00256129"/>
    <w:rsid w:val="00256940"/>
    <w:rsid w:val="00257541"/>
    <w:rsid w:val="00257A39"/>
    <w:rsid w:val="00257AC4"/>
    <w:rsid w:val="00257BBE"/>
    <w:rsid w:val="00257D11"/>
    <w:rsid w:val="00261911"/>
    <w:rsid w:val="00261EEF"/>
    <w:rsid w:val="002625A9"/>
    <w:rsid w:val="002628C0"/>
    <w:rsid w:val="00262A1A"/>
    <w:rsid w:val="00262A87"/>
    <w:rsid w:val="00263592"/>
    <w:rsid w:val="00263806"/>
    <w:rsid w:val="00264234"/>
    <w:rsid w:val="00264D26"/>
    <w:rsid w:val="00266F42"/>
    <w:rsid w:val="00267642"/>
    <w:rsid w:val="00267AEA"/>
    <w:rsid w:val="002700E6"/>
    <w:rsid w:val="00271245"/>
    <w:rsid w:val="00271675"/>
    <w:rsid w:val="00271A28"/>
    <w:rsid w:val="0027294B"/>
    <w:rsid w:val="00273458"/>
    <w:rsid w:val="00273EB4"/>
    <w:rsid w:val="0027421E"/>
    <w:rsid w:val="00274682"/>
    <w:rsid w:val="00275158"/>
    <w:rsid w:val="00275352"/>
    <w:rsid w:val="00275C5A"/>
    <w:rsid w:val="002761B8"/>
    <w:rsid w:val="00276D5E"/>
    <w:rsid w:val="00281014"/>
    <w:rsid w:val="00282175"/>
    <w:rsid w:val="002835FE"/>
    <w:rsid w:val="00284679"/>
    <w:rsid w:val="00285BCE"/>
    <w:rsid w:val="0028665D"/>
    <w:rsid w:val="002939DB"/>
    <w:rsid w:val="0029498D"/>
    <w:rsid w:val="00295097"/>
    <w:rsid w:val="00295CE8"/>
    <w:rsid w:val="002966B2"/>
    <w:rsid w:val="00297665"/>
    <w:rsid w:val="00297E8E"/>
    <w:rsid w:val="002A1338"/>
    <w:rsid w:val="002A14AB"/>
    <w:rsid w:val="002A2ADE"/>
    <w:rsid w:val="002A2F50"/>
    <w:rsid w:val="002A4080"/>
    <w:rsid w:val="002A4C34"/>
    <w:rsid w:val="002A6C7F"/>
    <w:rsid w:val="002A7943"/>
    <w:rsid w:val="002B05A1"/>
    <w:rsid w:val="002B09A4"/>
    <w:rsid w:val="002B1C1F"/>
    <w:rsid w:val="002B1E42"/>
    <w:rsid w:val="002B3513"/>
    <w:rsid w:val="002B3699"/>
    <w:rsid w:val="002B4246"/>
    <w:rsid w:val="002B432F"/>
    <w:rsid w:val="002B57DB"/>
    <w:rsid w:val="002B62B3"/>
    <w:rsid w:val="002B6754"/>
    <w:rsid w:val="002B6CCE"/>
    <w:rsid w:val="002B706F"/>
    <w:rsid w:val="002C02F6"/>
    <w:rsid w:val="002C1990"/>
    <w:rsid w:val="002C2510"/>
    <w:rsid w:val="002C2775"/>
    <w:rsid w:val="002C27C1"/>
    <w:rsid w:val="002C2B6F"/>
    <w:rsid w:val="002C36E3"/>
    <w:rsid w:val="002C5099"/>
    <w:rsid w:val="002C521A"/>
    <w:rsid w:val="002C5889"/>
    <w:rsid w:val="002C71CE"/>
    <w:rsid w:val="002D08F8"/>
    <w:rsid w:val="002D34C8"/>
    <w:rsid w:val="002D577C"/>
    <w:rsid w:val="002D6136"/>
    <w:rsid w:val="002D6281"/>
    <w:rsid w:val="002D6E20"/>
    <w:rsid w:val="002D7199"/>
    <w:rsid w:val="002D721E"/>
    <w:rsid w:val="002D7832"/>
    <w:rsid w:val="002E0013"/>
    <w:rsid w:val="002E1071"/>
    <w:rsid w:val="002E15B9"/>
    <w:rsid w:val="002E1CF6"/>
    <w:rsid w:val="002E2158"/>
    <w:rsid w:val="002E2FBA"/>
    <w:rsid w:val="002E3B65"/>
    <w:rsid w:val="002E40B8"/>
    <w:rsid w:val="002E47A1"/>
    <w:rsid w:val="002E4F02"/>
    <w:rsid w:val="002E5249"/>
    <w:rsid w:val="002E54CE"/>
    <w:rsid w:val="002E6EB1"/>
    <w:rsid w:val="002E7722"/>
    <w:rsid w:val="002F07BA"/>
    <w:rsid w:val="002F0DA9"/>
    <w:rsid w:val="002F1014"/>
    <w:rsid w:val="002F1E3B"/>
    <w:rsid w:val="002F377A"/>
    <w:rsid w:val="002F4A29"/>
    <w:rsid w:val="002F6391"/>
    <w:rsid w:val="002F643C"/>
    <w:rsid w:val="002F6785"/>
    <w:rsid w:val="002F71C0"/>
    <w:rsid w:val="002F74F1"/>
    <w:rsid w:val="00301017"/>
    <w:rsid w:val="0030155F"/>
    <w:rsid w:val="003037C7"/>
    <w:rsid w:val="003050A4"/>
    <w:rsid w:val="0030575C"/>
    <w:rsid w:val="0030587B"/>
    <w:rsid w:val="00306D98"/>
    <w:rsid w:val="0030786C"/>
    <w:rsid w:val="0031031A"/>
    <w:rsid w:val="00310981"/>
    <w:rsid w:val="00311D83"/>
    <w:rsid w:val="00311D9B"/>
    <w:rsid w:val="003124D9"/>
    <w:rsid w:val="00312594"/>
    <w:rsid w:val="00313AC2"/>
    <w:rsid w:val="00314767"/>
    <w:rsid w:val="003151B4"/>
    <w:rsid w:val="00315498"/>
    <w:rsid w:val="0031549A"/>
    <w:rsid w:val="0031580A"/>
    <w:rsid w:val="00315E77"/>
    <w:rsid w:val="00316474"/>
    <w:rsid w:val="0031684D"/>
    <w:rsid w:val="00316B50"/>
    <w:rsid w:val="00320306"/>
    <w:rsid w:val="00320BF5"/>
    <w:rsid w:val="0032109A"/>
    <w:rsid w:val="00322107"/>
    <w:rsid w:val="00322355"/>
    <w:rsid w:val="00322846"/>
    <w:rsid w:val="0032292B"/>
    <w:rsid w:val="003238FE"/>
    <w:rsid w:val="00323B1C"/>
    <w:rsid w:val="00324559"/>
    <w:rsid w:val="00324675"/>
    <w:rsid w:val="00325A71"/>
    <w:rsid w:val="00326409"/>
    <w:rsid w:val="00326D9D"/>
    <w:rsid w:val="00326DA7"/>
    <w:rsid w:val="003270E4"/>
    <w:rsid w:val="00330DAA"/>
    <w:rsid w:val="00330F5C"/>
    <w:rsid w:val="00332B7D"/>
    <w:rsid w:val="00333A4C"/>
    <w:rsid w:val="003340EB"/>
    <w:rsid w:val="00334111"/>
    <w:rsid w:val="0033495B"/>
    <w:rsid w:val="003366C9"/>
    <w:rsid w:val="003371B0"/>
    <w:rsid w:val="00340163"/>
    <w:rsid w:val="00340DF1"/>
    <w:rsid w:val="00341442"/>
    <w:rsid w:val="00342AE1"/>
    <w:rsid w:val="00344C56"/>
    <w:rsid w:val="003456DA"/>
    <w:rsid w:val="003472A8"/>
    <w:rsid w:val="003517F9"/>
    <w:rsid w:val="00351BA9"/>
    <w:rsid w:val="00352034"/>
    <w:rsid w:val="003549F2"/>
    <w:rsid w:val="00354F64"/>
    <w:rsid w:val="0035620E"/>
    <w:rsid w:val="003575BE"/>
    <w:rsid w:val="00357AD6"/>
    <w:rsid w:val="00357D22"/>
    <w:rsid w:val="00360345"/>
    <w:rsid w:val="00361A05"/>
    <w:rsid w:val="003624C4"/>
    <w:rsid w:val="003633D0"/>
    <w:rsid w:val="00363493"/>
    <w:rsid w:val="0036358E"/>
    <w:rsid w:val="00363B00"/>
    <w:rsid w:val="003654AC"/>
    <w:rsid w:val="0036716E"/>
    <w:rsid w:val="003710CF"/>
    <w:rsid w:val="00372446"/>
    <w:rsid w:val="003732E7"/>
    <w:rsid w:val="0037358A"/>
    <w:rsid w:val="003750F6"/>
    <w:rsid w:val="00375C3C"/>
    <w:rsid w:val="003760FC"/>
    <w:rsid w:val="003772B7"/>
    <w:rsid w:val="003801A6"/>
    <w:rsid w:val="00381AAE"/>
    <w:rsid w:val="00383220"/>
    <w:rsid w:val="0038365C"/>
    <w:rsid w:val="0038369B"/>
    <w:rsid w:val="00383B78"/>
    <w:rsid w:val="00383B83"/>
    <w:rsid w:val="00384029"/>
    <w:rsid w:val="003855CE"/>
    <w:rsid w:val="00385A9D"/>
    <w:rsid w:val="00387121"/>
    <w:rsid w:val="003902B1"/>
    <w:rsid w:val="00390DCE"/>
    <w:rsid w:val="0039179C"/>
    <w:rsid w:val="003918B8"/>
    <w:rsid w:val="00391DAD"/>
    <w:rsid w:val="003923CD"/>
    <w:rsid w:val="00392BF8"/>
    <w:rsid w:val="00393221"/>
    <w:rsid w:val="00396896"/>
    <w:rsid w:val="00396FD0"/>
    <w:rsid w:val="003970E1"/>
    <w:rsid w:val="003A1A7A"/>
    <w:rsid w:val="003A2392"/>
    <w:rsid w:val="003A2831"/>
    <w:rsid w:val="003A3CB6"/>
    <w:rsid w:val="003A3ED1"/>
    <w:rsid w:val="003A44DB"/>
    <w:rsid w:val="003A4C14"/>
    <w:rsid w:val="003B3971"/>
    <w:rsid w:val="003B55D1"/>
    <w:rsid w:val="003B5B61"/>
    <w:rsid w:val="003B62A2"/>
    <w:rsid w:val="003B6844"/>
    <w:rsid w:val="003C1654"/>
    <w:rsid w:val="003C2FC6"/>
    <w:rsid w:val="003C5172"/>
    <w:rsid w:val="003C5542"/>
    <w:rsid w:val="003C6F33"/>
    <w:rsid w:val="003C7740"/>
    <w:rsid w:val="003C7C15"/>
    <w:rsid w:val="003C7D19"/>
    <w:rsid w:val="003C7D2F"/>
    <w:rsid w:val="003D0C5A"/>
    <w:rsid w:val="003D154B"/>
    <w:rsid w:val="003D1828"/>
    <w:rsid w:val="003D1DE4"/>
    <w:rsid w:val="003D1E9A"/>
    <w:rsid w:val="003D2422"/>
    <w:rsid w:val="003D366A"/>
    <w:rsid w:val="003D39A1"/>
    <w:rsid w:val="003D3FBF"/>
    <w:rsid w:val="003D4A30"/>
    <w:rsid w:val="003D7452"/>
    <w:rsid w:val="003D7684"/>
    <w:rsid w:val="003D79BB"/>
    <w:rsid w:val="003D7C98"/>
    <w:rsid w:val="003D7D9D"/>
    <w:rsid w:val="003E0543"/>
    <w:rsid w:val="003E1C8F"/>
    <w:rsid w:val="003E3606"/>
    <w:rsid w:val="003E4329"/>
    <w:rsid w:val="003E48C0"/>
    <w:rsid w:val="003E4B44"/>
    <w:rsid w:val="003E5425"/>
    <w:rsid w:val="003E5603"/>
    <w:rsid w:val="003E5F9D"/>
    <w:rsid w:val="003E6A17"/>
    <w:rsid w:val="003E749E"/>
    <w:rsid w:val="003F107F"/>
    <w:rsid w:val="003F1929"/>
    <w:rsid w:val="003F1CCA"/>
    <w:rsid w:val="003F2B75"/>
    <w:rsid w:val="003F2C5A"/>
    <w:rsid w:val="003F330C"/>
    <w:rsid w:val="003F3A2F"/>
    <w:rsid w:val="003F4156"/>
    <w:rsid w:val="003F4569"/>
    <w:rsid w:val="003F49FF"/>
    <w:rsid w:val="003F5353"/>
    <w:rsid w:val="003F5ADF"/>
    <w:rsid w:val="003F6BB6"/>
    <w:rsid w:val="003F712C"/>
    <w:rsid w:val="00400859"/>
    <w:rsid w:val="00400B29"/>
    <w:rsid w:val="00400C33"/>
    <w:rsid w:val="00401AD9"/>
    <w:rsid w:val="00401FCD"/>
    <w:rsid w:val="00402812"/>
    <w:rsid w:val="00402FD9"/>
    <w:rsid w:val="00403E99"/>
    <w:rsid w:val="0040504B"/>
    <w:rsid w:val="004059F4"/>
    <w:rsid w:val="0040628D"/>
    <w:rsid w:val="00407DD9"/>
    <w:rsid w:val="00407FE5"/>
    <w:rsid w:val="0041014D"/>
    <w:rsid w:val="004101B0"/>
    <w:rsid w:val="00410326"/>
    <w:rsid w:val="00410708"/>
    <w:rsid w:val="00410788"/>
    <w:rsid w:val="00410EC7"/>
    <w:rsid w:val="00411B39"/>
    <w:rsid w:val="004127A7"/>
    <w:rsid w:val="00413A1E"/>
    <w:rsid w:val="00413B54"/>
    <w:rsid w:val="00414476"/>
    <w:rsid w:val="00414C2E"/>
    <w:rsid w:val="004151CF"/>
    <w:rsid w:val="00415877"/>
    <w:rsid w:val="00415B0D"/>
    <w:rsid w:val="00415B85"/>
    <w:rsid w:val="00416364"/>
    <w:rsid w:val="00416E4B"/>
    <w:rsid w:val="0042047F"/>
    <w:rsid w:val="00420794"/>
    <w:rsid w:val="00420AA6"/>
    <w:rsid w:val="00420B9F"/>
    <w:rsid w:val="0042118B"/>
    <w:rsid w:val="004211C8"/>
    <w:rsid w:val="0042192C"/>
    <w:rsid w:val="00421AAD"/>
    <w:rsid w:val="00422260"/>
    <w:rsid w:val="0042413F"/>
    <w:rsid w:val="0042786B"/>
    <w:rsid w:val="004319F8"/>
    <w:rsid w:val="00431E55"/>
    <w:rsid w:val="00431FCF"/>
    <w:rsid w:val="0043215C"/>
    <w:rsid w:val="004321F6"/>
    <w:rsid w:val="0043299F"/>
    <w:rsid w:val="00433044"/>
    <w:rsid w:val="00434088"/>
    <w:rsid w:val="00434162"/>
    <w:rsid w:val="004352B6"/>
    <w:rsid w:val="00435D53"/>
    <w:rsid w:val="004375B9"/>
    <w:rsid w:val="004401CF"/>
    <w:rsid w:val="004422ED"/>
    <w:rsid w:val="004428D0"/>
    <w:rsid w:val="0044391C"/>
    <w:rsid w:val="00444185"/>
    <w:rsid w:val="004443A7"/>
    <w:rsid w:val="0044442C"/>
    <w:rsid w:val="004445FF"/>
    <w:rsid w:val="00445941"/>
    <w:rsid w:val="004464EB"/>
    <w:rsid w:val="004468F6"/>
    <w:rsid w:val="00447D26"/>
    <w:rsid w:val="00447DFC"/>
    <w:rsid w:val="00447E70"/>
    <w:rsid w:val="00450DE6"/>
    <w:rsid w:val="00452BBA"/>
    <w:rsid w:val="00452EC5"/>
    <w:rsid w:val="00454DE1"/>
    <w:rsid w:val="004556EC"/>
    <w:rsid w:val="00455D45"/>
    <w:rsid w:val="004564C8"/>
    <w:rsid w:val="00456919"/>
    <w:rsid w:val="00457053"/>
    <w:rsid w:val="00460084"/>
    <w:rsid w:val="0046009F"/>
    <w:rsid w:val="00461B45"/>
    <w:rsid w:val="00462751"/>
    <w:rsid w:val="00462C23"/>
    <w:rsid w:val="00464595"/>
    <w:rsid w:val="004658B5"/>
    <w:rsid w:val="00470164"/>
    <w:rsid w:val="00470722"/>
    <w:rsid w:val="00470B7C"/>
    <w:rsid w:val="00471A98"/>
    <w:rsid w:val="00471EA5"/>
    <w:rsid w:val="0047273E"/>
    <w:rsid w:val="00472A79"/>
    <w:rsid w:val="00473F19"/>
    <w:rsid w:val="00475686"/>
    <w:rsid w:val="00475E22"/>
    <w:rsid w:val="00477E67"/>
    <w:rsid w:val="0048088E"/>
    <w:rsid w:val="00480F2B"/>
    <w:rsid w:val="004822F0"/>
    <w:rsid w:val="00482720"/>
    <w:rsid w:val="00482888"/>
    <w:rsid w:val="004835E7"/>
    <w:rsid w:val="00485505"/>
    <w:rsid w:val="004859E1"/>
    <w:rsid w:val="004867E2"/>
    <w:rsid w:val="00486F0E"/>
    <w:rsid w:val="004874A0"/>
    <w:rsid w:val="00490494"/>
    <w:rsid w:val="00490B17"/>
    <w:rsid w:val="004913A7"/>
    <w:rsid w:val="00491B3A"/>
    <w:rsid w:val="00492CFD"/>
    <w:rsid w:val="00494207"/>
    <w:rsid w:val="0049496D"/>
    <w:rsid w:val="00494DD5"/>
    <w:rsid w:val="00495B2B"/>
    <w:rsid w:val="00495F0D"/>
    <w:rsid w:val="00496276"/>
    <w:rsid w:val="004962D2"/>
    <w:rsid w:val="00496C54"/>
    <w:rsid w:val="004A0C36"/>
    <w:rsid w:val="004A0DA1"/>
    <w:rsid w:val="004A13D6"/>
    <w:rsid w:val="004A52E9"/>
    <w:rsid w:val="004A5AF6"/>
    <w:rsid w:val="004A6040"/>
    <w:rsid w:val="004A6597"/>
    <w:rsid w:val="004A7848"/>
    <w:rsid w:val="004A793B"/>
    <w:rsid w:val="004B0A31"/>
    <w:rsid w:val="004B12EB"/>
    <w:rsid w:val="004B1CAE"/>
    <w:rsid w:val="004B1CB4"/>
    <w:rsid w:val="004B2A97"/>
    <w:rsid w:val="004B2EAF"/>
    <w:rsid w:val="004B2F18"/>
    <w:rsid w:val="004B3DDB"/>
    <w:rsid w:val="004B427F"/>
    <w:rsid w:val="004B44FD"/>
    <w:rsid w:val="004B5CFC"/>
    <w:rsid w:val="004B6F6B"/>
    <w:rsid w:val="004B6F79"/>
    <w:rsid w:val="004B774D"/>
    <w:rsid w:val="004B7DF7"/>
    <w:rsid w:val="004C0052"/>
    <w:rsid w:val="004C20AF"/>
    <w:rsid w:val="004C2AC2"/>
    <w:rsid w:val="004C30A8"/>
    <w:rsid w:val="004C38BB"/>
    <w:rsid w:val="004C4441"/>
    <w:rsid w:val="004C4AED"/>
    <w:rsid w:val="004C5FF6"/>
    <w:rsid w:val="004C703F"/>
    <w:rsid w:val="004C7230"/>
    <w:rsid w:val="004D1C46"/>
    <w:rsid w:val="004D2C2D"/>
    <w:rsid w:val="004D3DDB"/>
    <w:rsid w:val="004D454F"/>
    <w:rsid w:val="004D506A"/>
    <w:rsid w:val="004D69B5"/>
    <w:rsid w:val="004D7227"/>
    <w:rsid w:val="004D7B5E"/>
    <w:rsid w:val="004E0A74"/>
    <w:rsid w:val="004E0E7F"/>
    <w:rsid w:val="004E0EB8"/>
    <w:rsid w:val="004E18E9"/>
    <w:rsid w:val="004E2ADC"/>
    <w:rsid w:val="004E43B2"/>
    <w:rsid w:val="004E5116"/>
    <w:rsid w:val="004E5DAB"/>
    <w:rsid w:val="004E7F54"/>
    <w:rsid w:val="004F1D02"/>
    <w:rsid w:val="004F2679"/>
    <w:rsid w:val="004F2AB2"/>
    <w:rsid w:val="004F2B97"/>
    <w:rsid w:val="004F2F21"/>
    <w:rsid w:val="004F3DE5"/>
    <w:rsid w:val="004F5E94"/>
    <w:rsid w:val="004F62C1"/>
    <w:rsid w:val="004F6428"/>
    <w:rsid w:val="004F6913"/>
    <w:rsid w:val="004F7062"/>
    <w:rsid w:val="004F7865"/>
    <w:rsid w:val="0050174E"/>
    <w:rsid w:val="00501854"/>
    <w:rsid w:val="0050219B"/>
    <w:rsid w:val="00503F17"/>
    <w:rsid w:val="00503F3A"/>
    <w:rsid w:val="0050425E"/>
    <w:rsid w:val="00505E76"/>
    <w:rsid w:val="00506928"/>
    <w:rsid w:val="00506DCA"/>
    <w:rsid w:val="005077EF"/>
    <w:rsid w:val="00510C04"/>
    <w:rsid w:val="00511AD5"/>
    <w:rsid w:val="00511DC7"/>
    <w:rsid w:val="00512D20"/>
    <w:rsid w:val="005142C5"/>
    <w:rsid w:val="0051501B"/>
    <w:rsid w:val="005152B5"/>
    <w:rsid w:val="00515886"/>
    <w:rsid w:val="00517882"/>
    <w:rsid w:val="00517885"/>
    <w:rsid w:val="00520A3E"/>
    <w:rsid w:val="0052123C"/>
    <w:rsid w:val="00521319"/>
    <w:rsid w:val="00522BC8"/>
    <w:rsid w:val="00523C28"/>
    <w:rsid w:val="00525E72"/>
    <w:rsid w:val="00526FCF"/>
    <w:rsid w:val="00527D8F"/>
    <w:rsid w:val="0053176B"/>
    <w:rsid w:val="00533C76"/>
    <w:rsid w:val="005341B3"/>
    <w:rsid w:val="00534983"/>
    <w:rsid w:val="00535932"/>
    <w:rsid w:val="00536F42"/>
    <w:rsid w:val="00537168"/>
    <w:rsid w:val="00537182"/>
    <w:rsid w:val="00537C25"/>
    <w:rsid w:val="00537FC0"/>
    <w:rsid w:val="00540C2A"/>
    <w:rsid w:val="00541EDD"/>
    <w:rsid w:val="00541EEE"/>
    <w:rsid w:val="005420E1"/>
    <w:rsid w:val="005421AA"/>
    <w:rsid w:val="00542743"/>
    <w:rsid w:val="00542B3B"/>
    <w:rsid w:val="00542C2D"/>
    <w:rsid w:val="00543651"/>
    <w:rsid w:val="0054522B"/>
    <w:rsid w:val="00546D4D"/>
    <w:rsid w:val="00547655"/>
    <w:rsid w:val="005478BD"/>
    <w:rsid w:val="005479E3"/>
    <w:rsid w:val="00551985"/>
    <w:rsid w:val="00551AA2"/>
    <w:rsid w:val="00552BD3"/>
    <w:rsid w:val="005532A0"/>
    <w:rsid w:val="00553A70"/>
    <w:rsid w:val="00553D7E"/>
    <w:rsid w:val="00553EB3"/>
    <w:rsid w:val="005541B1"/>
    <w:rsid w:val="00554DE8"/>
    <w:rsid w:val="00555109"/>
    <w:rsid w:val="00555608"/>
    <w:rsid w:val="00555B2A"/>
    <w:rsid w:val="00556B35"/>
    <w:rsid w:val="0055741A"/>
    <w:rsid w:val="005611B7"/>
    <w:rsid w:val="005618D4"/>
    <w:rsid w:val="0056326C"/>
    <w:rsid w:val="00563298"/>
    <w:rsid w:val="005646D5"/>
    <w:rsid w:val="00564867"/>
    <w:rsid w:val="00565C79"/>
    <w:rsid w:val="00565DF0"/>
    <w:rsid w:val="0056609C"/>
    <w:rsid w:val="0056696F"/>
    <w:rsid w:val="00572269"/>
    <w:rsid w:val="005722B3"/>
    <w:rsid w:val="0057244A"/>
    <w:rsid w:val="00572F26"/>
    <w:rsid w:val="00573501"/>
    <w:rsid w:val="00573656"/>
    <w:rsid w:val="0057407E"/>
    <w:rsid w:val="00574BF8"/>
    <w:rsid w:val="005750C5"/>
    <w:rsid w:val="005752DE"/>
    <w:rsid w:val="0057595F"/>
    <w:rsid w:val="00575D60"/>
    <w:rsid w:val="00575D8D"/>
    <w:rsid w:val="005767EF"/>
    <w:rsid w:val="00576972"/>
    <w:rsid w:val="00576D39"/>
    <w:rsid w:val="00577248"/>
    <w:rsid w:val="00583699"/>
    <w:rsid w:val="0058386F"/>
    <w:rsid w:val="00583E55"/>
    <w:rsid w:val="0058598B"/>
    <w:rsid w:val="00585CDD"/>
    <w:rsid w:val="00586515"/>
    <w:rsid w:val="0058661B"/>
    <w:rsid w:val="005866A7"/>
    <w:rsid w:val="00587058"/>
    <w:rsid w:val="00587105"/>
    <w:rsid w:val="00587B2D"/>
    <w:rsid w:val="0059035B"/>
    <w:rsid w:val="00590ABF"/>
    <w:rsid w:val="00591957"/>
    <w:rsid w:val="00593F93"/>
    <w:rsid w:val="005969BF"/>
    <w:rsid w:val="00597BF9"/>
    <w:rsid w:val="005A00E6"/>
    <w:rsid w:val="005A0B2C"/>
    <w:rsid w:val="005A0C11"/>
    <w:rsid w:val="005A309A"/>
    <w:rsid w:val="005A373D"/>
    <w:rsid w:val="005A498B"/>
    <w:rsid w:val="005A62B7"/>
    <w:rsid w:val="005A79F9"/>
    <w:rsid w:val="005B0B58"/>
    <w:rsid w:val="005B318D"/>
    <w:rsid w:val="005B4E53"/>
    <w:rsid w:val="005B549D"/>
    <w:rsid w:val="005B5857"/>
    <w:rsid w:val="005C19C4"/>
    <w:rsid w:val="005C1B83"/>
    <w:rsid w:val="005C1EA3"/>
    <w:rsid w:val="005C25FF"/>
    <w:rsid w:val="005C2D55"/>
    <w:rsid w:val="005C346B"/>
    <w:rsid w:val="005C5ABC"/>
    <w:rsid w:val="005C6BDA"/>
    <w:rsid w:val="005C6D90"/>
    <w:rsid w:val="005C6FFD"/>
    <w:rsid w:val="005D044D"/>
    <w:rsid w:val="005D0ABD"/>
    <w:rsid w:val="005D15E6"/>
    <w:rsid w:val="005D18AD"/>
    <w:rsid w:val="005D26B4"/>
    <w:rsid w:val="005D4540"/>
    <w:rsid w:val="005D48FE"/>
    <w:rsid w:val="005D4EB6"/>
    <w:rsid w:val="005D5312"/>
    <w:rsid w:val="005D6E94"/>
    <w:rsid w:val="005D7741"/>
    <w:rsid w:val="005E05B4"/>
    <w:rsid w:val="005E16EA"/>
    <w:rsid w:val="005E1995"/>
    <w:rsid w:val="005E19C5"/>
    <w:rsid w:val="005E66F5"/>
    <w:rsid w:val="005E6CBC"/>
    <w:rsid w:val="005E72FF"/>
    <w:rsid w:val="005E73C0"/>
    <w:rsid w:val="005F07ED"/>
    <w:rsid w:val="005F2706"/>
    <w:rsid w:val="005F3BA0"/>
    <w:rsid w:val="005F4C7C"/>
    <w:rsid w:val="005F5E05"/>
    <w:rsid w:val="005F6A8F"/>
    <w:rsid w:val="005F6BB7"/>
    <w:rsid w:val="005F7588"/>
    <w:rsid w:val="005F7F10"/>
    <w:rsid w:val="00600499"/>
    <w:rsid w:val="006030AA"/>
    <w:rsid w:val="00603A19"/>
    <w:rsid w:val="00603DB6"/>
    <w:rsid w:val="00603DB9"/>
    <w:rsid w:val="00606FBA"/>
    <w:rsid w:val="00607669"/>
    <w:rsid w:val="006076F4"/>
    <w:rsid w:val="00607AFD"/>
    <w:rsid w:val="00610C53"/>
    <w:rsid w:val="00611B12"/>
    <w:rsid w:val="00611CBE"/>
    <w:rsid w:val="00612F97"/>
    <w:rsid w:val="0061345D"/>
    <w:rsid w:val="0061549B"/>
    <w:rsid w:val="006157FC"/>
    <w:rsid w:val="006161DF"/>
    <w:rsid w:val="00616802"/>
    <w:rsid w:val="00617E12"/>
    <w:rsid w:val="00620445"/>
    <w:rsid w:val="00620C25"/>
    <w:rsid w:val="00621477"/>
    <w:rsid w:val="00621ADA"/>
    <w:rsid w:val="00623F7B"/>
    <w:rsid w:val="00624079"/>
    <w:rsid w:val="0062429B"/>
    <w:rsid w:val="00624BD4"/>
    <w:rsid w:val="00624CD5"/>
    <w:rsid w:val="00627C48"/>
    <w:rsid w:val="00630B11"/>
    <w:rsid w:val="0063158F"/>
    <w:rsid w:val="00631D6B"/>
    <w:rsid w:val="00632183"/>
    <w:rsid w:val="006330A1"/>
    <w:rsid w:val="0063479F"/>
    <w:rsid w:val="006353F0"/>
    <w:rsid w:val="006357B5"/>
    <w:rsid w:val="006364A1"/>
    <w:rsid w:val="0063678E"/>
    <w:rsid w:val="00637BFD"/>
    <w:rsid w:val="00637C5C"/>
    <w:rsid w:val="00637EA5"/>
    <w:rsid w:val="00640EC9"/>
    <w:rsid w:val="00641596"/>
    <w:rsid w:val="0064180B"/>
    <w:rsid w:val="00641C4E"/>
    <w:rsid w:val="00641D60"/>
    <w:rsid w:val="00641FB3"/>
    <w:rsid w:val="00644045"/>
    <w:rsid w:val="0064434C"/>
    <w:rsid w:val="006471CC"/>
    <w:rsid w:val="006472FE"/>
    <w:rsid w:val="00647A29"/>
    <w:rsid w:val="00647A43"/>
    <w:rsid w:val="00650054"/>
    <w:rsid w:val="0065079F"/>
    <w:rsid w:val="006523E6"/>
    <w:rsid w:val="00652A28"/>
    <w:rsid w:val="00652B51"/>
    <w:rsid w:val="00652DCF"/>
    <w:rsid w:val="0065379F"/>
    <w:rsid w:val="0065565D"/>
    <w:rsid w:val="00655AC4"/>
    <w:rsid w:val="00655DD2"/>
    <w:rsid w:val="006560D9"/>
    <w:rsid w:val="00656188"/>
    <w:rsid w:val="0065715A"/>
    <w:rsid w:val="00657880"/>
    <w:rsid w:val="006610F1"/>
    <w:rsid w:val="00661C6B"/>
    <w:rsid w:val="006620E1"/>
    <w:rsid w:val="00662D3E"/>
    <w:rsid w:val="00665CB4"/>
    <w:rsid w:val="0066686A"/>
    <w:rsid w:val="00667BE3"/>
    <w:rsid w:val="00670E5E"/>
    <w:rsid w:val="00671004"/>
    <w:rsid w:val="00672646"/>
    <w:rsid w:val="00673DAD"/>
    <w:rsid w:val="00674126"/>
    <w:rsid w:val="00674E42"/>
    <w:rsid w:val="00676563"/>
    <w:rsid w:val="0068000F"/>
    <w:rsid w:val="0068006E"/>
    <w:rsid w:val="006813F8"/>
    <w:rsid w:val="00682112"/>
    <w:rsid w:val="00682BA6"/>
    <w:rsid w:val="00686555"/>
    <w:rsid w:val="0068668C"/>
    <w:rsid w:val="00686845"/>
    <w:rsid w:val="00686957"/>
    <w:rsid w:val="00686E4D"/>
    <w:rsid w:val="006872BA"/>
    <w:rsid w:val="00690795"/>
    <w:rsid w:val="00690D72"/>
    <w:rsid w:val="00691648"/>
    <w:rsid w:val="006917D7"/>
    <w:rsid w:val="00693DE0"/>
    <w:rsid w:val="0069434C"/>
    <w:rsid w:val="0069446B"/>
    <w:rsid w:val="00694BDD"/>
    <w:rsid w:val="00694F44"/>
    <w:rsid w:val="006965D9"/>
    <w:rsid w:val="0069674A"/>
    <w:rsid w:val="00696EF9"/>
    <w:rsid w:val="00696F51"/>
    <w:rsid w:val="006979A5"/>
    <w:rsid w:val="006A016F"/>
    <w:rsid w:val="006A0DF7"/>
    <w:rsid w:val="006A1559"/>
    <w:rsid w:val="006A19A4"/>
    <w:rsid w:val="006A2B26"/>
    <w:rsid w:val="006A326F"/>
    <w:rsid w:val="006A394C"/>
    <w:rsid w:val="006A3BAE"/>
    <w:rsid w:val="006A4321"/>
    <w:rsid w:val="006A43D9"/>
    <w:rsid w:val="006A44A5"/>
    <w:rsid w:val="006A6B99"/>
    <w:rsid w:val="006A7437"/>
    <w:rsid w:val="006A7E5F"/>
    <w:rsid w:val="006B0CF7"/>
    <w:rsid w:val="006B261B"/>
    <w:rsid w:val="006B2C90"/>
    <w:rsid w:val="006B35E6"/>
    <w:rsid w:val="006B465A"/>
    <w:rsid w:val="006B47A0"/>
    <w:rsid w:val="006B4DA1"/>
    <w:rsid w:val="006B6DD0"/>
    <w:rsid w:val="006B7597"/>
    <w:rsid w:val="006B7B98"/>
    <w:rsid w:val="006B7D5E"/>
    <w:rsid w:val="006C0399"/>
    <w:rsid w:val="006C0634"/>
    <w:rsid w:val="006C13E2"/>
    <w:rsid w:val="006C145C"/>
    <w:rsid w:val="006C2A8E"/>
    <w:rsid w:val="006C3255"/>
    <w:rsid w:val="006C3884"/>
    <w:rsid w:val="006C3F26"/>
    <w:rsid w:val="006C5BDD"/>
    <w:rsid w:val="006D0D17"/>
    <w:rsid w:val="006D3C7D"/>
    <w:rsid w:val="006D44F1"/>
    <w:rsid w:val="006D4659"/>
    <w:rsid w:val="006D5058"/>
    <w:rsid w:val="006D5D5F"/>
    <w:rsid w:val="006D68FB"/>
    <w:rsid w:val="006D6E26"/>
    <w:rsid w:val="006E262D"/>
    <w:rsid w:val="006E2868"/>
    <w:rsid w:val="006E2883"/>
    <w:rsid w:val="006E46EB"/>
    <w:rsid w:val="006E4B17"/>
    <w:rsid w:val="006E5CF3"/>
    <w:rsid w:val="006E77F0"/>
    <w:rsid w:val="006F306C"/>
    <w:rsid w:val="006F54DC"/>
    <w:rsid w:val="006F63A5"/>
    <w:rsid w:val="006F66F4"/>
    <w:rsid w:val="006F7582"/>
    <w:rsid w:val="0070142B"/>
    <w:rsid w:val="0070276E"/>
    <w:rsid w:val="00702F8F"/>
    <w:rsid w:val="007039CE"/>
    <w:rsid w:val="00704C33"/>
    <w:rsid w:val="007056B6"/>
    <w:rsid w:val="00705EA7"/>
    <w:rsid w:val="00706630"/>
    <w:rsid w:val="007079FC"/>
    <w:rsid w:val="00711A36"/>
    <w:rsid w:val="007125D3"/>
    <w:rsid w:val="00712E66"/>
    <w:rsid w:val="007134EB"/>
    <w:rsid w:val="00714247"/>
    <w:rsid w:val="00714C26"/>
    <w:rsid w:val="007151AA"/>
    <w:rsid w:val="0071529C"/>
    <w:rsid w:val="00715747"/>
    <w:rsid w:val="007168C3"/>
    <w:rsid w:val="007170DA"/>
    <w:rsid w:val="007172AD"/>
    <w:rsid w:val="00717546"/>
    <w:rsid w:val="007205F0"/>
    <w:rsid w:val="00720801"/>
    <w:rsid w:val="007208D6"/>
    <w:rsid w:val="00720AF6"/>
    <w:rsid w:val="00720F1E"/>
    <w:rsid w:val="00721ED0"/>
    <w:rsid w:val="00722B1B"/>
    <w:rsid w:val="0072416F"/>
    <w:rsid w:val="00724CE4"/>
    <w:rsid w:val="00726C38"/>
    <w:rsid w:val="00727C94"/>
    <w:rsid w:val="00731B0A"/>
    <w:rsid w:val="00731EAE"/>
    <w:rsid w:val="00733073"/>
    <w:rsid w:val="00735033"/>
    <w:rsid w:val="00735328"/>
    <w:rsid w:val="0073685B"/>
    <w:rsid w:val="00737A41"/>
    <w:rsid w:val="00737B3F"/>
    <w:rsid w:val="00737BA9"/>
    <w:rsid w:val="00740F87"/>
    <w:rsid w:val="007426D5"/>
    <w:rsid w:val="00743F53"/>
    <w:rsid w:val="007449BF"/>
    <w:rsid w:val="00744AA2"/>
    <w:rsid w:val="00744AA8"/>
    <w:rsid w:val="00744F5C"/>
    <w:rsid w:val="00744F61"/>
    <w:rsid w:val="007458AF"/>
    <w:rsid w:val="007463FE"/>
    <w:rsid w:val="00746BC0"/>
    <w:rsid w:val="00746C34"/>
    <w:rsid w:val="00746E8E"/>
    <w:rsid w:val="007507C6"/>
    <w:rsid w:val="007510B4"/>
    <w:rsid w:val="0075212D"/>
    <w:rsid w:val="00752142"/>
    <w:rsid w:val="007523F9"/>
    <w:rsid w:val="0075357E"/>
    <w:rsid w:val="00753B29"/>
    <w:rsid w:val="007573E8"/>
    <w:rsid w:val="00760C4E"/>
    <w:rsid w:val="00760F9E"/>
    <w:rsid w:val="0076121B"/>
    <w:rsid w:val="007616E6"/>
    <w:rsid w:val="00761AA5"/>
    <w:rsid w:val="007627BE"/>
    <w:rsid w:val="00764F03"/>
    <w:rsid w:val="00765B1A"/>
    <w:rsid w:val="00765DC1"/>
    <w:rsid w:val="00766986"/>
    <w:rsid w:val="00766C15"/>
    <w:rsid w:val="007700A2"/>
    <w:rsid w:val="00772A3A"/>
    <w:rsid w:val="00772B14"/>
    <w:rsid w:val="00773DA5"/>
    <w:rsid w:val="00774851"/>
    <w:rsid w:val="00775F06"/>
    <w:rsid w:val="0077688B"/>
    <w:rsid w:val="00777335"/>
    <w:rsid w:val="00781F75"/>
    <w:rsid w:val="0078305B"/>
    <w:rsid w:val="00784216"/>
    <w:rsid w:val="007843F2"/>
    <w:rsid w:val="007846FA"/>
    <w:rsid w:val="00785A9F"/>
    <w:rsid w:val="00785D33"/>
    <w:rsid w:val="00790C58"/>
    <w:rsid w:val="007911E5"/>
    <w:rsid w:val="007915D7"/>
    <w:rsid w:val="00791642"/>
    <w:rsid w:val="00791E6C"/>
    <w:rsid w:val="007925DF"/>
    <w:rsid w:val="0079383B"/>
    <w:rsid w:val="007978F8"/>
    <w:rsid w:val="007A08AA"/>
    <w:rsid w:val="007A0A12"/>
    <w:rsid w:val="007A132D"/>
    <w:rsid w:val="007A1345"/>
    <w:rsid w:val="007A2DDB"/>
    <w:rsid w:val="007A6491"/>
    <w:rsid w:val="007A70BA"/>
    <w:rsid w:val="007B0D68"/>
    <w:rsid w:val="007B251D"/>
    <w:rsid w:val="007B27B1"/>
    <w:rsid w:val="007B302D"/>
    <w:rsid w:val="007B3533"/>
    <w:rsid w:val="007B37D1"/>
    <w:rsid w:val="007B4F58"/>
    <w:rsid w:val="007B528D"/>
    <w:rsid w:val="007B5735"/>
    <w:rsid w:val="007B63CA"/>
    <w:rsid w:val="007B7055"/>
    <w:rsid w:val="007B705D"/>
    <w:rsid w:val="007B77D1"/>
    <w:rsid w:val="007C07C7"/>
    <w:rsid w:val="007C1CD9"/>
    <w:rsid w:val="007C2DCA"/>
    <w:rsid w:val="007C32EF"/>
    <w:rsid w:val="007C361D"/>
    <w:rsid w:val="007C4B84"/>
    <w:rsid w:val="007C6551"/>
    <w:rsid w:val="007C70FF"/>
    <w:rsid w:val="007C7C25"/>
    <w:rsid w:val="007D004F"/>
    <w:rsid w:val="007D035F"/>
    <w:rsid w:val="007D06B2"/>
    <w:rsid w:val="007D0B38"/>
    <w:rsid w:val="007D11B5"/>
    <w:rsid w:val="007D29DE"/>
    <w:rsid w:val="007D3086"/>
    <w:rsid w:val="007D3E23"/>
    <w:rsid w:val="007D3F75"/>
    <w:rsid w:val="007D5440"/>
    <w:rsid w:val="007D5941"/>
    <w:rsid w:val="007D69EB"/>
    <w:rsid w:val="007E0B1C"/>
    <w:rsid w:val="007E128F"/>
    <w:rsid w:val="007E2F41"/>
    <w:rsid w:val="007F0A7E"/>
    <w:rsid w:val="007F0F7C"/>
    <w:rsid w:val="007F1017"/>
    <w:rsid w:val="007F2950"/>
    <w:rsid w:val="007F3E93"/>
    <w:rsid w:val="007F4A3F"/>
    <w:rsid w:val="007F4A61"/>
    <w:rsid w:val="007F5255"/>
    <w:rsid w:val="007F56CC"/>
    <w:rsid w:val="007F579C"/>
    <w:rsid w:val="007F61C2"/>
    <w:rsid w:val="00801159"/>
    <w:rsid w:val="00801559"/>
    <w:rsid w:val="008030AA"/>
    <w:rsid w:val="00803592"/>
    <w:rsid w:val="008036EB"/>
    <w:rsid w:val="00805142"/>
    <w:rsid w:val="00805FCE"/>
    <w:rsid w:val="00807A8B"/>
    <w:rsid w:val="00811383"/>
    <w:rsid w:val="008118F7"/>
    <w:rsid w:val="00811930"/>
    <w:rsid w:val="00812149"/>
    <w:rsid w:val="00812CAC"/>
    <w:rsid w:val="00814C1B"/>
    <w:rsid w:val="00815264"/>
    <w:rsid w:val="00816361"/>
    <w:rsid w:val="008166EF"/>
    <w:rsid w:val="00816C25"/>
    <w:rsid w:val="00816E0F"/>
    <w:rsid w:val="00816FEF"/>
    <w:rsid w:val="00817C27"/>
    <w:rsid w:val="008204BE"/>
    <w:rsid w:val="00820A8C"/>
    <w:rsid w:val="00821370"/>
    <w:rsid w:val="008215FB"/>
    <w:rsid w:val="008220CC"/>
    <w:rsid w:val="00822C6C"/>
    <w:rsid w:val="00823174"/>
    <w:rsid w:val="0082466B"/>
    <w:rsid w:val="00824F05"/>
    <w:rsid w:val="00825751"/>
    <w:rsid w:val="008264EB"/>
    <w:rsid w:val="008268CE"/>
    <w:rsid w:val="00827C23"/>
    <w:rsid w:val="00827E45"/>
    <w:rsid w:val="00830712"/>
    <w:rsid w:val="00830E95"/>
    <w:rsid w:val="008310C5"/>
    <w:rsid w:val="00831A70"/>
    <w:rsid w:val="00833B05"/>
    <w:rsid w:val="008343E6"/>
    <w:rsid w:val="008362B4"/>
    <w:rsid w:val="0083713B"/>
    <w:rsid w:val="00837D68"/>
    <w:rsid w:val="00840CA2"/>
    <w:rsid w:val="0084374F"/>
    <w:rsid w:val="00844A22"/>
    <w:rsid w:val="0084754D"/>
    <w:rsid w:val="00847703"/>
    <w:rsid w:val="00847DF5"/>
    <w:rsid w:val="0085309D"/>
    <w:rsid w:val="00856897"/>
    <w:rsid w:val="00856E9A"/>
    <w:rsid w:val="00856F04"/>
    <w:rsid w:val="0086075D"/>
    <w:rsid w:val="00861D9D"/>
    <w:rsid w:val="00861EAC"/>
    <w:rsid w:val="00862502"/>
    <w:rsid w:val="00862CC1"/>
    <w:rsid w:val="008642A7"/>
    <w:rsid w:val="00865010"/>
    <w:rsid w:val="008660D4"/>
    <w:rsid w:val="008678E6"/>
    <w:rsid w:val="00871FA9"/>
    <w:rsid w:val="008728E9"/>
    <w:rsid w:val="00872BE9"/>
    <w:rsid w:val="00874EF7"/>
    <w:rsid w:val="00876D01"/>
    <w:rsid w:val="00877883"/>
    <w:rsid w:val="00881CEB"/>
    <w:rsid w:val="00882874"/>
    <w:rsid w:val="00882E3C"/>
    <w:rsid w:val="0088308A"/>
    <w:rsid w:val="00883787"/>
    <w:rsid w:val="00883CE8"/>
    <w:rsid w:val="008850E5"/>
    <w:rsid w:val="0088556E"/>
    <w:rsid w:val="008855AD"/>
    <w:rsid w:val="008855E4"/>
    <w:rsid w:val="00886CD2"/>
    <w:rsid w:val="00891E6F"/>
    <w:rsid w:val="0089275D"/>
    <w:rsid w:val="0089277B"/>
    <w:rsid w:val="00892A36"/>
    <w:rsid w:val="00892CE5"/>
    <w:rsid w:val="00893239"/>
    <w:rsid w:val="008936C4"/>
    <w:rsid w:val="00893E17"/>
    <w:rsid w:val="00894489"/>
    <w:rsid w:val="00894787"/>
    <w:rsid w:val="00894CD6"/>
    <w:rsid w:val="008955E4"/>
    <w:rsid w:val="00895C93"/>
    <w:rsid w:val="008963A5"/>
    <w:rsid w:val="00896570"/>
    <w:rsid w:val="00896D5D"/>
    <w:rsid w:val="008A0018"/>
    <w:rsid w:val="008A3158"/>
    <w:rsid w:val="008A3363"/>
    <w:rsid w:val="008A3371"/>
    <w:rsid w:val="008A3C3E"/>
    <w:rsid w:val="008A63AB"/>
    <w:rsid w:val="008A79DE"/>
    <w:rsid w:val="008B1757"/>
    <w:rsid w:val="008B1C33"/>
    <w:rsid w:val="008B4682"/>
    <w:rsid w:val="008B4AB0"/>
    <w:rsid w:val="008B4B6F"/>
    <w:rsid w:val="008B5C29"/>
    <w:rsid w:val="008B7208"/>
    <w:rsid w:val="008B7992"/>
    <w:rsid w:val="008B7D7E"/>
    <w:rsid w:val="008C33A3"/>
    <w:rsid w:val="008C5610"/>
    <w:rsid w:val="008C5739"/>
    <w:rsid w:val="008C6A25"/>
    <w:rsid w:val="008C7282"/>
    <w:rsid w:val="008C7ECB"/>
    <w:rsid w:val="008D01AA"/>
    <w:rsid w:val="008D050D"/>
    <w:rsid w:val="008D1F2B"/>
    <w:rsid w:val="008D29E8"/>
    <w:rsid w:val="008D30D5"/>
    <w:rsid w:val="008D3B86"/>
    <w:rsid w:val="008D4063"/>
    <w:rsid w:val="008D43FD"/>
    <w:rsid w:val="008D4755"/>
    <w:rsid w:val="008D4C3D"/>
    <w:rsid w:val="008D5F3E"/>
    <w:rsid w:val="008D742D"/>
    <w:rsid w:val="008D743C"/>
    <w:rsid w:val="008D7CA9"/>
    <w:rsid w:val="008E0D3C"/>
    <w:rsid w:val="008E1B9E"/>
    <w:rsid w:val="008E37DD"/>
    <w:rsid w:val="008E414E"/>
    <w:rsid w:val="008E55AB"/>
    <w:rsid w:val="008E5783"/>
    <w:rsid w:val="008F120A"/>
    <w:rsid w:val="008F27E0"/>
    <w:rsid w:val="008F2AC3"/>
    <w:rsid w:val="008F2C61"/>
    <w:rsid w:val="008F3D8F"/>
    <w:rsid w:val="008F48EB"/>
    <w:rsid w:val="008F4F0B"/>
    <w:rsid w:val="008F550C"/>
    <w:rsid w:val="008F5EB3"/>
    <w:rsid w:val="009002D9"/>
    <w:rsid w:val="00900921"/>
    <w:rsid w:val="009009C2"/>
    <w:rsid w:val="00901668"/>
    <w:rsid w:val="00901BD9"/>
    <w:rsid w:val="009046C4"/>
    <w:rsid w:val="009062A5"/>
    <w:rsid w:val="00906F27"/>
    <w:rsid w:val="00907430"/>
    <w:rsid w:val="00907699"/>
    <w:rsid w:val="009100D1"/>
    <w:rsid w:val="00910A84"/>
    <w:rsid w:val="00910FA7"/>
    <w:rsid w:val="00911272"/>
    <w:rsid w:val="00911339"/>
    <w:rsid w:val="00911384"/>
    <w:rsid w:val="00911D0A"/>
    <w:rsid w:val="00913536"/>
    <w:rsid w:val="009135D6"/>
    <w:rsid w:val="00913D84"/>
    <w:rsid w:val="009142CB"/>
    <w:rsid w:val="00914C77"/>
    <w:rsid w:val="00914DD5"/>
    <w:rsid w:val="00917D9C"/>
    <w:rsid w:val="00921ACB"/>
    <w:rsid w:val="00921B5E"/>
    <w:rsid w:val="0092369B"/>
    <w:rsid w:val="009239EE"/>
    <w:rsid w:val="00925923"/>
    <w:rsid w:val="0092593F"/>
    <w:rsid w:val="009336A4"/>
    <w:rsid w:val="00934988"/>
    <w:rsid w:val="00936EAB"/>
    <w:rsid w:val="00937007"/>
    <w:rsid w:val="00937089"/>
    <w:rsid w:val="0094236B"/>
    <w:rsid w:val="0094331A"/>
    <w:rsid w:val="009434F3"/>
    <w:rsid w:val="00944B3F"/>
    <w:rsid w:val="00944F8A"/>
    <w:rsid w:val="009457DD"/>
    <w:rsid w:val="009462C7"/>
    <w:rsid w:val="009463D1"/>
    <w:rsid w:val="00946925"/>
    <w:rsid w:val="009510A2"/>
    <w:rsid w:val="009530C3"/>
    <w:rsid w:val="00953257"/>
    <w:rsid w:val="0095474C"/>
    <w:rsid w:val="0095784E"/>
    <w:rsid w:val="00957D92"/>
    <w:rsid w:val="00960433"/>
    <w:rsid w:val="00961B3E"/>
    <w:rsid w:val="00962CB9"/>
    <w:rsid w:val="00964312"/>
    <w:rsid w:val="00965B8A"/>
    <w:rsid w:val="00966B35"/>
    <w:rsid w:val="0097071F"/>
    <w:rsid w:val="00970E81"/>
    <w:rsid w:val="009717AC"/>
    <w:rsid w:val="0097335C"/>
    <w:rsid w:val="00973506"/>
    <w:rsid w:val="009751C1"/>
    <w:rsid w:val="00976C17"/>
    <w:rsid w:val="00977983"/>
    <w:rsid w:val="009811F1"/>
    <w:rsid w:val="00983E57"/>
    <w:rsid w:val="0098581B"/>
    <w:rsid w:val="00985DE2"/>
    <w:rsid w:val="0098675D"/>
    <w:rsid w:val="00986E8D"/>
    <w:rsid w:val="00987BA4"/>
    <w:rsid w:val="00990239"/>
    <w:rsid w:val="009908AB"/>
    <w:rsid w:val="00991F2D"/>
    <w:rsid w:val="009922FE"/>
    <w:rsid w:val="009926E0"/>
    <w:rsid w:val="00992B93"/>
    <w:rsid w:val="00992F7A"/>
    <w:rsid w:val="009941F8"/>
    <w:rsid w:val="0099451E"/>
    <w:rsid w:val="009959FE"/>
    <w:rsid w:val="00996B1A"/>
    <w:rsid w:val="009A0F09"/>
    <w:rsid w:val="009A12C3"/>
    <w:rsid w:val="009A18F6"/>
    <w:rsid w:val="009A2DCC"/>
    <w:rsid w:val="009A5ABC"/>
    <w:rsid w:val="009A6242"/>
    <w:rsid w:val="009A7237"/>
    <w:rsid w:val="009A7A6F"/>
    <w:rsid w:val="009A7DF2"/>
    <w:rsid w:val="009A7F10"/>
    <w:rsid w:val="009B0A57"/>
    <w:rsid w:val="009B195E"/>
    <w:rsid w:val="009B2470"/>
    <w:rsid w:val="009B2544"/>
    <w:rsid w:val="009B39CE"/>
    <w:rsid w:val="009B39F2"/>
    <w:rsid w:val="009B3E26"/>
    <w:rsid w:val="009B3EF4"/>
    <w:rsid w:val="009B46D4"/>
    <w:rsid w:val="009B55ED"/>
    <w:rsid w:val="009B7669"/>
    <w:rsid w:val="009C09F9"/>
    <w:rsid w:val="009C1271"/>
    <w:rsid w:val="009C3706"/>
    <w:rsid w:val="009C3A3A"/>
    <w:rsid w:val="009C3FCD"/>
    <w:rsid w:val="009C524F"/>
    <w:rsid w:val="009C6769"/>
    <w:rsid w:val="009C6CEA"/>
    <w:rsid w:val="009C7B85"/>
    <w:rsid w:val="009D01EB"/>
    <w:rsid w:val="009D0254"/>
    <w:rsid w:val="009D1A64"/>
    <w:rsid w:val="009D3B13"/>
    <w:rsid w:val="009D5B91"/>
    <w:rsid w:val="009D5C15"/>
    <w:rsid w:val="009D650B"/>
    <w:rsid w:val="009D792E"/>
    <w:rsid w:val="009D7DE2"/>
    <w:rsid w:val="009E0DFE"/>
    <w:rsid w:val="009E219F"/>
    <w:rsid w:val="009E284F"/>
    <w:rsid w:val="009E2BDF"/>
    <w:rsid w:val="009E31F6"/>
    <w:rsid w:val="009E3929"/>
    <w:rsid w:val="009E4C07"/>
    <w:rsid w:val="009E5FB8"/>
    <w:rsid w:val="009E69F9"/>
    <w:rsid w:val="009E777F"/>
    <w:rsid w:val="009E7823"/>
    <w:rsid w:val="009F0426"/>
    <w:rsid w:val="009F2946"/>
    <w:rsid w:val="009F3864"/>
    <w:rsid w:val="009F43F5"/>
    <w:rsid w:val="009F52A5"/>
    <w:rsid w:val="009F54FC"/>
    <w:rsid w:val="009F6120"/>
    <w:rsid w:val="009F6AD4"/>
    <w:rsid w:val="00A00746"/>
    <w:rsid w:val="00A00D76"/>
    <w:rsid w:val="00A01184"/>
    <w:rsid w:val="00A01449"/>
    <w:rsid w:val="00A037C2"/>
    <w:rsid w:val="00A03D43"/>
    <w:rsid w:val="00A04380"/>
    <w:rsid w:val="00A0449D"/>
    <w:rsid w:val="00A04786"/>
    <w:rsid w:val="00A05472"/>
    <w:rsid w:val="00A05C32"/>
    <w:rsid w:val="00A0653F"/>
    <w:rsid w:val="00A06593"/>
    <w:rsid w:val="00A1094D"/>
    <w:rsid w:val="00A11665"/>
    <w:rsid w:val="00A11CD0"/>
    <w:rsid w:val="00A13948"/>
    <w:rsid w:val="00A147D8"/>
    <w:rsid w:val="00A14BC4"/>
    <w:rsid w:val="00A151BA"/>
    <w:rsid w:val="00A1555B"/>
    <w:rsid w:val="00A155C5"/>
    <w:rsid w:val="00A16AD8"/>
    <w:rsid w:val="00A2021E"/>
    <w:rsid w:val="00A21C95"/>
    <w:rsid w:val="00A21CF3"/>
    <w:rsid w:val="00A22263"/>
    <w:rsid w:val="00A244E2"/>
    <w:rsid w:val="00A246E8"/>
    <w:rsid w:val="00A24813"/>
    <w:rsid w:val="00A24E80"/>
    <w:rsid w:val="00A2516D"/>
    <w:rsid w:val="00A26972"/>
    <w:rsid w:val="00A27AEC"/>
    <w:rsid w:val="00A320DB"/>
    <w:rsid w:val="00A35D16"/>
    <w:rsid w:val="00A369ED"/>
    <w:rsid w:val="00A36DFD"/>
    <w:rsid w:val="00A37BCD"/>
    <w:rsid w:val="00A4044D"/>
    <w:rsid w:val="00A405D9"/>
    <w:rsid w:val="00A41689"/>
    <w:rsid w:val="00A418C7"/>
    <w:rsid w:val="00A41A5E"/>
    <w:rsid w:val="00A42058"/>
    <w:rsid w:val="00A42592"/>
    <w:rsid w:val="00A43629"/>
    <w:rsid w:val="00A43C59"/>
    <w:rsid w:val="00A447B0"/>
    <w:rsid w:val="00A45446"/>
    <w:rsid w:val="00A50ECD"/>
    <w:rsid w:val="00A518F3"/>
    <w:rsid w:val="00A52393"/>
    <w:rsid w:val="00A525EA"/>
    <w:rsid w:val="00A52729"/>
    <w:rsid w:val="00A5279E"/>
    <w:rsid w:val="00A52F81"/>
    <w:rsid w:val="00A532F8"/>
    <w:rsid w:val="00A53675"/>
    <w:rsid w:val="00A537DF"/>
    <w:rsid w:val="00A53804"/>
    <w:rsid w:val="00A53B8A"/>
    <w:rsid w:val="00A53C54"/>
    <w:rsid w:val="00A54772"/>
    <w:rsid w:val="00A564D7"/>
    <w:rsid w:val="00A56B6A"/>
    <w:rsid w:val="00A56C72"/>
    <w:rsid w:val="00A570AE"/>
    <w:rsid w:val="00A578DC"/>
    <w:rsid w:val="00A625CF"/>
    <w:rsid w:val="00A62E17"/>
    <w:rsid w:val="00A63319"/>
    <w:rsid w:val="00A640E2"/>
    <w:rsid w:val="00A64D65"/>
    <w:rsid w:val="00A665C4"/>
    <w:rsid w:val="00A669F2"/>
    <w:rsid w:val="00A66F16"/>
    <w:rsid w:val="00A6725B"/>
    <w:rsid w:val="00A70363"/>
    <w:rsid w:val="00A70605"/>
    <w:rsid w:val="00A7066E"/>
    <w:rsid w:val="00A73134"/>
    <w:rsid w:val="00A73635"/>
    <w:rsid w:val="00A7365A"/>
    <w:rsid w:val="00A740EF"/>
    <w:rsid w:val="00A76001"/>
    <w:rsid w:val="00A76243"/>
    <w:rsid w:val="00A77197"/>
    <w:rsid w:val="00A777B2"/>
    <w:rsid w:val="00A77921"/>
    <w:rsid w:val="00A77981"/>
    <w:rsid w:val="00A80727"/>
    <w:rsid w:val="00A81C92"/>
    <w:rsid w:val="00A81D7C"/>
    <w:rsid w:val="00A8239E"/>
    <w:rsid w:val="00A825D4"/>
    <w:rsid w:val="00A8287D"/>
    <w:rsid w:val="00A828F6"/>
    <w:rsid w:val="00A82B73"/>
    <w:rsid w:val="00A8387E"/>
    <w:rsid w:val="00A83EB1"/>
    <w:rsid w:val="00A86529"/>
    <w:rsid w:val="00A86E8B"/>
    <w:rsid w:val="00A87164"/>
    <w:rsid w:val="00A876C1"/>
    <w:rsid w:val="00A8777A"/>
    <w:rsid w:val="00A91341"/>
    <w:rsid w:val="00A92043"/>
    <w:rsid w:val="00A927C5"/>
    <w:rsid w:val="00A9302D"/>
    <w:rsid w:val="00A93072"/>
    <w:rsid w:val="00A937F2"/>
    <w:rsid w:val="00A938BD"/>
    <w:rsid w:val="00A93953"/>
    <w:rsid w:val="00A93D4E"/>
    <w:rsid w:val="00A94BE0"/>
    <w:rsid w:val="00A95836"/>
    <w:rsid w:val="00A959D8"/>
    <w:rsid w:val="00AA03A7"/>
    <w:rsid w:val="00AA0AC2"/>
    <w:rsid w:val="00AA113D"/>
    <w:rsid w:val="00AA1F22"/>
    <w:rsid w:val="00AA2FA4"/>
    <w:rsid w:val="00AA6290"/>
    <w:rsid w:val="00AA6BD5"/>
    <w:rsid w:val="00AA6BD8"/>
    <w:rsid w:val="00AA6C7D"/>
    <w:rsid w:val="00AA7FD6"/>
    <w:rsid w:val="00AB042A"/>
    <w:rsid w:val="00AB11AD"/>
    <w:rsid w:val="00AB19EF"/>
    <w:rsid w:val="00AB2495"/>
    <w:rsid w:val="00AB2AC6"/>
    <w:rsid w:val="00AB2D34"/>
    <w:rsid w:val="00AB32F2"/>
    <w:rsid w:val="00AB3430"/>
    <w:rsid w:val="00AB37B9"/>
    <w:rsid w:val="00AB3ADE"/>
    <w:rsid w:val="00AB3C19"/>
    <w:rsid w:val="00AB3F41"/>
    <w:rsid w:val="00AB4AD1"/>
    <w:rsid w:val="00AB514D"/>
    <w:rsid w:val="00AB5E07"/>
    <w:rsid w:val="00AB63C3"/>
    <w:rsid w:val="00AB7860"/>
    <w:rsid w:val="00AB7CFA"/>
    <w:rsid w:val="00AC0996"/>
    <w:rsid w:val="00AC3D7E"/>
    <w:rsid w:val="00AC43BB"/>
    <w:rsid w:val="00AC59CE"/>
    <w:rsid w:val="00AC5B42"/>
    <w:rsid w:val="00AC5B48"/>
    <w:rsid w:val="00AC7BCB"/>
    <w:rsid w:val="00AD0F0D"/>
    <w:rsid w:val="00AD1450"/>
    <w:rsid w:val="00AD1537"/>
    <w:rsid w:val="00AD15E8"/>
    <w:rsid w:val="00AD1CB2"/>
    <w:rsid w:val="00AD238E"/>
    <w:rsid w:val="00AD356D"/>
    <w:rsid w:val="00AD45EF"/>
    <w:rsid w:val="00AD60E5"/>
    <w:rsid w:val="00AD63C8"/>
    <w:rsid w:val="00AD6502"/>
    <w:rsid w:val="00AD735D"/>
    <w:rsid w:val="00AE0695"/>
    <w:rsid w:val="00AE2565"/>
    <w:rsid w:val="00AE2728"/>
    <w:rsid w:val="00AE3E7E"/>
    <w:rsid w:val="00AE43AD"/>
    <w:rsid w:val="00AE67DA"/>
    <w:rsid w:val="00AE6BBA"/>
    <w:rsid w:val="00AE6D26"/>
    <w:rsid w:val="00AE722F"/>
    <w:rsid w:val="00AE7E53"/>
    <w:rsid w:val="00AF032A"/>
    <w:rsid w:val="00AF1315"/>
    <w:rsid w:val="00AF159B"/>
    <w:rsid w:val="00AF19BF"/>
    <w:rsid w:val="00AF25A6"/>
    <w:rsid w:val="00AF2DC3"/>
    <w:rsid w:val="00AF4776"/>
    <w:rsid w:val="00AF6C0C"/>
    <w:rsid w:val="00AF6C96"/>
    <w:rsid w:val="00B00590"/>
    <w:rsid w:val="00B00715"/>
    <w:rsid w:val="00B00775"/>
    <w:rsid w:val="00B00E89"/>
    <w:rsid w:val="00B0269F"/>
    <w:rsid w:val="00B033E5"/>
    <w:rsid w:val="00B03A63"/>
    <w:rsid w:val="00B05612"/>
    <w:rsid w:val="00B118AF"/>
    <w:rsid w:val="00B1254B"/>
    <w:rsid w:val="00B129A4"/>
    <w:rsid w:val="00B134AF"/>
    <w:rsid w:val="00B138D3"/>
    <w:rsid w:val="00B16943"/>
    <w:rsid w:val="00B177C4"/>
    <w:rsid w:val="00B201A4"/>
    <w:rsid w:val="00B201D1"/>
    <w:rsid w:val="00B213A6"/>
    <w:rsid w:val="00B235B0"/>
    <w:rsid w:val="00B23E81"/>
    <w:rsid w:val="00B24B5C"/>
    <w:rsid w:val="00B24CB4"/>
    <w:rsid w:val="00B24DF6"/>
    <w:rsid w:val="00B25013"/>
    <w:rsid w:val="00B27268"/>
    <w:rsid w:val="00B2769F"/>
    <w:rsid w:val="00B27A61"/>
    <w:rsid w:val="00B32AC7"/>
    <w:rsid w:val="00B32E17"/>
    <w:rsid w:val="00B3306E"/>
    <w:rsid w:val="00B34DEF"/>
    <w:rsid w:val="00B34FE2"/>
    <w:rsid w:val="00B35166"/>
    <w:rsid w:val="00B357D8"/>
    <w:rsid w:val="00B3582E"/>
    <w:rsid w:val="00B360F4"/>
    <w:rsid w:val="00B36A00"/>
    <w:rsid w:val="00B3792B"/>
    <w:rsid w:val="00B37BFC"/>
    <w:rsid w:val="00B40358"/>
    <w:rsid w:val="00B4118B"/>
    <w:rsid w:val="00B41614"/>
    <w:rsid w:val="00B4193A"/>
    <w:rsid w:val="00B42851"/>
    <w:rsid w:val="00B42F80"/>
    <w:rsid w:val="00B4343B"/>
    <w:rsid w:val="00B435CB"/>
    <w:rsid w:val="00B437BB"/>
    <w:rsid w:val="00B45FA2"/>
    <w:rsid w:val="00B465EC"/>
    <w:rsid w:val="00B46D2C"/>
    <w:rsid w:val="00B46F1D"/>
    <w:rsid w:val="00B471FE"/>
    <w:rsid w:val="00B47BF2"/>
    <w:rsid w:val="00B505C8"/>
    <w:rsid w:val="00B50DB8"/>
    <w:rsid w:val="00B53654"/>
    <w:rsid w:val="00B53905"/>
    <w:rsid w:val="00B546DB"/>
    <w:rsid w:val="00B54B5B"/>
    <w:rsid w:val="00B5562E"/>
    <w:rsid w:val="00B55862"/>
    <w:rsid w:val="00B55D65"/>
    <w:rsid w:val="00B56305"/>
    <w:rsid w:val="00B57000"/>
    <w:rsid w:val="00B57831"/>
    <w:rsid w:val="00B60691"/>
    <w:rsid w:val="00B60939"/>
    <w:rsid w:val="00B60AFD"/>
    <w:rsid w:val="00B62715"/>
    <w:rsid w:val="00B62D47"/>
    <w:rsid w:val="00B6427A"/>
    <w:rsid w:val="00B65611"/>
    <w:rsid w:val="00B65D2F"/>
    <w:rsid w:val="00B65E03"/>
    <w:rsid w:val="00B70E8E"/>
    <w:rsid w:val="00B73103"/>
    <w:rsid w:val="00B73494"/>
    <w:rsid w:val="00B73C05"/>
    <w:rsid w:val="00B73DEA"/>
    <w:rsid w:val="00B74884"/>
    <w:rsid w:val="00B76861"/>
    <w:rsid w:val="00B76C92"/>
    <w:rsid w:val="00B774BE"/>
    <w:rsid w:val="00B77EC0"/>
    <w:rsid w:val="00B77ED3"/>
    <w:rsid w:val="00B80EFD"/>
    <w:rsid w:val="00B818A4"/>
    <w:rsid w:val="00B82162"/>
    <w:rsid w:val="00B83739"/>
    <w:rsid w:val="00B83B3F"/>
    <w:rsid w:val="00B84117"/>
    <w:rsid w:val="00B858F0"/>
    <w:rsid w:val="00B85AA2"/>
    <w:rsid w:val="00B86281"/>
    <w:rsid w:val="00B8649C"/>
    <w:rsid w:val="00B8695D"/>
    <w:rsid w:val="00B87010"/>
    <w:rsid w:val="00B87CA7"/>
    <w:rsid w:val="00B87F0A"/>
    <w:rsid w:val="00B914A3"/>
    <w:rsid w:val="00B92D0B"/>
    <w:rsid w:val="00B94362"/>
    <w:rsid w:val="00B94945"/>
    <w:rsid w:val="00B9498A"/>
    <w:rsid w:val="00B94DD6"/>
    <w:rsid w:val="00BA11D4"/>
    <w:rsid w:val="00BA1929"/>
    <w:rsid w:val="00BA2A14"/>
    <w:rsid w:val="00BA322D"/>
    <w:rsid w:val="00BA5A42"/>
    <w:rsid w:val="00BA5DE5"/>
    <w:rsid w:val="00BA63FA"/>
    <w:rsid w:val="00BA6536"/>
    <w:rsid w:val="00BA75EB"/>
    <w:rsid w:val="00BB00B3"/>
    <w:rsid w:val="00BB0B91"/>
    <w:rsid w:val="00BB0BDD"/>
    <w:rsid w:val="00BB12AD"/>
    <w:rsid w:val="00BB176C"/>
    <w:rsid w:val="00BB2A73"/>
    <w:rsid w:val="00BB2CE7"/>
    <w:rsid w:val="00BB3A45"/>
    <w:rsid w:val="00BB4ACC"/>
    <w:rsid w:val="00BB5777"/>
    <w:rsid w:val="00BB6C11"/>
    <w:rsid w:val="00BB703E"/>
    <w:rsid w:val="00BB7069"/>
    <w:rsid w:val="00BB732D"/>
    <w:rsid w:val="00BB7405"/>
    <w:rsid w:val="00BB7678"/>
    <w:rsid w:val="00BC1294"/>
    <w:rsid w:val="00BC2F65"/>
    <w:rsid w:val="00BC3631"/>
    <w:rsid w:val="00BC3E96"/>
    <w:rsid w:val="00BC4259"/>
    <w:rsid w:val="00BC591F"/>
    <w:rsid w:val="00BC5A14"/>
    <w:rsid w:val="00BC6384"/>
    <w:rsid w:val="00BC7A49"/>
    <w:rsid w:val="00BC7D6D"/>
    <w:rsid w:val="00BD2108"/>
    <w:rsid w:val="00BD2A09"/>
    <w:rsid w:val="00BD2CF8"/>
    <w:rsid w:val="00BD332F"/>
    <w:rsid w:val="00BD5B01"/>
    <w:rsid w:val="00BD6306"/>
    <w:rsid w:val="00BD68A3"/>
    <w:rsid w:val="00BD6938"/>
    <w:rsid w:val="00BD6CF3"/>
    <w:rsid w:val="00BD7F72"/>
    <w:rsid w:val="00BE0AE1"/>
    <w:rsid w:val="00BE0ECA"/>
    <w:rsid w:val="00BE1C10"/>
    <w:rsid w:val="00BE2180"/>
    <w:rsid w:val="00BE21F2"/>
    <w:rsid w:val="00BE223F"/>
    <w:rsid w:val="00BE2D85"/>
    <w:rsid w:val="00BE4275"/>
    <w:rsid w:val="00BE4815"/>
    <w:rsid w:val="00BE5658"/>
    <w:rsid w:val="00BE5902"/>
    <w:rsid w:val="00BE627F"/>
    <w:rsid w:val="00BE65E1"/>
    <w:rsid w:val="00BE6B85"/>
    <w:rsid w:val="00BF0193"/>
    <w:rsid w:val="00BF06AE"/>
    <w:rsid w:val="00BF0900"/>
    <w:rsid w:val="00BF0F95"/>
    <w:rsid w:val="00BF13E7"/>
    <w:rsid w:val="00BF2433"/>
    <w:rsid w:val="00BF2E6E"/>
    <w:rsid w:val="00BF3299"/>
    <w:rsid w:val="00BF33FF"/>
    <w:rsid w:val="00BF3B79"/>
    <w:rsid w:val="00BF484C"/>
    <w:rsid w:val="00BF4D9C"/>
    <w:rsid w:val="00BF61C9"/>
    <w:rsid w:val="00BF6C94"/>
    <w:rsid w:val="00C00424"/>
    <w:rsid w:val="00C00BB0"/>
    <w:rsid w:val="00C02FEA"/>
    <w:rsid w:val="00C0617D"/>
    <w:rsid w:val="00C06F4B"/>
    <w:rsid w:val="00C0797B"/>
    <w:rsid w:val="00C10FC2"/>
    <w:rsid w:val="00C1179F"/>
    <w:rsid w:val="00C120DA"/>
    <w:rsid w:val="00C127B9"/>
    <w:rsid w:val="00C128FA"/>
    <w:rsid w:val="00C12C14"/>
    <w:rsid w:val="00C136EB"/>
    <w:rsid w:val="00C15F04"/>
    <w:rsid w:val="00C17811"/>
    <w:rsid w:val="00C17818"/>
    <w:rsid w:val="00C179B3"/>
    <w:rsid w:val="00C17E3F"/>
    <w:rsid w:val="00C200AA"/>
    <w:rsid w:val="00C237ED"/>
    <w:rsid w:val="00C24342"/>
    <w:rsid w:val="00C24632"/>
    <w:rsid w:val="00C251CD"/>
    <w:rsid w:val="00C25418"/>
    <w:rsid w:val="00C25D9C"/>
    <w:rsid w:val="00C2778B"/>
    <w:rsid w:val="00C30ABD"/>
    <w:rsid w:val="00C31649"/>
    <w:rsid w:val="00C31EA5"/>
    <w:rsid w:val="00C333B8"/>
    <w:rsid w:val="00C3434C"/>
    <w:rsid w:val="00C3512C"/>
    <w:rsid w:val="00C364CA"/>
    <w:rsid w:val="00C3703B"/>
    <w:rsid w:val="00C40385"/>
    <w:rsid w:val="00C406D7"/>
    <w:rsid w:val="00C4102B"/>
    <w:rsid w:val="00C41768"/>
    <w:rsid w:val="00C4340D"/>
    <w:rsid w:val="00C44237"/>
    <w:rsid w:val="00C45606"/>
    <w:rsid w:val="00C475AA"/>
    <w:rsid w:val="00C47B46"/>
    <w:rsid w:val="00C505C0"/>
    <w:rsid w:val="00C527C7"/>
    <w:rsid w:val="00C53C98"/>
    <w:rsid w:val="00C53FB1"/>
    <w:rsid w:val="00C54303"/>
    <w:rsid w:val="00C5466B"/>
    <w:rsid w:val="00C54714"/>
    <w:rsid w:val="00C552B3"/>
    <w:rsid w:val="00C556A3"/>
    <w:rsid w:val="00C56FCF"/>
    <w:rsid w:val="00C57892"/>
    <w:rsid w:val="00C57B6C"/>
    <w:rsid w:val="00C60D53"/>
    <w:rsid w:val="00C61759"/>
    <w:rsid w:val="00C61A59"/>
    <w:rsid w:val="00C61F98"/>
    <w:rsid w:val="00C628A6"/>
    <w:rsid w:val="00C64344"/>
    <w:rsid w:val="00C65108"/>
    <w:rsid w:val="00C65576"/>
    <w:rsid w:val="00C66165"/>
    <w:rsid w:val="00C6632B"/>
    <w:rsid w:val="00C663ED"/>
    <w:rsid w:val="00C7060A"/>
    <w:rsid w:val="00C7151A"/>
    <w:rsid w:val="00C71629"/>
    <w:rsid w:val="00C717E3"/>
    <w:rsid w:val="00C71CC3"/>
    <w:rsid w:val="00C71F60"/>
    <w:rsid w:val="00C72241"/>
    <w:rsid w:val="00C72300"/>
    <w:rsid w:val="00C727E1"/>
    <w:rsid w:val="00C750C8"/>
    <w:rsid w:val="00C75112"/>
    <w:rsid w:val="00C7560F"/>
    <w:rsid w:val="00C75771"/>
    <w:rsid w:val="00C76484"/>
    <w:rsid w:val="00C80A0E"/>
    <w:rsid w:val="00C81A17"/>
    <w:rsid w:val="00C8213F"/>
    <w:rsid w:val="00C8303F"/>
    <w:rsid w:val="00C831E9"/>
    <w:rsid w:val="00C83AFD"/>
    <w:rsid w:val="00C85154"/>
    <w:rsid w:val="00C85A70"/>
    <w:rsid w:val="00C85CDE"/>
    <w:rsid w:val="00C8797A"/>
    <w:rsid w:val="00C900B8"/>
    <w:rsid w:val="00C90197"/>
    <w:rsid w:val="00C903AC"/>
    <w:rsid w:val="00C908A1"/>
    <w:rsid w:val="00C90C71"/>
    <w:rsid w:val="00C91D12"/>
    <w:rsid w:val="00C91FD1"/>
    <w:rsid w:val="00C931CF"/>
    <w:rsid w:val="00C938CF"/>
    <w:rsid w:val="00C94053"/>
    <w:rsid w:val="00C94D0C"/>
    <w:rsid w:val="00C95D84"/>
    <w:rsid w:val="00C9624D"/>
    <w:rsid w:val="00C969DA"/>
    <w:rsid w:val="00C96C4E"/>
    <w:rsid w:val="00CA2708"/>
    <w:rsid w:val="00CA2B18"/>
    <w:rsid w:val="00CA2C77"/>
    <w:rsid w:val="00CA2DB0"/>
    <w:rsid w:val="00CA3733"/>
    <w:rsid w:val="00CA444F"/>
    <w:rsid w:val="00CA5245"/>
    <w:rsid w:val="00CA55D3"/>
    <w:rsid w:val="00CA71F4"/>
    <w:rsid w:val="00CA7315"/>
    <w:rsid w:val="00CA7B09"/>
    <w:rsid w:val="00CB12A5"/>
    <w:rsid w:val="00CB1CAC"/>
    <w:rsid w:val="00CB223D"/>
    <w:rsid w:val="00CB2A1B"/>
    <w:rsid w:val="00CB2F2A"/>
    <w:rsid w:val="00CB3F35"/>
    <w:rsid w:val="00CB5B1A"/>
    <w:rsid w:val="00CB69D1"/>
    <w:rsid w:val="00CB6B22"/>
    <w:rsid w:val="00CB6CEC"/>
    <w:rsid w:val="00CB6D0E"/>
    <w:rsid w:val="00CB7F5F"/>
    <w:rsid w:val="00CC0799"/>
    <w:rsid w:val="00CC1273"/>
    <w:rsid w:val="00CC1B39"/>
    <w:rsid w:val="00CC1BEE"/>
    <w:rsid w:val="00CC1BFA"/>
    <w:rsid w:val="00CC22B5"/>
    <w:rsid w:val="00CC25D9"/>
    <w:rsid w:val="00CC2E9F"/>
    <w:rsid w:val="00CC327E"/>
    <w:rsid w:val="00CC34C1"/>
    <w:rsid w:val="00CC35EA"/>
    <w:rsid w:val="00CC3848"/>
    <w:rsid w:val="00CC39E7"/>
    <w:rsid w:val="00CC6111"/>
    <w:rsid w:val="00CC67E7"/>
    <w:rsid w:val="00CC6D5E"/>
    <w:rsid w:val="00CD0200"/>
    <w:rsid w:val="00CD0AFE"/>
    <w:rsid w:val="00CD1B58"/>
    <w:rsid w:val="00CD322B"/>
    <w:rsid w:val="00CD3F77"/>
    <w:rsid w:val="00CD608C"/>
    <w:rsid w:val="00CD6ADC"/>
    <w:rsid w:val="00CD7193"/>
    <w:rsid w:val="00CE008E"/>
    <w:rsid w:val="00CE05B7"/>
    <w:rsid w:val="00CE0B67"/>
    <w:rsid w:val="00CE1F6B"/>
    <w:rsid w:val="00CE2831"/>
    <w:rsid w:val="00CE38C8"/>
    <w:rsid w:val="00CE524F"/>
    <w:rsid w:val="00CE58CC"/>
    <w:rsid w:val="00CE6274"/>
    <w:rsid w:val="00CE6683"/>
    <w:rsid w:val="00CE7239"/>
    <w:rsid w:val="00CE77B6"/>
    <w:rsid w:val="00CE7EC7"/>
    <w:rsid w:val="00CF09F9"/>
    <w:rsid w:val="00CF0DB4"/>
    <w:rsid w:val="00CF13C6"/>
    <w:rsid w:val="00CF2B8D"/>
    <w:rsid w:val="00CF3A1B"/>
    <w:rsid w:val="00CF456B"/>
    <w:rsid w:val="00CF5A22"/>
    <w:rsid w:val="00D00FFE"/>
    <w:rsid w:val="00D01996"/>
    <w:rsid w:val="00D02273"/>
    <w:rsid w:val="00D0262E"/>
    <w:rsid w:val="00D02853"/>
    <w:rsid w:val="00D03679"/>
    <w:rsid w:val="00D04514"/>
    <w:rsid w:val="00D05E3D"/>
    <w:rsid w:val="00D06139"/>
    <w:rsid w:val="00D06D1C"/>
    <w:rsid w:val="00D10666"/>
    <w:rsid w:val="00D110BD"/>
    <w:rsid w:val="00D1164C"/>
    <w:rsid w:val="00D11D0F"/>
    <w:rsid w:val="00D123D3"/>
    <w:rsid w:val="00D13675"/>
    <w:rsid w:val="00D139B0"/>
    <w:rsid w:val="00D141E1"/>
    <w:rsid w:val="00D15314"/>
    <w:rsid w:val="00D15B48"/>
    <w:rsid w:val="00D17D6C"/>
    <w:rsid w:val="00D2155B"/>
    <w:rsid w:val="00D238FD"/>
    <w:rsid w:val="00D23D11"/>
    <w:rsid w:val="00D23EDF"/>
    <w:rsid w:val="00D244B6"/>
    <w:rsid w:val="00D269DB"/>
    <w:rsid w:val="00D26A24"/>
    <w:rsid w:val="00D2754D"/>
    <w:rsid w:val="00D27B27"/>
    <w:rsid w:val="00D30D5B"/>
    <w:rsid w:val="00D313F7"/>
    <w:rsid w:val="00D31E29"/>
    <w:rsid w:val="00D3210A"/>
    <w:rsid w:val="00D33BE9"/>
    <w:rsid w:val="00D33F93"/>
    <w:rsid w:val="00D347AA"/>
    <w:rsid w:val="00D357FF"/>
    <w:rsid w:val="00D368DB"/>
    <w:rsid w:val="00D36F2B"/>
    <w:rsid w:val="00D424C7"/>
    <w:rsid w:val="00D42D14"/>
    <w:rsid w:val="00D4353D"/>
    <w:rsid w:val="00D43B2A"/>
    <w:rsid w:val="00D43CF1"/>
    <w:rsid w:val="00D43D83"/>
    <w:rsid w:val="00D44EAF"/>
    <w:rsid w:val="00D45410"/>
    <w:rsid w:val="00D47575"/>
    <w:rsid w:val="00D47C08"/>
    <w:rsid w:val="00D47C3C"/>
    <w:rsid w:val="00D521CD"/>
    <w:rsid w:val="00D5243B"/>
    <w:rsid w:val="00D533EC"/>
    <w:rsid w:val="00D53405"/>
    <w:rsid w:val="00D54A7F"/>
    <w:rsid w:val="00D54AFA"/>
    <w:rsid w:val="00D56A95"/>
    <w:rsid w:val="00D56F43"/>
    <w:rsid w:val="00D5737B"/>
    <w:rsid w:val="00D6076E"/>
    <w:rsid w:val="00D659FB"/>
    <w:rsid w:val="00D66127"/>
    <w:rsid w:val="00D671BE"/>
    <w:rsid w:val="00D70A23"/>
    <w:rsid w:val="00D70F16"/>
    <w:rsid w:val="00D72617"/>
    <w:rsid w:val="00D72964"/>
    <w:rsid w:val="00D72F57"/>
    <w:rsid w:val="00D736D8"/>
    <w:rsid w:val="00D7454A"/>
    <w:rsid w:val="00D7639D"/>
    <w:rsid w:val="00D76A44"/>
    <w:rsid w:val="00D81031"/>
    <w:rsid w:val="00D81394"/>
    <w:rsid w:val="00D815EF"/>
    <w:rsid w:val="00D81949"/>
    <w:rsid w:val="00D81F26"/>
    <w:rsid w:val="00D8218E"/>
    <w:rsid w:val="00D822E2"/>
    <w:rsid w:val="00D82AB7"/>
    <w:rsid w:val="00D83326"/>
    <w:rsid w:val="00D8383A"/>
    <w:rsid w:val="00D843F2"/>
    <w:rsid w:val="00D854DF"/>
    <w:rsid w:val="00D86231"/>
    <w:rsid w:val="00D86584"/>
    <w:rsid w:val="00D86F31"/>
    <w:rsid w:val="00D87606"/>
    <w:rsid w:val="00D912AB"/>
    <w:rsid w:val="00D91923"/>
    <w:rsid w:val="00D92BD6"/>
    <w:rsid w:val="00D9355C"/>
    <w:rsid w:val="00D93753"/>
    <w:rsid w:val="00D9757A"/>
    <w:rsid w:val="00D979F0"/>
    <w:rsid w:val="00DA0C7E"/>
    <w:rsid w:val="00DA16C9"/>
    <w:rsid w:val="00DA2D0E"/>
    <w:rsid w:val="00DA3167"/>
    <w:rsid w:val="00DA4652"/>
    <w:rsid w:val="00DA4DC3"/>
    <w:rsid w:val="00DA77A5"/>
    <w:rsid w:val="00DA7C34"/>
    <w:rsid w:val="00DB0472"/>
    <w:rsid w:val="00DB0E36"/>
    <w:rsid w:val="00DB16E8"/>
    <w:rsid w:val="00DB1E81"/>
    <w:rsid w:val="00DB2CAF"/>
    <w:rsid w:val="00DB34AB"/>
    <w:rsid w:val="00DB3A5D"/>
    <w:rsid w:val="00DB3DBF"/>
    <w:rsid w:val="00DB484F"/>
    <w:rsid w:val="00DB70F7"/>
    <w:rsid w:val="00DB7169"/>
    <w:rsid w:val="00DC04F6"/>
    <w:rsid w:val="00DC0690"/>
    <w:rsid w:val="00DC1886"/>
    <w:rsid w:val="00DC1D65"/>
    <w:rsid w:val="00DC1F07"/>
    <w:rsid w:val="00DC38CC"/>
    <w:rsid w:val="00DC3C57"/>
    <w:rsid w:val="00DC4421"/>
    <w:rsid w:val="00DC4612"/>
    <w:rsid w:val="00DC5501"/>
    <w:rsid w:val="00DC5DE4"/>
    <w:rsid w:val="00DC7154"/>
    <w:rsid w:val="00DC7E8A"/>
    <w:rsid w:val="00DD043C"/>
    <w:rsid w:val="00DD0F78"/>
    <w:rsid w:val="00DD273C"/>
    <w:rsid w:val="00DD2993"/>
    <w:rsid w:val="00DD3F28"/>
    <w:rsid w:val="00DD410C"/>
    <w:rsid w:val="00DD4446"/>
    <w:rsid w:val="00DD4537"/>
    <w:rsid w:val="00DD4E15"/>
    <w:rsid w:val="00DD500B"/>
    <w:rsid w:val="00DD6F56"/>
    <w:rsid w:val="00DE05E3"/>
    <w:rsid w:val="00DE18AE"/>
    <w:rsid w:val="00DE1FB1"/>
    <w:rsid w:val="00DE2304"/>
    <w:rsid w:val="00DE3138"/>
    <w:rsid w:val="00DE37F8"/>
    <w:rsid w:val="00DE37FC"/>
    <w:rsid w:val="00DE4273"/>
    <w:rsid w:val="00DE4FCB"/>
    <w:rsid w:val="00DE5D07"/>
    <w:rsid w:val="00DE5DBD"/>
    <w:rsid w:val="00DE72A7"/>
    <w:rsid w:val="00DE7832"/>
    <w:rsid w:val="00DF0E37"/>
    <w:rsid w:val="00DF18FC"/>
    <w:rsid w:val="00DF2FDE"/>
    <w:rsid w:val="00DF30E8"/>
    <w:rsid w:val="00DF4A66"/>
    <w:rsid w:val="00DF5D2B"/>
    <w:rsid w:val="00DF5E28"/>
    <w:rsid w:val="00DF6341"/>
    <w:rsid w:val="00DF7D24"/>
    <w:rsid w:val="00E00E8E"/>
    <w:rsid w:val="00E04873"/>
    <w:rsid w:val="00E05630"/>
    <w:rsid w:val="00E064BB"/>
    <w:rsid w:val="00E06DBB"/>
    <w:rsid w:val="00E07DF9"/>
    <w:rsid w:val="00E10149"/>
    <w:rsid w:val="00E105EB"/>
    <w:rsid w:val="00E11340"/>
    <w:rsid w:val="00E122A1"/>
    <w:rsid w:val="00E1254F"/>
    <w:rsid w:val="00E13D1C"/>
    <w:rsid w:val="00E15822"/>
    <w:rsid w:val="00E16372"/>
    <w:rsid w:val="00E16AD8"/>
    <w:rsid w:val="00E17FFA"/>
    <w:rsid w:val="00E20BC2"/>
    <w:rsid w:val="00E20E4D"/>
    <w:rsid w:val="00E20ED6"/>
    <w:rsid w:val="00E21358"/>
    <w:rsid w:val="00E2176D"/>
    <w:rsid w:val="00E21DEB"/>
    <w:rsid w:val="00E2249B"/>
    <w:rsid w:val="00E22A0D"/>
    <w:rsid w:val="00E244F6"/>
    <w:rsid w:val="00E2523B"/>
    <w:rsid w:val="00E2558E"/>
    <w:rsid w:val="00E258DB"/>
    <w:rsid w:val="00E259CD"/>
    <w:rsid w:val="00E27464"/>
    <w:rsid w:val="00E27690"/>
    <w:rsid w:val="00E2771E"/>
    <w:rsid w:val="00E311EF"/>
    <w:rsid w:val="00E3128A"/>
    <w:rsid w:val="00E31A1E"/>
    <w:rsid w:val="00E32180"/>
    <w:rsid w:val="00E32906"/>
    <w:rsid w:val="00E34482"/>
    <w:rsid w:val="00E34948"/>
    <w:rsid w:val="00E37569"/>
    <w:rsid w:val="00E37585"/>
    <w:rsid w:val="00E401B2"/>
    <w:rsid w:val="00E40EE0"/>
    <w:rsid w:val="00E41E30"/>
    <w:rsid w:val="00E42F73"/>
    <w:rsid w:val="00E436B5"/>
    <w:rsid w:val="00E43D70"/>
    <w:rsid w:val="00E44C00"/>
    <w:rsid w:val="00E459B1"/>
    <w:rsid w:val="00E466F3"/>
    <w:rsid w:val="00E46763"/>
    <w:rsid w:val="00E4773E"/>
    <w:rsid w:val="00E47B2C"/>
    <w:rsid w:val="00E47FA0"/>
    <w:rsid w:val="00E50819"/>
    <w:rsid w:val="00E51560"/>
    <w:rsid w:val="00E51821"/>
    <w:rsid w:val="00E530B7"/>
    <w:rsid w:val="00E53FC8"/>
    <w:rsid w:val="00E54347"/>
    <w:rsid w:val="00E55424"/>
    <w:rsid w:val="00E55915"/>
    <w:rsid w:val="00E55BB5"/>
    <w:rsid w:val="00E55F5C"/>
    <w:rsid w:val="00E5615C"/>
    <w:rsid w:val="00E56268"/>
    <w:rsid w:val="00E574B2"/>
    <w:rsid w:val="00E577A2"/>
    <w:rsid w:val="00E60461"/>
    <w:rsid w:val="00E611DF"/>
    <w:rsid w:val="00E639DF"/>
    <w:rsid w:val="00E6435B"/>
    <w:rsid w:val="00E65E79"/>
    <w:rsid w:val="00E66322"/>
    <w:rsid w:val="00E66637"/>
    <w:rsid w:val="00E66BA2"/>
    <w:rsid w:val="00E67416"/>
    <w:rsid w:val="00E706BA"/>
    <w:rsid w:val="00E718B6"/>
    <w:rsid w:val="00E71FD3"/>
    <w:rsid w:val="00E723BA"/>
    <w:rsid w:val="00E724F0"/>
    <w:rsid w:val="00E725DF"/>
    <w:rsid w:val="00E73581"/>
    <w:rsid w:val="00E755E7"/>
    <w:rsid w:val="00E779E4"/>
    <w:rsid w:val="00E77D5D"/>
    <w:rsid w:val="00E82796"/>
    <w:rsid w:val="00E833F7"/>
    <w:rsid w:val="00E83BDF"/>
    <w:rsid w:val="00E84623"/>
    <w:rsid w:val="00E86FCC"/>
    <w:rsid w:val="00E87A1D"/>
    <w:rsid w:val="00E90390"/>
    <w:rsid w:val="00E904BE"/>
    <w:rsid w:val="00E9094A"/>
    <w:rsid w:val="00E91D35"/>
    <w:rsid w:val="00E9233C"/>
    <w:rsid w:val="00E926A5"/>
    <w:rsid w:val="00E94218"/>
    <w:rsid w:val="00E962CC"/>
    <w:rsid w:val="00E96F26"/>
    <w:rsid w:val="00E96FF5"/>
    <w:rsid w:val="00EA04D1"/>
    <w:rsid w:val="00EA17C3"/>
    <w:rsid w:val="00EA2CAA"/>
    <w:rsid w:val="00EA354C"/>
    <w:rsid w:val="00EA3864"/>
    <w:rsid w:val="00EA45D6"/>
    <w:rsid w:val="00EA5ED8"/>
    <w:rsid w:val="00EA70CA"/>
    <w:rsid w:val="00EA74BD"/>
    <w:rsid w:val="00EA7F1C"/>
    <w:rsid w:val="00EB0164"/>
    <w:rsid w:val="00EB0264"/>
    <w:rsid w:val="00EB0EDD"/>
    <w:rsid w:val="00EB15B6"/>
    <w:rsid w:val="00EB2BE3"/>
    <w:rsid w:val="00EB3D06"/>
    <w:rsid w:val="00EB4916"/>
    <w:rsid w:val="00EB71AE"/>
    <w:rsid w:val="00EB7903"/>
    <w:rsid w:val="00EB7A70"/>
    <w:rsid w:val="00EC00C9"/>
    <w:rsid w:val="00EC0DD9"/>
    <w:rsid w:val="00EC2649"/>
    <w:rsid w:val="00EC286D"/>
    <w:rsid w:val="00EC31ED"/>
    <w:rsid w:val="00EC35B0"/>
    <w:rsid w:val="00EC49A8"/>
    <w:rsid w:val="00EC4F8A"/>
    <w:rsid w:val="00EC5219"/>
    <w:rsid w:val="00EC5223"/>
    <w:rsid w:val="00EC5836"/>
    <w:rsid w:val="00EC5A70"/>
    <w:rsid w:val="00EC688C"/>
    <w:rsid w:val="00EC68AA"/>
    <w:rsid w:val="00EC71AD"/>
    <w:rsid w:val="00EC7B79"/>
    <w:rsid w:val="00ED12E3"/>
    <w:rsid w:val="00ED1D72"/>
    <w:rsid w:val="00ED1DBE"/>
    <w:rsid w:val="00ED2668"/>
    <w:rsid w:val="00ED2BAA"/>
    <w:rsid w:val="00ED3A85"/>
    <w:rsid w:val="00ED4B04"/>
    <w:rsid w:val="00ED57EA"/>
    <w:rsid w:val="00ED5BD4"/>
    <w:rsid w:val="00ED63CD"/>
    <w:rsid w:val="00ED7C35"/>
    <w:rsid w:val="00EE07D3"/>
    <w:rsid w:val="00EE0B80"/>
    <w:rsid w:val="00EE1996"/>
    <w:rsid w:val="00EE1C01"/>
    <w:rsid w:val="00EE22AF"/>
    <w:rsid w:val="00EE23CE"/>
    <w:rsid w:val="00EE34AE"/>
    <w:rsid w:val="00EE3D6A"/>
    <w:rsid w:val="00EE4C10"/>
    <w:rsid w:val="00EE53D3"/>
    <w:rsid w:val="00EE6778"/>
    <w:rsid w:val="00EE7A18"/>
    <w:rsid w:val="00EF0171"/>
    <w:rsid w:val="00EF16F7"/>
    <w:rsid w:val="00EF1B25"/>
    <w:rsid w:val="00EF1DA0"/>
    <w:rsid w:val="00EF2154"/>
    <w:rsid w:val="00EF367F"/>
    <w:rsid w:val="00EF4747"/>
    <w:rsid w:val="00EF4BF8"/>
    <w:rsid w:val="00EF62F2"/>
    <w:rsid w:val="00EF6B11"/>
    <w:rsid w:val="00EF758D"/>
    <w:rsid w:val="00F014F6"/>
    <w:rsid w:val="00F0169F"/>
    <w:rsid w:val="00F02253"/>
    <w:rsid w:val="00F024AB"/>
    <w:rsid w:val="00F0276E"/>
    <w:rsid w:val="00F03C2E"/>
    <w:rsid w:val="00F041CD"/>
    <w:rsid w:val="00F04A66"/>
    <w:rsid w:val="00F04B4B"/>
    <w:rsid w:val="00F0516C"/>
    <w:rsid w:val="00F05DFF"/>
    <w:rsid w:val="00F067A2"/>
    <w:rsid w:val="00F07501"/>
    <w:rsid w:val="00F078DC"/>
    <w:rsid w:val="00F07B9E"/>
    <w:rsid w:val="00F1116F"/>
    <w:rsid w:val="00F11DD4"/>
    <w:rsid w:val="00F1263A"/>
    <w:rsid w:val="00F12DB6"/>
    <w:rsid w:val="00F135E5"/>
    <w:rsid w:val="00F139C5"/>
    <w:rsid w:val="00F143F0"/>
    <w:rsid w:val="00F14B0B"/>
    <w:rsid w:val="00F15B77"/>
    <w:rsid w:val="00F15D70"/>
    <w:rsid w:val="00F168E6"/>
    <w:rsid w:val="00F17DDD"/>
    <w:rsid w:val="00F21236"/>
    <w:rsid w:val="00F24837"/>
    <w:rsid w:val="00F252EE"/>
    <w:rsid w:val="00F2575F"/>
    <w:rsid w:val="00F25AA9"/>
    <w:rsid w:val="00F27565"/>
    <w:rsid w:val="00F27F3E"/>
    <w:rsid w:val="00F305AD"/>
    <w:rsid w:val="00F30FCE"/>
    <w:rsid w:val="00F310D4"/>
    <w:rsid w:val="00F31630"/>
    <w:rsid w:val="00F31D5A"/>
    <w:rsid w:val="00F33975"/>
    <w:rsid w:val="00F33DE9"/>
    <w:rsid w:val="00F355CB"/>
    <w:rsid w:val="00F35DEC"/>
    <w:rsid w:val="00F35E6D"/>
    <w:rsid w:val="00F35EF4"/>
    <w:rsid w:val="00F3619A"/>
    <w:rsid w:val="00F40918"/>
    <w:rsid w:val="00F40AAA"/>
    <w:rsid w:val="00F40BA7"/>
    <w:rsid w:val="00F40BCB"/>
    <w:rsid w:val="00F40F9D"/>
    <w:rsid w:val="00F411F8"/>
    <w:rsid w:val="00F41ACD"/>
    <w:rsid w:val="00F41FBF"/>
    <w:rsid w:val="00F44B6D"/>
    <w:rsid w:val="00F45030"/>
    <w:rsid w:val="00F45A1F"/>
    <w:rsid w:val="00F46CB6"/>
    <w:rsid w:val="00F4756D"/>
    <w:rsid w:val="00F47C05"/>
    <w:rsid w:val="00F47DE8"/>
    <w:rsid w:val="00F50688"/>
    <w:rsid w:val="00F512BB"/>
    <w:rsid w:val="00F542C1"/>
    <w:rsid w:val="00F54881"/>
    <w:rsid w:val="00F550A9"/>
    <w:rsid w:val="00F550E3"/>
    <w:rsid w:val="00F55E73"/>
    <w:rsid w:val="00F55EDA"/>
    <w:rsid w:val="00F56570"/>
    <w:rsid w:val="00F56C80"/>
    <w:rsid w:val="00F575E6"/>
    <w:rsid w:val="00F60092"/>
    <w:rsid w:val="00F6118B"/>
    <w:rsid w:val="00F61C18"/>
    <w:rsid w:val="00F6376A"/>
    <w:rsid w:val="00F63E3D"/>
    <w:rsid w:val="00F65F4B"/>
    <w:rsid w:val="00F6667F"/>
    <w:rsid w:val="00F67A69"/>
    <w:rsid w:val="00F70A0E"/>
    <w:rsid w:val="00F70BFF"/>
    <w:rsid w:val="00F70C9D"/>
    <w:rsid w:val="00F715F0"/>
    <w:rsid w:val="00F73E08"/>
    <w:rsid w:val="00F74223"/>
    <w:rsid w:val="00F74CD9"/>
    <w:rsid w:val="00F751D9"/>
    <w:rsid w:val="00F7684B"/>
    <w:rsid w:val="00F77796"/>
    <w:rsid w:val="00F77AC8"/>
    <w:rsid w:val="00F80779"/>
    <w:rsid w:val="00F80A7B"/>
    <w:rsid w:val="00F80E5D"/>
    <w:rsid w:val="00F81E78"/>
    <w:rsid w:val="00F8349B"/>
    <w:rsid w:val="00F83916"/>
    <w:rsid w:val="00F8396F"/>
    <w:rsid w:val="00F84F20"/>
    <w:rsid w:val="00F851CE"/>
    <w:rsid w:val="00F85D18"/>
    <w:rsid w:val="00F876DC"/>
    <w:rsid w:val="00F91219"/>
    <w:rsid w:val="00F92444"/>
    <w:rsid w:val="00F92C3C"/>
    <w:rsid w:val="00F9393E"/>
    <w:rsid w:val="00F954FE"/>
    <w:rsid w:val="00F95988"/>
    <w:rsid w:val="00F95BD0"/>
    <w:rsid w:val="00F96F86"/>
    <w:rsid w:val="00F96FD0"/>
    <w:rsid w:val="00F97A78"/>
    <w:rsid w:val="00FA0B20"/>
    <w:rsid w:val="00FA24E7"/>
    <w:rsid w:val="00FA3EC9"/>
    <w:rsid w:val="00FA5C20"/>
    <w:rsid w:val="00FA5EE6"/>
    <w:rsid w:val="00FA7956"/>
    <w:rsid w:val="00FB04D2"/>
    <w:rsid w:val="00FB05BD"/>
    <w:rsid w:val="00FB0824"/>
    <w:rsid w:val="00FB1120"/>
    <w:rsid w:val="00FB288E"/>
    <w:rsid w:val="00FB2FCB"/>
    <w:rsid w:val="00FB33D2"/>
    <w:rsid w:val="00FB4C35"/>
    <w:rsid w:val="00FB4C9C"/>
    <w:rsid w:val="00FB69CD"/>
    <w:rsid w:val="00FB6D9D"/>
    <w:rsid w:val="00FB7C55"/>
    <w:rsid w:val="00FC0350"/>
    <w:rsid w:val="00FC1019"/>
    <w:rsid w:val="00FC1074"/>
    <w:rsid w:val="00FC1358"/>
    <w:rsid w:val="00FC1884"/>
    <w:rsid w:val="00FC371D"/>
    <w:rsid w:val="00FC4A24"/>
    <w:rsid w:val="00FC4BD3"/>
    <w:rsid w:val="00FC4FB4"/>
    <w:rsid w:val="00FC5F0B"/>
    <w:rsid w:val="00FC60A4"/>
    <w:rsid w:val="00FC7255"/>
    <w:rsid w:val="00FC79DF"/>
    <w:rsid w:val="00FD07CE"/>
    <w:rsid w:val="00FD2100"/>
    <w:rsid w:val="00FD2144"/>
    <w:rsid w:val="00FD2B62"/>
    <w:rsid w:val="00FD436C"/>
    <w:rsid w:val="00FD446D"/>
    <w:rsid w:val="00FD4F2C"/>
    <w:rsid w:val="00FD5055"/>
    <w:rsid w:val="00FD6394"/>
    <w:rsid w:val="00FE0E6C"/>
    <w:rsid w:val="00FE1CDC"/>
    <w:rsid w:val="00FE2B4E"/>
    <w:rsid w:val="00FE70C3"/>
    <w:rsid w:val="00FF0282"/>
    <w:rsid w:val="00FF1A8B"/>
    <w:rsid w:val="00FF2339"/>
    <w:rsid w:val="00FF2AD9"/>
    <w:rsid w:val="00FF2B91"/>
    <w:rsid w:val="00FF3268"/>
    <w:rsid w:val="00FF359F"/>
    <w:rsid w:val="00FF3CA4"/>
    <w:rsid w:val="00FF3D55"/>
    <w:rsid w:val="00FF3DCF"/>
    <w:rsid w:val="00FF492C"/>
    <w:rsid w:val="00FF4A21"/>
    <w:rsid w:val="00FF5442"/>
    <w:rsid w:val="00FF5AA3"/>
    <w:rsid w:val="00FF5AD8"/>
    <w:rsid w:val="00FF6417"/>
    <w:rsid w:val="00FF684A"/>
    <w:rsid w:val="00FF6CE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9" w:qFormat="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2D9"/>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Caption - H17,! Q,B Caption - 9291,B Caption,Caption2,AZr Caption,Caption Char1,Caption Char Char,Caption Char1 Char Char,Caption Char Char Char Char,Caption Char1 Char,Caption 3,Caption Char2 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 H17 Char,Bayer Caption Char,IB Caption Char,Medical Caption Char,Caption - H17 Char,! Q Char,B Caption - 9291 Char,B Caption Char,Caption2 Char,AZr Caption Char,Caption Char1 Char1,Caption Char Char Char,Caption Char1 Char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Table HEADER PBAC,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BE223F"/>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ind w:left="108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table" w:customStyle="1" w:styleId="SummaryTable1">
    <w:name w:val="Summary Table1"/>
    <w:basedOn w:val="TableNormal"/>
    <w:next w:val="TableGrid"/>
    <w:uiPriority w:val="39"/>
    <w:rsid w:val="003E5F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B0C13"/>
    <w:rPr>
      <w:sz w:val="20"/>
      <w:szCs w:val="20"/>
    </w:rPr>
  </w:style>
  <w:style w:type="character" w:customStyle="1" w:styleId="FootnoteTextChar">
    <w:name w:val="Footnote Text Char"/>
    <w:basedOn w:val="DefaultParagraphFont"/>
    <w:link w:val="FootnoteText"/>
    <w:rsid w:val="000B0C13"/>
    <w:rPr>
      <w:rFonts w:ascii="Calibri" w:hAnsi="Calibri" w:cs="Arial"/>
    </w:rPr>
  </w:style>
  <w:style w:type="character" w:styleId="FootnoteReference">
    <w:name w:val="footnote reference"/>
    <w:basedOn w:val="DefaultParagraphFont"/>
    <w:unhideWhenUsed/>
    <w:rsid w:val="000B0C13"/>
    <w:rPr>
      <w:vertAlign w:val="superscript"/>
    </w:rPr>
  </w:style>
  <w:style w:type="character" w:styleId="UnresolvedMention">
    <w:name w:val="Unresolved Mention"/>
    <w:basedOn w:val="DefaultParagraphFont"/>
    <w:uiPriority w:val="99"/>
    <w:semiHidden/>
    <w:unhideWhenUsed/>
    <w:rsid w:val="00B437BB"/>
    <w:rPr>
      <w:color w:val="605E5C"/>
      <w:shd w:val="clear" w:color="auto" w:fill="E1DFDD"/>
    </w:rPr>
  </w:style>
  <w:style w:type="table" w:customStyle="1" w:styleId="SummaryTable2">
    <w:name w:val="Summary Table2"/>
    <w:basedOn w:val="TableNormal"/>
    <w:next w:val="TableGrid"/>
    <w:uiPriority w:val="39"/>
    <w:rsid w:val="0058386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Table3">
    <w:name w:val="Summary Table3"/>
    <w:basedOn w:val="TableNormal"/>
    <w:next w:val="TableGrid"/>
    <w:uiPriority w:val="39"/>
    <w:rsid w:val="001D4BF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Table4">
    <w:name w:val="Summary Table4"/>
    <w:basedOn w:val="TableNormal"/>
    <w:next w:val="TableGrid"/>
    <w:uiPriority w:val="39"/>
    <w:rsid w:val="00CA2B1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
    <w:name w:val="Footnotes"/>
    <w:basedOn w:val="Normal"/>
    <w:qFormat/>
    <w:rsid w:val="00AB7860"/>
    <w:pPr>
      <w:spacing w:after="360"/>
      <w:contextualSpacing/>
      <w:jc w:val="left"/>
    </w:pPr>
    <w:rPr>
      <w:rFonts w:ascii="Arial" w:eastAsiaTheme="minorHAnsi" w:hAnsi="Arial" w:cstheme="minorBidi"/>
      <w:sz w:val="16"/>
      <w:szCs w:val="22"/>
    </w:rPr>
  </w:style>
  <w:style w:type="paragraph" w:customStyle="1" w:styleId="EndNoteBibliography">
    <w:name w:val="EndNote Bibliography"/>
    <w:basedOn w:val="Normal"/>
    <w:link w:val="EndNoteBibliographyChar"/>
    <w:rsid w:val="00AB7860"/>
    <w:pPr>
      <w:spacing w:after="120"/>
    </w:pPr>
    <w:rPr>
      <w:rFonts w:ascii="Arial" w:eastAsiaTheme="minorHAnsi" w:hAnsi="Arial"/>
      <w:noProof/>
      <w:sz w:val="22"/>
      <w:szCs w:val="22"/>
      <w:lang w:val="en-US" w:eastAsia="en-US"/>
    </w:rPr>
  </w:style>
  <w:style w:type="character" w:customStyle="1" w:styleId="EndNoteBibliographyChar">
    <w:name w:val="EndNote Bibliography Char"/>
    <w:basedOn w:val="DefaultParagraphFont"/>
    <w:link w:val="EndNoteBibliography"/>
    <w:rsid w:val="00AB7860"/>
    <w:rPr>
      <w:rFonts w:ascii="Arial" w:eastAsiaTheme="minorHAnsi" w:hAnsi="Arial" w:cs="Arial"/>
      <w:noProof/>
      <w:sz w:val="22"/>
      <w:szCs w:val="22"/>
      <w:lang w:val="en-US" w:eastAsia="en-US"/>
    </w:rPr>
  </w:style>
  <w:style w:type="character" w:styleId="PlaceholderText">
    <w:name w:val="Placeholder Text"/>
    <w:basedOn w:val="DefaultParagraphFont"/>
    <w:uiPriority w:val="99"/>
    <w:semiHidden/>
    <w:rsid w:val="00AB7860"/>
    <w:rPr>
      <w:color w:val="808080"/>
    </w:rPr>
  </w:style>
  <w:style w:type="character" w:customStyle="1" w:styleId="highwire-citation-authors">
    <w:name w:val="highwire-citation-authors"/>
    <w:basedOn w:val="DefaultParagraphFont"/>
    <w:rsid w:val="00AB7860"/>
  </w:style>
  <w:style w:type="character" w:customStyle="1" w:styleId="highwire-citation-author">
    <w:name w:val="highwire-citation-author"/>
    <w:basedOn w:val="DefaultParagraphFont"/>
    <w:rsid w:val="00AB7860"/>
  </w:style>
  <w:style w:type="character" w:customStyle="1" w:styleId="nlm-surname">
    <w:name w:val="nlm-surname"/>
    <w:basedOn w:val="DefaultParagraphFont"/>
    <w:rsid w:val="00AB7860"/>
  </w:style>
  <w:style w:type="character" w:customStyle="1" w:styleId="citation-et">
    <w:name w:val="citation-et"/>
    <w:basedOn w:val="DefaultParagraphFont"/>
    <w:rsid w:val="00AB7860"/>
  </w:style>
  <w:style w:type="character" w:customStyle="1" w:styleId="highwire-cite-metadata-journal">
    <w:name w:val="highwire-cite-metadata-journal"/>
    <w:basedOn w:val="DefaultParagraphFont"/>
    <w:rsid w:val="00AB7860"/>
  </w:style>
  <w:style w:type="character" w:customStyle="1" w:styleId="highwire-cite-metadata-year">
    <w:name w:val="highwire-cite-metadata-year"/>
    <w:basedOn w:val="DefaultParagraphFont"/>
    <w:rsid w:val="00AB7860"/>
  </w:style>
  <w:style w:type="character" w:customStyle="1" w:styleId="highwire-cite-metadata-volume">
    <w:name w:val="highwire-cite-metadata-volume"/>
    <w:basedOn w:val="DefaultParagraphFont"/>
    <w:rsid w:val="00AB7860"/>
  </w:style>
  <w:style w:type="character" w:customStyle="1" w:styleId="highwire-cite-metadata-elocation-id">
    <w:name w:val="highwire-cite-metadata-elocation-id"/>
    <w:basedOn w:val="DefaultParagraphFont"/>
    <w:rsid w:val="00AB7860"/>
  </w:style>
  <w:style w:type="character" w:customStyle="1" w:styleId="highwire-cite-metadata-doi">
    <w:name w:val="highwire-cite-metadata-doi"/>
    <w:basedOn w:val="DefaultParagraphFont"/>
    <w:rsid w:val="00AB7860"/>
  </w:style>
  <w:style w:type="character" w:customStyle="1" w:styleId="label">
    <w:name w:val="label"/>
    <w:basedOn w:val="DefaultParagraphFont"/>
    <w:rsid w:val="00AB7860"/>
  </w:style>
  <w:style w:type="paragraph" w:customStyle="1" w:styleId="BulletedList">
    <w:name w:val="Bulleted List"/>
    <w:basedOn w:val="Normal"/>
    <w:uiPriority w:val="3"/>
    <w:qFormat/>
    <w:rsid w:val="00AB7860"/>
    <w:pPr>
      <w:numPr>
        <w:numId w:val="13"/>
      </w:numPr>
      <w:spacing w:after="240"/>
      <w:ind w:left="357" w:hanging="357"/>
      <w:contextualSpacing/>
    </w:pPr>
    <w:rPr>
      <w:rFonts w:ascii="Candara" w:eastAsiaTheme="majorEastAsia" w:hAnsi="Candara" w:cstheme="majorBidi"/>
      <w:szCs w:val="22"/>
      <w:lang w:eastAsia="en-US"/>
    </w:rPr>
  </w:style>
  <w:style w:type="paragraph" w:customStyle="1" w:styleId="PbacTableHeading">
    <w:name w:val="Pbac Table Heading"/>
    <w:basedOn w:val="PBACTableText"/>
    <w:qFormat/>
    <w:rsid w:val="00AB7860"/>
    <w:pPr>
      <w:spacing w:before="0" w:after="80"/>
    </w:pPr>
    <w:rPr>
      <w:rFonts w:eastAsiaTheme="minorHAnsi" w:cs="Arial"/>
      <w:b/>
    </w:rPr>
  </w:style>
  <w:style w:type="paragraph" w:customStyle="1" w:styleId="PBACTableText">
    <w:name w:val="PBAC Table Text"/>
    <w:basedOn w:val="Normal"/>
    <w:link w:val="PBACTableTextChar"/>
    <w:qFormat/>
    <w:rsid w:val="00AB7860"/>
    <w:pPr>
      <w:spacing w:before="40" w:after="40"/>
      <w:jc w:val="left"/>
    </w:pPr>
    <w:rPr>
      <w:rFonts w:ascii="Arial Narrow" w:eastAsia="SimSun" w:hAnsi="Arial Narrow" w:cs="Times New Roman"/>
      <w:sz w:val="20"/>
      <w:szCs w:val="20"/>
      <w:lang w:eastAsia="en-US"/>
    </w:rPr>
  </w:style>
  <w:style w:type="character" w:customStyle="1" w:styleId="PBACTableTextChar">
    <w:name w:val="PBAC Table Text Char"/>
    <w:basedOn w:val="DefaultParagraphFont"/>
    <w:link w:val="PBACTableText"/>
    <w:rsid w:val="00AB7860"/>
    <w:rPr>
      <w:rFonts w:ascii="Arial Narrow" w:eastAsia="SimSun" w:hAnsi="Arial Narrow"/>
      <w:lang w:eastAsia="en-US"/>
    </w:rPr>
  </w:style>
  <w:style w:type="paragraph" w:customStyle="1" w:styleId="Bodytextitalics">
    <w:name w:val="Body text italics"/>
    <w:basedOn w:val="BodyText"/>
    <w:qFormat/>
    <w:rsid w:val="00AB7860"/>
    <w:pPr>
      <w:spacing w:after="120"/>
      <w:jc w:val="both"/>
    </w:pPr>
    <w:rPr>
      <w:rFonts w:asciiTheme="minorHAnsi" w:eastAsiaTheme="minorHAnsi" w:hAnsiTheme="minorHAnsi" w:cstheme="minorBidi"/>
      <w:i/>
      <w:szCs w:val="22"/>
    </w:rPr>
  </w:style>
  <w:style w:type="numbering" w:customStyle="1" w:styleId="HeadingListStyle">
    <w:name w:val="Heading List Style"/>
    <w:uiPriority w:val="99"/>
    <w:rsid w:val="00AB7860"/>
    <w:pPr>
      <w:numPr>
        <w:numId w:val="14"/>
      </w:numPr>
    </w:pPr>
  </w:style>
  <w:style w:type="paragraph" w:customStyle="1" w:styleId="Heading1Alt">
    <w:name w:val="Heading 1 Alt"/>
    <w:basedOn w:val="Heading1"/>
    <w:qFormat/>
    <w:rsid w:val="00AB7860"/>
    <w:pPr>
      <w:keepNext/>
      <w:keepLines/>
      <w:tabs>
        <w:tab w:val="left" w:pos="1134"/>
      </w:tabs>
      <w:spacing w:before="240" w:after="240" w:line="360" w:lineRule="auto"/>
      <w:ind w:left="2268" w:hanging="2268"/>
      <w:jc w:val="left"/>
    </w:pPr>
    <w:rPr>
      <w:rFonts w:ascii="Arial" w:eastAsiaTheme="majorEastAsia" w:hAnsi="Arial" w:cstheme="majorBidi"/>
      <w:caps w:val="0"/>
      <w:smallCaps/>
      <w:color w:val="000000" w:themeColor="text1"/>
      <w:sz w:val="36"/>
      <w:szCs w:val="32"/>
      <w:lang w:eastAsia="en-US"/>
    </w:rPr>
  </w:style>
  <w:style w:type="paragraph" w:customStyle="1" w:styleId="Heading2Alt">
    <w:name w:val="Heading 2 Alt"/>
    <w:basedOn w:val="Heading2"/>
    <w:qFormat/>
    <w:rsid w:val="00AB7860"/>
    <w:pPr>
      <w:keepNext/>
      <w:keepLines/>
      <w:spacing w:line="360" w:lineRule="auto"/>
      <w:ind w:left="1134" w:hanging="1134"/>
      <w:jc w:val="left"/>
    </w:pPr>
    <w:rPr>
      <w:rFonts w:ascii="Arial" w:eastAsiaTheme="majorEastAsia" w:hAnsi="Arial" w:cstheme="majorBidi"/>
      <w:i w:val="0"/>
      <w:color w:val="000000" w:themeColor="text1"/>
      <w:sz w:val="32"/>
      <w:szCs w:val="26"/>
      <w:lang w:eastAsia="en-US"/>
    </w:rPr>
  </w:style>
  <w:style w:type="paragraph" w:customStyle="1" w:styleId="Heading3Alt">
    <w:name w:val="Heading 3 Alt"/>
    <w:basedOn w:val="Heading3"/>
    <w:qFormat/>
    <w:rsid w:val="00AB7860"/>
    <w:pPr>
      <w:keepNext/>
      <w:keepLines/>
      <w:spacing w:before="40" w:line="360" w:lineRule="auto"/>
      <w:ind w:left="1134" w:hanging="1134"/>
      <w:jc w:val="left"/>
    </w:pPr>
    <w:rPr>
      <w:rFonts w:ascii="Arial" w:eastAsiaTheme="majorEastAsia" w:hAnsi="Arial" w:cstheme="majorBidi"/>
      <w:b/>
      <w:color w:val="000000" w:themeColor="text1"/>
      <w:sz w:val="28"/>
      <w:u w:val="none"/>
      <w:lang w:eastAsia="en-US"/>
    </w:rPr>
  </w:style>
  <w:style w:type="paragraph" w:customStyle="1" w:styleId="TableFootnote">
    <w:name w:val="Table Footnote"/>
    <w:basedOn w:val="Normal"/>
    <w:link w:val="TableFootnoteChar"/>
    <w:uiPriority w:val="2"/>
    <w:qFormat/>
    <w:rsid w:val="00AB7860"/>
    <w:pPr>
      <w:keepNext/>
      <w:keepLines/>
      <w:spacing w:before="20"/>
      <w:jc w:val="left"/>
    </w:pPr>
    <w:rPr>
      <w:rFonts w:asciiTheme="minorHAnsi" w:eastAsiaTheme="minorHAnsi" w:hAnsiTheme="minorHAnsi" w:cstheme="minorBidi"/>
      <w:sz w:val="20"/>
      <w:szCs w:val="18"/>
      <w:lang w:val="en-US" w:eastAsia="en-US"/>
    </w:rPr>
  </w:style>
  <w:style w:type="character" w:customStyle="1" w:styleId="TableFootnoteChar">
    <w:name w:val="Table Footnote Char"/>
    <w:basedOn w:val="DefaultParagraphFont"/>
    <w:link w:val="TableFootnote"/>
    <w:uiPriority w:val="2"/>
    <w:rsid w:val="00AB7860"/>
    <w:rPr>
      <w:rFonts w:asciiTheme="minorHAnsi" w:eastAsiaTheme="minorHAnsi" w:hAnsiTheme="minorHAnsi" w:cstheme="minorBidi"/>
      <w:szCs w:val="18"/>
      <w:lang w:val="en-US" w:eastAsia="en-US"/>
    </w:rPr>
  </w:style>
  <w:style w:type="paragraph" w:customStyle="1" w:styleId="CaptionFootnote">
    <w:name w:val="Caption Footnote"/>
    <w:basedOn w:val="Caption"/>
    <w:link w:val="CaptionFootnoteChar"/>
    <w:qFormat/>
    <w:rsid w:val="00AB7860"/>
    <w:pPr>
      <w:keepNext w:val="0"/>
      <w:keepLines w:val="0"/>
      <w:widowControl w:val="0"/>
      <w:spacing w:after="240"/>
      <w:contextualSpacing/>
      <w:jc w:val="left"/>
    </w:pPr>
    <w:rPr>
      <w:rFonts w:eastAsia="SimSun" w:cs="Times New Roman"/>
      <w:b w:val="0"/>
      <w:sz w:val="18"/>
      <w:szCs w:val="22"/>
      <w:lang w:eastAsia="en-US" w:bidi="en-US"/>
    </w:rPr>
  </w:style>
  <w:style w:type="character" w:customStyle="1" w:styleId="CaptionFootnoteChar">
    <w:name w:val="Caption Footnote Char"/>
    <w:link w:val="CaptionFootnote"/>
    <w:rsid w:val="00AB7860"/>
    <w:rPr>
      <w:rFonts w:ascii="Arial Narrow" w:eastAsia="SimSun" w:hAnsi="Arial Narrow"/>
      <w:bCs/>
      <w:sz w:val="18"/>
      <w:szCs w:val="22"/>
      <w:lang w:eastAsia="en-US" w:bidi="en-US"/>
    </w:rPr>
  </w:style>
  <w:style w:type="paragraph" w:customStyle="1" w:styleId="Figure">
    <w:name w:val="Figure"/>
    <w:next w:val="Normal"/>
    <w:uiPriority w:val="17"/>
    <w:rsid w:val="00AB7860"/>
    <w:pPr>
      <w:spacing w:after="240"/>
      <w:jc w:val="center"/>
    </w:pPr>
    <w:rPr>
      <w:rFonts w:eastAsia="SimSun"/>
      <w:sz w:val="24"/>
      <w:lang w:val="en-GB" w:eastAsia="en-US"/>
    </w:rPr>
  </w:style>
  <w:style w:type="paragraph" w:customStyle="1" w:styleId="FigureTitle">
    <w:name w:val="Figure Title"/>
    <w:next w:val="Figure"/>
    <w:uiPriority w:val="17"/>
    <w:qFormat/>
    <w:rsid w:val="00AB7860"/>
    <w:pPr>
      <w:keepNext/>
      <w:keepLines/>
      <w:tabs>
        <w:tab w:val="left" w:pos="1701"/>
      </w:tabs>
      <w:spacing w:after="120"/>
      <w:ind w:left="1701" w:hanging="1701"/>
    </w:pPr>
    <w:rPr>
      <w:rFonts w:eastAsia="SimSun"/>
      <w:b/>
      <w:color w:val="000000"/>
      <w:lang w:val="en-GB" w:eastAsia="en-US"/>
    </w:rPr>
  </w:style>
  <w:style w:type="paragraph" w:customStyle="1" w:styleId="TableFootnoteInfo">
    <w:name w:val="Table Footnote Info"/>
    <w:basedOn w:val="Normal"/>
    <w:uiPriority w:val="14"/>
    <w:qFormat/>
    <w:rsid w:val="00AB7860"/>
    <w:pPr>
      <w:keepLines/>
      <w:spacing w:before="40" w:after="40"/>
      <w:jc w:val="left"/>
    </w:pPr>
    <w:rPr>
      <w:rFonts w:ascii="Times New Roman" w:eastAsia="SimSun" w:hAnsi="Times New Roman" w:cs="Times New Roman"/>
      <w:sz w:val="20"/>
      <w:szCs w:val="48"/>
      <w:lang w:val="en-GB" w:eastAsia="en-US"/>
    </w:rPr>
  </w:style>
  <w:style w:type="paragraph" w:customStyle="1" w:styleId="TableParagraph">
    <w:name w:val="Table Paragraph"/>
    <w:basedOn w:val="Normal"/>
    <w:uiPriority w:val="1"/>
    <w:qFormat/>
    <w:rsid w:val="00AB7860"/>
    <w:pPr>
      <w:widowControl w:val="0"/>
      <w:autoSpaceDE w:val="0"/>
      <w:autoSpaceDN w:val="0"/>
      <w:spacing w:line="160" w:lineRule="exact"/>
      <w:ind w:left="108"/>
      <w:jc w:val="center"/>
    </w:pPr>
    <w:rPr>
      <w:rFonts w:ascii="Arial Narrow" w:eastAsia="Arial Narrow" w:hAnsi="Arial Narrow" w:cs="Arial Narrow"/>
      <w:sz w:val="22"/>
      <w:szCs w:val="22"/>
      <w:lang w:val="en-US" w:eastAsia="en-US"/>
    </w:rPr>
  </w:style>
  <w:style w:type="character" w:customStyle="1" w:styleId="normaltextrun">
    <w:name w:val="normaltextrun"/>
    <w:basedOn w:val="DefaultParagraphFont"/>
    <w:rsid w:val="00AB7860"/>
  </w:style>
  <w:style w:type="character" w:customStyle="1" w:styleId="eop">
    <w:name w:val="eop"/>
    <w:basedOn w:val="DefaultParagraphFont"/>
    <w:rsid w:val="00AB7860"/>
  </w:style>
  <w:style w:type="paragraph" w:customStyle="1" w:styleId="msonormal0">
    <w:name w:val="msonormal"/>
    <w:basedOn w:val="Normal"/>
    <w:rsid w:val="00506DCA"/>
    <w:pPr>
      <w:spacing w:before="100" w:beforeAutospacing="1" w:after="100" w:afterAutospacing="1"/>
      <w:jc w:val="left"/>
    </w:pPr>
    <w:rPr>
      <w:rFonts w:ascii="Times New Roman" w:hAnsi="Times New Roman" w:cs="Times New Roman"/>
    </w:rPr>
  </w:style>
  <w:style w:type="paragraph" w:customStyle="1" w:styleId="xl72">
    <w:name w:val="xl72"/>
    <w:basedOn w:val="Normal"/>
    <w:rsid w:val="00506DCA"/>
    <w:pPr>
      <w:shd w:val="clear" w:color="000000" w:fill="C0C0C0"/>
      <w:spacing w:before="100" w:beforeAutospacing="1" w:after="100" w:afterAutospacing="1"/>
      <w:jc w:val="left"/>
    </w:pPr>
    <w:rPr>
      <w:rFonts w:ascii="Times New Roman" w:hAnsi="Times New Roman" w:cs="Times New Roman"/>
      <w:color w:val="000000"/>
      <w:sz w:val="18"/>
      <w:szCs w:val="18"/>
    </w:rPr>
  </w:style>
  <w:style w:type="paragraph" w:customStyle="1" w:styleId="xl73">
    <w:name w:val="xl73"/>
    <w:basedOn w:val="Normal"/>
    <w:rsid w:val="00506DCA"/>
    <w:pPr>
      <w:shd w:val="clear" w:color="000000" w:fill="C0C0C0"/>
      <w:spacing w:before="100" w:beforeAutospacing="1" w:after="100" w:afterAutospacing="1"/>
      <w:jc w:val="left"/>
    </w:pPr>
    <w:rPr>
      <w:rFonts w:ascii="Times New Roman" w:hAnsi="Times New Roman" w:cs="Times New Roman"/>
      <w:color w:val="000000"/>
    </w:rPr>
  </w:style>
  <w:style w:type="paragraph" w:customStyle="1" w:styleId="xl74">
    <w:name w:val="xl74"/>
    <w:basedOn w:val="Normal"/>
    <w:rsid w:val="00506DCA"/>
    <w:pPr>
      <w:shd w:val="clear" w:color="000000" w:fill="FFFFFF"/>
      <w:spacing w:before="100" w:beforeAutospacing="1" w:after="100" w:afterAutospacing="1"/>
      <w:jc w:val="left"/>
    </w:pPr>
    <w:rPr>
      <w:rFonts w:ascii="Times New Roman" w:hAnsi="Times New Roman" w:cs="Times New Roman"/>
      <w:color w:val="000000"/>
    </w:rPr>
  </w:style>
  <w:style w:type="paragraph" w:customStyle="1" w:styleId="xl75">
    <w:name w:val="xl75"/>
    <w:basedOn w:val="Normal"/>
    <w:rsid w:val="00506DCA"/>
    <w:pPr>
      <w:shd w:val="clear" w:color="000000" w:fill="FFFFFF"/>
      <w:spacing w:before="100" w:beforeAutospacing="1" w:after="100" w:afterAutospacing="1"/>
      <w:jc w:val="center"/>
    </w:pPr>
    <w:rPr>
      <w:rFonts w:ascii="Times New Roman" w:hAnsi="Times New Roman" w:cs="Times New Roman"/>
      <w:color w:val="000000"/>
    </w:rPr>
  </w:style>
  <w:style w:type="paragraph" w:customStyle="1" w:styleId="xl76">
    <w:name w:val="xl76"/>
    <w:basedOn w:val="Normal"/>
    <w:rsid w:val="00506DCA"/>
    <w:pPr>
      <w:shd w:val="clear" w:color="000000" w:fill="FFFFFF"/>
      <w:spacing w:before="100" w:beforeAutospacing="1" w:after="100" w:afterAutospacing="1"/>
      <w:jc w:val="left"/>
    </w:pPr>
    <w:rPr>
      <w:rFonts w:ascii="Times New Roman" w:hAnsi="Times New Roman" w:cs="Times New Roman"/>
      <w:color w:val="000000"/>
    </w:rPr>
  </w:style>
  <w:style w:type="paragraph" w:customStyle="1" w:styleId="xl77">
    <w:name w:val="xl77"/>
    <w:basedOn w:val="Normal"/>
    <w:rsid w:val="00506DCA"/>
    <w:pPr>
      <w:shd w:val="clear" w:color="000000" w:fill="FFFFFF"/>
      <w:spacing w:before="100" w:beforeAutospacing="1" w:after="100" w:afterAutospacing="1"/>
      <w:jc w:val="left"/>
    </w:pPr>
    <w:rPr>
      <w:rFonts w:ascii="Times New Roman" w:hAnsi="Times New Roman" w:cs="Times New Roman"/>
      <w:color w:val="000000"/>
    </w:rPr>
  </w:style>
  <w:style w:type="paragraph" w:customStyle="1" w:styleId="xl78">
    <w:name w:val="xl78"/>
    <w:basedOn w:val="Normal"/>
    <w:rsid w:val="00506DCA"/>
    <w:pPr>
      <w:pBdr>
        <w:top w:val="single" w:sz="4" w:space="0" w:color="00AECA"/>
        <w:left w:val="single" w:sz="4" w:space="0" w:color="00AECA"/>
      </w:pBd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79">
    <w:name w:val="xl79"/>
    <w:basedOn w:val="Normal"/>
    <w:rsid w:val="00506DCA"/>
    <w:pPr>
      <w:pBdr>
        <w:top w:val="single" w:sz="4" w:space="0" w:color="00AECA"/>
      </w:pBd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80">
    <w:name w:val="xl80"/>
    <w:basedOn w:val="Normal"/>
    <w:rsid w:val="00506DCA"/>
    <w:pPr>
      <w:pBdr>
        <w:left w:val="single" w:sz="4" w:space="0" w:color="00AECA"/>
      </w:pBd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81">
    <w:name w:val="xl81"/>
    <w:basedOn w:val="Normal"/>
    <w:rsid w:val="00506DCA"/>
    <w:pP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82">
    <w:name w:val="xl82"/>
    <w:basedOn w:val="Normal"/>
    <w:rsid w:val="00506DCA"/>
    <w:pPr>
      <w:pBdr>
        <w:right w:val="single" w:sz="4" w:space="0" w:color="00AECA"/>
      </w:pBd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83">
    <w:name w:val="xl83"/>
    <w:basedOn w:val="Normal"/>
    <w:rsid w:val="00506DCA"/>
    <w:pPr>
      <w:pBdr>
        <w:bottom w:val="single" w:sz="4" w:space="0" w:color="00AECA"/>
      </w:pBd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84">
    <w:name w:val="xl84"/>
    <w:basedOn w:val="Normal"/>
    <w:rsid w:val="00506DCA"/>
    <w:pPr>
      <w:pBdr>
        <w:bottom w:val="single" w:sz="4" w:space="0" w:color="00AECA"/>
        <w:right w:val="single" w:sz="4" w:space="0" w:color="00AECA"/>
      </w:pBdr>
      <w:shd w:val="clear" w:color="000000" w:fill="F2F2F2"/>
      <w:spacing w:before="100" w:beforeAutospacing="1" w:after="100" w:afterAutospacing="1"/>
      <w:jc w:val="center"/>
    </w:pPr>
    <w:rPr>
      <w:rFonts w:ascii="Times New Roman" w:hAnsi="Times New Roman" w:cs="Times New Roman"/>
      <w:color w:val="000000"/>
    </w:rPr>
  </w:style>
  <w:style w:type="paragraph" w:customStyle="1" w:styleId="xl85">
    <w:name w:val="xl85"/>
    <w:basedOn w:val="Normal"/>
    <w:rsid w:val="00506DCA"/>
    <w:pPr>
      <w:pBdr>
        <w:left w:val="single" w:sz="4" w:space="0" w:color="00AECA"/>
      </w:pBd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86">
    <w:name w:val="xl86"/>
    <w:basedOn w:val="Normal"/>
    <w:rsid w:val="00506DCA"/>
    <w:pP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87">
    <w:name w:val="xl87"/>
    <w:basedOn w:val="Normal"/>
    <w:rsid w:val="00506DCA"/>
    <w:pPr>
      <w:pBdr>
        <w:left w:val="single" w:sz="4" w:space="0" w:color="00AECA"/>
        <w:bottom w:val="single" w:sz="4" w:space="0" w:color="00AECA"/>
      </w:pBd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88">
    <w:name w:val="xl88"/>
    <w:basedOn w:val="Normal"/>
    <w:rsid w:val="00506DCA"/>
    <w:pPr>
      <w:pBdr>
        <w:bottom w:val="single" w:sz="4" w:space="0" w:color="00AECA"/>
      </w:pBd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89">
    <w:name w:val="xl89"/>
    <w:basedOn w:val="Normal"/>
    <w:rsid w:val="00506DCA"/>
    <w:pPr>
      <w:pBdr>
        <w:top w:val="single" w:sz="4" w:space="0" w:color="00AECA"/>
      </w:pBd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90">
    <w:name w:val="xl90"/>
    <w:basedOn w:val="Normal"/>
    <w:rsid w:val="00506DCA"/>
    <w:pPr>
      <w:pBdr>
        <w:top w:val="single" w:sz="4" w:space="0" w:color="00AECA"/>
        <w:right w:val="single" w:sz="4" w:space="0" w:color="00AECA"/>
      </w:pBd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91">
    <w:name w:val="xl91"/>
    <w:basedOn w:val="Normal"/>
    <w:rsid w:val="00506DCA"/>
    <w:pPr>
      <w:pBdr>
        <w:right w:val="single" w:sz="4" w:space="0" w:color="00AECA"/>
      </w:pBdr>
      <w:shd w:val="clear" w:color="000000" w:fill="F2F2F2"/>
      <w:spacing w:before="100" w:beforeAutospacing="1" w:after="100" w:afterAutospacing="1"/>
      <w:jc w:val="center"/>
    </w:pPr>
    <w:rPr>
      <w:rFonts w:ascii="Times New Roman" w:hAnsi="Times New Roman" w:cs="Times New Roman"/>
      <w:color w:val="FF0000"/>
    </w:rPr>
  </w:style>
  <w:style w:type="paragraph" w:customStyle="1" w:styleId="xl92">
    <w:name w:val="xl92"/>
    <w:basedOn w:val="Normal"/>
    <w:rsid w:val="00506DCA"/>
    <w:pPr>
      <w:shd w:val="clear" w:color="000000" w:fill="FFFFFF"/>
      <w:spacing w:before="100" w:beforeAutospacing="1" w:after="100" w:afterAutospacing="1"/>
      <w:jc w:val="left"/>
    </w:pPr>
    <w:rPr>
      <w:rFonts w:ascii="Times New Roman" w:hAnsi="Times New Roman" w:cs="Times New Roman"/>
      <w:b/>
      <w:bCs/>
      <w:color w:val="000000"/>
    </w:rPr>
  </w:style>
  <w:style w:type="paragraph" w:customStyle="1" w:styleId="xl93">
    <w:name w:val="xl93"/>
    <w:basedOn w:val="Normal"/>
    <w:rsid w:val="00506DCA"/>
    <w:pPr>
      <w:shd w:val="clear" w:color="000000" w:fill="FFFFFF"/>
      <w:spacing w:before="100" w:beforeAutospacing="1" w:after="100" w:afterAutospacing="1"/>
      <w:jc w:val="left"/>
    </w:pPr>
    <w:rPr>
      <w:rFonts w:ascii="Times New Roman" w:hAnsi="Times New Roman" w:cs="Times New Roman"/>
      <w:b/>
      <w:bCs/>
      <w:color w:val="000000"/>
    </w:rPr>
  </w:style>
  <w:style w:type="character" w:customStyle="1" w:styleId="cf01">
    <w:name w:val="cf01"/>
    <w:basedOn w:val="DefaultParagraphFont"/>
    <w:rsid w:val="00AC59CE"/>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A244E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244E2"/>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4C5FF6"/>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4C5FF6"/>
    <w:pPr>
      <w:numPr>
        <w:numId w:val="0"/>
      </w:numPr>
      <w:ind w:left="720" w:hanging="720"/>
    </w:pPr>
  </w:style>
  <w:style w:type="character" w:customStyle="1" w:styleId="COMexecsumnumberedparaChar">
    <w:name w:val="COM exec sum numbered para Char"/>
    <w:basedOn w:val="DefaultParagraphFont"/>
    <w:link w:val="COMexecsumnumberedpara"/>
    <w:rsid w:val="004C5FF6"/>
    <w:rPr>
      <w:rFonts w:asciiTheme="minorHAnsi" w:hAnsiTheme="minorHAnsi" w:cs="Arial"/>
      <w:snapToGrid w:val="0"/>
      <w:sz w:val="24"/>
      <w:szCs w:val="24"/>
    </w:rPr>
  </w:style>
  <w:style w:type="character" w:customStyle="1" w:styleId="cf11">
    <w:name w:val="cf11"/>
    <w:basedOn w:val="DefaultParagraphFont"/>
    <w:rsid w:val="00831A7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128775">
      <w:bodyDiv w:val="1"/>
      <w:marLeft w:val="0"/>
      <w:marRight w:val="0"/>
      <w:marTop w:val="0"/>
      <w:marBottom w:val="0"/>
      <w:divBdr>
        <w:top w:val="none" w:sz="0" w:space="0" w:color="auto"/>
        <w:left w:val="none" w:sz="0" w:space="0" w:color="auto"/>
        <w:bottom w:val="none" w:sz="0" w:space="0" w:color="auto"/>
        <w:right w:val="none" w:sz="0" w:space="0" w:color="auto"/>
      </w:divBdr>
      <w:divsChild>
        <w:div w:id="216284054">
          <w:marLeft w:val="446"/>
          <w:marRight w:val="0"/>
          <w:marTop w:val="60"/>
          <w:marBottom w:val="0"/>
          <w:divBdr>
            <w:top w:val="none" w:sz="0" w:space="0" w:color="auto"/>
            <w:left w:val="none" w:sz="0" w:space="0" w:color="auto"/>
            <w:bottom w:val="none" w:sz="0" w:space="0" w:color="auto"/>
            <w:right w:val="none" w:sz="0" w:space="0" w:color="auto"/>
          </w:divBdr>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0751041">
      <w:bodyDiv w:val="1"/>
      <w:marLeft w:val="0"/>
      <w:marRight w:val="0"/>
      <w:marTop w:val="0"/>
      <w:marBottom w:val="0"/>
      <w:divBdr>
        <w:top w:val="none" w:sz="0" w:space="0" w:color="auto"/>
        <w:left w:val="none" w:sz="0" w:space="0" w:color="auto"/>
        <w:bottom w:val="none" w:sz="0" w:space="0" w:color="auto"/>
        <w:right w:val="none" w:sz="0" w:space="0" w:color="auto"/>
      </w:divBdr>
      <w:divsChild>
        <w:div w:id="907109223">
          <w:marLeft w:val="720"/>
          <w:marRight w:val="0"/>
          <w:marTop w:val="200"/>
          <w:marBottom w:val="0"/>
          <w:divBdr>
            <w:top w:val="none" w:sz="0" w:space="0" w:color="auto"/>
            <w:left w:val="none" w:sz="0" w:space="0" w:color="auto"/>
            <w:bottom w:val="none" w:sz="0" w:space="0" w:color="auto"/>
            <w:right w:val="none" w:sz="0" w:space="0" w:color="auto"/>
          </w:divBdr>
        </w:div>
      </w:divsChild>
    </w:div>
    <w:div w:id="255866255">
      <w:bodyDiv w:val="1"/>
      <w:marLeft w:val="0"/>
      <w:marRight w:val="0"/>
      <w:marTop w:val="0"/>
      <w:marBottom w:val="0"/>
      <w:divBdr>
        <w:top w:val="none" w:sz="0" w:space="0" w:color="auto"/>
        <w:left w:val="none" w:sz="0" w:space="0" w:color="auto"/>
        <w:bottom w:val="none" w:sz="0" w:space="0" w:color="auto"/>
        <w:right w:val="none" w:sz="0" w:space="0" w:color="auto"/>
      </w:divBdr>
      <w:divsChild>
        <w:div w:id="624583130">
          <w:marLeft w:val="1080"/>
          <w:marRight w:val="0"/>
          <w:marTop w:val="100"/>
          <w:marBottom w:val="0"/>
          <w:divBdr>
            <w:top w:val="none" w:sz="0" w:space="0" w:color="auto"/>
            <w:left w:val="none" w:sz="0" w:space="0" w:color="auto"/>
            <w:bottom w:val="none" w:sz="0" w:space="0" w:color="auto"/>
            <w:right w:val="none" w:sz="0" w:space="0" w:color="auto"/>
          </w:divBdr>
        </w:div>
        <w:div w:id="1360082896">
          <w:marLeft w:val="1080"/>
          <w:marRight w:val="0"/>
          <w:marTop w:val="100"/>
          <w:marBottom w:val="0"/>
          <w:divBdr>
            <w:top w:val="none" w:sz="0" w:space="0" w:color="auto"/>
            <w:left w:val="none" w:sz="0" w:space="0" w:color="auto"/>
            <w:bottom w:val="none" w:sz="0" w:space="0" w:color="auto"/>
            <w:right w:val="none" w:sz="0" w:space="0" w:color="auto"/>
          </w:divBdr>
        </w:div>
        <w:div w:id="1419594881">
          <w:marLeft w:val="1800"/>
          <w:marRight w:val="0"/>
          <w:marTop w:val="100"/>
          <w:marBottom w:val="0"/>
          <w:divBdr>
            <w:top w:val="none" w:sz="0" w:space="0" w:color="auto"/>
            <w:left w:val="none" w:sz="0" w:space="0" w:color="auto"/>
            <w:bottom w:val="none" w:sz="0" w:space="0" w:color="auto"/>
            <w:right w:val="none" w:sz="0" w:space="0" w:color="auto"/>
          </w:divBdr>
        </w:div>
        <w:div w:id="1916667284">
          <w:marLeft w:val="360"/>
          <w:marRight w:val="0"/>
          <w:marTop w:val="200"/>
          <w:marBottom w:val="0"/>
          <w:divBdr>
            <w:top w:val="none" w:sz="0" w:space="0" w:color="auto"/>
            <w:left w:val="none" w:sz="0" w:space="0" w:color="auto"/>
            <w:bottom w:val="none" w:sz="0" w:space="0" w:color="auto"/>
            <w:right w:val="none" w:sz="0" w:space="0" w:color="auto"/>
          </w:divBdr>
        </w:div>
        <w:div w:id="2034987437">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3308047">
      <w:bodyDiv w:val="1"/>
      <w:marLeft w:val="0"/>
      <w:marRight w:val="0"/>
      <w:marTop w:val="0"/>
      <w:marBottom w:val="0"/>
      <w:divBdr>
        <w:top w:val="none" w:sz="0" w:space="0" w:color="auto"/>
        <w:left w:val="none" w:sz="0" w:space="0" w:color="auto"/>
        <w:bottom w:val="none" w:sz="0" w:space="0" w:color="auto"/>
        <w:right w:val="none" w:sz="0" w:space="0" w:color="auto"/>
      </w:divBdr>
      <w:divsChild>
        <w:div w:id="1623534102">
          <w:marLeft w:val="360"/>
          <w:marRight w:val="0"/>
          <w:marTop w:val="200"/>
          <w:marBottom w:val="0"/>
          <w:divBdr>
            <w:top w:val="none" w:sz="0" w:space="0" w:color="auto"/>
            <w:left w:val="none" w:sz="0" w:space="0" w:color="auto"/>
            <w:bottom w:val="none" w:sz="0" w:space="0" w:color="auto"/>
            <w:right w:val="none" w:sz="0" w:space="0" w:color="auto"/>
          </w:divBdr>
        </w:div>
      </w:divsChild>
    </w:div>
    <w:div w:id="361437348">
      <w:bodyDiv w:val="1"/>
      <w:marLeft w:val="0"/>
      <w:marRight w:val="0"/>
      <w:marTop w:val="0"/>
      <w:marBottom w:val="0"/>
      <w:divBdr>
        <w:top w:val="none" w:sz="0" w:space="0" w:color="auto"/>
        <w:left w:val="none" w:sz="0" w:space="0" w:color="auto"/>
        <w:bottom w:val="none" w:sz="0" w:space="0" w:color="auto"/>
        <w:right w:val="none" w:sz="0" w:space="0" w:color="auto"/>
      </w:divBdr>
    </w:div>
    <w:div w:id="474837684">
      <w:bodyDiv w:val="1"/>
      <w:marLeft w:val="0"/>
      <w:marRight w:val="0"/>
      <w:marTop w:val="0"/>
      <w:marBottom w:val="0"/>
      <w:divBdr>
        <w:top w:val="none" w:sz="0" w:space="0" w:color="auto"/>
        <w:left w:val="none" w:sz="0" w:space="0" w:color="auto"/>
        <w:bottom w:val="none" w:sz="0" w:space="0" w:color="auto"/>
        <w:right w:val="none" w:sz="0" w:space="0" w:color="auto"/>
      </w:divBdr>
    </w:div>
    <w:div w:id="570426556">
      <w:bodyDiv w:val="1"/>
      <w:marLeft w:val="0"/>
      <w:marRight w:val="0"/>
      <w:marTop w:val="0"/>
      <w:marBottom w:val="0"/>
      <w:divBdr>
        <w:top w:val="none" w:sz="0" w:space="0" w:color="auto"/>
        <w:left w:val="none" w:sz="0" w:space="0" w:color="auto"/>
        <w:bottom w:val="none" w:sz="0" w:space="0" w:color="auto"/>
        <w:right w:val="none" w:sz="0" w:space="0" w:color="auto"/>
      </w:divBdr>
    </w:div>
    <w:div w:id="606230511">
      <w:bodyDiv w:val="1"/>
      <w:marLeft w:val="0"/>
      <w:marRight w:val="0"/>
      <w:marTop w:val="0"/>
      <w:marBottom w:val="0"/>
      <w:divBdr>
        <w:top w:val="none" w:sz="0" w:space="0" w:color="auto"/>
        <w:left w:val="none" w:sz="0" w:space="0" w:color="auto"/>
        <w:bottom w:val="none" w:sz="0" w:space="0" w:color="auto"/>
        <w:right w:val="none" w:sz="0" w:space="0" w:color="auto"/>
      </w:divBdr>
      <w:divsChild>
        <w:div w:id="1728186419">
          <w:marLeft w:val="720"/>
          <w:marRight w:val="0"/>
          <w:marTop w:val="200"/>
          <w:marBottom w:val="0"/>
          <w:divBdr>
            <w:top w:val="none" w:sz="0" w:space="0" w:color="auto"/>
            <w:left w:val="none" w:sz="0" w:space="0" w:color="auto"/>
            <w:bottom w:val="none" w:sz="0" w:space="0" w:color="auto"/>
            <w:right w:val="none" w:sz="0" w:space="0" w:color="auto"/>
          </w:divBdr>
        </w:div>
      </w:divsChild>
    </w:div>
    <w:div w:id="771364499">
      <w:bodyDiv w:val="1"/>
      <w:marLeft w:val="0"/>
      <w:marRight w:val="0"/>
      <w:marTop w:val="0"/>
      <w:marBottom w:val="0"/>
      <w:divBdr>
        <w:top w:val="none" w:sz="0" w:space="0" w:color="auto"/>
        <w:left w:val="none" w:sz="0" w:space="0" w:color="auto"/>
        <w:bottom w:val="none" w:sz="0" w:space="0" w:color="auto"/>
        <w:right w:val="none" w:sz="0" w:space="0" w:color="auto"/>
      </w:divBdr>
    </w:div>
    <w:div w:id="80794187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5289248">
      <w:bodyDiv w:val="1"/>
      <w:marLeft w:val="0"/>
      <w:marRight w:val="0"/>
      <w:marTop w:val="0"/>
      <w:marBottom w:val="0"/>
      <w:divBdr>
        <w:top w:val="none" w:sz="0" w:space="0" w:color="auto"/>
        <w:left w:val="none" w:sz="0" w:space="0" w:color="auto"/>
        <w:bottom w:val="none" w:sz="0" w:space="0" w:color="auto"/>
        <w:right w:val="none" w:sz="0" w:space="0" w:color="auto"/>
      </w:divBdr>
      <w:divsChild>
        <w:div w:id="734475265">
          <w:marLeft w:val="720"/>
          <w:marRight w:val="0"/>
          <w:marTop w:val="200"/>
          <w:marBottom w:val="0"/>
          <w:divBdr>
            <w:top w:val="none" w:sz="0" w:space="0" w:color="auto"/>
            <w:left w:val="none" w:sz="0" w:space="0" w:color="auto"/>
            <w:bottom w:val="none" w:sz="0" w:space="0" w:color="auto"/>
            <w:right w:val="none" w:sz="0" w:space="0" w:color="auto"/>
          </w:divBdr>
        </w:div>
      </w:divsChild>
    </w:div>
    <w:div w:id="885408851">
      <w:bodyDiv w:val="1"/>
      <w:marLeft w:val="0"/>
      <w:marRight w:val="0"/>
      <w:marTop w:val="0"/>
      <w:marBottom w:val="0"/>
      <w:divBdr>
        <w:top w:val="none" w:sz="0" w:space="0" w:color="auto"/>
        <w:left w:val="none" w:sz="0" w:space="0" w:color="auto"/>
        <w:bottom w:val="none" w:sz="0" w:space="0" w:color="auto"/>
        <w:right w:val="none" w:sz="0" w:space="0" w:color="auto"/>
      </w:divBdr>
    </w:div>
    <w:div w:id="986857094">
      <w:bodyDiv w:val="1"/>
      <w:marLeft w:val="0"/>
      <w:marRight w:val="0"/>
      <w:marTop w:val="0"/>
      <w:marBottom w:val="0"/>
      <w:divBdr>
        <w:top w:val="none" w:sz="0" w:space="0" w:color="auto"/>
        <w:left w:val="none" w:sz="0" w:space="0" w:color="auto"/>
        <w:bottom w:val="none" w:sz="0" w:space="0" w:color="auto"/>
        <w:right w:val="none" w:sz="0" w:space="0" w:color="auto"/>
      </w:divBdr>
    </w:div>
    <w:div w:id="1040396882">
      <w:bodyDiv w:val="1"/>
      <w:marLeft w:val="0"/>
      <w:marRight w:val="0"/>
      <w:marTop w:val="0"/>
      <w:marBottom w:val="0"/>
      <w:divBdr>
        <w:top w:val="none" w:sz="0" w:space="0" w:color="auto"/>
        <w:left w:val="none" w:sz="0" w:space="0" w:color="auto"/>
        <w:bottom w:val="none" w:sz="0" w:space="0" w:color="auto"/>
        <w:right w:val="none" w:sz="0" w:space="0" w:color="auto"/>
      </w:divBdr>
    </w:div>
    <w:div w:id="1096630629">
      <w:bodyDiv w:val="1"/>
      <w:marLeft w:val="0"/>
      <w:marRight w:val="0"/>
      <w:marTop w:val="0"/>
      <w:marBottom w:val="0"/>
      <w:divBdr>
        <w:top w:val="none" w:sz="0" w:space="0" w:color="auto"/>
        <w:left w:val="none" w:sz="0" w:space="0" w:color="auto"/>
        <w:bottom w:val="none" w:sz="0" w:space="0" w:color="auto"/>
        <w:right w:val="none" w:sz="0" w:space="0" w:color="auto"/>
      </w:divBdr>
    </w:div>
    <w:div w:id="1114789447">
      <w:bodyDiv w:val="1"/>
      <w:marLeft w:val="0"/>
      <w:marRight w:val="0"/>
      <w:marTop w:val="0"/>
      <w:marBottom w:val="0"/>
      <w:divBdr>
        <w:top w:val="none" w:sz="0" w:space="0" w:color="auto"/>
        <w:left w:val="none" w:sz="0" w:space="0" w:color="auto"/>
        <w:bottom w:val="none" w:sz="0" w:space="0" w:color="auto"/>
        <w:right w:val="none" w:sz="0" w:space="0" w:color="auto"/>
      </w:divBdr>
      <w:divsChild>
        <w:div w:id="859391846">
          <w:marLeft w:val="360"/>
          <w:marRight w:val="0"/>
          <w:marTop w:val="200"/>
          <w:marBottom w:val="0"/>
          <w:divBdr>
            <w:top w:val="none" w:sz="0" w:space="0" w:color="auto"/>
            <w:left w:val="none" w:sz="0" w:space="0" w:color="auto"/>
            <w:bottom w:val="none" w:sz="0" w:space="0" w:color="auto"/>
            <w:right w:val="none" w:sz="0" w:space="0" w:color="auto"/>
          </w:divBdr>
        </w:div>
      </w:divsChild>
    </w:div>
    <w:div w:id="1158036923">
      <w:bodyDiv w:val="1"/>
      <w:marLeft w:val="0"/>
      <w:marRight w:val="0"/>
      <w:marTop w:val="0"/>
      <w:marBottom w:val="0"/>
      <w:divBdr>
        <w:top w:val="none" w:sz="0" w:space="0" w:color="auto"/>
        <w:left w:val="none" w:sz="0" w:space="0" w:color="auto"/>
        <w:bottom w:val="none" w:sz="0" w:space="0" w:color="auto"/>
        <w:right w:val="none" w:sz="0" w:space="0" w:color="auto"/>
      </w:divBdr>
      <w:divsChild>
        <w:div w:id="741832207">
          <w:marLeft w:val="706"/>
          <w:marRight w:val="0"/>
          <w:marTop w:val="100"/>
          <w:marBottom w:val="12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01011">
      <w:bodyDiv w:val="1"/>
      <w:marLeft w:val="0"/>
      <w:marRight w:val="0"/>
      <w:marTop w:val="0"/>
      <w:marBottom w:val="0"/>
      <w:divBdr>
        <w:top w:val="none" w:sz="0" w:space="0" w:color="auto"/>
        <w:left w:val="none" w:sz="0" w:space="0" w:color="auto"/>
        <w:bottom w:val="none" w:sz="0" w:space="0" w:color="auto"/>
        <w:right w:val="none" w:sz="0" w:space="0" w:color="auto"/>
      </w:divBdr>
      <w:divsChild>
        <w:div w:id="1731534275">
          <w:marLeft w:val="1080"/>
          <w:marRight w:val="0"/>
          <w:marTop w:val="100"/>
          <w:marBottom w:val="0"/>
          <w:divBdr>
            <w:top w:val="none" w:sz="0" w:space="0" w:color="auto"/>
            <w:left w:val="none" w:sz="0" w:space="0" w:color="auto"/>
            <w:bottom w:val="none" w:sz="0" w:space="0" w:color="auto"/>
            <w:right w:val="none" w:sz="0" w:space="0" w:color="auto"/>
          </w:divBdr>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09884877">
      <w:bodyDiv w:val="1"/>
      <w:marLeft w:val="0"/>
      <w:marRight w:val="0"/>
      <w:marTop w:val="0"/>
      <w:marBottom w:val="0"/>
      <w:divBdr>
        <w:top w:val="none" w:sz="0" w:space="0" w:color="auto"/>
        <w:left w:val="none" w:sz="0" w:space="0" w:color="auto"/>
        <w:bottom w:val="none" w:sz="0" w:space="0" w:color="auto"/>
        <w:right w:val="none" w:sz="0" w:space="0" w:color="auto"/>
      </w:divBdr>
      <w:divsChild>
        <w:div w:id="1128360172">
          <w:marLeft w:val="706"/>
          <w:marRight w:val="0"/>
          <w:marTop w:val="100"/>
          <w:marBottom w:val="120"/>
          <w:divBdr>
            <w:top w:val="none" w:sz="0" w:space="0" w:color="auto"/>
            <w:left w:val="none" w:sz="0" w:space="0" w:color="auto"/>
            <w:bottom w:val="none" w:sz="0" w:space="0" w:color="auto"/>
            <w:right w:val="none" w:sz="0" w:space="0" w:color="auto"/>
          </w:divBdr>
        </w:div>
      </w:divsChild>
    </w:div>
    <w:div w:id="1477717801">
      <w:bodyDiv w:val="1"/>
      <w:marLeft w:val="0"/>
      <w:marRight w:val="0"/>
      <w:marTop w:val="0"/>
      <w:marBottom w:val="0"/>
      <w:divBdr>
        <w:top w:val="none" w:sz="0" w:space="0" w:color="auto"/>
        <w:left w:val="none" w:sz="0" w:space="0" w:color="auto"/>
        <w:bottom w:val="none" w:sz="0" w:space="0" w:color="auto"/>
        <w:right w:val="none" w:sz="0" w:space="0" w:color="auto"/>
      </w:divBdr>
    </w:div>
    <w:div w:id="1636523048">
      <w:bodyDiv w:val="1"/>
      <w:marLeft w:val="0"/>
      <w:marRight w:val="0"/>
      <w:marTop w:val="0"/>
      <w:marBottom w:val="0"/>
      <w:divBdr>
        <w:top w:val="none" w:sz="0" w:space="0" w:color="auto"/>
        <w:left w:val="none" w:sz="0" w:space="0" w:color="auto"/>
        <w:bottom w:val="none" w:sz="0" w:space="0" w:color="auto"/>
        <w:right w:val="none" w:sz="0" w:space="0" w:color="auto"/>
      </w:divBdr>
    </w:div>
    <w:div w:id="1651251652">
      <w:bodyDiv w:val="1"/>
      <w:marLeft w:val="0"/>
      <w:marRight w:val="0"/>
      <w:marTop w:val="0"/>
      <w:marBottom w:val="0"/>
      <w:divBdr>
        <w:top w:val="none" w:sz="0" w:space="0" w:color="auto"/>
        <w:left w:val="none" w:sz="0" w:space="0" w:color="auto"/>
        <w:bottom w:val="none" w:sz="0" w:space="0" w:color="auto"/>
        <w:right w:val="none" w:sz="0" w:space="0" w:color="auto"/>
      </w:divBdr>
      <w:divsChild>
        <w:div w:id="1153327057">
          <w:marLeft w:val="1080"/>
          <w:marRight w:val="0"/>
          <w:marTop w:val="100"/>
          <w:marBottom w:val="0"/>
          <w:divBdr>
            <w:top w:val="none" w:sz="0" w:space="0" w:color="auto"/>
            <w:left w:val="none" w:sz="0" w:space="0" w:color="auto"/>
            <w:bottom w:val="none" w:sz="0" w:space="0" w:color="auto"/>
            <w:right w:val="none" w:sz="0" w:space="0" w:color="auto"/>
          </w:divBdr>
        </w:div>
        <w:div w:id="1768960119">
          <w:marLeft w:val="1080"/>
          <w:marRight w:val="0"/>
          <w:marTop w:val="100"/>
          <w:marBottom w:val="0"/>
          <w:divBdr>
            <w:top w:val="none" w:sz="0" w:space="0" w:color="auto"/>
            <w:left w:val="none" w:sz="0" w:space="0" w:color="auto"/>
            <w:bottom w:val="none" w:sz="0" w:space="0" w:color="auto"/>
            <w:right w:val="none" w:sz="0" w:space="0" w:color="auto"/>
          </w:divBdr>
        </w:div>
      </w:divsChild>
    </w:div>
    <w:div w:id="1677270723">
      <w:bodyDiv w:val="1"/>
      <w:marLeft w:val="0"/>
      <w:marRight w:val="0"/>
      <w:marTop w:val="0"/>
      <w:marBottom w:val="0"/>
      <w:divBdr>
        <w:top w:val="none" w:sz="0" w:space="0" w:color="auto"/>
        <w:left w:val="none" w:sz="0" w:space="0" w:color="auto"/>
        <w:bottom w:val="none" w:sz="0" w:space="0" w:color="auto"/>
        <w:right w:val="none" w:sz="0" w:space="0" w:color="auto"/>
      </w:divBdr>
      <w:divsChild>
        <w:div w:id="227807298">
          <w:marLeft w:val="360"/>
          <w:marRight w:val="0"/>
          <w:marTop w:val="200"/>
          <w:marBottom w:val="0"/>
          <w:divBdr>
            <w:top w:val="none" w:sz="0" w:space="0" w:color="auto"/>
            <w:left w:val="none" w:sz="0" w:space="0" w:color="auto"/>
            <w:bottom w:val="none" w:sz="0" w:space="0" w:color="auto"/>
            <w:right w:val="none" w:sz="0" w:space="0" w:color="auto"/>
          </w:divBdr>
        </w:div>
        <w:div w:id="1048798675">
          <w:marLeft w:val="360"/>
          <w:marRight w:val="0"/>
          <w:marTop w:val="200"/>
          <w:marBottom w:val="0"/>
          <w:divBdr>
            <w:top w:val="none" w:sz="0" w:space="0" w:color="auto"/>
            <w:left w:val="none" w:sz="0" w:space="0" w:color="auto"/>
            <w:bottom w:val="none" w:sz="0" w:space="0" w:color="auto"/>
            <w:right w:val="none" w:sz="0" w:space="0" w:color="auto"/>
          </w:divBdr>
        </w:div>
        <w:div w:id="1243177523">
          <w:marLeft w:val="360"/>
          <w:marRight w:val="0"/>
          <w:marTop w:val="200"/>
          <w:marBottom w:val="0"/>
          <w:divBdr>
            <w:top w:val="none" w:sz="0" w:space="0" w:color="auto"/>
            <w:left w:val="none" w:sz="0" w:space="0" w:color="auto"/>
            <w:bottom w:val="none" w:sz="0" w:space="0" w:color="auto"/>
            <w:right w:val="none" w:sz="0" w:space="0" w:color="auto"/>
          </w:divBdr>
        </w:div>
      </w:divsChild>
    </w:div>
    <w:div w:id="1711422028">
      <w:bodyDiv w:val="1"/>
      <w:marLeft w:val="0"/>
      <w:marRight w:val="0"/>
      <w:marTop w:val="0"/>
      <w:marBottom w:val="0"/>
      <w:divBdr>
        <w:top w:val="none" w:sz="0" w:space="0" w:color="auto"/>
        <w:left w:val="none" w:sz="0" w:space="0" w:color="auto"/>
        <w:bottom w:val="none" w:sz="0" w:space="0" w:color="auto"/>
        <w:right w:val="none" w:sz="0" w:space="0" w:color="auto"/>
      </w:divBdr>
    </w:div>
    <w:div w:id="1729567450">
      <w:bodyDiv w:val="1"/>
      <w:marLeft w:val="0"/>
      <w:marRight w:val="0"/>
      <w:marTop w:val="0"/>
      <w:marBottom w:val="0"/>
      <w:divBdr>
        <w:top w:val="none" w:sz="0" w:space="0" w:color="auto"/>
        <w:left w:val="none" w:sz="0" w:space="0" w:color="auto"/>
        <w:bottom w:val="none" w:sz="0" w:space="0" w:color="auto"/>
        <w:right w:val="none" w:sz="0" w:space="0" w:color="auto"/>
      </w:divBdr>
      <w:divsChild>
        <w:div w:id="2068799694">
          <w:marLeft w:val="360"/>
          <w:marRight w:val="0"/>
          <w:marTop w:val="200"/>
          <w:marBottom w:val="0"/>
          <w:divBdr>
            <w:top w:val="none" w:sz="0" w:space="0" w:color="auto"/>
            <w:left w:val="none" w:sz="0" w:space="0" w:color="auto"/>
            <w:bottom w:val="none" w:sz="0" w:space="0" w:color="auto"/>
            <w:right w:val="none" w:sz="0" w:space="0" w:color="auto"/>
          </w:divBdr>
        </w:div>
      </w:divsChild>
    </w:div>
    <w:div w:id="1918519563">
      <w:bodyDiv w:val="1"/>
      <w:marLeft w:val="0"/>
      <w:marRight w:val="0"/>
      <w:marTop w:val="0"/>
      <w:marBottom w:val="0"/>
      <w:divBdr>
        <w:top w:val="none" w:sz="0" w:space="0" w:color="auto"/>
        <w:left w:val="none" w:sz="0" w:space="0" w:color="auto"/>
        <w:bottom w:val="none" w:sz="0" w:space="0" w:color="auto"/>
        <w:right w:val="none" w:sz="0" w:space="0" w:color="auto"/>
      </w:divBdr>
      <w:divsChild>
        <w:div w:id="142241302">
          <w:marLeft w:val="1080"/>
          <w:marRight w:val="0"/>
          <w:marTop w:val="100"/>
          <w:marBottom w:val="0"/>
          <w:divBdr>
            <w:top w:val="none" w:sz="0" w:space="0" w:color="auto"/>
            <w:left w:val="none" w:sz="0" w:space="0" w:color="auto"/>
            <w:bottom w:val="none" w:sz="0" w:space="0" w:color="auto"/>
            <w:right w:val="none" w:sz="0" w:space="0" w:color="auto"/>
          </w:divBdr>
        </w:div>
        <w:div w:id="1002854950">
          <w:marLeft w:val="1080"/>
          <w:marRight w:val="0"/>
          <w:marTop w:val="100"/>
          <w:marBottom w:val="0"/>
          <w:divBdr>
            <w:top w:val="none" w:sz="0" w:space="0" w:color="auto"/>
            <w:left w:val="none" w:sz="0" w:space="0" w:color="auto"/>
            <w:bottom w:val="none" w:sz="0" w:space="0" w:color="auto"/>
            <w:right w:val="none" w:sz="0" w:space="0" w:color="auto"/>
          </w:divBdr>
        </w:div>
      </w:divsChild>
    </w:div>
    <w:div w:id="1937591626">
      <w:bodyDiv w:val="1"/>
      <w:marLeft w:val="0"/>
      <w:marRight w:val="0"/>
      <w:marTop w:val="0"/>
      <w:marBottom w:val="0"/>
      <w:divBdr>
        <w:top w:val="none" w:sz="0" w:space="0" w:color="auto"/>
        <w:left w:val="none" w:sz="0" w:space="0" w:color="auto"/>
        <w:bottom w:val="none" w:sz="0" w:space="0" w:color="auto"/>
        <w:right w:val="none" w:sz="0" w:space="0" w:color="auto"/>
      </w:divBdr>
      <w:divsChild>
        <w:div w:id="1566184983">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0643845">
      <w:bodyDiv w:val="1"/>
      <w:marLeft w:val="0"/>
      <w:marRight w:val="0"/>
      <w:marTop w:val="0"/>
      <w:marBottom w:val="0"/>
      <w:divBdr>
        <w:top w:val="none" w:sz="0" w:space="0" w:color="auto"/>
        <w:left w:val="none" w:sz="0" w:space="0" w:color="auto"/>
        <w:bottom w:val="none" w:sz="0" w:space="0" w:color="auto"/>
        <w:right w:val="none" w:sz="0" w:space="0" w:color="auto"/>
      </w:divBdr>
    </w:div>
    <w:div w:id="1969781150">
      <w:bodyDiv w:val="1"/>
      <w:marLeft w:val="0"/>
      <w:marRight w:val="0"/>
      <w:marTop w:val="0"/>
      <w:marBottom w:val="0"/>
      <w:divBdr>
        <w:top w:val="none" w:sz="0" w:space="0" w:color="auto"/>
        <w:left w:val="none" w:sz="0" w:space="0" w:color="auto"/>
        <w:bottom w:val="none" w:sz="0" w:space="0" w:color="auto"/>
        <w:right w:val="none" w:sz="0" w:space="0" w:color="auto"/>
      </w:divBdr>
    </w:div>
    <w:div w:id="2037654391">
      <w:bodyDiv w:val="1"/>
      <w:marLeft w:val="0"/>
      <w:marRight w:val="0"/>
      <w:marTop w:val="0"/>
      <w:marBottom w:val="0"/>
      <w:divBdr>
        <w:top w:val="none" w:sz="0" w:space="0" w:color="auto"/>
        <w:left w:val="none" w:sz="0" w:space="0" w:color="auto"/>
        <w:bottom w:val="none" w:sz="0" w:space="0" w:color="auto"/>
        <w:right w:val="none" w:sz="0" w:space="0" w:color="auto"/>
      </w:divBdr>
      <w:divsChild>
        <w:div w:id="1919367228">
          <w:marLeft w:val="360"/>
          <w:marRight w:val="0"/>
          <w:marTop w:val="200"/>
          <w:marBottom w:val="0"/>
          <w:divBdr>
            <w:top w:val="none" w:sz="0" w:space="0" w:color="auto"/>
            <w:left w:val="none" w:sz="0" w:space="0" w:color="auto"/>
            <w:bottom w:val="none" w:sz="0" w:space="0" w:color="auto"/>
            <w:right w:val="none" w:sz="0" w:space="0" w:color="auto"/>
          </w:divBdr>
        </w:div>
      </w:divsChild>
    </w:div>
    <w:div w:id="2041782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umanservicesaustralia.gov.au"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www.humanservicesaustralia.gov.au"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FBD44-6EAF-4AB4-A37A-6FACC4DB5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28788</Words>
  <Characters>164096</Characters>
  <Application>Microsoft Office Word</Application>
  <DocSecurity>0</DocSecurity>
  <Lines>1367</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2024-07-04T02:36:00Z</dcterms:created>
  <dcterms:modified xsi:type="dcterms:W3CDTF">2024-07-04T02:36:00Z</dcterms:modified>
</cp:coreProperties>
</file>