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9C0480" w14:textId="68B3CC7F" w:rsidR="00716999" w:rsidRDefault="007802F7" w:rsidP="00BB0769">
      <w:pPr>
        <w:pStyle w:val="1-MainHeading"/>
        <w:spacing w:after="0"/>
        <w:ind w:left="851" w:hanging="851"/>
      </w:pPr>
      <w:bookmarkStart w:id="0" w:name="_Toc145434772"/>
      <w:r>
        <w:t>6.09</w:t>
      </w:r>
      <w:r w:rsidR="00716999">
        <w:tab/>
        <w:t>OSIMERTINIB,</w:t>
      </w:r>
      <w:r w:rsidR="00716999">
        <w:br/>
      </w:r>
      <w:r>
        <w:t xml:space="preserve">Tablet </w:t>
      </w:r>
      <w:r w:rsidR="00716999">
        <w:t>40 mg</w:t>
      </w:r>
      <w:bookmarkEnd w:id="0"/>
      <w:r w:rsidR="003C1193">
        <w:t>,</w:t>
      </w:r>
      <w:r w:rsidR="00716999">
        <w:t xml:space="preserve"> </w:t>
      </w:r>
      <w:r w:rsidR="00BB0769">
        <w:br/>
      </w:r>
      <w:bookmarkStart w:id="1" w:name="_Toc145434773"/>
      <w:r>
        <w:t xml:space="preserve">Tablet </w:t>
      </w:r>
      <w:r w:rsidR="00716999">
        <w:t>80 mg,</w:t>
      </w:r>
      <w:r w:rsidR="00716999">
        <w:br/>
        <w:t>Tagrisso</w:t>
      </w:r>
      <w:r w:rsidR="00716999" w:rsidRPr="004A6040">
        <w:rPr>
          <w:vertAlign w:val="superscript"/>
        </w:rPr>
        <w:t>®</w:t>
      </w:r>
      <w:r w:rsidR="00716999" w:rsidRPr="004A6040">
        <w:t>,</w:t>
      </w:r>
      <w:r w:rsidR="00716999" w:rsidRPr="004A6040">
        <w:br/>
      </w:r>
      <w:r w:rsidR="00716999">
        <w:t>AstraZeneca Pty Ltd</w:t>
      </w:r>
      <w:r w:rsidR="00716999" w:rsidRPr="004A6040">
        <w:t>.</w:t>
      </w:r>
      <w:bookmarkEnd w:id="1"/>
      <w:r w:rsidR="00716999">
        <w:t xml:space="preserve"> </w:t>
      </w:r>
    </w:p>
    <w:p w14:paraId="5B2A9332" w14:textId="77777777" w:rsidR="008E2470" w:rsidRPr="002E67E9" w:rsidRDefault="008E2470" w:rsidP="008E2470">
      <w:pPr>
        <w:pStyle w:val="2-SectionHeading"/>
      </w:pPr>
      <w:bookmarkStart w:id="2" w:name="_Toc145434775"/>
      <w:r w:rsidRPr="002E67E9">
        <w:t>Purpose of submission</w:t>
      </w:r>
      <w:bookmarkEnd w:id="2"/>
    </w:p>
    <w:p w14:paraId="0B5DDB8E" w14:textId="693BCD63" w:rsidR="008E2470" w:rsidRPr="008B1757" w:rsidRDefault="008E2470" w:rsidP="008E2470">
      <w:pPr>
        <w:pStyle w:val="3-BodyText"/>
      </w:pPr>
      <w:r w:rsidRPr="002E67E9">
        <w:t xml:space="preserve">The Category 2 submission requested Authority Required listing for osimertinib for Stage IB to IIIA non-small cell lung </w:t>
      </w:r>
      <w:r>
        <w:t xml:space="preserve">cancer (NSCLC) in patients with a confirmed </w:t>
      </w:r>
      <w:r w:rsidRPr="00B6185F">
        <w:t xml:space="preserve">epidermal growth factor receptor </w:t>
      </w:r>
      <w:r w:rsidRPr="001E034A">
        <w:rPr>
          <w:i/>
        </w:rPr>
        <w:t>(EGFR)</w:t>
      </w:r>
      <w:r>
        <w:t xml:space="preserve"> pathogenic variant </w:t>
      </w:r>
      <w:r w:rsidRPr="00B6185F">
        <w:t>as adjuvant therapy after surgical resection</w:t>
      </w:r>
      <w:r>
        <w:t>.</w:t>
      </w:r>
    </w:p>
    <w:p w14:paraId="2ABC89C3" w14:textId="77777777" w:rsidR="008E2470" w:rsidRDefault="008E2470" w:rsidP="008E2470">
      <w:pPr>
        <w:pStyle w:val="3-BodyText"/>
      </w:pPr>
      <w:r w:rsidRPr="005750C5">
        <w:t xml:space="preserve">Listing was requested on the basis of a </w:t>
      </w:r>
      <w:r>
        <w:t>cost-utility</w:t>
      </w:r>
      <w:r w:rsidRPr="005750C5">
        <w:t xml:space="preserve"> analysis versus</w:t>
      </w:r>
      <w:r>
        <w:t xml:space="preserve"> standard of care (watch and wait).</w:t>
      </w:r>
      <w:r w:rsidRPr="005750C5">
        <w:t xml:space="preserve"> </w:t>
      </w:r>
    </w:p>
    <w:p w14:paraId="1DFDDA01" w14:textId="77777777" w:rsidR="008E2470" w:rsidRPr="004A6040" w:rsidRDefault="008E2470" w:rsidP="008E2470">
      <w:pPr>
        <w:pStyle w:val="TableFigureHeading"/>
        <w:rPr>
          <w:rStyle w:val="CommentReference"/>
          <w:b/>
          <w:szCs w:val="24"/>
        </w:rPr>
      </w:pPr>
      <w:r>
        <w:t xml:space="preserve">Table </w:t>
      </w:r>
      <w:r w:rsidR="001E77BF">
        <w:fldChar w:fldCharType="begin" w:fldLock="1"/>
      </w:r>
      <w:r w:rsidR="001E77BF">
        <w:instrText xml:space="preserve"> SEQ Table \* ARABIC </w:instrText>
      </w:r>
      <w:r w:rsidR="001E77BF">
        <w:fldChar w:fldCharType="separate"/>
      </w:r>
      <w:r>
        <w:rPr>
          <w:noProof/>
        </w:rPr>
        <w:t>1</w:t>
      </w:r>
      <w:r w:rsidR="001E77BF">
        <w:rPr>
          <w:noProof/>
        </w:rPr>
        <w:fldChar w:fldCharType="end"/>
      </w:r>
      <w:r>
        <w:t>:</w:t>
      </w:r>
      <w:r w:rsidRPr="004A6040">
        <w:rPr>
          <w:rStyle w:val="CommentReference"/>
          <w:b/>
          <w:szCs w:val="24"/>
        </w:rPr>
        <w:t xml:space="preserve"> Key components of the clinical issue addressed by the submission (as stated in the submission)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1"/>
        <w:tblDescription w:val="Key components of the clinical issue addressed by the submission "/>
      </w:tblPr>
      <w:tblGrid>
        <w:gridCol w:w="1271"/>
        <w:gridCol w:w="7746"/>
      </w:tblGrid>
      <w:tr w:rsidR="008E2470" w:rsidRPr="00691913" w14:paraId="0F4A184A" w14:textId="77777777" w:rsidTr="008E2470">
        <w:trPr>
          <w:cantSplit/>
          <w:tblHeader/>
        </w:trPr>
        <w:tc>
          <w:tcPr>
            <w:tcW w:w="705" w:type="pct"/>
            <w:shd w:val="clear" w:color="auto" w:fill="auto"/>
          </w:tcPr>
          <w:p w14:paraId="2EA11BE0" w14:textId="77777777" w:rsidR="008E2470" w:rsidRPr="008B1757" w:rsidRDefault="008E2470" w:rsidP="008E2470">
            <w:pPr>
              <w:pStyle w:val="In-tableHeading"/>
              <w:rPr>
                <w:szCs w:val="20"/>
              </w:rPr>
            </w:pPr>
            <w:r w:rsidRPr="008B1757">
              <w:t>Component</w:t>
            </w:r>
          </w:p>
        </w:tc>
        <w:tc>
          <w:tcPr>
            <w:tcW w:w="4295" w:type="pct"/>
            <w:shd w:val="clear" w:color="auto" w:fill="auto"/>
          </w:tcPr>
          <w:p w14:paraId="75B72D19" w14:textId="77777777" w:rsidR="008E2470" w:rsidRPr="008B1757" w:rsidRDefault="008E2470" w:rsidP="008E2470">
            <w:pPr>
              <w:pStyle w:val="In-tableHeading"/>
            </w:pPr>
            <w:r w:rsidRPr="008B1757">
              <w:t>Description</w:t>
            </w:r>
          </w:p>
        </w:tc>
      </w:tr>
      <w:tr w:rsidR="008E2470" w:rsidRPr="00691913" w14:paraId="640A26EA" w14:textId="77777777" w:rsidTr="008E2470">
        <w:trPr>
          <w:cantSplit/>
        </w:trPr>
        <w:tc>
          <w:tcPr>
            <w:tcW w:w="705" w:type="pct"/>
            <w:shd w:val="clear" w:color="auto" w:fill="auto"/>
          </w:tcPr>
          <w:p w14:paraId="28927A45" w14:textId="77777777" w:rsidR="008E2470" w:rsidRPr="00691913" w:rsidRDefault="008E2470" w:rsidP="008E2470">
            <w:pPr>
              <w:pStyle w:val="TableText0"/>
            </w:pPr>
            <w:r w:rsidRPr="00691913">
              <w:t>Population</w:t>
            </w:r>
          </w:p>
        </w:tc>
        <w:tc>
          <w:tcPr>
            <w:tcW w:w="4295" w:type="pct"/>
            <w:shd w:val="clear" w:color="auto" w:fill="auto"/>
            <w:vAlign w:val="center"/>
          </w:tcPr>
          <w:p w14:paraId="16696310" w14:textId="77777777" w:rsidR="008E2470" w:rsidRPr="001E1E86" w:rsidRDefault="008E2470" w:rsidP="008E2470">
            <w:pPr>
              <w:pStyle w:val="TableText0"/>
              <w:rPr>
                <w:szCs w:val="20"/>
              </w:rPr>
            </w:pPr>
            <w:r w:rsidRPr="006474C4">
              <w:rPr>
                <w:i/>
              </w:rPr>
              <w:t>EGFR</w:t>
            </w:r>
            <w:r w:rsidRPr="003C0A94">
              <w:t xml:space="preserve"> mutation-positive Stage IB to IIIA resected NSCLC</w:t>
            </w:r>
          </w:p>
        </w:tc>
      </w:tr>
      <w:tr w:rsidR="008E2470" w:rsidRPr="00691913" w14:paraId="701DFA5A" w14:textId="77777777" w:rsidTr="008E2470">
        <w:trPr>
          <w:cantSplit/>
        </w:trPr>
        <w:tc>
          <w:tcPr>
            <w:tcW w:w="705" w:type="pct"/>
            <w:shd w:val="clear" w:color="auto" w:fill="auto"/>
          </w:tcPr>
          <w:p w14:paraId="7483D17F" w14:textId="77777777" w:rsidR="008E2470" w:rsidRPr="00691913" w:rsidRDefault="008E2470" w:rsidP="008E2470">
            <w:pPr>
              <w:pStyle w:val="TableText0"/>
            </w:pPr>
            <w:r w:rsidRPr="00691913">
              <w:t>Intervention</w:t>
            </w:r>
          </w:p>
        </w:tc>
        <w:tc>
          <w:tcPr>
            <w:tcW w:w="4295" w:type="pct"/>
            <w:shd w:val="clear" w:color="auto" w:fill="auto"/>
            <w:vAlign w:val="center"/>
          </w:tcPr>
          <w:p w14:paraId="0008E3F6" w14:textId="77777777" w:rsidR="008E2470" w:rsidRPr="00691913" w:rsidRDefault="008E2470" w:rsidP="008E2470">
            <w:pPr>
              <w:pStyle w:val="TableText0"/>
            </w:pPr>
            <w:r w:rsidRPr="003C0A94">
              <w:t>Osimertinib 80 mg orally once daily</w:t>
            </w:r>
          </w:p>
        </w:tc>
      </w:tr>
      <w:tr w:rsidR="008E2470" w:rsidRPr="00691913" w14:paraId="4454A686" w14:textId="77777777" w:rsidTr="008E2470">
        <w:trPr>
          <w:cantSplit/>
        </w:trPr>
        <w:tc>
          <w:tcPr>
            <w:tcW w:w="705" w:type="pct"/>
            <w:shd w:val="clear" w:color="auto" w:fill="auto"/>
          </w:tcPr>
          <w:p w14:paraId="491A526C" w14:textId="77777777" w:rsidR="008E2470" w:rsidRPr="00691913" w:rsidRDefault="008E2470" w:rsidP="008E2470">
            <w:pPr>
              <w:pStyle w:val="TableText0"/>
            </w:pPr>
            <w:r w:rsidRPr="00691913">
              <w:t>Comparator</w:t>
            </w:r>
          </w:p>
        </w:tc>
        <w:tc>
          <w:tcPr>
            <w:tcW w:w="4295" w:type="pct"/>
            <w:shd w:val="clear" w:color="auto" w:fill="auto"/>
            <w:vAlign w:val="center"/>
          </w:tcPr>
          <w:p w14:paraId="11D8C6F0" w14:textId="77777777" w:rsidR="008E2470" w:rsidRPr="00691913" w:rsidRDefault="008E2470" w:rsidP="008E2470">
            <w:pPr>
              <w:pStyle w:val="TableText0"/>
            </w:pPr>
            <w:r>
              <w:t>Standard of care</w:t>
            </w:r>
            <w:r w:rsidRPr="003C0A94">
              <w:t xml:space="preserve"> (watch and wait)</w:t>
            </w:r>
          </w:p>
        </w:tc>
      </w:tr>
      <w:tr w:rsidR="008E2470" w:rsidRPr="00691913" w14:paraId="715CFC94" w14:textId="77777777" w:rsidTr="008E2470">
        <w:trPr>
          <w:cantSplit/>
        </w:trPr>
        <w:tc>
          <w:tcPr>
            <w:tcW w:w="705" w:type="pct"/>
            <w:shd w:val="clear" w:color="auto" w:fill="auto"/>
          </w:tcPr>
          <w:p w14:paraId="7E854B80" w14:textId="77777777" w:rsidR="008E2470" w:rsidRPr="00691913" w:rsidRDefault="008E2470" w:rsidP="008E2470">
            <w:pPr>
              <w:pStyle w:val="TableText0"/>
            </w:pPr>
            <w:r w:rsidRPr="00691913">
              <w:t>Outcomes</w:t>
            </w:r>
          </w:p>
        </w:tc>
        <w:tc>
          <w:tcPr>
            <w:tcW w:w="4295" w:type="pct"/>
            <w:shd w:val="clear" w:color="auto" w:fill="auto"/>
            <w:vAlign w:val="center"/>
          </w:tcPr>
          <w:p w14:paraId="5AAE721F" w14:textId="77777777" w:rsidR="008E2470" w:rsidRPr="001E1E86" w:rsidRDefault="008E2470" w:rsidP="008E2470">
            <w:pPr>
              <w:pStyle w:val="TableText0"/>
              <w:rPr>
                <w:rFonts w:eastAsia="Times New Roman" w:cs="Arial"/>
                <w:bCs w:val="0"/>
                <w:snapToGrid w:val="0"/>
                <w:color w:val="0066FF"/>
                <w:szCs w:val="20"/>
              </w:rPr>
            </w:pPr>
            <w:r w:rsidRPr="003C0A94">
              <w:t>DFS, OS, CNS recurrence, HRQoL and time to subsequent treatments</w:t>
            </w:r>
          </w:p>
        </w:tc>
      </w:tr>
      <w:tr w:rsidR="008E2470" w:rsidRPr="00691913" w14:paraId="550F4D91" w14:textId="77777777" w:rsidTr="008E2470">
        <w:trPr>
          <w:cantSplit/>
        </w:trPr>
        <w:tc>
          <w:tcPr>
            <w:tcW w:w="705" w:type="pct"/>
            <w:shd w:val="clear" w:color="auto" w:fill="auto"/>
          </w:tcPr>
          <w:p w14:paraId="1752BA7F" w14:textId="77777777" w:rsidR="008E2470" w:rsidRPr="00691913" w:rsidRDefault="008E2470" w:rsidP="008E2470">
            <w:pPr>
              <w:pStyle w:val="TableText0"/>
            </w:pPr>
            <w:r w:rsidRPr="00691913">
              <w:t>Clinical claim</w:t>
            </w:r>
          </w:p>
        </w:tc>
        <w:tc>
          <w:tcPr>
            <w:tcW w:w="4295" w:type="pct"/>
            <w:shd w:val="clear" w:color="auto" w:fill="auto"/>
            <w:vAlign w:val="center"/>
          </w:tcPr>
          <w:p w14:paraId="5BC95002" w14:textId="77777777" w:rsidR="008E2470" w:rsidRPr="001E1E86" w:rsidRDefault="008E2470" w:rsidP="008E2470">
            <w:pPr>
              <w:pStyle w:val="TableText0"/>
              <w:rPr>
                <w:rFonts w:eastAsia="Times New Roman" w:cs="Arial"/>
                <w:bCs w:val="0"/>
                <w:snapToGrid w:val="0"/>
                <w:color w:val="0066FF"/>
                <w:szCs w:val="20"/>
              </w:rPr>
            </w:pPr>
            <w:r>
              <w:t xml:space="preserve">In people with </w:t>
            </w:r>
            <w:r w:rsidRPr="006474C4">
              <w:rPr>
                <w:i/>
              </w:rPr>
              <w:t>EGFR</w:t>
            </w:r>
            <w:r w:rsidRPr="00E8082A">
              <w:t xml:space="preserve"> mutation-positive Stage IB to IIIA resected NSCLC</w:t>
            </w:r>
            <w:r>
              <w:t>, o</w:t>
            </w:r>
            <w:r w:rsidRPr="003C0A94">
              <w:t xml:space="preserve">simertinib </w:t>
            </w:r>
            <w:r>
              <w:t>is more effective than standard of care</w:t>
            </w:r>
            <w:r w:rsidRPr="003C0A94">
              <w:t xml:space="preserve"> (watch and wait)</w:t>
            </w:r>
            <w:r>
              <w:t xml:space="preserve"> at improving </w:t>
            </w:r>
            <w:r w:rsidRPr="003C0A94">
              <w:t>DFS, OS, CNS recurrence, and time to subsequent treatments</w:t>
            </w:r>
            <w:r>
              <w:t>,</w:t>
            </w:r>
            <w:r w:rsidRPr="003C0A94">
              <w:t xml:space="preserve"> </w:t>
            </w:r>
            <w:r>
              <w:t xml:space="preserve">with non-inferior HRQoL and </w:t>
            </w:r>
            <w:r w:rsidRPr="00E8082A">
              <w:t>inferior but manageable safety</w:t>
            </w:r>
            <w:r>
              <w:t>.</w:t>
            </w:r>
          </w:p>
        </w:tc>
      </w:tr>
    </w:tbl>
    <w:p w14:paraId="471FA2A5" w14:textId="77777777" w:rsidR="008E2470" w:rsidRDefault="008E2470" w:rsidP="008E2470">
      <w:pPr>
        <w:pStyle w:val="FooterTableFigure"/>
      </w:pPr>
      <w:r>
        <w:t xml:space="preserve">Source: Table 1.1-1, p19 </w:t>
      </w:r>
      <w:r w:rsidRPr="00D13A3E">
        <w:t xml:space="preserve">of the </w:t>
      </w:r>
      <w:r>
        <w:t>submission.</w:t>
      </w:r>
    </w:p>
    <w:p w14:paraId="23AF6E28" w14:textId="77777777" w:rsidR="008E2470" w:rsidRDefault="008E2470" w:rsidP="008E2470">
      <w:pPr>
        <w:pStyle w:val="FooterTableFigure"/>
      </w:pPr>
      <w:r>
        <w:t xml:space="preserve">CNS = central nervous system; </w:t>
      </w:r>
      <w:r w:rsidRPr="00AE6AA5">
        <w:t>DFS = disease</w:t>
      </w:r>
      <w:r>
        <w:t>-</w:t>
      </w:r>
      <w:r w:rsidRPr="00AE6AA5">
        <w:t xml:space="preserve">free survival; </w:t>
      </w:r>
      <w:r w:rsidRPr="006474C4">
        <w:rPr>
          <w:i/>
        </w:rPr>
        <w:t>EGFR</w:t>
      </w:r>
      <w:r w:rsidRPr="00AE6AA5">
        <w:t xml:space="preserve"> = epidermal growth factor receptor;</w:t>
      </w:r>
      <w:r>
        <w:t xml:space="preserve"> HRQoL = health-related quality of life; </w:t>
      </w:r>
      <w:r w:rsidRPr="00AE6AA5">
        <w:t>NSCLC = non-small cell lung cancer; OS = overall survival</w:t>
      </w:r>
      <w:r>
        <w:t>.</w:t>
      </w:r>
    </w:p>
    <w:p w14:paraId="34F55E4F" w14:textId="77777777" w:rsidR="00716999" w:rsidRPr="00407F2D" w:rsidRDefault="00716999" w:rsidP="00716999">
      <w:pPr>
        <w:pStyle w:val="2-SectionHeading"/>
      </w:pPr>
      <w:bookmarkStart w:id="3" w:name="_Toc145434776"/>
      <w:r w:rsidRPr="00407F2D">
        <w:t>Background</w:t>
      </w:r>
      <w:bookmarkEnd w:id="3"/>
    </w:p>
    <w:p w14:paraId="442FC741" w14:textId="77777777" w:rsidR="00716999" w:rsidRPr="004151CF" w:rsidRDefault="00716999" w:rsidP="00716999">
      <w:pPr>
        <w:pStyle w:val="4-SubsectionHeading"/>
      </w:pPr>
      <w:bookmarkStart w:id="4" w:name="_Toc22897638"/>
      <w:bookmarkStart w:id="5" w:name="_Toc145434777"/>
      <w:r w:rsidRPr="004151CF">
        <w:t>Registration status</w:t>
      </w:r>
      <w:bookmarkEnd w:id="4"/>
      <w:bookmarkEnd w:id="5"/>
    </w:p>
    <w:p w14:paraId="73D7EA6F" w14:textId="77777777" w:rsidR="008E2470" w:rsidRDefault="008E2470" w:rsidP="008E2470">
      <w:pPr>
        <w:pStyle w:val="3-BodyText"/>
      </w:pPr>
      <w:r>
        <w:t>Osimertinib</w:t>
      </w:r>
      <w:r w:rsidRPr="004E18E9">
        <w:t xml:space="preserve"> was TGA registered on </w:t>
      </w:r>
      <w:r>
        <w:t>20 April 2021</w:t>
      </w:r>
      <w:r w:rsidRPr="004E18E9">
        <w:t xml:space="preserve"> for</w:t>
      </w:r>
      <w:r>
        <w:t>:</w:t>
      </w:r>
    </w:p>
    <w:p w14:paraId="3D499252" w14:textId="77777777" w:rsidR="008E2470" w:rsidRDefault="008E2470" w:rsidP="008E2470">
      <w:pPr>
        <w:pStyle w:val="3-BodyText"/>
        <w:numPr>
          <w:ilvl w:val="0"/>
          <w:numId w:val="0"/>
        </w:numPr>
        <w:ind w:left="720"/>
      </w:pPr>
      <w:r>
        <w:t>“</w:t>
      </w:r>
      <w:r w:rsidRPr="00B55190">
        <w:t xml:space="preserve">adjuvant therapy after tumour resection in patients with non-small cell lung cancer (NSCLC) whose tumours have activating epidermal growth factor receptor </w:t>
      </w:r>
      <w:r w:rsidRPr="00B6185F">
        <w:rPr>
          <w:i/>
        </w:rPr>
        <w:t>(EGFR)</w:t>
      </w:r>
      <w:r w:rsidRPr="00B55190">
        <w:t xml:space="preserve"> mutations, as detected by a validated test</w:t>
      </w:r>
      <w:r>
        <w:t xml:space="preserve">” </w:t>
      </w:r>
    </w:p>
    <w:p w14:paraId="35A65302" w14:textId="033EB7C1" w:rsidR="00716999" w:rsidRPr="00CF3A1B" w:rsidRDefault="008E2470" w:rsidP="00716999">
      <w:pPr>
        <w:pStyle w:val="3-BodyText"/>
      </w:pPr>
      <w:r>
        <w:t>Osimertinib is also TGA registered for “</w:t>
      </w:r>
      <w:r w:rsidRPr="00B55190">
        <w:t xml:space="preserve">first-line treatment of patients with locally advanced or metastatic NSCLC whose tumours have </w:t>
      </w:r>
      <w:r w:rsidRPr="00E870B3">
        <w:rPr>
          <w:i/>
        </w:rPr>
        <w:t>EGFR</w:t>
      </w:r>
      <w:r w:rsidRPr="00B55190">
        <w:t xml:space="preserve"> mutations, as detected by a validated test</w:t>
      </w:r>
      <w:r>
        <w:t xml:space="preserve">” </w:t>
      </w:r>
      <w:r w:rsidRPr="00B55190">
        <w:t>(</w:t>
      </w:r>
      <w:r>
        <w:t>a</w:t>
      </w:r>
      <w:r w:rsidRPr="00B55190">
        <w:t>pproved July 2018)</w:t>
      </w:r>
      <w:r>
        <w:t>, and “</w:t>
      </w:r>
      <w:r w:rsidRPr="00B55190">
        <w:t xml:space="preserve">treatment of patients with locally advanced or metastatic NSCLC that is </w:t>
      </w:r>
      <w:r w:rsidRPr="00E870B3">
        <w:rPr>
          <w:i/>
        </w:rPr>
        <w:t>EGFR</w:t>
      </w:r>
      <w:r w:rsidRPr="00B55190">
        <w:t xml:space="preserve"> T790M mutation-positive, as detected by a validated test</w:t>
      </w:r>
      <w:r>
        <w:t>”</w:t>
      </w:r>
      <w:r w:rsidRPr="00B55190">
        <w:t xml:space="preserve"> (</w:t>
      </w:r>
      <w:r>
        <w:t>a</w:t>
      </w:r>
      <w:r w:rsidRPr="00B55190">
        <w:t>pproved February 2017)</w:t>
      </w:r>
      <w:r>
        <w:t>.</w:t>
      </w:r>
    </w:p>
    <w:p w14:paraId="48CB3BF5" w14:textId="77777777" w:rsidR="00716999" w:rsidRPr="00621ADA" w:rsidRDefault="00716999" w:rsidP="00716999">
      <w:pPr>
        <w:pStyle w:val="4-SubsectionHeading"/>
      </w:pPr>
      <w:bookmarkStart w:id="6" w:name="_Toc22897639"/>
      <w:bookmarkStart w:id="7" w:name="_Toc145434778"/>
      <w:r w:rsidRPr="00621ADA">
        <w:lastRenderedPageBreak/>
        <w:t>Previous PBAC consideration</w:t>
      </w:r>
      <w:bookmarkEnd w:id="6"/>
      <w:bookmarkEnd w:id="7"/>
    </w:p>
    <w:p w14:paraId="37C803BD" w14:textId="7B828184" w:rsidR="00716999" w:rsidRPr="006A5EE5" w:rsidRDefault="008E2470" w:rsidP="00716999">
      <w:pPr>
        <w:pStyle w:val="3-BodyText"/>
      </w:pPr>
      <w:r w:rsidRPr="006A5EE5">
        <w:t xml:space="preserve">This </w:t>
      </w:r>
      <w:r>
        <w:t>wa</w:t>
      </w:r>
      <w:r w:rsidRPr="006A5EE5">
        <w:t xml:space="preserve">s the first submission for adjuvant treatment for </w:t>
      </w:r>
      <w:r w:rsidRPr="00E870B3">
        <w:rPr>
          <w:i/>
        </w:rPr>
        <w:t>EGFR</w:t>
      </w:r>
      <w:r w:rsidRPr="006A5EE5">
        <w:t xml:space="preserve"> </w:t>
      </w:r>
      <w:r>
        <w:t xml:space="preserve">positive </w:t>
      </w:r>
      <w:r w:rsidRPr="006A5EE5">
        <w:t xml:space="preserve">early-stage NSCLC. Osimertinib is PBS listed for use in first-line treatment of locally advanced and metastatic NSCLC in people who exhibit </w:t>
      </w:r>
      <w:r w:rsidRPr="00E870B3">
        <w:rPr>
          <w:i/>
        </w:rPr>
        <w:t>EGFR</w:t>
      </w:r>
      <w:r w:rsidRPr="006A5EE5">
        <w:t xml:space="preserve"> activating </w:t>
      </w:r>
      <w:r>
        <w:t xml:space="preserve">pathogenic </w:t>
      </w:r>
      <w:r w:rsidRPr="006A5EE5">
        <w:t>variants, and second-line treatment of locally advanced and metastatic NSCLC in patients who have progressed on a</w:t>
      </w:r>
      <w:r>
        <w:t xml:space="preserve"> first</w:t>
      </w:r>
      <w:r w:rsidRPr="006A5EE5">
        <w:t xml:space="preserve"> or </w:t>
      </w:r>
      <w:r>
        <w:t xml:space="preserve">second </w:t>
      </w:r>
      <w:r w:rsidRPr="006A5EE5">
        <w:t xml:space="preserve">generation </w:t>
      </w:r>
      <w:r w:rsidRPr="00E870B3">
        <w:rPr>
          <w:i/>
        </w:rPr>
        <w:t>EGFR</w:t>
      </w:r>
      <w:r w:rsidRPr="006A5EE5">
        <w:t xml:space="preserve"> </w:t>
      </w:r>
      <w:r>
        <w:t>tyrosine kinase inhibitor (</w:t>
      </w:r>
      <w:r w:rsidRPr="006A5EE5">
        <w:t>TKI</w:t>
      </w:r>
      <w:r>
        <w:t>)</w:t>
      </w:r>
      <w:r w:rsidRPr="006A5EE5">
        <w:t xml:space="preserve"> (erlotinib, gefitinib, afatanib) and whose tumours have the resistance variant, T790M. Under the </w:t>
      </w:r>
      <w:r>
        <w:t>requested</w:t>
      </w:r>
      <w:r w:rsidRPr="006A5EE5">
        <w:t xml:space="preserve"> restriction, patients who use osimertinib for adjuvant therapy would not be eligible for PBS-subsidised osimertinib on disease recurrence.</w:t>
      </w:r>
    </w:p>
    <w:p w14:paraId="0F444C6B" w14:textId="7335B3C5" w:rsidR="00716999" w:rsidRDefault="00716999" w:rsidP="00716999">
      <w:pPr>
        <w:pStyle w:val="2-SectionHeading"/>
      </w:pPr>
      <w:bookmarkStart w:id="8" w:name="_Toc107902078"/>
      <w:bookmarkStart w:id="9" w:name="_Toc145434779"/>
      <w:bookmarkEnd w:id="8"/>
      <w:r w:rsidRPr="00407F2D">
        <w:t>Requested listing</w:t>
      </w:r>
      <w:bookmarkEnd w:id="9"/>
    </w:p>
    <w:p w14:paraId="6E3E7038" w14:textId="23179E60" w:rsidR="00136022" w:rsidRDefault="00AA29D4" w:rsidP="00AA29D4">
      <w:pPr>
        <w:pStyle w:val="3-BodyText"/>
      </w:pPr>
      <w:bookmarkStart w:id="10" w:name="_Ref151567295"/>
      <w:r w:rsidRPr="00F91CC3">
        <w:t>Suggestions and additions proposed by the Secretariat are added in italics and suggested deletions are crossed out with strikethrough.</w:t>
      </w:r>
      <w:bookmarkEnd w:id="10"/>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3114"/>
        <w:gridCol w:w="1984"/>
        <w:gridCol w:w="745"/>
        <w:gridCol w:w="745"/>
        <w:gridCol w:w="745"/>
        <w:gridCol w:w="1684"/>
      </w:tblGrid>
      <w:tr w:rsidR="00136022" w:rsidRPr="001428E9" w14:paraId="7CB0AFA6" w14:textId="77777777" w:rsidTr="00136022">
        <w:trPr>
          <w:cantSplit/>
          <w:trHeight w:val="20"/>
        </w:trPr>
        <w:tc>
          <w:tcPr>
            <w:tcW w:w="1727" w:type="pct"/>
            <w:vAlign w:val="center"/>
          </w:tcPr>
          <w:p w14:paraId="7D300050" w14:textId="77777777" w:rsidR="00136022" w:rsidRPr="001428E9" w:rsidRDefault="00136022" w:rsidP="004305CF">
            <w:pPr>
              <w:keepNext/>
              <w:keepLines/>
              <w:rPr>
                <w:rFonts w:ascii="Arial Narrow" w:hAnsi="Arial Narrow"/>
                <w:b/>
                <w:bCs/>
                <w:sz w:val="20"/>
                <w:szCs w:val="20"/>
              </w:rPr>
            </w:pPr>
            <w:r w:rsidRPr="001428E9">
              <w:rPr>
                <w:rFonts w:ascii="Arial Narrow" w:hAnsi="Arial Narrow"/>
                <w:b/>
                <w:bCs/>
                <w:sz w:val="20"/>
                <w:szCs w:val="20"/>
              </w:rPr>
              <w:t>MEDICINAL PRODUCT</w:t>
            </w:r>
          </w:p>
          <w:p w14:paraId="3588F373" w14:textId="77777777" w:rsidR="00136022" w:rsidRPr="00C61A59" w:rsidRDefault="00136022" w:rsidP="004305CF">
            <w:pPr>
              <w:pStyle w:val="TableText0"/>
              <w:keepLines/>
              <w:rPr>
                <w:b/>
                <w:bCs w:val="0"/>
                <w:szCs w:val="20"/>
              </w:rPr>
            </w:pPr>
            <w:r w:rsidRPr="001428E9">
              <w:rPr>
                <w:b/>
                <w:szCs w:val="20"/>
              </w:rPr>
              <w:t>medicinal product pack</w:t>
            </w:r>
          </w:p>
        </w:tc>
        <w:tc>
          <w:tcPr>
            <w:tcW w:w="1100" w:type="pct"/>
          </w:tcPr>
          <w:p w14:paraId="5FE9F634" w14:textId="2F8936DE" w:rsidR="00136022" w:rsidRPr="001428E9" w:rsidRDefault="00136022" w:rsidP="004305CF">
            <w:pPr>
              <w:keepNext/>
              <w:keepLines/>
              <w:jc w:val="center"/>
              <w:rPr>
                <w:rFonts w:ascii="Arial Narrow" w:hAnsi="Arial Narrow"/>
                <w:b/>
                <w:sz w:val="20"/>
                <w:szCs w:val="20"/>
              </w:rPr>
            </w:pPr>
            <w:r>
              <w:rPr>
                <w:rFonts w:ascii="Arial Narrow" w:hAnsi="Arial Narrow"/>
                <w:b/>
                <w:sz w:val="20"/>
                <w:szCs w:val="20"/>
              </w:rPr>
              <w:t>Dispensed price for maximum quantity</w:t>
            </w:r>
          </w:p>
        </w:tc>
        <w:tc>
          <w:tcPr>
            <w:tcW w:w="413" w:type="pct"/>
            <w:vAlign w:val="center"/>
          </w:tcPr>
          <w:p w14:paraId="61F05C51" w14:textId="22598903" w:rsidR="00136022" w:rsidRPr="001428E9" w:rsidRDefault="00136022" w:rsidP="004305CF">
            <w:pPr>
              <w:keepNext/>
              <w:keepLines/>
              <w:jc w:val="center"/>
              <w:rPr>
                <w:rFonts w:ascii="Arial Narrow" w:hAnsi="Arial Narrow"/>
                <w:b/>
                <w:sz w:val="20"/>
                <w:szCs w:val="20"/>
              </w:rPr>
            </w:pPr>
            <w:r w:rsidRPr="001428E9">
              <w:rPr>
                <w:rFonts w:ascii="Arial Narrow" w:hAnsi="Arial Narrow"/>
                <w:b/>
                <w:sz w:val="20"/>
                <w:szCs w:val="20"/>
              </w:rPr>
              <w:t>Max. qty packs</w:t>
            </w:r>
          </w:p>
        </w:tc>
        <w:tc>
          <w:tcPr>
            <w:tcW w:w="413" w:type="pct"/>
            <w:vAlign w:val="center"/>
          </w:tcPr>
          <w:p w14:paraId="5D126B96" w14:textId="77777777" w:rsidR="00136022" w:rsidRPr="001428E9" w:rsidRDefault="00136022" w:rsidP="004305CF">
            <w:pPr>
              <w:keepNext/>
              <w:keepLines/>
              <w:jc w:val="center"/>
              <w:rPr>
                <w:rFonts w:ascii="Arial Narrow" w:hAnsi="Arial Narrow"/>
                <w:b/>
                <w:sz w:val="20"/>
                <w:szCs w:val="20"/>
              </w:rPr>
            </w:pPr>
            <w:r w:rsidRPr="001428E9">
              <w:rPr>
                <w:rFonts w:ascii="Arial Narrow" w:hAnsi="Arial Narrow"/>
                <w:b/>
                <w:sz w:val="20"/>
                <w:szCs w:val="20"/>
              </w:rPr>
              <w:t>Max. qty units</w:t>
            </w:r>
          </w:p>
        </w:tc>
        <w:tc>
          <w:tcPr>
            <w:tcW w:w="413" w:type="pct"/>
            <w:vAlign w:val="center"/>
          </w:tcPr>
          <w:p w14:paraId="26B6435E" w14:textId="77777777" w:rsidR="00136022" w:rsidRPr="001428E9" w:rsidRDefault="00136022" w:rsidP="004305CF">
            <w:pPr>
              <w:keepNext/>
              <w:keepLines/>
              <w:jc w:val="center"/>
              <w:rPr>
                <w:rFonts w:ascii="Arial Narrow" w:hAnsi="Arial Narrow"/>
                <w:b/>
                <w:sz w:val="20"/>
                <w:szCs w:val="20"/>
              </w:rPr>
            </w:pPr>
            <w:r w:rsidRPr="001428E9">
              <w:rPr>
                <w:rFonts w:ascii="Arial Narrow" w:hAnsi="Arial Narrow"/>
                <w:b/>
                <w:sz w:val="20"/>
                <w:szCs w:val="20"/>
              </w:rPr>
              <w:t>№.of</w:t>
            </w:r>
          </w:p>
          <w:p w14:paraId="394339E0" w14:textId="77777777" w:rsidR="00136022" w:rsidRPr="001428E9" w:rsidRDefault="00136022" w:rsidP="004305CF">
            <w:pPr>
              <w:keepNext/>
              <w:keepLines/>
              <w:jc w:val="center"/>
              <w:rPr>
                <w:rFonts w:ascii="Arial Narrow" w:hAnsi="Arial Narrow"/>
                <w:b/>
                <w:sz w:val="20"/>
                <w:szCs w:val="20"/>
              </w:rPr>
            </w:pPr>
            <w:r w:rsidRPr="001428E9">
              <w:rPr>
                <w:rFonts w:ascii="Arial Narrow" w:hAnsi="Arial Narrow"/>
                <w:b/>
                <w:sz w:val="20"/>
                <w:szCs w:val="20"/>
              </w:rPr>
              <w:t>Rpts</w:t>
            </w:r>
          </w:p>
        </w:tc>
        <w:tc>
          <w:tcPr>
            <w:tcW w:w="934" w:type="pct"/>
            <w:vAlign w:val="center"/>
          </w:tcPr>
          <w:p w14:paraId="63102036" w14:textId="77777777" w:rsidR="00136022" w:rsidRPr="001428E9" w:rsidRDefault="00136022" w:rsidP="004305CF">
            <w:pPr>
              <w:keepNext/>
              <w:keepLines/>
              <w:rPr>
                <w:rFonts w:ascii="Arial Narrow" w:hAnsi="Arial Narrow"/>
                <w:b/>
                <w:sz w:val="20"/>
                <w:szCs w:val="20"/>
                <w:lang w:val="fr-FR"/>
              </w:rPr>
            </w:pPr>
            <w:r w:rsidRPr="001428E9">
              <w:rPr>
                <w:rFonts w:ascii="Arial Narrow" w:hAnsi="Arial Narrow"/>
                <w:b/>
                <w:sz w:val="20"/>
                <w:szCs w:val="20"/>
              </w:rPr>
              <w:t>Available brands</w:t>
            </w:r>
          </w:p>
        </w:tc>
      </w:tr>
      <w:tr w:rsidR="00136022" w:rsidRPr="001428E9" w14:paraId="7FFDD4BF" w14:textId="77777777" w:rsidTr="00136022">
        <w:trPr>
          <w:cantSplit/>
          <w:trHeight w:val="20"/>
        </w:trPr>
        <w:tc>
          <w:tcPr>
            <w:tcW w:w="5000" w:type="pct"/>
            <w:gridSpan w:val="6"/>
          </w:tcPr>
          <w:p w14:paraId="214F730F" w14:textId="2D9718FC" w:rsidR="00136022" w:rsidRPr="00480F14" w:rsidRDefault="00136022" w:rsidP="004305CF">
            <w:pPr>
              <w:pStyle w:val="TableText0"/>
              <w:keepLines/>
              <w:rPr>
                <w:rFonts w:cs="Arial"/>
                <w:smallCaps/>
                <w:szCs w:val="20"/>
              </w:rPr>
            </w:pPr>
            <w:r w:rsidRPr="00480F14">
              <w:rPr>
                <w:smallCaps/>
              </w:rPr>
              <w:t>OSIMERTINIB</w:t>
            </w:r>
            <w:r w:rsidRPr="00480F14">
              <w:rPr>
                <w:rFonts w:cs="Arial"/>
                <w:smallCaps/>
                <w:color w:val="0066FF"/>
                <w:szCs w:val="20"/>
              </w:rPr>
              <w:t xml:space="preserve"> </w:t>
            </w:r>
          </w:p>
        </w:tc>
      </w:tr>
      <w:tr w:rsidR="00136022" w:rsidRPr="003A4C14" w14:paraId="65D077AF" w14:textId="77777777" w:rsidTr="00136022">
        <w:trPr>
          <w:cantSplit/>
          <w:trHeight w:val="20"/>
        </w:trPr>
        <w:tc>
          <w:tcPr>
            <w:tcW w:w="1727" w:type="pct"/>
            <w:vAlign w:val="center"/>
          </w:tcPr>
          <w:p w14:paraId="47D79C78" w14:textId="77777777" w:rsidR="00136022" w:rsidRPr="001428E9" w:rsidRDefault="00136022" w:rsidP="00136022">
            <w:pPr>
              <w:pStyle w:val="TableText0"/>
              <w:keepLines/>
              <w:rPr>
                <w:szCs w:val="20"/>
              </w:rPr>
            </w:pPr>
            <w:r w:rsidRPr="00480F14">
              <w:rPr>
                <w:szCs w:val="20"/>
              </w:rPr>
              <w:t xml:space="preserve">Osimertinib 80mg tablets, 30 </w:t>
            </w:r>
          </w:p>
        </w:tc>
        <w:tc>
          <w:tcPr>
            <w:tcW w:w="1100" w:type="pct"/>
          </w:tcPr>
          <w:p w14:paraId="4B6BF24F" w14:textId="77777777" w:rsidR="00136022" w:rsidRPr="00027EE5" w:rsidRDefault="00136022" w:rsidP="00136022">
            <w:pPr>
              <w:pStyle w:val="TableText0"/>
              <w:jc w:val="center"/>
              <w:rPr>
                <w:szCs w:val="20"/>
              </w:rPr>
            </w:pPr>
            <w:r w:rsidRPr="00027EE5">
              <w:rPr>
                <w:szCs w:val="20"/>
              </w:rPr>
              <w:t>$7,971.28 published</w:t>
            </w:r>
          </w:p>
          <w:p w14:paraId="0BEC6D7A" w14:textId="13C9D4B0" w:rsidR="00136022" w:rsidRPr="00136022" w:rsidRDefault="00136022" w:rsidP="00136022">
            <w:pPr>
              <w:keepNext/>
              <w:keepLines/>
              <w:jc w:val="center"/>
              <w:rPr>
                <w:rFonts w:ascii="Arial Narrow" w:eastAsiaTheme="majorEastAsia" w:hAnsi="Arial Narrow" w:cstheme="majorBidi"/>
                <w:bCs/>
                <w:sz w:val="20"/>
                <w:szCs w:val="20"/>
              </w:rPr>
            </w:pPr>
            <w:r w:rsidRPr="00136022">
              <w:rPr>
                <w:rFonts w:ascii="Arial Narrow" w:eastAsiaTheme="majorEastAsia" w:hAnsi="Arial Narrow" w:cstheme="majorBidi"/>
                <w:bCs/>
                <w:sz w:val="20"/>
                <w:szCs w:val="20"/>
              </w:rPr>
              <w:t>$</w:t>
            </w:r>
            <w:r w:rsidR="00E927A0" w:rsidRPr="00E927A0">
              <w:rPr>
                <w:rFonts w:ascii="Arial Narrow" w:eastAsiaTheme="majorEastAsia" w:hAnsi="Arial Narrow" w:cstheme="majorBidi"/>
                <w:bCs/>
                <w:color w:val="000000"/>
                <w:sz w:val="20"/>
                <w:szCs w:val="20"/>
                <w:shd w:val="solid" w:color="000000" w:fill="000000"/>
                <w14:textFill>
                  <w14:solidFill>
                    <w14:srgbClr w14:val="000000">
                      <w14:alpha w14:val="100000"/>
                    </w14:srgbClr>
                  </w14:solidFill>
                </w14:textFill>
              </w:rPr>
              <w:t>|</w:t>
            </w:r>
            <w:r w:rsidRPr="00136022">
              <w:rPr>
                <w:rFonts w:ascii="Arial Narrow" w:eastAsiaTheme="majorEastAsia" w:hAnsi="Arial Narrow" w:cstheme="majorBidi"/>
                <w:bCs/>
                <w:sz w:val="20"/>
                <w:szCs w:val="20"/>
              </w:rPr>
              <w:t xml:space="preserve"> effective</w:t>
            </w:r>
          </w:p>
        </w:tc>
        <w:tc>
          <w:tcPr>
            <w:tcW w:w="413" w:type="pct"/>
            <w:vAlign w:val="center"/>
          </w:tcPr>
          <w:p w14:paraId="359A95D0" w14:textId="3E9F9A3A" w:rsidR="00136022" w:rsidRPr="001428E9" w:rsidRDefault="00136022" w:rsidP="00136022">
            <w:pPr>
              <w:keepNext/>
              <w:keepLines/>
              <w:jc w:val="center"/>
              <w:rPr>
                <w:rFonts w:ascii="Arial Narrow" w:hAnsi="Arial Narrow"/>
                <w:sz w:val="20"/>
                <w:szCs w:val="20"/>
              </w:rPr>
            </w:pPr>
            <w:r>
              <w:rPr>
                <w:rFonts w:ascii="Arial Narrow" w:hAnsi="Arial Narrow"/>
                <w:sz w:val="20"/>
              </w:rPr>
              <w:t>1</w:t>
            </w:r>
          </w:p>
        </w:tc>
        <w:tc>
          <w:tcPr>
            <w:tcW w:w="413" w:type="pct"/>
            <w:vAlign w:val="center"/>
          </w:tcPr>
          <w:p w14:paraId="06722DD3" w14:textId="77777777" w:rsidR="00136022" w:rsidRPr="001428E9" w:rsidRDefault="00136022" w:rsidP="00136022">
            <w:pPr>
              <w:keepNext/>
              <w:keepLines/>
              <w:jc w:val="center"/>
              <w:rPr>
                <w:rFonts w:ascii="Arial Narrow" w:hAnsi="Arial Narrow"/>
                <w:sz w:val="20"/>
                <w:szCs w:val="20"/>
              </w:rPr>
            </w:pPr>
            <w:r>
              <w:rPr>
                <w:rFonts w:ascii="Arial Narrow" w:hAnsi="Arial Narrow"/>
                <w:sz w:val="20"/>
                <w:szCs w:val="20"/>
              </w:rPr>
              <w:t>30</w:t>
            </w:r>
          </w:p>
        </w:tc>
        <w:tc>
          <w:tcPr>
            <w:tcW w:w="413" w:type="pct"/>
            <w:vAlign w:val="center"/>
          </w:tcPr>
          <w:p w14:paraId="6554A249" w14:textId="77777777" w:rsidR="00136022" w:rsidRPr="001428E9" w:rsidRDefault="00136022" w:rsidP="00136022">
            <w:pPr>
              <w:keepNext/>
              <w:keepLines/>
              <w:jc w:val="center"/>
              <w:rPr>
                <w:rFonts w:ascii="Arial Narrow" w:hAnsi="Arial Narrow"/>
                <w:sz w:val="20"/>
                <w:szCs w:val="20"/>
              </w:rPr>
            </w:pPr>
            <w:r>
              <w:rPr>
                <w:rFonts w:ascii="Arial Narrow" w:hAnsi="Arial Narrow"/>
                <w:sz w:val="20"/>
              </w:rPr>
              <w:t>5</w:t>
            </w:r>
          </w:p>
        </w:tc>
        <w:tc>
          <w:tcPr>
            <w:tcW w:w="934" w:type="pct"/>
            <w:vAlign w:val="center"/>
          </w:tcPr>
          <w:p w14:paraId="7AE2B1EB" w14:textId="77777777" w:rsidR="00136022" w:rsidRPr="003A4C14" w:rsidRDefault="00136022" w:rsidP="00136022">
            <w:pPr>
              <w:keepNext/>
              <w:keepLines/>
              <w:rPr>
                <w:rFonts w:ascii="Arial Narrow" w:hAnsi="Arial Narrow"/>
                <w:color w:val="0066FF"/>
                <w:sz w:val="20"/>
                <w:szCs w:val="20"/>
              </w:rPr>
            </w:pPr>
            <w:r w:rsidRPr="00480F14">
              <w:rPr>
                <w:rFonts w:ascii="Arial Narrow" w:hAnsi="Arial Narrow"/>
                <w:sz w:val="20"/>
                <w:szCs w:val="20"/>
              </w:rPr>
              <w:t>Tagrisso</w:t>
            </w:r>
          </w:p>
        </w:tc>
      </w:tr>
      <w:tr w:rsidR="00136022" w:rsidRPr="003A4C14" w14:paraId="23BB92F1" w14:textId="77777777" w:rsidTr="00136022">
        <w:trPr>
          <w:cantSplit/>
          <w:trHeight w:val="20"/>
        </w:trPr>
        <w:tc>
          <w:tcPr>
            <w:tcW w:w="1727" w:type="pct"/>
            <w:vAlign w:val="center"/>
          </w:tcPr>
          <w:p w14:paraId="098C6366" w14:textId="77777777" w:rsidR="00136022" w:rsidRPr="00565C79" w:rsidRDefault="00136022" w:rsidP="00136022">
            <w:pPr>
              <w:pStyle w:val="TableText0"/>
            </w:pPr>
            <w:r>
              <w:rPr>
                <w:szCs w:val="20"/>
              </w:rPr>
              <w:t>Osimertinib 40mg tablets, 30</w:t>
            </w:r>
          </w:p>
        </w:tc>
        <w:tc>
          <w:tcPr>
            <w:tcW w:w="1100" w:type="pct"/>
          </w:tcPr>
          <w:p w14:paraId="130F240B" w14:textId="77777777" w:rsidR="00136022" w:rsidRPr="00027EE5" w:rsidRDefault="00136022" w:rsidP="00136022">
            <w:pPr>
              <w:pStyle w:val="TableText0"/>
              <w:jc w:val="center"/>
              <w:rPr>
                <w:szCs w:val="20"/>
              </w:rPr>
            </w:pPr>
            <w:r w:rsidRPr="00027EE5">
              <w:rPr>
                <w:szCs w:val="20"/>
              </w:rPr>
              <w:t>$7,971.28 published</w:t>
            </w:r>
          </w:p>
          <w:p w14:paraId="4CE86F57" w14:textId="417E2EC8" w:rsidR="00136022" w:rsidRPr="00136022" w:rsidRDefault="00136022" w:rsidP="00136022">
            <w:pPr>
              <w:keepNext/>
              <w:keepLines/>
              <w:jc w:val="center"/>
              <w:rPr>
                <w:rFonts w:ascii="Arial Narrow" w:eastAsiaTheme="majorEastAsia" w:hAnsi="Arial Narrow" w:cstheme="majorBidi"/>
                <w:bCs/>
                <w:sz w:val="20"/>
                <w:szCs w:val="20"/>
              </w:rPr>
            </w:pPr>
            <w:r w:rsidRPr="00136022">
              <w:rPr>
                <w:rFonts w:ascii="Arial Narrow" w:eastAsiaTheme="majorEastAsia" w:hAnsi="Arial Narrow" w:cstheme="majorBidi"/>
                <w:bCs/>
                <w:sz w:val="20"/>
                <w:szCs w:val="20"/>
              </w:rPr>
              <w:t>$</w:t>
            </w:r>
            <w:r w:rsidR="00E927A0" w:rsidRPr="00E927A0">
              <w:rPr>
                <w:rFonts w:ascii="Arial Narrow" w:eastAsiaTheme="majorEastAsia" w:hAnsi="Arial Narrow" w:cstheme="majorBidi"/>
                <w:bCs/>
                <w:color w:val="000000"/>
                <w:sz w:val="20"/>
                <w:szCs w:val="20"/>
                <w:shd w:val="solid" w:color="000000" w:fill="000000"/>
                <w14:textFill>
                  <w14:solidFill>
                    <w14:srgbClr w14:val="000000">
                      <w14:alpha w14:val="100000"/>
                    </w14:srgbClr>
                  </w14:solidFill>
                </w14:textFill>
              </w:rPr>
              <w:t>|</w:t>
            </w:r>
            <w:r w:rsidRPr="00136022">
              <w:rPr>
                <w:rFonts w:ascii="Arial Narrow" w:eastAsiaTheme="majorEastAsia" w:hAnsi="Arial Narrow" w:cstheme="majorBidi"/>
                <w:bCs/>
                <w:sz w:val="20"/>
                <w:szCs w:val="20"/>
              </w:rPr>
              <w:t xml:space="preserve"> effective</w:t>
            </w:r>
          </w:p>
        </w:tc>
        <w:tc>
          <w:tcPr>
            <w:tcW w:w="413" w:type="pct"/>
            <w:vAlign w:val="center"/>
          </w:tcPr>
          <w:p w14:paraId="69CDE5F7" w14:textId="0830A2F6" w:rsidR="00136022" w:rsidRDefault="00136022" w:rsidP="00136022">
            <w:pPr>
              <w:keepNext/>
              <w:keepLines/>
              <w:jc w:val="center"/>
              <w:rPr>
                <w:rFonts w:ascii="Arial Narrow" w:hAnsi="Arial Narrow"/>
                <w:sz w:val="20"/>
              </w:rPr>
            </w:pPr>
            <w:r>
              <w:rPr>
                <w:rFonts w:ascii="Arial Narrow" w:hAnsi="Arial Narrow"/>
                <w:sz w:val="20"/>
              </w:rPr>
              <w:t>1</w:t>
            </w:r>
          </w:p>
        </w:tc>
        <w:tc>
          <w:tcPr>
            <w:tcW w:w="413" w:type="pct"/>
            <w:vAlign w:val="center"/>
          </w:tcPr>
          <w:p w14:paraId="1AFC317D" w14:textId="77777777" w:rsidR="00136022" w:rsidRDefault="00136022" w:rsidP="00136022">
            <w:pPr>
              <w:keepNext/>
              <w:keepLines/>
              <w:jc w:val="center"/>
              <w:rPr>
                <w:rFonts w:ascii="Arial Narrow" w:hAnsi="Arial Narrow"/>
                <w:sz w:val="20"/>
                <w:szCs w:val="20"/>
              </w:rPr>
            </w:pPr>
            <w:r>
              <w:rPr>
                <w:rFonts w:ascii="Arial Narrow" w:hAnsi="Arial Narrow"/>
                <w:sz w:val="20"/>
                <w:szCs w:val="20"/>
              </w:rPr>
              <w:t>30</w:t>
            </w:r>
          </w:p>
        </w:tc>
        <w:tc>
          <w:tcPr>
            <w:tcW w:w="413" w:type="pct"/>
            <w:vAlign w:val="center"/>
          </w:tcPr>
          <w:p w14:paraId="58034C72" w14:textId="77777777" w:rsidR="00136022" w:rsidRDefault="00136022" w:rsidP="00136022">
            <w:pPr>
              <w:keepNext/>
              <w:keepLines/>
              <w:jc w:val="center"/>
              <w:rPr>
                <w:rFonts w:ascii="Arial Narrow" w:hAnsi="Arial Narrow"/>
                <w:sz w:val="20"/>
              </w:rPr>
            </w:pPr>
            <w:r>
              <w:rPr>
                <w:rFonts w:ascii="Arial Narrow" w:hAnsi="Arial Narrow"/>
                <w:sz w:val="20"/>
              </w:rPr>
              <w:t>5</w:t>
            </w:r>
          </w:p>
        </w:tc>
        <w:tc>
          <w:tcPr>
            <w:tcW w:w="934" w:type="pct"/>
            <w:vAlign w:val="center"/>
          </w:tcPr>
          <w:p w14:paraId="1198888F" w14:textId="77777777" w:rsidR="00136022" w:rsidRPr="00F93C3A" w:rsidRDefault="00136022" w:rsidP="00136022">
            <w:pPr>
              <w:keepNext/>
              <w:keepLines/>
              <w:rPr>
                <w:rFonts w:ascii="Arial Narrow" w:hAnsi="Arial Narrow"/>
                <w:sz w:val="20"/>
                <w:szCs w:val="20"/>
              </w:rPr>
            </w:pPr>
            <w:r>
              <w:rPr>
                <w:rFonts w:ascii="Arial Narrow" w:hAnsi="Arial Narrow"/>
                <w:sz w:val="20"/>
                <w:szCs w:val="20"/>
              </w:rPr>
              <w:t>Tagrisso</w:t>
            </w:r>
          </w:p>
        </w:tc>
      </w:tr>
    </w:tbl>
    <w:p w14:paraId="6E00FBD8" w14:textId="77777777" w:rsidR="00136022" w:rsidRDefault="00136022" w:rsidP="00136022"/>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28" w:type="dxa"/>
          <w:bottom w:w="15" w:type="dxa"/>
          <w:right w:w="28" w:type="dxa"/>
        </w:tblCellMar>
        <w:tblLook w:val="04A0" w:firstRow="1" w:lastRow="0" w:firstColumn="1" w:lastColumn="0" w:noHBand="0" w:noVBand="1"/>
      </w:tblPr>
      <w:tblGrid>
        <w:gridCol w:w="9017"/>
      </w:tblGrid>
      <w:tr w:rsidR="00136022" w:rsidRPr="008C7E9F" w14:paraId="26A5338D" w14:textId="77777777" w:rsidTr="00136022">
        <w:trPr>
          <w:cantSplit/>
          <w:trHeight w:val="20"/>
        </w:trPr>
        <w:tc>
          <w:tcPr>
            <w:tcW w:w="5000" w:type="pct"/>
          </w:tcPr>
          <w:p w14:paraId="0FE6DC7C" w14:textId="77777777" w:rsidR="00136022" w:rsidRPr="008C7E9F" w:rsidRDefault="00136022" w:rsidP="004305CF">
            <w:pPr>
              <w:pStyle w:val="TableText0"/>
              <w:keepLines/>
              <w:rPr>
                <w:szCs w:val="20"/>
              </w:rPr>
            </w:pPr>
            <w:r w:rsidRPr="008C7E9F">
              <w:rPr>
                <w:b/>
                <w:szCs w:val="20"/>
              </w:rPr>
              <w:t xml:space="preserve">Category / Program: </w:t>
            </w:r>
            <w:r w:rsidRPr="008C7E9F">
              <w:rPr>
                <w:szCs w:val="20"/>
              </w:rPr>
              <w:t>General Schedule</w:t>
            </w:r>
          </w:p>
        </w:tc>
      </w:tr>
      <w:tr w:rsidR="00136022" w:rsidRPr="008C7E9F" w14:paraId="1001DF96" w14:textId="77777777" w:rsidTr="00136022">
        <w:trPr>
          <w:cantSplit/>
          <w:trHeight w:val="20"/>
        </w:trPr>
        <w:tc>
          <w:tcPr>
            <w:tcW w:w="5000" w:type="pct"/>
          </w:tcPr>
          <w:p w14:paraId="59B85781" w14:textId="77777777" w:rsidR="00136022" w:rsidRPr="008C7E9F" w:rsidRDefault="00136022" w:rsidP="004305CF">
            <w:pPr>
              <w:pStyle w:val="TableText0"/>
              <w:keepLines/>
              <w:rPr>
                <w:b/>
                <w:szCs w:val="20"/>
              </w:rPr>
            </w:pPr>
            <w:r w:rsidRPr="008C7E9F">
              <w:rPr>
                <w:b/>
                <w:szCs w:val="20"/>
              </w:rPr>
              <w:t>Prescriber type:</w:t>
            </w:r>
            <w:r w:rsidRPr="008C7E9F">
              <w:rPr>
                <w:szCs w:val="20"/>
              </w:rPr>
              <w:t xml:space="preserve"> </w:t>
            </w:r>
            <w:r w:rsidRPr="008C7E9F">
              <w:rPr>
                <w:szCs w:val="20"/>
              </w:rPr>
              <w:fldChar w:fldCharType="begin" w:fldLock="1">
                <w:ffData>
                  <w:name w:val=""/>
                  <w:enabled/>
                  <w:calcOnExit w:val="0"/>
                  <w:checkBox>
                    <w:sizeAuto/>
                    <w:default w:val="1"/>
                  </w:checkBox>
                </w:ffData>
              </w:fldChar>
            </w:r>
            <w:r w:rsidRPr="008C7E9F">
              <w:rPr>
                <w:szCs w:val="20"/>
              </w:rPr>
              <w:instrText xml:space="preserve"> FORMCHECKBOX </w:instrText>
            </w:r>
            <w:r w:rsidR="001E77BF">
              <w:rPr>
                <w:szCs w:val="20"/>
              </w:rPr>
            </w:r>
            <w:r w:rsidR="001E77BF">
              <w:rPr>
                <w:szCs w:val="20"/>
              </w:rPr>
              <w:fldChar w:fldCharType="separate"/>
            </w:r>
            <w:r w:rsidRPr="008C7E9F">
              <w:rPr>
                <w:szCs w:val="20"/>
              </w:rPr>
              <w:fldChar w:fldCharType="end"/>
            </w:r>
            <w:r w:rsidRPr="008C7E9F">
              <w:rPr>
                <w:szCs w:val="20"/>
              </w:rPr>
              <w:t>Medical Practitioners</w:t>
            </w:r>
          </w:p>
        </w:tc>
      </w:tr>
      <w:tr w:rsidR="00136022" w:rsidRPr="008C7E9F" w14:paraId="7E324752" w14:textId="77777777" w:rsidTr="00136022">
        <w:trPr>
          <w:cantSplit/>
          <w:trHeight w:val="20"/>
        </w:trPr>
        <w:tc>
          <w:tcPr>
            <w:tcW w:w="5000" w:type="pct"/>
          </w:tcPr>
          <w:p w14:paraId="02C29748" w14:textId="77777777" w:rsidR="00136022" w:rsidRPr="008C7E9F" w:rsidRDefault="00136022" w:rsidP="004305CF">
            <w:pPr>
              <w:pStyle w:val="TableText0"/>
              <w:keepLines/>
              <w:rPr>
                <w:rFonts w:eastAsia="Times New Roman"/>
                <w:szCs w:val="20"/>
              </w:rPr>
            </w:pPr>
            <w:r w:rsidRPr="008C7E9F">
              <w:rPr>
                <w:b/>
                <w:szCs w:val="20"/>
              </w:rPr>
              <w:t xml:space="preserve">Restriction type: </w:t>
            </w:r>
            <w:r w:rsidRPr="008C7E9F">
              <w:rPr>
                <w:rFonts w:eastAsia="Times New Roman"/>
                <w:szCs w:val="20"/>
              </w:rPr>
              <w:fldChar w:fldCharType="begin" w:fldLock="1">
                <w:ffData>
                  <w:name w:val="Check3"/>
                  <w:enabled/>
                  <w:calcOnExit w:val="0"/>
                  <w:checkBox>
                    <w:sizeAuto/>
                    <w:default w:val="1"/>
                  </w:checkBox>
                </w:ffData>
              </w:fldChar>
            </w:r>
            <w:r w:rsidRPr="008C7E9F">
              <w:rPr>
                <w:rFonts w:eastAsia="Times New Roman"/>
                <w:szCs w:val="20"/>
              </w:rPr>
              <w:instrText xml:space="preserve"> FORMCHECKBOX </w:instrText>
            </w:r>
            <w:r w:rsidR="001E77BF">
              <w:rPr>
                <w:rFonts w:eastAsia="Times New Roman"/>
                <w:szCs w:val="20"/>
              </w:rPr>
            </w:r>
            <w:r w:rsidR="001E77BF">
              <w:rPr>
                <w:rFonts w:eastAsia="Times New Roman"/>
                <w:szCs w:val="20"/>
              </w:rPr>
              <w:fldChar w:fldCharType="separate"/>
            </w:r>
            <w:r w:rsidRPr="008C7E9F">
              <w:rPr>
                <w:rFonts w:eastAsia="Times New Roman"/>
                <w:szCs w:val="20"/>
              </w:rPr>
              <w:fldChar w:fldCharType="end"/>
            </w:r>
            <w:r w:rsidRPr="008C7E9F">
              <w:rPr>
                <w:rFonts w:eastAsia="Times New Roman"/>
                <w:szCs w:val="20"/>
              </w:rPr>
              <w:t>Authority Required (telephone/online PBS Authorities system)</w:t>
            </w:r>
          </w:p>
        </w:tc>
      </w:tr>
      <w:tr w:rsidR="00136022" w:rsidRPr="008C7E9F" w14:paraId="5183A039" w14:textId="77777777" w:rsidTr="00136022">
        <w:trPr>
          <w:cantSplit/>
          <w:trHeight w:val="20"/>
        </w:trPr>
        <w:tc>
          <w:tcPr>
            <w:tcW w:w="5000" w:type="pct"/>
            <w:vAlign w:val="center"/>
          </w:tcPr>
          <w:p w14:paraId="60204854" w14:textId="77777777" w:rsidR="00136022" w:rsidRPr="008C7E9F" w:rsidRDefault="00136022" w:rsidP="004305CF">
            <w:pPr>
              <w:pStyle w:val="TableText0"/>
              <w:keepLines/>
              <w:rPr>
                <w:b/>
                <w:szCs w:val="20"/>
              </w:rPr>
            </w:pPr>
            <w:r w:rsidRPr="008C7E9F">
              <w:rPr>
                <w:b/>
                <w:szCs w:val="20"/>
              </w:rPr>
              <w:t xml:space="preserve">Severity: </w:t>
            </w:r>
            <w:r w:rsidRPr="008C7E9F">
              <w:rPr>
                <w:rFonts w:cs="Arial"/>
                <w:szCs w:val="20"/>
              </w:rPr>
              <w:t>Stage IB, II or IIIA</w:t>
            </w:r>
          </w:p>
        </w:tc>
      </w:tr>
      <w:tr w:rsidR="00136022" w:rsidRPr="008C7E9F" w14:paraId="6E1432AA" w14:textId="77777777" w:rsidTr="00136022">
        <w:trPr>
          <w:cantSplit/>
          <w:trHeight w:val="20"/>
        </w:trPr>
        <w:tc>
          <w:tcPr>
            <w:tcW w:w="5000" w:type="pct"/>
            <w:vAlign w:val="center"/>
          </w:tcPr>
          <w:p w14:paraId="2B68C9D8" w14:textId="77777777" w:rsidR="00136022" w:rsidRPr="008C7E9F" w:rsidRDefault="00136022" w:rsidP="004305CF">
            <w:pPr>
              <w:pStyle w:val="TableText0"/>
              <w:keepLines/>
              <w:rPr>
                <w:b/>
                <w:szCs w:val="20"/>
              </w:rPr>
            </w:pPr>
            <w:r w:rsidRPr="008C7E9F">
              <w:rPr>
                <w:b/>
                <w:szCs w:val="20"/>
              </w:rPr>
              <w:t xml:space="preserve">Condition: </w:t>
            </w:r>
            <w:r w:rsidRPr="008C7E9F">
              <w:rPr>
                <w:rFonts w:cs="Arial"/>
                <w:szCs w:val="20"/>
              </w:rPr>
              <w:t>non-small cell lung cancer</w:t>
            </w:r>
          </w:p>
        </w:tc>
      </w:tr>
      <w:tr w:rsidR="00136022" w:rsidRPr="008C7E9F" w14:paraId="3440A95A" w14:textId="77777777" w:rsidTr="00136022">
        <w:trPr>
          <w:cantSplit/>
          <w:trHeight w:val="20"/>
        </w:trPr>
        <w:tc>
          <w:tcPr>
            <w:tcW w:w="5000" w:type="pct"/>
            <w:vAlign w:val="center"/>
            <w:hideMark/>
          </w:tcPr>
          <w:p w14:paraId="52DE466D" w14:textId="77777777" w:rsidR="00136022" w:rsidRPr="008C7E9F" w:rsidRDefault="00136022" w:rsidP="004305CF">
            <w:pPr>
              <w:pStyle w:val="TableText0"/>
              <w:keepLines/>
              <w:rPr>
                <w:szCs w:val="20"/>
              </w:rPr>
            </w:pPr>
            <w:r w:rsidRPr="008C7E9F">
              <w:rPr>
                <w:b/>
                <w:szCs w:val="20"/>
              </w:rPr>
              <w:t>Indication:</w:t>
            </w:r>
            <w:r w:rsidRPr="008C7E9F">
              <w:rPr>
                <w:szCs w:val="20"/>
              </w:rPr>
              <w:t xml:space="preserve"> </w:t>
            </w:r>
            <w:r w:rsidRPr="008C7E9F">
              <w:rPr>
                <w:rFonts w:cs="Arial"/>
                <w:szCs w:val="20"/>
              </w:rPr>
              <w:t>Resected early stage (Stage IB, II or IIIA) non-small cell lung cancer</w:t>
            </w:r>
          </w:p>
        </w:tc>
      </w:tr>
      <w:tr w:rsidR="00136022" w:rsidRPr="008C7E9F" w14:paraId="66259F07" w14:textId="77777777" w:rsidTr="00136022">
        <w:trPr>
          <w:cantSplit/>
          <w:trHeight w:val="20"/>
        </w:trPr>
        <w:tc>
          <w:tcPr>
            <w:tcW w:w="5000" w:type="pct"/>
            <w:vAlign w:val="center"/>
            <w:hideMark/>
          </w:tcPr>
          <w:p w14:paraId="35179E6E" w14:textId="77777777" w:rsidR="00136022" w:rsidRPr="008C7E9F" w:rsidRDefault="00136022" w:rsidP="004305CF">
            <w:pPr>
              <w:pStyle w:val="TableText0"/>
              <w:keepLines/>
              <w:rPr>
                <w:szCs w:val="20"/>
              </w:rPr>
            </w:pPr>
            <w:r w:rsidRPr="008C7E9F">
              <w:rPr>
                <w:b/>
                <w:szCs w:val="20"/>
              </w:rPr>
              <w:t>Treatment Phase:</w:t>
            </w:r>
            <w:r w:rsidRPr="008C7E9F">
              <w:rPr>
                <w:szCs w:val="20"/>
              </w:rPr>
              <w:t xml:space="preserve"> </w:t>
            </w:r>
            <w:r w:rsidRPr="008C7E9F">
              <w:rPr>
                <w:rFonts w:cs="Arial"/>
                <w:szCs w:val="20"/>
              </w:rPr>
              <w:t>Initial treatment</w:t>
            </w:r>
          </w:p>
        </w:tc>
      </w:tr>
      <w:tr w:rsidR="00136022" w:rsidRPr="008C7E9F" w14:paraId="4320C0BE" w14:textId="77777777" w:rsidTr="00136022">
        <w:trPr>
          <w:cantSplit/>
          <w:trHeight w:val="20"/>
        </w:trPr>
        <w:tc>
          <w:tcPr>
            <w:tcW w:w="5000" w:type="pct"/>
            <w:vAlign w:val="center"/>
            <w:hideMark/>
          </w:tcPr>
          <w:p w14:paraId="1A6F83D2" w14:textId="77777777" w:rsidR="00136022" w:rsidRPr="008C7E9F" w:rsidRDefault="00136022" w:rsidP="004305CF">
            <w:pPr>
              <w:pStyle w:val="TableText0"/>
              <w:keepLines/>
              <w:rPr>
                <w:szCs w:val="20"/>
              </w:rPr>
            </w:pPr>
            <w:r w:rsidRPr="008C7E9F">
              <w:rPr>
                <w:b/>
                <w:szCs w:val="20"/>
              </w:rPr>
              <w:t>Clinical criteria:</w:t>
            </w:r>
          </w:p>
        </w:tc>
      </w:tr>
      <w:tr w:rsidR="00136022" w:rsidRPr="008C7E9F" w14:paraId="1C79B3F5" w14:textId="77777777" w:rsidTr="00136022">
        <w:trPr>
          <w:cantSplit/>
          <w:trHeight w:val="20"/>
        </w:trPr>
        <w:tc>
          <w:tcPr>
            <w:tcW w:w="5000" w:type="pct"/>
            <w:vAlign w:val="center"/>
            <w:hideMark/>
          </w:tcPr>
          <w:p w14:paraId="3D2701B8" w14:textId="77777777" w:rsidR="00136022" w:rsidRPr="008C7E9F" w:rsidRDefault="00136022" w:rsidP="004305CF">
            <w:pPr>
              <w:pStyle w:val="TableText0"/>
              <w:keepLines/>
              <w:rPr>
                <w:szCs w:val="20"/>
              </w:rPr>
            </w:pPr>
            <w:r w:rsidRPr="008C7E9F">
              <w:rPr>
                <w:rFonts w:cs="Arial"/>
                <w:szCs w:val="20"/>
              </w:rPr>
              <w:t xml:space="preserve">Patient must not have received PBS-subsidised treatment with an </w:t>
            </w:r>
            <w:r w:rsidRPr="006474C4">
              <w:rPr>
                <w:rFonts w:cs="Arial"/>
                <w:i/>
                <w:szCs w:val="20"/>
              </w:rPr>
              <w:t>EGFR</w:t>
            </w:r>
            <w:r w:rsidRPr="008C7E9F">
              <w:rPr>
                <w:rFonts w:cs="Arial"/>
                <w:szCs w:val="20"/>
              </w:rPr>
              <w:t>-TKI for non-small cell lung cancer</w:t>
            </w:r>
          </w:p>
        </w:tc>
      </w:tr>
      <w:tr w:rsidR="00136022" w:rsidRPr="008C7E9F" w14:paraId="3CE90937" w14:textId="77777777" w:rsidTr="00136022">
        <w:trPr>
          <w:cantSplit/>
          <w:trHeight w:val="20"/>
        </w:trPr>
        <w:tc>
          <w:tcPr>
            <w:tcW w:w="5000" w:type="pct"/>
            <w:vAlign w:val="center"/>
            <w:hideMark/>
          </w:tcPr>
          <w:p w14:paraId="142725FD" w14:textId="77777777" w:rsidR="00136022" w:rsidRPr="008C7E9F" w:rsidRDefault="00136022" w:rsidP="004305CF">
            <w:pPr>
              <w:pStyle w:val="TableText0"/>
              <w:keepLines/>
              <w:rPr>
                <w:szCs w:val="20"/>
              </w:rPr>
            </w:pPr>
            <w:r w:rsidRPr="008C7E9F">
              <w:rPr>
                <w:b/>
                <w:szCs w:val="20"/>
              </w:rPr>
              <w:t>AND</w:t>
            </w:r>
          </w:p>
        </w:tc>
      </w:tr>
      <w:tr w:rsidR="00136022" w:rsidRPr="008C7E9F" w14:paraId="35FF3D8B" w14:textId="77777777" w:rsidTr="00136022">
        <w:trPr>
          <w:cantSplit/>
          <w:trHeight w:val="20"/>
        </w:trPr>
        <w:tc>
          <w:tcPr>
            <w:tcW w:w="5000" w:type="pct"/>
            <w:vAlign w:val="center"/>
            <w:hideMark/>
          </w:tcPr>
          <w:p w14:paraId="2A526526" w14:textId="77777777" w:rsidR="00136022" w:rsidRPr="008C7E9F" w:rsidRDefault="00136022" w:rsidP="004305CF">
            <w:pPr>
              <w:pStyle w:val="TableText0"/>
              <w:keepLines/>
              <w:rPr>
                <w:szCs w:val="20"/>
              </w:rPr>
            </w:pPr>
            <w:r w:rsidRPr="008C7E9F">
              <w:rPr>
                <w:rFonts w:cs="Arial"/>
                <w:szCs w:val="20"/>
              </w:rPr>
              <w:t>The treatment must be for the purpose of adjuvant therapy following surgical resection</w:t>
            </w:r>
          </w:p>
        </w:tc>
      </w:tr>
      <w:tr w:rsidR="00136022" w:rsidRPr="008C7E9F" w14:paraId="2B1D1542" w14:textId="77777777" w:rsidTr="00136022">
        <w:trPr>
          <w:cantSplit/>
          <w:trHeight w:val="20"/>
        </w:trPr>
        <w:tc>
          <w:tcPr>
            <w:tcW w:w="5000" w:type="pct"/>
            <w:vAlign w:val="center"/>
            <w:hideMark/>
          </w:tcPr>
          <w:p w14:paraId="4E68F21D" w14:textId="77777777" w:rsidR="00136022" w:rsidRPr="008C7E9F" w:rsidRDefault="00136022" w:rsidP="004305CF">
            <w:pPr>
              <w:pStyle w:val="TableText0"/>
              <w:keepLines/>
              <w:rPr>
                <w:color w:val="0066FF"/>
                <w:szCs w:val="20"/>
              </w:rPr>
            </w:pPr>
            <w:r w:rsidRPr="008C7E9F">
              <w:rPr>
                <w:b/>
                <w:szCs w:val="20"/>
              </w:rPr>
              <w:t>AND</w:t>
            </w:r>
          </w:p>
        </w:tc>
      </w:tr>
      <w:tr w:rsidR="00136022" w:rsidRPr="008C7E9F" w14:paraId="15B80637" w14:textId="77777777" w:rsidTr="00136022">
        <w:trPr>
          <w:cantSplit/>
          <w:trHeight w:val="20"/>
        </w:trPr>
        <w:tc>
          <w:tcPr>
            <w:tcW w:w="5000" w:type="pct"/>
            <w:vAlign w:val="center"/>
          </w:tcPr>
          <w:p w14:paraId="4D2168A3" w14:textId="77777777" w:rsidR="00136022" w:rsidRPr="004E5636" w:rsidRDefault="00136022" w:rsidP="004305CF">
            <w:pPr>
              <w:pStyle w:val="TableText0"/>
              <w:keepLines/>
              <w:rPr>
                <w:b/>
                <w:i/>
                <w:iCs/>
                <w:szCs w:val="20"/>
              </w:rPr>
            </w:pPr>
            <w:r w:rsidRPr="008C7E9F">
              <w:rPr>
                <w:rFonts w:cs="Arial"/>
                <w:szCs w:val="20"/>
              </w:rPr>
              <w:t>Patient must have a WHO performance status of no greater than 2 at treatment initiation of this drug</w:t>
            </w:r>
            <w:r>
              <w:rPr>
                <w:rFonts w:cs="Arial"/>
                <w:szCs w:val="20"/>
              </w:rPr>
              <w:t xml:space="preserve"> </w:t>
            </w:r>
            <w:r>
              <w:rPr>
                <w:rFonts w:cs="Arial"/>
                <w:i/>
                <w:iCs/>
                <w:szCs w:val="20"/>
              </w:rPr>
              <w:t>for this condition</w:t>
            </w:r>
          </w:p>
        </w:tc>
      </w:tr>
      <w:tr w:rsidR="00136022" w:rsidRPr="008C7E9F" w14:paraId="19E57EF3" w14:textId="77777777" w:rsidTr="00136022">
        <w:trPr>
          <w:cantSplit/>
          <w:trHeight w:val="20"/>
        </w:trPr>
        <w:tc>
          <w:tcPr>
            <w:tcW w:w="5000" w:type="pct"/>
            <w:vAlign w:val="center"/>
          </w:tcPr>
          <w:p w14:paraId="7372E5C4" w14:textId="77777777" w:rsidR="00136022" w:rsidRPr="008C7E9F" w:rsidRDefault="00136022" w:rsidP="004305CF">
            <w:pPr>
              <w:pStyle w:val="TableText0"/>
              <w:keepLines/>
              <w:rPr>
                <w:rFonts w:cs="Arial"/>
                <w:szCs w:val="20"/>
              </w:rPr>
            </w:pPr>
            <w:r w:rsidRPr="008C7E9F">
              <w:rPr>
                <w:b/>
                <w:szCs w:val="20"/>
              </w:rPr>
              <w:t>AND</w:t>
            </w:r>
          </w:p>
        </w:tc>
      </w:tr>
      <w:tr w:rsidR="00136022" w:rsidRPr="008C7E9F" w14:paraId="724A222A" w14:textId="77777777" w:rsidTr="00136022">
        <w:trPr>
          <w:cantSplit/>
          <w:trHeight w:val="20"/>
        </w:trPr>
        <w:tc>
          <w:tcPr>
            <w:tcW w:w="5000" w:type="pct"/>
            <w:vAlign w:val="center"/>
          </w:tcPr>
          <w:p w14:paraId="0E3715C0" w14:textId="77777777" w:rsidR="00136022" w:rsidRPr="008C7E9F" w:rsidRDefault="00136022" w:rsidP="004305CF">
            <w:pPr>
              <w:pStyle w:val="TableText0"/>
              <w:keepLines/>
              <w:rPr>
                <w:b/>
                <w:szCs w:val="20"/>
              </w:rPr>
            </w:pPr>
            <w:r w:rsidRPr="008C7E9F">
              <w:rPr>
                <w:szCs w:val="20"/>
              </w:rPr>
              <w:t>The condition must have, prior to initiating treatment with drug, evidence of an activating epidermal growth factor receptor (</w:t>
            </w:r>
            <w:r w:rsidRPr="006474C4">
              <w:rPr>
                <w:i/>
                <w:szCs w:val="20"/>
              </w:rPr>
              <w:t>EGFR</w:t>
            </w:r>
            <w:r w:rsidRPr="008C7E9F">
              <w:rPr>
                <w:szCs w:val="20"/>
              </w:rPr>
              <w:t>) mutation</w:t>
            </w:r>
            <w:r>
              <w:rPr>
                <w:szCs w:val="20"/>
              </w:rPr>
              <w:t xml:space="preserve"> </w:t>
            </w:r>
            <w:r w:rsidRPr="0037543B">
              <w:rPr>
                <w:i/>
                <w:iCs/>
                <w:szCs w:val="20"/>
              </w:rPr>
              <w:t>known to confer sensitivity to treatment with EGFR tyrosine kinase inhibitors</w:t>
            </w:r>
          </w:p>
        </w:tc>
      </w:tr>
      <w:tr w:rsidR="00136022" w:rsidRPr="008C7E9F" w14:paraId="2984443A" w14:textId="77777777" w:rsidTr="00136022">
        <w:trPr>
          <w:cantSplit/>
          <w:trHeight w:val="20"/>
        </w:trPr>
        <w:tc>
          <w:tcPr>
            <w:tcW w:w="5000" w:type="pct"/>
            <w:vAlign w:val="center"/>
          </w:tcPr>
          <w:p w14:paraId="23CDCED3" w14:textId="77777777" w:rsidR="00136022" w:rsidRPr="008C7E9F" w:rsidRDefault="00136022" w:rsidP="004305CF">
            <w:pPr>
              <w:pStyle w:val="TableText0"/>
              <w:keepLines/>
              <w:rPr>
                <w:szCs w:val="20"/>
              </w:rPr>
            </w:pPr>
            <w:r w:rsidRPr="008C7E9F">
              <w:rPr>
                <w:b/>
                <w:szCs w:val="20"/>
              </w:rPr>
              <w:t>AND</w:t>
            </w:r>
          </w:p>
        </w:tc>
      </w:tr>
      <w:tr w:rsidR="00136022" w:rsidRPr="008C7E9F" w14:paraId="59184848" w14:textId="77777777" w:rsidTr="00136022">
        <w:trPr>
          <w:cantSplit/>
          <w:trHeight w:val="20"/>
        </w:trPr>
        <w:tc>
          <w:tcPr>
            <w:tcW w:w="5000" w:type="pct"/>
            <w:vAlign w:val="center"/>
          </w:tcPr>
          <w:p w14:paraId="1EFC88C9" w14:textId="77777777" w:rsidR="00136022" w:rsidRPr="008C7E9F" w:rsidRDefault="00136022" w:rsidP="004305CF">
            <w:pPr>
              <w:pStyle w:val="TableText0"/>
              <w:keepLines/>
              <w:rPr>
                <w:szCs w:val="20"/>
              </w:rPr>
            </w:pPr>
            <w:r w:rsidRPr="004E5636">
              <w:rPr>
                <w:i/>
                <w:iCs/>
                <w:szCs w:val="20"/>
              </w:rPr>
              <w:t>The</w:t>
            </w:r>
            <w:r>
              <w:rPr>
                <w:szCs w:val="20"/>
              </w:rPr>
              <w:t xml:space="preserve"> t</w:t>
            </w:r>
            <w:r w:rsidRPr="008C7E9F">
              <w:rPr>
                <w:szCs w:val="20"/>
              </w:rPr>
              <w:t>reatment must be the sole PBS-subsidised therapy for this condition</w:t>
            </w:r>
          </w:p>
        </w:tc>
      </w:tr>
      <w:tr w:rsidR="00136022" w:rsidRPr="008C7E9F" w14:paraId="0AE03D65" w14:textId="77777777" w:rsidTr="00136022">
        <w:trPr>
          <w:cantSplit/>
          <w:trHeight w:val="20"/>
        </w:trPr>
        <w:tc>
          <w:tcPr>
            <w:tcW w:w="5000" w:type="pct"/>
            <w:vAlign w:val="center"/>
            <w:hideMark/>
          </w:tcPr>
          <w:p w14:paraId="0F675979" w14:textId="77777777" w:rsidR="00136022" w:rsidRPr="008C7E9F" w:rsidRDefault="00136022" w:rsidP="004305CF">
            <w:pPr>
              <w:pStyle w:val="TableText0"/>
              <w:keepLines/>
              <w:rPr>
                <w:szCs w:val="20"/>
              </w:rPr>
            </w:pPr>
            <w:r w:rsidRPr="008C7E9F">
              <w:rPr>
                <w:b/>
                <w:szCs w:val="20"/>
              </w:rPr>
              <w:t>Treatment criteria:</w:t>
            </w:r>
          </w:p>
        </w:tc>
      </w:tr>
      <w:tr w:rsidR="00136022" w:rsidRPr="008C7E9F" w14:paraId="2CBE74AD" w14:textId="77777777" w:rsidTr="00136022">
        <w:trPr>
          <w:cantSplit/>
          <w:trHeight w:val="20"/>
        </w:trPr>
        <w:tc>
          <w:tcPr>
            <w:tcW w:w="5000" w:type="pct"/>
            <w:vAlign w:val="center"/>
            <w:hideMark/>
          </w:tcPr>
          <w:p w14:paraId="2E91775E" w14:textId="77777777" w:rsidR="00136022" w:rsidRPr="0037543B" w:rsidRDefault="00136022" w:rsidP="004305CF">
            <w:pPr>
              <w:pStyle w:val="PBACtext"/>
              <w:rPr>
                <w:rFonts w:cs="Arial"/>
                <w:strike/>
                <w:sz w:val="20"/>
                <w:szCs w:val="20"/>
              </w:rPr>
            </w:pPr>
            <w:r w:rsidRPr="0037543B">
              <w:rPr>
                <w:rFonts w:cs="Arial"/>
                <w:strike/>
                <w:sz w:val="20"/>
                <w:szCs w:val="20"/>
              </w:rPr>
              <w:t xml:space="preserve">Patient must be undergoing treatment with this drug at a dosing regimen specified in this drug's approved Australian Product Information </w:t>
            </w:r>
          </w:p>
          <w:p w14:paraId="1D9D0B12" w14:textId="77777777" w:rsidR="00136022" w:rsidRPr="008C7E9F" w:rsidRDefault="00136022" w:rsidP="004305CF">
            <w:pPr>
              <w:pStyle w:val="TableText0"/>
              <w:keepLines/>
              <w:rPr>
                <w:i/>
                <w:iCs/>
                <w:szCs w:val="20"/>
              </w:rPr>
            </w:pPr>
          </w:p>
        </w:tc>
      </w:tr>
      <w:tr w:rsidR="00136022" w:rsidRPr="008C7E9F" w14:paraId="1869CF0F" w14:textId="77777777" w:rsidTr="00136022">
        <w:trPr>
          <w:cantSplit/>
          <w:trHeight w:val="20"/>
        </w:trPr>
        <w:tc>
          <w:tcPr>
            <w:tcW w:w="5000" w:type="pct"/>
          </w:tcPr>
          <w:p w14:paraId="015E442B" w14:textId="77777777" w:rsidR="00136022" w:rsidRPr="0037543B" w:rsidRDefault="00136022" w:rsidP="004305CF">
            <w:pPr>
              <w:pStyle w:val="PBACtext"/>
              <w:rPr>
                <w:rFonts w:cs="Arial"/>
                <w:sz w:val="20"/>
                <w:szCs w:val="20"/>
              </w:rPr>
            </w:pPr>
            <w:r w:rsidRPr="008C7E9F">
              <w:rPr>
                <w:rFonts w:cs="Arial"/>
                <w:sz w:val="20"/>
                <w:szCs w:val="20"/>
              </w:rPr>
              <w:t>AND</w:t>
            </w:r>
          </w:p>
        </w:tc>
      </w:tr>
      <w:tr w:rsidR="00136022" w:rsidRPr="008C7E9F" w14:paraId="653C4210" w14:textId="77777777" w:rsidTr="00136022">
        <w:trPr>
          <w:cantSplit/>
          <w:trHeight w:val="20"/>
        </w:trPr>
        <w:tc>
          <w:tcPr>
            <w:tcW w:w="5000" w:type="pct"/>
          </w:tcPr>
          <w:p w14:paraId="640314A7" w14:textId="77777777" w:rsidR="00136022" w:rsidRPr="008C7E9F" w:rsidRDefault="00136022" w:rsidP="004305CF">
            <w:pPr>
              <w:pStyle w:val="TableText0"/>
              <w:keepLines/>
              <w:rPr>
                <w:b/>
                <w:szCs w:val="20"/>
              </w:rPr>
            </w:pPr>
            <w:r w:rsidRPr="004E5636">
              <w:rPr>
                <w:rFonts w:cs="Arial"/>
                <w:i/>
                <w:iCs/>
                <w:szCs w:val="20"/>
              </w:rPr>
              <w:lastRenderedPageBreak/>
              <w:t>The</w:t>
            </w:r>
            <w:r>
              <w:rPr>
                <w:rFonts w:cs="Arial"/>
                <w:szCs w:val="20"/>
              </w:rPr>
              <w:t xml:space="preserve"> t</w:t>
            </w:r>
            <w:r w:rsidRPr="008C7E9F">
              <w:rPr>
                <w:rFonts w:cs="Arial"/>
                <w:szCs w:val="20"/>
              </w:rPr>
              <w:t>reatment must be commenced within 26 weeks of surgery</w:t>
            </w:r>
          </w:p>
        </w:tc>
      </w:tr>
      <w:tr w:rsidR="00136022" w:rsidRPr="008C7E9F" w14:paraId="19FBE530" w14:textId="77777777" w:rsidTr="00136022">
        <w:trPr>
          <w:cantSplit/>
          <w:trHeight w:val="20"/>
        </w:trPr>
        <w:tc>
          <w:tcPr>
            <w:tcW w:w="5000" w:type="pct"/>
          </w:tcPr>
          <w:p w14:paraId="6F7FEEDF" w14:textId="77777777" w:rsidR="00136022" w:rsidRPr="008C7E9F" w:rsidRDefault="00136022" w:rsidP="004305CF">
            <w:pPr>
              <w:pStyle w:val="PBACtext"/>
              <w:rPr>
                <w:b/>
                <w:sz w:val="20"/>
                <w:szCs w:val="20"/>
              </w:rPr>
            </w:pPr>
          </w:p>
        </w:tc>
      </w:tr>
      <w:tr w:rsidR="00136022" w:rsidRPr="008C7E9F" w14:paraId="032D3493" w14:textId="77777777" w:rsidTr="00136022">
        <w:trPr>
          <w:cantSplit/>
          <w:trHeight w:val="20"/>
        </w:trPr>
        <w:tc>
          <w:tcPr>
            <w:tcW w:w="5000" w:type="pct"/>
          </w:tcPr>
          <w:p w14:paraId="217AE844" w14:textId="77777777" w:rsidR="00136022" w:rsidRPr="008C7E9F" w:rsidRDefault="00136022" w:rsidP="004305CF">
            <w:pPr>
              <w:pStyle w:val="PBACtext"/>
              <w:rPr>
                <w:b/>
                <w:sz w:val="20"/>
                <w:szCs w:val="20"/>
              </w:rPr>
            </w:pPr>
          </w:p>
        </w:tc>
      </w:tr>
      <w:tr w:rsidR="00136022" w:rsidRPr="008C7E9F" w14:paraId="33E03636" w14:textId="77777777" w:rsidTr="00136022">
        <w:trPr>
          <w:cantSplit/>
          <w:trHeight w:val="20"/>
        </w:trPr>
        <w:tc>
          <w:tcPr>
            <w:tcW w:w="5000" w:type="pct"/>
          </w:tcPr>
          <w:p w14:paraId="490A86BF" w14:textId="77777777" w:rsidR="00136022" w:rsidRPr="008C7E9F" w:rsidRDefault="00136022" w:rsidP="004305CF">
            <w:pPr>
              <w:pStyle w:val="PBACtext"/>
              <w:rPr>
                <w:rFonts w:cs="Arial"/>
                <w:sz w:val="20"/>
                <w:szCs w:val="20"/>
              </w:rPr>
            </w:pPr>
            <w:r w:rsidRPr="008C7E9F">
              <w:rPr>
                <w:b/>
                <w:sz w:val="20"/>
                <w:szCs w:val="20"/>
              </w:rPr>
              <w:t xml:space="preserve">Category / Program: </w:t>
            </w:r>
            <w:r w:rsidRPr="008C7E9F">
              <w:rPr>
                <w:sz w:val="20"/>
                <w:szCs w:val="20"/>
              </w:rPr>
              <w:t>General Schedule</w:t>
            </w:r>
          </w:p>
        </w:tc>
      </w:tr>
      <w:tr w:rsidR="00136022" w:rsidRPr="008C7E9F" w14:paraId="189FF84A" w14:textId="77777777" w:rsidTr="00136022">
        <w:trPr>
          <w:cantSplit/>
          <w:trHeight w:val="20"/>
        </w:trPr>
        <w:tc>
          <w:tcPr>
            <w:tcW w:w="5000" w:type="pct"/>
          </w:tcPr>
          <w:p w14:paraId="1B11E58C" w14:textId="77777777" w:rsidR="00136022" w:rsidRPr="008C7E9F" w:rsidRDefault="00136022" w:rsidP="004305CF">
            <w:pPr>
              <w:pStyle w:val="PBACtext"/>
              <w:rPr>
                <w:rFonts w:cs="Arial"/>
                <w:sz w:val="20"/>
                <w:szCs w:val="20"/>
              </w:rPr>
            </w:pPr>
            <w:r w:rsidRPr="008C7E9F">
              <w:rPr>
                <w:b/>
                <w:sz w:val="20"/>
                <w:szCs w:val="20"/>
              </w:rPr>
              <w:t>Prescriber type:</w:t>
            </w:r>
            <w:r w:rsidRPr="008C7E9F">
              <w:rPr>
                <w:sz w:val="20"/>
                <w:szCs w:val="20"/>
              </w:rPr>
              <w:t xml:space="preserve"> </w:t>
            </w:r>
            <w:r w:rsidRPr="008C7E9F">
              <w:rPr>
                <w:sz w:val="20"/>
                <w:szCs w:val="20"/>
              </w:rPr>
              <w:fldChar w:fldCharType="begin" w:fldLock="1">
                <w:ffData>
                  <w:name w:val=""/>
                  <w:enabled/>
                  <w:calcOnExit w:val="0"/>
                  <w:checkBox>
                    <w:sizeAuto/>
                    <w:default w:val="1"/>
                  </w:checkBox>
                </w:ffData>
              </w:fldChar>
            </w:r>
            <w:r w:rsidRPr="008C7E9F">
              <w:rPr>
                <w:sz w:val="20"/>
                <w:szCs w:val="20"/>
              </w:rPr>
              <w:instrText xml:space="preserve"> FORMCHECKBOX </w:instrText>
            </w:r>
            <w:r w:rsidR="001E77BF">
              <w:rPr>
                <w:sz w:val="20"/>
                <w:szCs w:val="20"/>
              </w:rPr>
            </w:r>
            <w:r w:rsidR="001E77BF">
              <w:rPr>
                <w:sz w:val="20"/>
                <w:szCs w:val="20"/>
              </w:rPr>
              <w:fldChar w:fldCharType="separate"/>
            </w:r>
            <w:r w:rsidRPr="008C7E9F">
              <w:rPr>
                <w:sz w:val="20"/>
                <w:szCs w:val="20"/>
              </w:rPr>
              <w:fldChar w:fldCharType="end"/>
            </w:r>
            <w:r w:rsidRPr="008C7E9F">
              <w:rPr>
                <w:sz w:val="20"/>
                <w:szCs w:val="20"/>
              </w:rPr>
              <w:t>Medical Practitioners</w:t>
            </w:r>
          </w:p>
        </w:tc>
      </w:tr>
      <w:tr w:rsidR="00136022" w:rsidRPr="008C7E9F" w14:paraId="1DEE1BCE" w14:textId="77777777" w:rsidTr="00136022">
        <w:trPr>
          <w:cantSplit/>
          <w:trHeight w:val="20"/>
        </w:trPr>
        <w:tc>
          <w:tcPr>
            <w:tcW w:w="5000" w:type="pct"/>
          </w:tcPr>
          <w:p w14:paraId="73FF22FC" w14:textId="77777777" w:rsidR="00136022" w:rsidRPr="008C7E9F" w:rsidRDefault="00136022" w:rsidP="004305CF">
            <w:pPr>
              <w:pStyle w:val="PBACtext"/>
              <w:rPr>
                <w:rFonts w:cs="Arial"/>
                <w:sz w:val="20"/>
                <w:szCs w:val="20"/>
              </w:rPr>
            </w:pPr>
            <w:r w:rsidRPr="008C7E9F">
              <w:rPr>
                <w:b/>
                <w:sz w:val="20"/>
                <w:szCs w:val="20"/>
              </w:rPr>
              <w:t xml:space="preserve">Restriction type: </w:t>
            </w:r>
            <w:r w:rsidRPr="008C7E9F">
              <w:rPr>
                <w:rFonts w:eastAsia="Times New Roman"/>
                <w:sz w:val="20"/>
                <w:szCs w:val="20"/>
              </w:rPr>
              <w:fldChar w:fldCharType="begin" w:fldLock="1">
                <w:ffData>
                  <w:name w:val="Check3"/>
                  <w:enabled/>
                  <w:calcOnExit w:val="0"/>
                  <w:checkBox>
                    <w:sizeAuto/>
                    <w:default w:val="1"/>
                  </w:checkBox>
                </w:ffData>
              </w:fldChar>
            </w:r>
            <w:r w:rsidRPr="008C7E9F">
              <w:rPr>
                <w:rFonts w:eastAsia="Times New Roman"/>
                <w:sz w:val="20"/>
                <w:szCs w:val="20"/>
              </w:rPr>
              <w:instrText xml:space="preserve"> FORMCHECKBOX </w:instrText>
            </w:r>
            <w:r w:rsidR="001E77BF">
              <w:rPr>
                <w:rFonts w:eastAsia="Times New Roman"/>
                <w:sz w:val="20"/>
                <w:szCs w:val="20"/>
              </w:rPr>
            </w:r>
            <w:r w:rsidR="001E77BF">
              <w:rPr>
                <w:rFonts w:eastAsia="Times New Roman"/>
                <w:sz w:val="20"/>
                <w:szCs w:val="20"/>
              </w:rPr>
              <w:fldChar w:fldCharType="separate"/>
            </w:r>
            <w:r w:rsidRPr="008C7E9F">
              <w:rPr>
                <w:rFonts w:eastAsia="Times New Roman"/>
                <w:sz w:val="20"/>
                <w:szCs w:val="20"/>
              </w:rPr>
              <w:fldChar w:fldCharType="end"/>
            </w:r>
            <w:r w:rsidRPr="008C7E9F">
              <w:rPr>
                <w:rFonts w:eastAsia="Times New Roman"/>
                <w:sz w:val="20"/>
                <w:szCs w:val="20"/>
              </w:rPr>
              <w:t>Authority Required (telephone/online PBS Authorities system)</w:t>
            </w:r>
          </w:p>
        </w:tc>
      </w:tr>
      <w:tr w:rsidR="00136022" w:rsidRPr="008C7E9F" w14:paraId="10D814F9" w14:textId="77777777" w:rsidTr="00136022">
        <w:trPr>
          <w:cantSplit/>
          <w:trHeight w:val="20"/>
        </w:trPr>
        <w:tc>
          <w:tcPr>
            <w:tcW w:w="5000" w:type="pct"/>
            <w:vAlign w:val="center"/>
          </w:tcPr>
          <w:p w14:paraId="60DCC756" w14:textId="77777777" w:rsidR="00136022" w:rsidRPr="008C7E9F" w:rsidRDefault="00136022" w:rsidP="004305CF">
            <w:pPr>
              <w:pStyle w:val="PBACtext"/>
              <w:rPr>
                <w:rFonts w:cs="Arial"/>
                <w:sz w:val="20"/>
                <w:szCs w:val="20"/>
              </w:rPr>
            </w:pPr>
            <w:r w:rsidRPr="008C7E9F">
              <w:rPr>
                <w:rFonts w:cs="Arial"/>
                <w:b/>
                <w:sz w:val="20"/>
                <w:szCs w:val="20"/>
                <w:lang w:eastAsia="en-AU"/>
              </w:rPr>
              <w:t xml:space="preserve">Severity: </w:t>
            </w:r>
            <w:r w:rsidRPr="008C7E9F">
              <w:rPr>
                <w:rFonts w:cs="Arial"/>
                <w:sz w:val="20"/>
                <w:szCs w:val="20"/>
                <w:lang w:eastAsia="en-AU"/>
              </w:rPr>
              <w:t>Stage IB, II or IIIA</w:t>
            </w:r>
          </w:p>
        </w:tc>
      </w:tr>
      <w:tr w:rsidR="00136022" w:rsidRPr="008C7E9F" w14:paraId="4D4AAEE3" w14:textId="77777777" w:rsidTr="00136022">
        <w:trPr>
          <w:cantSplit/>
          <w:trHeight w:val="20"/>
        </w:trPr>
        <w:tc>
          <w:tcPr>
            <w:tcW w:w="5000" w:type="pct"/>
            <w:vAlign w:val="center"/>
          </w:tcPr>
          <w:p w14:paraId="15648B8F" w14:textId="77777777" w:rsidR="00136022" w:rsidRPr="008C7E9F" w:rsidRDefault="00136022" w:rsidP="004305CF">
            <w:pPr>
              <w:pStyle w:val="PBACtext"/>
              <w:rPr>
                <w:rFonts w:cs="Arial"/>
                <w:sz w:val="20"/>
                <w:szCs w:val="20"/>
              </w:rPr>
            </w:pPr>
            <w:r w:rsidRPr="008C7E9F">
              <w:rPr>
                <w:rFonts w:cs="Arial"/>
                <w:b/>
                <w:sz w:val="20"/>
                <w:szCs w:val="20"/>
                <w:lang w:eastAsia="en-AU"/>
              </w:rPr>
              <w:t xml:space="preserve">Condition: </w:t>
            </w:r>
            <w:r w:rsidRPr="008C7E9F">
              <w:rPr>
                <w:rFonts w:cs="Arial"/>
                <w:sz w:val="20"/>
                <w:szCs w:val="20"/>
                <w:lang w:eastAsia="en-AU"/>
              </w:rPr>
              <w:t>non-small cell lung cancer</w:t>
            </w:r>
          </w:p>
        </w:tc>
      </w:tr>
      <w:tr w:rsidR="00136022" w:rsidRPr="008C7E9F" w14:paraId="7856FCDC" w14:textId="77777777" w:rsidTr="00136022">
        <w:trPr>
          <w:cantSplit/>
          <w:trHeight w:val="20"/>
        </w:trPr>
        <w:tc>
          <w:tcPr>
            <w:tcW w:w="5000" w:type="pct"/>
            <w:vAlign w:val="center"/>
          </w:tcPr>
          <w:p w14:paraId="1345D05B" w14:textId="77777777" w:rsidR="00136022" w:rsidRPr="008C7E9F" w:rsidRDefault="00136022" w:rsidP="004305CF">
            <w:pPr>
              <w:pStyle w:val="PBACtext"/>
              <w:rPr>
                <w:rFonts w:cs="Arial"/>
                <w:sz w:val="20"/>
                <w:szCs w:val="20"/>
              </w:rPr>
            </w:pPr>
            <w:r w:rsidRPr="008C7E9F">
              <w:rPr>
                <w:rFonts w:cs="Arial"/>
                <w:b/>
                <w:sz w:val="20"/>
                <w:szCs w:val="20"/>
                <w:lang w:eastAsia="en-AU"/>
              </w:rPr>
              <w:t>Indication:</w:t>
            </w:r>
            <w:r w:rsidRPr="008C7E9F">
              <w:rPr>
                <w:rFonts w:cs="Arial"/>
                <w:sz w:val="20"/>
                <w:szCs w:val="20"/>
                <w:lang w:eastAsia="en-AU"/>
              </w:rPr>
              <w:t xml:space="preserve"> Resected early stage (Stage IB, II or IIIA) non-small cell lung cancer </w:t>
            </w:r>
          </w:p>
        </w:tc>
      </w:tr>
      <w:tr w:rsidR="00136022" w:rsidRPr="008C7E9F" w14:paraId="59BB20B3" w14:textId="77777777" w:rsidTr="00136022">
        <w:trPr>
          <w:cantSplit/>
          <w:trHeight w:val="20"/>
        </w:trPr>
        <w:tc>
          <w:tcPr>
            <w:tcW w:w="5000" w:type="pct"/>
            <w:vAlign w:val="center"/>
          </w:tcPr>
          <w:p w14:paraId="0570F6DD" w14:textId="77777777" w:rsidR="00136022" w:rsidRPr="008C7E9F" w:rsidRDefault="00136022" w:rsidP="004305CF">
            <w:pPr>
              <w:pStyle w:val="PBACtext"/>
              <w:rPr>
                <w:rFonts w:cs="Arial"/>
                <w:sz w:val="20"/>
                <w:szCs w:val="20"/>
              </w:rPr>
            </w:pPr>
            <w:r w:rsidRPr="008C7E9F">
              <w:rPr>
                <w:rFonts w:cs="Arial"/>
                <w:b/>
                <w:sz w:val="20"/>
                <w:szCs w:val="20"/>
                <w:lang w:eastAsia="en-AU"/>
              </w:rPr>
              <w:t>Treatment Phase:</w:t>
            </w:r>
            <w:r w:rsidRPr="008C7E9F">
              <w:rPr>
                <w:rFonts w:cs="Arial"/>
                <w:sz w:val="20"/>
                <w:szCs w:val="20"/>
                <w:lang w:eastAsia="en-AU"/>
              </w:rPr>
              <w:t xml:space="preserve"> Continuing treatment</w:t>
            </w:r>
          </w:p>
        </w:tc>
      </w:tr>
      <w:tr w:rsidR="00136022" w:rsidRPr="008C7E9F" w14:paraId="3EF389A7" w14:textId="77777777" w:rsidTr="00136022">
        <w:trPr>
          <w:cantSplit/>
          <w:trHeight w:val="20"/>
        </w:trPr>
        <w:tc>
          <w:tcPr>
            <w:tcW w:w="5000" w:type="pct"/>
            <w:vAlign w:val="center"/>
          </w:tcPr>
          <w:p w14:paraId="5843DFF4" w14:textId="77777777" w:rsidR="00136022" w:rsidRPr="008C7E9F" w:rsidRDefault="00136022" w:rsidP="004305CF">
            <w:pPr>
              <w:pStyle w:val="PBACtext"/>
              <w:rPr>
                <w:rFonts w:cs="Arial"/>
                <w:b/>
                <w:sz w:val="20"/>
                <w:szCs w:val="20"/>
              </w:rPr>
            </w:pPr>
            <w:r w:rsidRPr="008C7E9F">
              <w:rPr>
                <w:b/>
                <w:sz w:val="20"/>
                <w:szCs w:val="20"/>
                <w:lang w:eastAsia="en-AU"/>
              </w:rPr>
              <w:t>Clinical criteria:</w:t>
            </w:r>
          </w:p>
        </w:tc>
      </w:tr>
      <w:tr w:rsidR="00136022" w:rsidRPr="008C7E9F" w14:paraId="16ED433F" w14:textId="77777777" w:rsidTr="00136022">
        <w:trPr>
          <w:cantSplit/>
          <w:trHeight w:val="20"/>
        </w:trPr>
        <w:tc>
          <w:tcPr>
            <w:tcW w:w="5000" w:type="pct"/>
            <w:vAlign w:val="center"/>
          </w:tcPr>
          <w:p w14:paraId="07F9D857" w14:textId="77777777" w:rsidR="00136022" w:rsidRPr="008C7E9F" w:rsidRDefault="00136022" w:rsidP="004305CF">
            <w:pPr>
              <w:pStyle w:val="PBACtext"/>
              <w:rPr>
                <w:rFonts w:cs="Arial"/>
                <w:sz w:val="20"/>
                <w:szCs w:val="20"/>
              </w:rPr>
            </w:pPr>
            <w:r w:rsidRPr="008C7E9F">
              <w:rPr>
                <w:rFonts w:cs="Arial"/>
                <w:sz w:val="20"/>
                <w:szCs w:val="20"/>
              </w:rPr>
              <w:t>Patient must have previously received PBS-subsidised treatment with this drug for this condition</w:t>
            </w:r>
            <w:r w:rsidRPr="008C7E9F" w:rsidDel="007446A0">
              <w:rPr>
                <w:rFonts w:cs="Arial"/>
                <w:sz w:val="20"/>
                <w:szCs w:val="20"/>
              </w:rPr>
              <w:t xml:space="preserve"> </w:t>
            </w:r>
          </w:p>
        </w:tc>
      </w:tr>
      <w:tr w:rsidR="00136022" w:rsidRPr="008C7E9F" w14:paraId="45EDE355" w14:textId="77777777" w:rsidTr="00136022">
        <w:trPr>
          <w:cantSplit/>
          <w:trHeight w:val="20"/>
        </w:trPr>
        <w:tc>
          <w:tcPr>
            <w:tcW w:w="5000" w:type="pct"/>
            <w:vAlign w:val="center"/>
          </w:tcPr>
          <w:p w14:paraId="63EAE8B2" w14:textId="77777777" w:rsidR="00136022" w:rsidRPr="0037543B" w:rsidRDefault="00136022" w:rsidP="004305CF">
            <w:pPr>
              <w:pStyle w:val="PBACtext"/>
              <w:rPr>
                <w:rFonts w:cs="Arial"/>
                <w:b/>
                <w:strike/>
                <w:sz w:val="20"/>
                <w:szCs w:val="20"/>
              </w:rPr>
            </w:pPr>
            <w:r w:rsidRPr="0037543B">
              <w:rPr>
                <w:b/>
                <w:strike/>
                <w:sz w:val="20"/>
                <w:szCs w:val="20"/>
                <w:lang w:eastAsia="en-AU"/>
              </w:rPr>
              <w:t>AND</w:t>
            </w:r>
          </w:p>
        </w:tc>
      </w:tr>
      <w:tr w:rsidR="00136022" w:rsidRPr="008C7E9F" w14:paraId="5259247D" w14:textId="77777777" w:rsidTr="00136022">
        <w:trPr>
          <w:cantSplit/>
          <w:trHeight w:val="20"/>
        </w:trPr>
        <w:tc>
          <w:tcPr>
            <w:tcW w:w="5000" w:type="pct"/>
            <w:vAlign w:val="center"/>
          </w:tcPr>
          <w:p w14:paraId="26B6EAC4" w14:textId="77777777" w:rsidR="00136022" w:rsidRPr="0037543B" w:rsidRDefault="00136022" w:rsidP="004305CF">
            <w:pPr>
              <w:pStyle w:val="PBACtext"/>
              <w:rPr>
                <w:rFonts w:cs="Arial"/>
                <w:strike/>
                <w:sz w:val="20"/>
                <w:szCs w:val="20"/>
              </w:rPr>
            </w:pPr>
            <w:r w:rsidRPr="0037543B">
              <w:rPr>
                <w:rFonts w:cs="Arial"/>
                <w:strike/>
                <w:sz w:val="20"/>
                <w:szCs w:val="20"/>
              </w:rPr>
              <w:t>Patient must not have experienced radiological disease recurrence/ progression</w:t>
            </w:r>
          </w:p>
        </w:tc>
      </w:tr>
      <w:tr w:rsidR="00136022" w:rsidRPr="008C7E9F" w14:paraId="7562ADC8" w14:textId="77777777" w:rsidTr="00136022">
        <w:trPr>
          <w:cantSplit/>
          <w:trHeight w:val="20"/>
        </w:trPr>
        <w:tc>
          <w:tcPr>
            <w:tcW w:w="5000" w:type="pct"/>
            <w:vAlign w:val="center"/>
          </w:tcPr>
          <w:p w14:paraId="79E5866B" w14:textId="77777777" w:rsidR="00136022" w:rsidRPr="008C7E9F" w:rsidRDefault="00136022" w:rsidP="004305CF">
            <w:pPr>
              <w:pStyle w:val="PBACtext"/>
              <w:rPr>
                <w:rFonts w:cs="Arial"/>
                <w:b/>
                <w:sz w:val="20"/>
                <w:szCs w:val="20"/>
              </w:rPr>
            </w:pPr>
            <w:r w:rsidRPr="008C7E9F">
              <w:rPr>
                <w:b/>
                <w:sz w:val="20"/>
                <w:szCs w:val="20"/>
                <w:lang w:eastAsia="en-AU"/>
              </w:rPr>
              <w:t>AND</w:t>
            </w:r>
          </w:p>
        </w:tc>
      </w:tr>
      <w:tr w:rsidR="00136022" w:rsidRPr="008C7E9F" w14:paraId="5E1D1797" w14:textId="77777777" w:rsidTr="00136022">
        <w:trPr>
          <w:cantSplit/>
          <w:trHeight w:val="20"/>
        </w:trPr>
        <w:tc>
          <w:tcPr>
            <w:tcW w:w="5000" w:type="pct"/>
            <w:vAlign w:val="center"/>
          </w:tcPr>
          <w:p w14:paraId="6D93E74B" w14:textId="77777777" w:rsidR="00136022" w:rsidRPr="008C7E9F" w:rsidRDefault="00136022" w:rsidP="004305CF">
            <w:pPr>
              <w:pStyle w:val="PBACtext"/>
              <w:rPr>
                <w:rFonts w:cs="Arial"/>
                <w:sz w:val="20"/>
                <w:szCs w:val="20"/>
              </w:rPr>
            </w:pPr>
            <w:r w:rsidRPr="008C7E9F">
              <w:rPr>
                <w:rFonts w:cs="Arial"/>
                <w:sz w:val="20"/>
                <w:szCs w:val="20"/>
              </w:rPr>
              <w:t>The treatment must be the sole PBS-subsidised systemic anti-cancer therapy for this condition</w:t>
            </w:r>
            <w:r w:rsidRPr="008C7E9F" w:rsidDel="00EA2386">
              <w:rPr>
                <w:rFonts w:cs="Arial"/>
                <w:sz w:val="20"/>
                <w:szCs w:val="20"/>
              </w:rPr>
              <w:t xml:space="preserve"> </w:t>
            </w:r>
          </w:p>
        </w:tc>
      </w:tr>
      <w:tr w:rsidR="00136022" w:rsidRPr="008C7E9F" w14:paraId="259C3402" w14:textId="77777777" w:rsidTr="00136022">
        <w:trPr>
          <w:cantSplit/>
          <w:trHeight w:val="20"/>
        </w:trPr>
        <w:tc>
          <w:tcPr>
            <w:tcW w:w="5000" w:type="pct"/>
            <w:vAlign w:val="center"/>
          </w:tcPr>
          <w:p w14:paraId="4285E482" w14:textId="77777777" w:rsidR="00136022" w:rsidRPr="008C7E9F" w:rsidRDefault="00136022" w:rsidP="004305CF">
            <w:pPr>
              <w:pStyle w:val="PBACtext"/>
              <w:rPr>
                <w:rFonts w:cs="Arial"/>
                <w:b/>
                <w:sz w:val="20"/>
                <w:szCs w:val="20"/>
              </w:rPr>
            </w:pPr>
            <w:r w:rsidRPr="008C7E9F">
              <w:rPr>
                <w:b/>
                <w:sz w:val="20"/>
                <w:szCs w:val="20"/>
                <w:lang w:eastAsia="en-AU"/>
              </w:rPr>
              <w:t>Treatment criteria:</w:t>
            </w:r>
          </w:p>
        </w:tc>
      </w:tr>
      <w:tr w:rsidR="00136022" w:rsidRPr="008C7E9F" w14:paraId="18D80E9D" w14:textId="77777777" w:rsidTr="00136022">
        <w:trPr>
          <w:cantSplit/>
          <w:trHeight w:val="20"/>
        </w:trPr>
        <w:tc>
          <w:tcPr>
            <w:tcW w:w="5000" w:type="pct"/>
            <w:vAlign w:val="center"/>
          </w:tcPr>
          <w:p w14:paraId="0499BC43" w14:textId="77777777" w:rsidR="00136022" w:rsidRPr="008C7E9F" w:rsidRDefault="00136022" w:rsidP="004305CF">
            <w:pPr>
              <w:pStyle w:val="PBACtext"/>
              <w:rPr>
                <w:rFonts w:cs="Arial"/>
                <w:sz w:val="20"/>
                <w:szCs w:val="20"/>
              </w:rPr>
            </w:pPr>
            <w:r w:rsidRPr="008C7E9F">
              <w:rPr>
                <w:rFonts w:cs="Arial"/>
                <w:sz w:val="20"/>
                <w:szCs w:val="20"/>
              </w:rPr>
              <w:t xml:space="preserve">Patient must be undergoing treatment that does not extend beyond the following, whichever comes first: (i) disease progression/recurrence, (ii) 3 years in total for this </w:t>
            </w:r>
            <w:r w:rsidRPr="00695976">
              <w:rPr>
                <w:rFonts w:cs="Arial"/>
                <w:strike/>
                <w:sz w:val="20"/>
                <w:szCs w:val="20"/>
              </w:rPr>
              <w:t>condition (dosing regimen in accordance with the Product Information);</w:t>
            </w:r>
            <w:r w:rsidRPr="008C7E9F">
              <w:rPr>
                <w:rFonts w:cs="Arial"/>
                <w:sz w:val="20"/>
                <w:szCs w:val="20"/>
              </w:rPr>
              <w:t xml:space="preserve"> mark any remaining repeat prescriptions with the words ‘cancelled’ where (i)/(ii) has occurred</w:t>
            </w:r>
            <w:r w:rsidRPr="008C7E9F" w:rsidDel="00A11E0B">
              <w:rPr>
                <w:rFonts w:cs="Arial"/>
                <w:sz w:val="20"/>
                <w:szCs w:val="20"/>
              </w:rPr>
              <w:t xml:space="preserve"> </w:t>
            </w:r>
          </w:p>
        </w:tc>
      </w:tr>
      <w:tr w:rsidR="00136022" w:rsidRPr="008C7E9F" w14:paraId="5067C1A9" w14:textId="77777777" w:rsidTr="00136022">
        <w:trPr>
          <w:cantSplit/>
          <w:trHeight w:val="20"/>
        </w:trPr>
        <w:tc>
          <w:tcPr>
            <w:tcW w:w="5000" w:type="pct"/>
          </w:tcPr>
          <w:p w14:paraId="503D07F9" w14:textId="77777777" w:rsidR="00136022" w:rsidRPr="008C7E9F" w:rsidRDefault="00136022" w:rsidP="004305CF">
            <w:pPr>
              <w:pStyle w:val="PBACtext"/>
              <w:rPr>
                <w:rFonts w:cs="Arial"/>
                <w:sz w:val="20"/>
                <w:szCs w:val="20"/>
              </w:rPr>
            </w:pPr>
            <w:r w:rsidRPr="008C7E9F">
              <w:rPr>
                <w:b/>
                <w:sz w:val="20"/>
                <w:szCs w:val="20"/>
              </w:rPr>
              <w:t xml:space="preserve">Category / Program: </w:t>
            </w:r>
            <w:r w:rsidRPr="008C7E9F">
              <w:rPr>
                <w:sz w:val="20"/>
                <w:szCs w:val="20"/>
              </w:rPr>
              <w:t>General Schedule</w:t>
            </w:r>
          </w:p>
        </w:tc>
      </w:tr>
      <w:tr w:rsidR="00136022" w:rsidRPr="008C7E9F" w14:paraId="0BAAD78B" w14:textId="77777777" w:rsidTr="00136022">
        <w:trPr>
          <w:cantSplit/>
          <w:trHeight w:val="20"/>
        </w:trPr>
        <w:tc>
          <w:tcPr>
            <w:tcW w:w="5000" w:type="pct"/>
          </w:tcPr>
          <w:p w14:paraId="5B314181" w14:textId="77777777" w:rsidR="00136022" w:rsidRPr="008C7E9F" w:rsidRDefault="00136022" w:rsidP="004305CF">
            <w:pPr>
              <w:pStyle w:val="PBACtext"/>
              <w:rPr>
                <w:rFonts w:cs="Arial"/>
                <w:sz w:val="20"/>
                <w:szCs w:val="20"/>
              </w:rPr>
            </w:pPr>
            <w:r w:rsidRPr="008C7E9F">
              <w:rPr>
                <w:b/>
                <w:sz w:val="20"/>
                <w:szCs w:val="20"/>
              </w:rPr>
              <w:t xml:space="preserve">Prescriber type: </w:t>
            </w:r>
            <w:r w:rsidRPr="008C7E9F">
              <w:rPr>
                <w:sz w:val="20"/>
                <w:szCs w:val="20"/>
              </w:rPr>
              <w:fldChar w:fldCharType="begin" w:fldLock="1">
                <w:ffData>
                  <w:name w:val=""/>
                  <w:enabled/>
                  <w:calcOnExit w:val="0"/>
                  <w:checkBox>
                    <w:sizeAuto/>
                    <w:default w:val="1"/>
                  </w:checkBox>
                </w:ffData>
              </w:fldChar>
            </w:r>
            <w:r w:rsidRPr="008C7E9F">
              <w:rPr>
                <w:sz w:val="20"/>
                <w:szCs w:val="20"/>
              </w:rPr>
              <w:instrText xml:space="preserve"> FORMCHECKBOX </w:instrText>
            </w:r>
            <w:r w:rsidR="001E77BF">
              <w:rPr>
                <w:sz w:val="20"/>
                <w:szCs w:val="20"/>
              </w:rPr>
            </w:r>
            <w:r w:rsidR="001E77BF">
              <w:rPr>
                <w:sz w:val="20"/>
                <w:szCs w:val="20"/>
              </w:rPr>
              <w:fldChar w:fldCharType="separate"/>
            </w:r>
            <w:r w:rsidRPr="008C7E9F">
              <w:rPr>
                <w:sz w:val="20"/>
                <w:szCs w:val="20"/>
              </w:rPr>
              <w:fldChar w:fldCharType="end"/>
            </w:r>
            <w:r w:rsidRPr="008C7E9F">
              <w:rPr>
                <w:sz w:val="20"/>
                <w:szCs w:val="20"/>
              </w:rPr>
              <w:t>Medical Practitioners</w:t>
            </w:r>
          </w:p>
        </w:tc>
      </w:tr>
      <w:tr w:rsidR="00136022" w:rsidRPr="008C7E9F" w14:paraId="5E1D5627" w14:textId="77777777" w:rsidTr="00136022">
        <w:trPr>
          <w:cantSplit/>
          <w:trHeight w:val="20"/>
        </w:trPr>
        <w:tc>
          <w:tcPr>
            <w:tcW w:w="5000" w:type="pct"/>
          </w:tcPr>
          <w:p w14:paraId="2613BBEE" w14:textId="77777777" w:rsidR="00136022" w:rsidRPr="008C7E9F" w:rsidRDefault="00136022" w:rsidP="004305CF">
            <w:pPr>
              <w:pStyle w:val="PBACtext"/>
              <w:rPr>
                <w:rFonts w:cs="Arial"/>
                <w:sz w:val="20"/>
                <w:szCs w:val="20"/>
              </w:rPr>
            </w:pPr>
            <w:r w:rsidRPr="008C7E9F">
              <w:rPr>
                <w:b/>
                <w:sz w:val="20"/>
                <w:szCs w:val="20"/>
              </w:rPr>
              <w:t xml:space="preserve">Restriction type: </w:t>
            </w:r>
            <w:r w:rsidRPr="008C7E9F">
              <w:rPr>
                <w:rFonts w:eastAsia="Times New Roman"/>
                <w:sz w:val="20"/>
                <w:szCs w:val="20"/>
              </w:rPr>
              <w:fldChar w:fldCharType="begin" w:fldLock="1">
                <w:ffData>
                  <w:name w:val="Check3"/>
                  <w:enabled/>
                  <w:calcOnExit w:val="0"/>
                  <w:checkBox>
                    <w:sizeAuto/>
                    <w:default w:val="1"/>
                  </w:checkBox>
                </w:ffData>
              </w:fldChar>
            </w:r>
            <w:r w:rsidRPr="008C7E9F">
              <w:rPr>
                <w:rFonts w:eastAsia="Times New Roman"/>
                <w:sz w:val="20"/>
                <w:szCs w:val="20"/>
              </w:rPr>
              <w:instrText xml:space="preserve"> FORMCHECKBOX </w:instrText>
            </w:r>
            <w:r w:rsidR="001E77BF">
              <w:rPr>
                <w:rFonts w:eastAsia="Times New Roman"/>
                <w:sz w:val="20"/>
                <w:szCs w:val="20"/>
              </w:rPr>
            </w:r>
            <w:r w:rsidR="001E77BF">
              <w:rPr>
                <w:rFonts w:eastAsia="Times New Roman"/>
                <w:sz w:val="20"/>
                <w:szCs w:val="20"/>
              </w:rPr>
              <w:fldChar w:fldCharType="separate"/>
            </w:r>
            <w:r w:rsidRPr="008C7E9F">
              <w:rPr>
                <w:rFonts w:eastAsia="Times New Roman"/>
                <w:sz w:val="20"/>
                <w:szCs w:val="20"/>
              </w:rPr>
              <w:fldChar w:fldCharType="end"/>
            </w:r>
            <w:r w:rsidRPr="008C7E9F">
              <w:rPr>
                <w:rFonts w:eastAsia="Times New Roman"/>
                <w:sz w:val="20"/>
                <w:szCs w:val="20"/>
              </w:rPr>
              <w:t>Authority Required (telephone/online PBS Authorities system)</w:t>
            </w:r>
          </w:p>
        </w:tc>
      </w:tr>
      <w:tr w:rsidR="00136022" w:rsidRPr="008C7E9F" w14:paraId="5055C53A" w14:textId="77777777" w:rsidTr="00136022">
        <w:trPr>
          <w:cantSplit/>
          <w:trHeight w:val="20"/>
        </w:trPr>
        <w:tc>
          <w:tcPr>
            <w:tcW w:w="5000" w:type="pct"/>
            <w:vAlign w:val="center"/>
          </w:tcPr>
          <w:p w14:paraId="6F8805DC" w14:textId="77777777" w:rsidR="00136022" w:rsidRPr="008C7E9F" w:rsidRDefault="00136022" w:rsidP="004305CF">
            <w:pPr>
              <w:pStyle w:val="PBACtext"/>
              <w:rPr>
                <w:rFonts w:cs="Arial"/>
                <w:sz w:val="20"/>
                <w:szCs w:val="20"/>
              </w:rPr>
            </w:pPr>
            <w:r w:rsidRPr="008C7E9F">
              <w:rPr>
                <w:rFonts w:cs="Arial"/>
                <w:b/>
                <w:sz w:val="20"/>
                <w:szCs w:val="20"/>
                <w:lang w:eastAsia="en-AU"/>
              </w:rPr>
              <w:t xml:space="preserve">Severity: </w:t>
            </w:r>
            <w:r w:rsidRPr="008C7E9F">
              <w:rPr>
                <w:rFonts w:cs="Arial"/>
                <w:sz w:val="20"/>
                <w:szCs w:val="20"/>
                <w:lang w:eastAsia="en-AU"/>
              </w:rPr>
              <w:t>Stage IB, II or IIIA</w:t>
            </w:r>
          </w:p>
        </w:tc>
      </w:tr>
      <w:tr w:rsidR="00136022" w:rsidRPr="008C7E9F" w14:paraId="75214892" w14:textId="77777777" w:rsidTr="00136022">
        <w:trPr>
          <w:cantSplit/>
          <w:trHeight w:val="20"/>
        </w:trPr>
        <w:tc>
          <w:tcPr>
            <w:tcW w:w="5000" w:type="pct"/>
            <w:vAlign w:val="center"/>
          </w:tcPr>
          <w:p w14:paraId="0741748F" w14:textId="77777777" w:rsidR="00136022" w:rsidRPr="008C7E9F" w:rsidRDefault="00136022" w:rsidP="004305CF">
            <w:pPr>
              <w:pStyle w:val="PBACtext"/>
              <w:rPr>
                <w:rFonts w:cs="Arial"/>
                <w:sz w:val="20"/>
                <w:szCs w:val="20"/>
              </w:rPr>
            </w:pPr>
            <w:r w:rsidRPr="008C7E9F">
              <w:rPr>
                <w:rFonts w:cs="Arial"/>
                <w:b/>
                <w:sz w:val="20"/>
                <w:szCs w:val="20"/>
                <w:lang w:eastAsia="en-AU"/>
              </w:rPr>
              <w:t xml:space="preserve">Condition: </w:t>
            </w:r>
            <w:r w:rsidRPr="008C7E9F">
              <w:rPr>
                <w:rFonts w:cs="Arial"/>
                <w:sz w:val="20"/>
                <w:szCs w:val="20"/>
                <w:lang w:eastAsia="en-AU"/>
              </w:rPr>
              <w:t>non-small cell lung cancer</w:t>
            </w:r>
          </w:p>
        </w:tc>
      </w:tr>
      <w:tr w:rsidR="00136022" w:rsidRPr="008C7E9F" w14:paraId="7D6CE73E" w14:textId="77777777" w:rsidTr="00136022">
        <w:trPr>
          <w:cantSplit/>
          <w:trHeight w:val="20"/>
        </w:trPr>
        <w:tc>
          <w:tcPr>
            <w:tcW w:w="5000" w:type="pct"/>
            <w:vAlign w:val="center"/>
          </w:tcPr>
          <w:p w14:paraId="6215E7DD" w14:textId="77777777" w:rsidR="00136022" w:rsidRPr="008C7E9F" w:rsidRDefault="00136022" w:rsidP="004305CF">
            <w:pPr>
              <w:pStyle w:val="PBACtext"/>
              <w:rPr>
                <w:rFonts w:cs="Arial"/>
                <w:sz w:val="20"/>
                <w:szCs w:val="20"/>
              </w:rPr>
            </w:pPr>
            <w:r w:rsidRPr="008C7E9F">
              <w:rPr>
                <w:rFonts w:cs="Arial"/>
                <w:b/>
                <w:sz w:val="20"/>
                <w:szCs w:val="20"/>
                <w:lang w:eastAsia="en-AU"/>
              </w:rPr>
              <w:t>Indication:</w:t>
            </w:r>
            <w:r w:rsidRPr="008C7E9F">
              <w:rPr>
                <w:rFonts w:cs="Arial"/>
                <w:sz w:val="20"/>
                <w:szCs w:val="20"/>
                <w:lang w:eastAsia="en-AU"/>
              </w:rPr>
              <w:t xml:space="preserve"> Stage IB, II or IIA non-small cell lung cancer </w:t>
            </w:r>
          </w:p>
        </w:tc>
      </w:tr>
      <w:tr w:rsidR="00136022" w:rsidRPr="008C7E9F" w14:paraId="4386C640" w14:textId="77777777" w:rsidTr="00136022">
        <w:trPr>
          <w:cantSplit/>
          <w:trHeight w:val="20"/>
        </w:trPr>
        <w:tc>
          <w:tcPr>
            <w:tcW w:w="5000" w:type="pct"/>
            <w:vAlign w:val="center"/>
          </w:tcPr>
          <w:p w14:paraId="7A02410F" w14:textId="77777777" w:rsidR="00136022" w:rsidRPr="008C7E9F" w:rsidRDefault="00136022" w:rsidP="004305CF">
            <w:pPr>
              <w:pStyle w:val="PBACtext"/>
              <w:rPr>
                <w:rFonts w:cs="Arial"/>
                <w:sz w:val="20"/>
                <w:szCs w:val="20"/>
              </w:rPr>
            </w:pPr>
            <w:r w:rsidRPr="008C7E9F">
              <w:rPr>
                <w:rFonts w:cs="Arial"/>
                <w:b/>
                <w:sz w:val="20"/>
                <w:szCs w:val="20"/>
                <w:lang w:eastAsia="en-AU"/>
              </w:rPr>
              <w:t>Treatment Phase:</w:t>
            </w:r>
            <w:r w:rsidRPr="008C7E9F">
              <w:rPr>
                <w:rFonts w:cs="Arial"/>
                <w:sz w:val="20"/>
                <w:szCs w:val="20"/>
                <w:lang w:eastAsia="en-AU"/>
              </w:rPr>
              <w:t xml:space="preserve"> Adjuvant therapy (Grandfather patients)</w:t>
            </w:r>
          </w:p>
        </w:tc>
      </w:tr>
      <w:tr w:rsidR="00136022" w:rsidRPr="008C7E9F" w14:paraId="5BB5563C" w14:textId="77777777" w:rsidTr="00136022">
        <w:trPr>
          <w:cantSplit/>
          <w:trHeight w:val="20"/>
        </w:trPr>
        <w:tc>
          <w:tcPr>
            <w:tcW w:w="5000" w:type="pct"/>
            <w:vAlign w:val="center"/>
          </w:tcPr>
          <w:p w14:paraId="02FA69B1" w14:textId="77777777" w:rsidR="00136022" w:rsidRPr="008C7E9F" w:rsidRDefault="00136022" w:rsidP="004305CF">
            <w:pPr>
              <w:pStyle w:val="PBACtext"/>
              <w:rPr>
                <w:rFonts w:cs="Arial"/>
                <w:b/>
                <w:sz w:val="20"/>
                <w:szCs w:val="20"/>
              </w:rPr>
            </w:pPr>
            <w:r w:rsidRPr="008C7E9F">
              <w:rPr>
                <w:b/>
                <w:sz w:val="20"/>
                <w:szCs w:val="20"/>
                <w:lang w:eastAsia="en-AU"/>
              </w:rPr>
              <w:t>Clinical criteria:</w:t>
            </w:r>
          </w:p>
        </w:tc>
      </w:tr>
      <w:tr w:rsidR="00136022" w:rsidRPr="008C7E9F" w14:paraId="503F4EAB" w14:textId="77777777" w:rsidTr="00136022">
        <w:trPr>
          <w:cantSplit/>
          <w:trHeight w:val="20"/>
        </w:trPr>
        <w:tc>
          <w:tcPr>
            <w:tcW w:w="5000" w:type="pct"/>
            <w:vAlign w:val="center"/>
          </w:tcPr>
          <w:p w14:paraId="3C52D196" w14:textId="77777777" w:rsidR="00136022" w:rsidRPr="008C7E9F" w:rsidRDefault="00136022" w:rsidP="004305CF">
            <w:pPr>
              <w:pStyle w:val="PBACtext"/>
              <w:rPr>
                <w:rFonts w:cs="Arial"/>
                <w:sz w:val="20"/>
                <w:szCs w:val="20"/>
              </w:rPr>
            </w:pPr>
            <w:r w:rsidRPr="008C7E9F">
              <w:rPr>
                <w:rFonts w:cs="Arial"/>
                <w:sz w:val="20"/>
                <w:szCs w:val="20"/>
              </w:rPr>
              <w:t>Patient must have NSCLC stage IB, II or IIIA</w:t>
            </w:r>
          </w:p>
        </w:tc>
      </w:tr>
      <w:tr w:rsidR="00136022" w:rsidRPr="008C7E9F" w14:paraId="7292AE5A" w14:textId="77777777" w:rsidTr="00136022">
        <w:trPr>
          <w:cantSplit/>
          <w:trHeight w:val="20"/>
        </w:trPr>
        <w:tc>
          <w:tcPr>
            <w:tcW w:w="5000" w:type="pct"/>
            <w:vAlign w:val="center"/>
          </w:tcPr>
          <w:p w14:paraId="1F1B3A27" w14:textId="77777777" w:rsidR="00136022" w:rsidRPr="008C7E9F" w:rsidRDefault="00136022" w:rsidP="004305CF">
            <w:pPr>
              <w:pStyle w:val="PBACtext"/>
              <w:rPr>
                <w:rFonts w:cs="Arial"/>
                <w:b/>
                <w:sz w:val="20"/>
                <w:szCs w:val="20"/>
              </w:rPr>
            </w:pPr>
            <w:r w:rsidRPr="008C7E9F">
              <w:rPr>
                <w:b/>
                <w:sz w:val="20"/>
                <w:szCs w:val="20"/>
                <w:lang w:eastAsia="en-AU"/>
              </w:rPr>
              <w:t>AND</w:t>
            </w:r>
          </w:p>
        </w:tc>
      </w:tr>
      <w:tr w:rsidR="00136022" w:rsidRPr="008C7E9F" w14:paraId="28AEF4EA" w14:textId="77777777" w:rsidTr="00136022">
        <w:trPr>
          <w:cantSplit/>
          <w:trHeight w:val="20"/>
        </w:trPr>
        <w:tc>
          <w:tcPr>
            <w:tcW w:w="5000" w:type="pct"/>
            <w:vAlign w:val="center"/>
          </w:tcPr>
          <w:p w14:paraId="6FC6621D" w14:textId="77777777" w:rsidR="00136022" w:rsidRPr="008C7E9F" w:rsidRDefault="00136022" w:rsidP="004305CF">
            <w:pPr>
              <w:pStyle w:val="PBACtext"/>
              <w:rPr>
                <w:rFonts w:cs="Arial"/>
                <w:sz w:val="20"/>
                <w:szCs w:val="20"/>
              </w:rPr>
            </w:pPr>
            <w:r w:rsidRPr="008C7E9F">
              <w:rPr>
                <w:rFonts w:cs="Arial"/>
                <w:sz w:val="20"/>
                <w:szCs w:val="20"/>
              </w:rPr>
              <w:t xml:space="preserve">Patient must have undergone surgical resection </w:t>
            </w:r>
          </w:p>
        </w:tc>
      </w:tr>
      <w:tr w:rsidR="00136022" w:rsidRPr="008C7E9F" w14:paraId="5177222E" w14:textId="77777777" w:rsidTr="00136022">
        <w:trPr>
          <w:cantSplit/>
          <w:trHeight w:val="20"/>
        </w:trPr>
        <w:tc>
          <w:tcPr>
            <w:tcW w:w="5000" w:type="pct"/>
            <w:vAlign w:val="center"/>
          </w:tcPr>
          <w:p w14:paraId="3C8B9244" w14:textId="77777777" w:rsidR="00136022" w:rsidRPr="008C7E9F" w:rsidRDefault="00136022" w:rsidP="004305CF">
            <w:pPr>
              <w:pStyle w:val="PBACtext"/>
              <w:rPr>
                <w:rFonts w:cs="Arial"/>
                <w:b/>
                <w:sz w:val="20"/>
                <w:szCs w:val="20"/>
              </w:rPr>
            </w:pPr>
            <w:r w:rsidRPr="008C7E9F">
              <w:rPr>
                <w:b/>
                <w:sz w:val="20"/>
                <w:szCs w:val="20"/>
                <w:lang w:eastAsia="en-AU"/>
              </w:rPr>
              <w:t>AND</w:t>
            </w:r>
          </w:p>
        </w:tc>
      </w:tr>
      <w:tr w:rsidR="00136022" w:rsidRPr="008C7E9F" w14:paraId="405F3F38" w14:textId="77777777" w:rsidTr="00136022">
        <w:trPr>
          <w:cantSplit/>
          <w:trHeight w:val="20"/>
        </w:trPr>
        <w:tc>
          <w:tcPr>
            <w:tcW w:w="5000" w:type="pct"/>
            <w:vAlign w:val="center"/>
          </w:tcPr>
          <w:p w14:paraId="2742951D" w14:textId="77777777" w:rsidR="00136022" w:rsidRPr="008C7E9F" w:rsidRDefault="00136022" w:rsidP="004305CF">
            <w:pPr>
              <w:pStyle w:val="PBACtext"/>
              <w:rPr>
                <w:rFonts w:cs="Arial"/>
                <w:sz w:val="20"/>
                <w:szCs w:val="20"/>
              </w:rPr>
            </w:pPr>
            <w:r w:rsidRPr="008C7E9F">
              <w:rPr>
                <w:rFonts w:cs="Arial"/>
                <w:sz w:val="20"/>
                <w:szCs w:val="20"/>
              </w:rPr>
              <w:t>Patient must have a WHO performance status of 2 or less</w:t>
            </w:r>
          </w:p>
        </w:tc>
      </w:tr>
      <w:tr w:rsidR="00136022" w:rsidRPr="008C7E9F" w14:paraId="521C95EE" w14:textId="77777777" w:rsidTr="00136022">
        <w:trPr>
          <w:cantSplit/>
          <w:trHeight w:val="20"/>
        </w:trPr>
        <w:tc>
          <w:tcPr>
            <w:tcW w:w="5000" w:type="pct"/>
            <w:vAlign w:val="center"/>
          </w:tcPr>
          <w:p w14:paraId="75DD9EA8" w14:textId="77777777" w:rsidR="00136022" w:rsidRPr="008C7E9F" w:rsidRDefault="00136022" w:rsidP="004305CF">
            <w:pPr>
              <w:pStyle w:val="PBACtext"/>
              <w:rPr>
                <w:rFonts w:cs="Arial"/>
                <w:b/>
                <w:sz w:val="20"/>
                <w:szCs w:val="20"/>
              </w:rPr>
            </w:pPr>
            <w:r w:rsidRPr="008C7E9F">
              <w:rPr>
                <w:b/>
                <w:sz w:val="20"/>
                <w:szCs w:val="20"/>
                <w:lang w:eastAsia="en-AU"/>
              </w:rPr>
              <w:t>Treatment criteria:</w:t>
            </w:r>
          </w:p>
        </w:tc>
      </w:tr>
      <w:tr w:rsidR="00136022" w:rsidRPr="008C7E9F" w14:paraId="5338ACF6" w14:textId="77777777" w:rsidTr="00136022">
        <w:trPr>
          <w:cantSplit/>
          <w:trHeight w:val="20"/>
        </w:trPr>
        <w:tc>
          <w:tcPr>
            <w:tcW w:w="5000" w:type="pct"/>
            <w:vAlign w:val="center"/>
          </w:tcPr>
          <w:p w14:paraId="6EA536EA" w14:textId="77777777" w:rsidR="00136022" w:rsidRPr="008C7E9F" w:rsidRDefault="00136022" w:rsidP="004305CF">
            <w:pPr>
              <w:pStyle w:val="PBACtext"/>
              <w:ind w:left="720" w:hanging="720"/>
              <w:rPr>
                <w:rFonts w:cs="Arial"/>
                <w:sz w:val="20"/>
                <w:szCs w:val="20"/>
              </w:rPr>
            </w:pPr>
            <w:r w:rsidRPr="004E5636">
              <w:rPr>
                <w:rFonts w:cs="Arial"/>
                <w:i/>
                <w:iCs/>
                <w:sz w:val="20"/>
                <w:szCs w:val="20"/>
              </w:rPr>
              <w:t>The</w:t>
            </w:r>
            <w:r>
              <w:rPr>
                <w:rFonts w:cs="Arial"/>
                <w:sz w:val="20"/>
                <w:szCs w:val="20"/>
              </w:rPr>
              <w:t xml:space="preserve"> t</w:t>
            </w:r>
            <w:r w:rsidRPr="008C7E9F">
              <w:rPr>
                <w:rFonts w:cs="Arial"/>
                <w:sz w:val="20"/>
                <w:szCs w:val="20"/>
              </w:rPr>
              <w:t>reatment must be the sole PBS-subsidised therapy for this condition</w:t>
            </w:r>
          </w:p>
        </w:tc>
      </w:tr>
      <w:tr w:rsidR="00136022" w:rsidRPr="008C7E9F" w14:paraId="3C01DB77" w14:textId="77777777" w:rsidTr="00136022">
        <w:trPr>
          <w:cantSplit/>
          <w:trHeight w:val="20"/>
        </w:trPr>
        <w:tc>
          <w:tcPr>
            <w:tcW w:w="5000" w:type="pct"/>
            <w:vAlign w:val="center"/>
          </w:tcPr>
          <w:p w14:paraId="61BD736C" w14:textId="77777777" w:rsidR="00136022" w:rsidRPr="004E5636" w:rsidRDefault="00136022" w:rsidP="004305CF">
            <w:pPr>
              <w:pStyle w:val="PBACtext"/>
              <w:ind w:left="720" w:hanging="720"/>
              <w:rPr>
                <w:rFonts w:cs="Arial"/>
                <w:i/>
                <w:iCs/>
                <w:sz w:val="20"/>
                <w:szCs w:val="20"/>
              </w:rPr>
            </w:pPr>
            <w:r w:rsidRPr="008C7E9F">
              <w:rPr>
                <w:b/>
                <w:sz w:val="20"/>
                <w:szCs w:val="20"/>
                <w:lang w:eastAsia="en-AU"/>
              </w:rPr>
              <w:t>AND</w:t>
            </w:r>
          </w:p>
        </w:tc>
      </w:tr>
      <w:tr w:rsidR="00136022" w:rsidRPr="008C7E9F" w14:paraId="45BDC2CB" w14:textId="77777777" w:rsidTr="00136022">
        <w:trPr>
          <w:cantSplit/>
          <w:trHeight w:val="20"/>
        </w:trPr>
        <w:tc>
          <w:tcPr>
            <w:tcW w:w="5000" w:type="pct"/>
            <w:vAlign w:val="center"/>
          </w:tcPr>
          <w:p w14:paraId="60DAD22C" w14:textId="77777777" w:rsidR="00136022" w:rsidRPr="004E5636" w:rsidRDefault="00136022" w:rsidP="004305CF">
            <w:pPr>
              <w:pStyle w:val="PBACtext"/>
              <w:ind w:left="720" w:hanging="720"/>
              <w:rPr>
                <w:rFonts w:cs="Arial"/>
                <w:sz w:val="20"/>
                <w:szCs w:val="20"/>
              </w:rPr>
            </w:pPr>
            <w:r w:rsidRPr="004E5636">
              <w:rPr>
                <w:rFonts w:cs="Arial"/>
                <w:i/>
                <w:iCs/>
                <w:sz w:val="20"/>
                <w:szCs w:val="20"/>
              </w:rPr>
              <w:t>The</w:t>
            </w:r>
            <w:r>
              <w:rPr>
                <w:rFonts w:cs="Arial"/>
                <w:sz w:val="20"/>
                <w:szCs w:val="20"/>
              </w:rPr>
              <w:t xml:space="preserve"> t</w:t>
            </w:r>
            <w:r w:rsidRPr="008C7E9F">
              <w:rPr>
                <w:rFonts w:cs="Arial"/>
                <w:sz w:val="20"/>
                <w:szCs w:val="20"/>
              </w:rPr>
              <w:t xml:space="preserve">reatment must </w:t>
            </w:r>
            <w:r w:rsidRPr="004E5636">
              <w:rPr>
                <w:rFonts w:cs="Arial"/>
                <w:i/>
                <w:iCs/>
                <w:sz w:val="20"/>
                <w:szCs w:val="20"/>
              </w:rPr>
              <w:t>have</w:t>
            </w:r>
            <w:r>
              <w:rPr>
                <w:rFonts w:cs="Arial"/>
                <w:sz w:val="20"/>
                <w:szCs w:val="20"/>
              </w:rPr>
              <w:t xml:space="preserve"> </w:t>
            </w:r>
            <w:r w:rsidRPr="008C7E9F">
              <w:rPr>
                <w:rFonts w:cs="Arial"/>
                <w:sz w:val="20"/>
                <w:szCs w:val="20"/>
              </w:rPr>
              <w:t>be</w:t>
            </w:r>
            <w:r w:rsidRPr="004E5636">
              <w:rPr>
                <w:rFonts w:cs="Arial"/>
                <w:i/>
                <w:iCs/>
                <w:sz w:val="20"/>
                <w:szCs w:val="20"/>
              </w:rPr>
              <w:t>en</w:t>
            </w:r>
            <w:r w:rsidRPr="008C7E9F">
              <w:rPr>
                <w:rFonts w:cs="Arial"/>
                <w:sz w:val="20"/>
                <w:szCs w:val="20"/>
              </w:rPr>
              <w:t xml:space="preserve"> commenced within 26 weeks of surgery </w:t>
            </w:r>
          </w:p>
        </w:tc>
      </w:tr>
      <w:tr w:rsidR="00136022" w:rsidRPr="008C7E9F" w14:paraId="5340E194" w14:textId="77777777" w:rsidTr="00136022">
        <w:trPr>
          <w:cantSplit/>
          <w:trHeight w:val="20"/>
        </w:trPr>
        <w:tc>
          <w:tcPr>
            <w:tcW w:w="5000" w:type="pct"/>
            <w:vAlign w:val="center"/>
          </w:tcPr>
          <w:p w14:paraId="7C79445F" w14:textId="77777777" w:rsidR="00136022" w:rsidRPr="004E5636" w:rsidRDefault="00136022" w:rsidP="004305CF">
            <w:pPr>
              <w:pStyle w:val="PBACtext"/>
              <w:ind w:left="720" w:hanging="720"/>
              <w:rPr>
                <w:rFonts w:cs="Arial"/>
                <w:i/>
                <w:iCs/>
                <w:sz w:val="20"/>
                <w:szCs w:val="20"/>
              </w:rPr>
            </w:pPr>
            <w:r w:rsidRPr="008C7E9F">
              <w:rPr>
                <w:b/>
                <w:sz w:val="20"/>
                <w:szCs w:val="20"/>
                <w:lang w:eastAsia="en-AU"/>
              </w:rPr>
              <w:t>AND</w:t>
            </w:r>
          </w:p>
        </w:tc>
      </w:tr>
      <w:tr w:rsidR="00136022" w:rsidRPr="008C7E9F" w14:paraId="0165081C" w14:textId="77777777" w:rsidTr="00136022">
        <w:trPr>
          <w:cantSplit/>
          <w:trHeight w:val="20"/>
        </w:trPr>
        <w:tc>
          <w:tcPr>
            <w:tcW w:w="5000" w:type="pct"/>
            <w:vAlign w:val="center"/>
          </w:tcPr>
          <w:p w14:paraId="4D84F983" w14:textId="77777777" w:rsidR="00136022" w:rsidRPr="004E5636" w:rsidRDefault="00136022" w:rsidP="004305CF">
            <w:pPr>
              <w:pStyle w:val="PBACtext"/>
              <w:ind w:left="720" w:hanging="720"/>
              <w:rPr>
                <w:rFonts w:cs="Arial"/>
                <w:sz w:val="20"/>
                <w:szCs w:val="20"/>
                <w:lang w:eastAsia="en-AU"/>
              </w:rPr>
            </w:pPr>
            <w:r>
              <w:rPr>
                <w:rFonts w:cs="Arial"/>
                <w:sz w:val="20"/>
                <w:szCs w:val="20"/>
              </w:rPr>
              <w:t>P</w:t>
            </w:r>
            <w:r w:rsidRPr="008C7E9F">
              <w:rPr>
                <w:rFonts w:cs="Arial"/>
                <w:sz w:val="20"/>
                <w:szCs w:val="20"/>
              </w:rPr>
              <w:t>atient must not have previously received PBS-subsidised treatment with this drug for this condition</w:t>
            </w:r>
          </w:p>
        </w:tc>
      </w:tr>
      <w:tr w:rsidR="00136022" w:rsidRPr="008C7E9F" w14:paraId="1DD8E954" w14:textId="77777777" w:rsidTr="00136022">
        <w:trPr>
          <w:cantSplit/>
          <w:trHeight w:val="20"/>
        </w:trPr>
        <w:tc>
          <w:tcPr>
            <w:tcW w:w="5000" w:type="pct"/>
            <w:vAlign w:val="center"/>
          </w:tcPr>
          <w:p w14:paraId="1A933EB2" w14:textId="77777777" w:rsidR="00136022" w:rsidRDefault="00136022" w:rsidP="004305CF">
            <w:pPr>
              <w:pStyle w:val="PBACtext"/>
              <w:ind w:left="720" w:hanging="720"/>
              <w:rPr>
                <w:rFonts w:cs="Arial"/>
                <w:sz w:val="20"/>
                <w:szCs w:val="20"/>
              </w:rPr>
            </w:pPr>
            <w:r w:rsidRPr="008C7E9F">
              <w:rPr>
                <w:b/>
                <w:sz w:val="20"/>
                <w:szCs w:val="20"/>
                <w:lang w:eastAsia="en-AU"/>
              </w:rPr>
              <w:t>AND</w:t>
            </w:r>
          </w:p>
        </w:tc>
      </w:tr>
      <w:tr w:rsidR="00136022" w:rsidRPr="008C7E9F" w14:paraId="0B0D2AED" w14:textId="77777777" w:rsidTr="00136022">
        <w:trPr>
          <w:cantSplit/>
          <w:trHeight w:val="20"/>
        </w:trPr>
        <w:tc>
          <w:tcPr>
            <w:tcW w:w="5000" w:type="pct"/>
            <w:vAlign w:val="center"/>
          </w:tcPr>
          <w:p w14:paraId="1E96677F" w14:textId="77777777" w:rsidR="00136022" w:rsidRPr="004E5636" w:rsidRDefault="00136022" w:rsidP="004305CF">
            <w:pPr>
              <w:pStyle w:val="PBACtext"/>
              <w:ind w:left="720" w:hanging="720"/>
              <w:rPr>
                <w:rFonts w:cs="Arial"/>
                <w:i/>
                <w:iCs/>
                <w:sz w:val="20"/>
                <w:szCs w:val="20"/>
              </w:rPr>
            </w:pPr>
            <w:r>
              <w:rPr>
                <w:rFonts w:cs="Arial"/>
                <w:sz w:val="20"/>
                <w:szCs w:val="20"/>
              </w:rPr>
              <w:t>P</w:t>
            </w:r>
            <w:r w:rsidRPr="008C7E9F">
              <w:rPr>
                <w:rFonts w:cs="Arial"/>
                <w:sz w:val="20"/>
                <w:szCs w:val="20"/>
              </w:rPr>
              <w:t>atient must not receive more than 3 years treatment under this restriction</w:t>
            </w:r>
          </w:p>
        </w:tc>
      </w:tr>
      <w:tr w:rsidR="00136022" w:rsidRPr="008C7E9F" w14:paraId="00A4A854" w14:textId="77777777" w:rsidTr="00136022">
        <w:trPr>
          <w:cantSplit/>
          <w:trHeight w:val="20"/>
        </w:trPr>
        <w:tc>
          <w:tcPr>
            <w:tcW w:w="5000" w:type="pct"/>
            <w:vAlign w:val="center"/>
          </w:tcPr>
          <w:p w14:paraId="5D9D8FDB" w14:textId="77777777" w:rsidR="00136022" w:rsidRPr="008C7E9F" w:rsidRDefault="00136022" w:rsidP="004305CF">
            <w:pPr>
              <w:pStyle w:val="PBACtext"/>
              <w:rPr>
                <w:rFonts w:cs="Arial"/>
                <w:b/>
                <w:sz w:val="20"/>
                <w:szCs w:val="20"/>
              </w:rPr>
            </w:pPr>
            <w:r w:rsidRPr="008C7E9F">
              <w:rPr>
                <w:b/>
                <w:sz w:val="20"/>
                <w:szCs w:val="20"/>
                <w:lang w:eastAsia="en-AU"/>
              </w:rPr>
              <w:t>Population criteria:</w:t>
            </w:r>
          </w:p>
        </w:tc>
      </w:tr>
      <w:tr w:rsidR="00136022" w:rsidRPr="008C7E9F" w14:paraId="09125CFB" w14:textId="77777777" w:rsidTr="00136022">
        <w:trPr>
          <w:cantSplit/>
          <w:trHeight w:val="20"/>
        </w:trPr>
        <w:tc>
          <w:tcPr>
            <w:tcW w:w="5000" w:type="pct"/>
            <w:hideMark/>
          </w:tcPr>
          <w:p w14:paraId="1F90978A" w14:textId="77777777" w:rsidR="00136022" w:rsidRPr="008C7E9F" w:rsidRDefault="00136022" w:rsidP="004305CF">
            <w:pPr>
              <w:pStyle w:val="TableText0"/>
              <w:keepLines/>
              <w:rPr>
                <w:szCs w:val="20"/>
              </w:rPr>
            </w:pPr>
            <w:r w:rsidRPr="008C7E9F">
              <w:rPr>
                <w:rFonts w:cs="Arial"/>
                <w:szCs w:val="20"/>
              </w:rPr>
              <w:t>Patient must have evidence of an activating epidermal growth factor receptor (</w:t>
            </w:r>
            <w:r w:rsidRPr="006474C4">
              <w:rPr>
                <w:rFonts w:cs="Arial"/>
                <w:i/>
                <w:szCs w:val="20"/>
              </w:rPr>
              <w:t>EGFR</w:t>
            </w:r>
            <w:r w:rsidRPr="008C7E9F">
              <w:rPr>
                <w:rFonts w:cs="Arial"/>
                <w:szCs w:val="20"/>
              </w:rPr>
              <w:t xml:space="preserve">) gene mutation known to confer sensitivity to treatment with </w:t>
            </w:r>
            <w:r w:rsidRPr="006474C4">
              <w:rPr>
                <w:rFonts w:cs="Arial"/>
                <w:i/>
                <w:szCs w:val="20"/>
              </w:rPr>
              <w:t>EGFR</w:t>
            </w:r>
            <w:r w:rsidRPr="008C7E9F">
              <w:rPr>
                <w:rFonts w:cs="Arial"/>
                <w:szCs w:val="20"/>
              </w:rPr>
              <w:t xml:space="preserve"> tyrosine kinase inhibitors in tumour material</w:t>
            </w:r>
          </w:p>
        </w:tc>
      </w:tr>
    </w:tbl>
    <w:p w14:paraId="599293F5" w14:textId="77777777" w:rsidR="00716999" w:rsidRDefault="00716999" w:rsidP="00716999">
      <w:bookmarkStart w:id="11" w:name="_Hlk104809082"/>
    </w:p>
    <w:bookmarkEnd w:id="11"/>
    <w:p w14:paraId="422129E2" w14:textId="256FF898" w:rsidR="008E2470" w:rsidRDefault="008E2470" w:rsidP="008E2470">
      <w:pPr>
        <w:pStyle w:val="3-BodyText"/>
      </w:pPr>
      <w:r w:rsidRPr="00444614">
        <w:lastRenderedPageBreak/>
        <w:t>The submission proposed a special pricing arrangement (SPA)</w:t>
      </w:r>
      <w:r>
        <w:t xml:space="preserve"> </w:t>
      </w:r>
      <w:r w:rsidR="00B771F6">
        <w:t xml:space="preserve">with an </w:t>
      </w:r>
      <w:r>
        <w:t>effective approved ex-manufacturer (</w:t>
      </w:r>
      <w:r w:rsidRPr="00373DF1">
        <w:t>AEMP)</w:t>
      </w:r>
      <w:r w:rsidR="00B771F6" w:rsidRPr="00373DF1">
        <w:t xml:space="preserve"> of </w:t>
      </w:r>
      <w:r w:rsidRPr="00373DF1">
        <w:t>$</w:t>
      </w:r>
      <w:r w:rsidR="00E927A0" w:rsidRPr="001E77BF">
        <w:rPr>
          <w:color w:val="000000"/>
          <w:w w:val="15"/>
          <w:shd w:val="solid" w:color="000000" w:fill="000000"/>
          <w:fitText w:val="-20" w:id="-1032092672"/>
          <w14:textFill>
            <w14:solidFill>
              <w14:srgbClr w14:val="000000">
                <w14:alpha w14:val="100000"/>
              </w14:srgbClr>
            </w14:solidFill>
          </w14:textFill>
        </w:rPr>
        <w:t xml:space="preserve">|  </w:t>
      </w:r>
      <w:r w:rsidR="00E927A0" w:rsidRPr="001E77BF">
        <w:rPr>
          <w:color w:val="000000"/>
          <w:spacing w:val="-69"/>
          <w:w w:val="15"/>
          <w:shd w:val="solid" w:color="000000" w:fill="000000"/>
          <w:fitText w:val="-20" w:id="-1032092672"/>
          <w14:textFill>
            <w14:solidFill>
              <w14:srgbClr w14:val="000000">
                <w14:alpha w14:val="100000"/>
              </w14:srgbClr>
            </w14:solidFill>
          </w14:textFill>
        </w:rPr>
        <w:t>|</w:t>
      </w:r>
      <w:r>
        <w:t xml:space="preserve">. The effective AEMP </w:t>
      </w:r>
      <w:r w:rsidRPr="00444614">
        <w:t xml:space="preserve">was </w:t>
      </w:r>
      <w:r w:rsidR="00E927A0" w:rsidRPr="001E77BF">
        <w:rPr>
          <w:color w:val="000000"/>
          <w:w w:val="15"/>
          <w:shd w:val="solid" w:color="000000" w:fill="000000"/>
          <w:fitText w:val="-20" w:id="-1032092671"/>
          <w14:textFill>
            <w14:solidFill>
              <w14:srgbClr w14:val="000000">
                <w14:alpha w14:val="100000"/>
              </w14:srgbClr>
            </w14:solidFill>
          </w14:textFill>
        </w:rPr>
        <w:t xml:space="preserve">|  </w:t>
      </w:r>
      <w:r w:rsidR="00E927A0" w:rsidRPr="001E77BF">
        <w:rPr>
          <w:color w:val="000000"/>
          <w:spacing w:val="-69"/>
          <w:w w:val="15"/>
          <w:shd w:val="solid" w:color="000000" w:fill="000000"/>
          <w:fitText w:val="-20" w:id="-1032092671"/>
          <w14:textFill>
            <w14:solidFill>
              <w14:srgbClr w14:val="000000">
                <w14:alpha w14:val="100000"/>
              </w14:srgbClr>
            </w14:solidFill>
          </w14:textFill>
        </w:rPr>
        <w:t>|</w:t>
      </w:r>
      <w:r w:rsidRPr="00444614">
        <w:t xml:space="preserve">% higher than the </w:t>
      </w:r>
      <w:r w:rsidRPr="00373DF1">
        <w:t>effective AEMP for osimertinib for first-line treatment of locally advanced or metastatic setting ($</w:t>
      </w:r>
      <w:r w:rsidR="00E927A0" w:rsidRPr="001E77BF">
        <w:rPr>
          <w:color w:val="000000"/>
          <w:w w:val="15"/>
          <w:shd w:val="solid" w:color="000000" w:fill="000000"/>
          <w:fitText w:val="-20" w:id="-1032092670"/>
          <w14:textFill>
            <w14:solidFill>
              <w14:srgbClr w14:val="000000">
                <w14:alpha w14:val="100000"/>
              </w14:srgbClr>
            </w14:solidFill>
          </w14:textFill>
        </w:rPr>
        <w:t xml:space="preserve">|  </w:t>
      </w:r>
      <w:r w:rsidR="00E927A0" w:rsidRPr="001E77BF">
        <w:rPr>
          <w:color w:val="000000"/>
          <w:spacing w:val="-69"/>
          <w:w w:val="15"/>
          <w:shd w:val="solid" w:color="000000" w:fill="000000"/>
          <w:fitText w:val="-20" w:id="-1032092670"/>
          <w14:textFill>
            <w14:solidFill>
              <w14:srgbClr w14:val="000000">
                <w14:alpha w14:val="100000"/>
              </w14:srgbClr>
            </w14:solidFill>
          </w14:textFill>
        </w:rPr>
        <w:t>|</w:t>
      </w:r>
      <w:r w:rsidRPr="00373DF1">
        <w:t>) but was lower than the effective AEMP for second line treatment ($</w:t>
      </w:r>
      <w:r w:rsidR="00E927A0" w:rsidRPr="001E77BF">
        <w:rPr>
          <w:color w:val="000000"/>
          <w:w w:val="15"/>
          <w:shd w:val="solid" w:color="000000" w:fill="000000"/>
          <w:fitText w:val="-20" w:id="-1032092669"/>
          <w14:textFill>
            <w14:solidFill>
              <w14:srgbClr w14:val="000000">
                <w14:alpha w14:val="100000"/>
              </w14:srgbClr>
            </w14:solidFill>
          </w14:textFill>
        </w:rPr>
        <w:t xml:space="preserve">|  </w:t>
      </w:r>
      <w:r w:rsidR="00E927A0" w:rsidRPr="001E77BF">
        <w:rPr>
          <w:color w:val="000000"/>
          <w:spacing w:val="-69"/>
          <w:w w:val="15"/>
          <w:shd w:val="solid" w:color="000000" w:fill="000000"/>
          <w:fitText w:val="-20" w:id="-1032092669"/>
          <w14:textFill>
            <w14:solidFill>
              <w14:srgbClr w14:val="000000">
                <w14:alpha w14:val="100000"/>
              </w14:srgbClr>
            </w14:solidFill>
          </w14:textFill>
        </w:rPr>
        <w:t>|</w:t>
      </w:r>
      <w:r w:rsidRPr="00373DF1">
        <w:t>).</w:t>
      </w:r>
      <w:r w:rsidR="00233B23">
        <w:t xml:space="preserve"> </w:t>
      </w:r>
    </w:p>
    <w:p w14:paraId="0D508E2F" w14:textId="77777777" w:rsidR="008E2470" w:rsidRDefault="008E2470" w:rsidP="008E2470">
      <w:pPr>
        <w:pStyle w:val="3-BodyText"/>
      </w:pPr>
      <w:r>
        <w:t>The requested restriction was narrower than osimertinib’s TGA approved indication in the adjuvant setting, but was broader than the pivotal trial population from ADAURA, specifically:</w:t>
      </w:r>
    </w:p>
    <w:p w14:paraId="666B54B3" w14:textId="1C2C882F" w:rsidR="008E2470" w:rsidRPr="00BC7C0F" w:rsidRDefault="008E2470" w:rsidP="00BC7C0F">
      <w:pPr>
        <w:pStyle w:val="Bulletpoints"/>
      </w:pPr>
      <w:r w:rsidRPr="00BC7C0F">
        <w:t xml:space="preserve">the TGA registration was agnostic on disease stage, whereas the requested restriction, Stage IB-IIIA, was consistent with ADAURA. </w:t>
      </w:r>
      <w:r w:rsidR="00AA1D95" w:rsidRPr="00BC7C0F">
        <w:t xml:space="preserve">Use outside the restriction in </w:t>
      </w:r>
      <w:r w:rsidRPr="00BC7C0F">
        <w:t xml:space="preserve">patients with Stage IA disease is possible: a trial assessing osimertinib in resected EGFR variant positive Stage IA2-IA3 NSCLC (NCT05120349) is currently underway. </w:t>
      </w:r>
    </w:p>
    <w:p w14:paraId="3E9D36A3" w14:textId="21D4156D" w:rsidR="008E2470" w:rsidRPr="000853E6" w:rsidRDefault="008E2470" w:rsidP="00BC7C0F">
      <w:pPr>
        <w:pStyle w:val="Bulletpoints"/>
      </w:pPr>
      <w:r w:rsidRPr="000853E6">
        <w:t>ADAURA was restricted to patients with centrally confirmed EGFR pathogenic variants (Exon 19 deletion (Ex19del) or Exon 21 L858R substitution (L858R)) whereas the proposed restriction is for any EGFR pathogenic variant. Public insurance coverage of osimertinib adjuvant therapy in the UK and Canada are limited to patients with Ex19del or L858R pathogenic variants</w:t>
      </w:r>
      <w:r w:rsidRPr="000853E6">
        <w:rPr>
          <w:rStyle w:val="FootnoteReference"/>
        </w:rPr>
        <w:footnoteReference w:id="1"/>
      </w:r>
      <w:r w:rsidRPr="000853E6">
        <w:rPr>
          <w:vertAlign w:val="superscript"/>
        </w:rPr>
        <w:t>,</w:t>
      </w:r>
      <w:r w:rsidRPr="000853E6">
        <w:rPr>
          <w:rStyle w:val="FootnoteReference"/>
        </w:rPr>
        <w:footnoteReference w:id="2"/>
      </w:r>
      <w:r w:rsidRPr="000853E6">
        <w:t xml:space="preserve">. The PBAC and MSAC in their prior considerations of the erlotinib, gefitinib and afatinib submissions for NSCLC had accepted the advice from the October 2012 EGFR/TKI stakeholder meeting that a PBS restriction should not specify the specific EGFR activating mutations, noting that the strongest evidence is limited to the EGFR mutations of Ex19del and L858R, which are estimated to account for about 70% of detected EGFR mutations (erlotinib </w:t>
      </w:r>
      <w:r w:rsidR="0035602E" w:rsidRPr="0035602E">
        <w:t xml:space="preserve">Public Summary Document </w:t>
      </w:r>
      <w:r w:rsidR="0035602E">
        <w:t>(</w:t>
      </w:r>
      <w:r w:rsidRPr="000853E6">
        <w:t>PSD</w:t>
      </w:r>
      <w:r w:rsidR="0035602E">
        <w:t>)</w:t>
      </w:r>
      <w:r w:rsidRPr="000853E6">
        <w:t xml:space="preserve">, July 2013; gefitinib PSD, November 2012; afatinib PSD, July 2103 PBAC meeting). </w:t>
      </w:r>
      <w:r w:rsidR="00A13F2F" w:rsidRPr="00AA29D4">
        <w:t>The ESC considered it remained appropriate to not refer to specific mutations in the restriction criteria.</w:t>
      </w:r>
      <w:r w:rsidR="00A13F2F">
        <w:t xml:space="preserve">  </w:t>
      </w:r>
    </w:p>
    <w:p w14:paraId="3045DC5D" w14:textId="18F1BE94" w:rsidR="008E2470" w:rsidRPr="008B4520" w:rsidRDefault="008E2470" w:rsidP="00BC7C0F">
      <w:pPr>
        <w:pStyle w:val="Bulletpoints"/>
        <w:rPr>
          <w:i/>
        </w:rPr>
      </w:pPr>
      <w:r w:rsidRPr="000853E6">
        <w:t xml:space="preserve">ADAURA required patients to have negative margins after complete resection, consistent with the NCCN guidelines for adjuvant osimertinib (NCCN 2023), whereas the TGA approved indication and the proposed PBS restriction do not specify a requirement for negative margins. </w:t>
      </w:r>
      <w:r w:rsidR="00AA1D95" w:rsidRPr="000853E6">
        <w:t xml:space="preserve">Use in patients with positive margins is </w:t>
      </w:r>
      <w:r w:rsidRPr="000853E6">
        <w:t xml:space="preserve">likely despite lack of clinical evidence. It was noted a clinical trial is currently underway investigating the use of osimertinib after stereotactic body radiation therapy (SBRT) in a subgroup of early stage unresected EGFR mutation positive NSCLC patients </w:t>
      </w:r>
      <w:r w:rsidRPr="00B771F6">
        <w:t>(NCT03833154),</w:t>
      </w:r>
      <w:r w:rsidRPr="008B4520">
        <w:rPr>
          <w:i/>
        </w:rPr>
        <w:t xml:space="preserve"> </w:t>
      </w:r>
      <w:r w:rsidRPr="00B771F6">
        <w:t>and another study is investigating osimertinib after chemoradiation in patients with Stage III unresectable NSCLC (NCT03521154).</w:t>
      </w:r>
      <w:r w:rsidRPr="008B4520">
        <w:rPr>
          <w:i/>
        </w:rPr>
        <w:t xml:space="preserve"> </w:t>
      </w:r>
    </w:p>
    <w:p w14:paraId="0323AAC3" w14:textId="77777777" w:rsidR="008E2470" w:rsidRPr="000853E6" w:rsidRDefault="008E2470" w:rsidP="00BC7C0F">
      <w:pPr>
        <w:pStyle w:val="Bulletpoints"/>
      </w:pPr>
      <w:r w:rsidRPr="000853E6">
        <w:lastRenderedPageBreak/>
        <w:t xml:space="preserve">ADAURA was also restricted to patients with primary non-squamous NSCLC and World Health Organisation (WHO) performance status less than 2, which were narrower than the proposed restriction which was unrestricted in histology and included patients with WHO performance status of 2. These were however consistent with the current PBS restriction for osimertinib in first-line treatment of locally advanced/metastatic NSCLC (where trial evidence (FLAURA) was restricted to primary non-squamous NSCLC and WHO performance status of 0 or 1, but the PBS restriction is silent on histology and includes WHO performance status of 2). </w:t>
      </w:r>
    </w:p>
    <w:p w14:paraId="71429370" w14:textId="046A746F" w:rsidR="00716999" w:rsidRDefault="008E2470" w:rsidP="008E2470">
      <w:pPr>
        <w:pStyle w:val="3-BodyText"/>
      </w:pPr>
      <w:r w:rsidRPr="008C01F8">
        <w:t xml:space="preserve">The requested restriction stipulated that osimertinib is to be continued for up to a maximum 3 </w:t>
      </w:r>
      <w:r w:rsidRPr="001549AB">
        <w:t>years</w:t>
      </w:r>
      <w:r w:rsidRPr="008C01F8">
        <w:t xml:space="preserve"> or ceased earlier if there is disease recurrence or unacceptable toxicity. In the ADAURA trial, 57% (43/75) of patients in the osimertinib arm who had disease recurrence used a TKI as their first subsequent treatment and more than half of those patients (24/43) used osimertinib. </w:t>
      </w:r>
      <w:r w:rsidR="004D54D3" w:rsidRPr="0080513B">
        <w:t>The ESC noted</w:t>
      </w:r>
      <w:r w:rsidR="004D54D3">
        <w:t xml:space="preserve"> u</w:t>
      </w:r>
      <w:r w:rsidRPr="008C01F8">
        <w:t xml:space="preserve">se of an EGFR-TKI after disease recurrence would not be permitted based on </w:t>
      </w:r>
      <w:r>
        <w:t xml:space="preserve">either the </w:t>
      </w:r>
      <w:r w:rsidRPr="008C01F8">
        <w:t>requested restriction</w:t>
      </w:r>
      <w:r>
        <w:t xml:space="preserve"> or the current restrictions of TKIs</w:t>
      </w:r>
      <w:r w:rsidRPr="008C01F8">
        <w:t>.</w:t>
      </w:r>
      <w:r w:rsidR="00B90888">
        <w:t xml:space="preserve"> </w:t>
      </w:r>
    </w:p>
    <w:p w14:paraId="14DFAF77" w14:textId="1E42D541" w:rsidR="0080513B" w:rsidRPr="0080513B" w:rsidRDefault="0080513B" w:rsidP="0080513B">
      <w:pPr>
        <w:pStyle w:val="3-BodyText"/>
      </w:pPr>
      <w:bookmarkStart w:id="12" w:name="_Ref151483972"/>
      <w:r>
        <w:t xml:space="preserve">The submission proposed a </w:t>
      </w:r>
      <w:r w:rsidRPr="0080513B">
        <w:t>separate initial, continuing and grandfathering</w:t>
      </w:r>
      <w:r>
        <w:t xml:space="preserve"> restriction</w:t>
      </w:r>
      <w:r w:rsidRPr="0080513B">
        <w:t xml:space="preserve">. </w:t>
      </w:r>
      <w:r>
        <w:t>The submission stated a</w:t>
      </w:r>
      <w:r w:rsidRPr="0080513B">
        <w:t xml:space="preserve">pproximately </w:t>
      </w:r>
      <w:r w:rsidR="0088636F">
        <w:t>&lt; 500</w:t>
      </w:r>
      <w:r w:rsidR="0088636F" w:rsidRPr="0080513B">
        <w:t xml:space="preserve"> </w:t>
      </w:r>
      <w:r w:rsidRPr="0080513B">
        <w:t>patients are currently enrolled in the part-pay program and these patients will be eligible for PBS-subsidised osimertinib when it is listed. Additionally, the sponsor intends to provide access to adjuvant osimertinib via a compassionate access program before PBS listing occurs</w:t>
      </w:r>
      <w:r>
        <w:t xml:space="preserve">, with an estimated </w:t>
      </w:r>
      <w:r w:rsidR="004A08B4">
        <w:t>&lt; 500</w:t>
      </w:r>
      <w:r w:rsidRPr="0080513B">
        <w:t xml:space="preserve"> patients eligible for PBS-subsidised osimertinib once it is PBS listed</w:t>
      </w:r>
      <w:r w:rsidR="004A08B4">
        <w:rPr>
          <w:rStyle w:val="FootnoteReference"/>
        </w:rPr>
        <w:footnoteReference w:id="3"/>
      </w:r>
      <w:r w:rsidRPr="0080513B">
        <w:t xml:space="preserve">. The Secretariat noted that it may be possible to </w:t>
      </w:r>
      <w:r>
        <w:t xml:space="preserve">have a single restriction that covers initial, continuing and transition to PBS-subsidised treatment </w:t>
      </w:r>
      <w:r w:rsidRPr="0080513B">
        <w:t>for simplicity.</w:t>
      </w:r>
      <w:bookmarkEnd w:id="12"/>
    </w:p>
    <w:p w14:paraId="541B6295" w14:textId="7082A05C" w:rsidR="0080513B" w:rsidRDefault="0080513B" w:rsidP="008E2470">
      <w:pPr>
        <w:pStyle w:val="3-BodyText"/>
      </w:pPr>
      <w:r w:rsidRPr="0080513B">
        <w:t xml:space="preserve">The proposed restriction included the clinical criteria: </w:t>
      </w:r>
      <w:r w:rsidR="00777063">
        <w:t>‘</w:t>
      </w:r>
      <w:r w:rsidRPr="0080513B">
        <w:t>Patient must have a WHO performance status of no greater than 2 at treatment initiation of this drug</w:t>
      </w:r>
      <w:r w:rsidR="00777063">
        <w:t>’</w:t>
      </w:r>
      <w:r w:rsidRPr="0080513B">
        <w:t xml:space="preserve">. This is not consistent with inclusion criteria for the ADAURA trial which enrolled patients with a WHO performance state of 0 or 1. </w:t>
      </w:r>
    </w:p>
    <w:p w14:paraId="1D6F35E4" w14:textId="6C4D28D7" w:rsidR="0080513B" w:rsidRPr="0080513B" w:rsidRDefault="0080513B" w:rsidP="0080513B">
      <w:pPr>
        <w:pStyle w:val="3-BodyText"/>
        <w:numPr>
          <w:ilvl w:val="0"/>
          <w:numId w:val="0"/>
        </w:numPr>
        <w:ind w:left="720"/>
        <w:rPr>
          <w:i/>
          <w:iCs/>
        </w:rPr>
      </w:pPr>
      <w:r w:rsidRPr="00F91CC3">
        <w:rPr>
          <w:i/>
          <w:iCs/>
        </w:rPr>
        <w:t>For more detail on PBAC’s view, see section 7 PBAC outcome.</w:t>
      </w:r>
    </w:p>
    <w:p w14:paraId="221F36DC" w14:textId="77777777" w:rsidR="00716999" w:rsidRPr="00407F2D" w:rsidDel="00195452" w:rsidRDefault="00716999" w:rsidP="00716999">
      <w:pPr>
        <w:pStyle w:val="2-SectionHeading"/>
      </w:pPr>
      <w:bookmarkStart w:id="13" w:name="_Toc145434780"/>
      <w:r w:rsidDel="00195452">
        <w:t>Population and disease</w:t>
      </w:r>
      <w:bookmarkEnd w:id="13"/>
    </w:p>
    <w:p w14:paraId="64D42AAE" w14:textId="77777777" w:rsidR="008E2470" w:rsidRPr="009912F6" w:rsidRDefault="008E2470" w:rsidP="008E2470">
      <w:pPr>
        <w:pStyle w:val="3-BodyText"/>
        <w:rPr>
          <w:color w:val="0066FF"/>
        </w:rPr>
      </w:pPr>
      <w:r>
        <w:t>In Australia, l</w:t>
      </w:r>
      <w:r w:rsidRPr="000967E1">
        <w:t xml:space="preserve">ung cancer </w:t>
      </w:r>
      <w:r>
        <w:t>accounts for 9% of all new cancer diagnoses and 17% of cancer deaths</w:t>
      </w:r>
      <w:r w:rsidRPr="000967E1">
        <w:t>. In 2022, approximately 14,529 Australians were diagnosed with lung cancer, and an estimated 8,664 Australians died of the disease</w:t>
      </w:r>
      <w:r>
        <w:t xml:space="preserve"> </w:t>
      </w:r>
      <w:r w:rsidRPr="000967E1">
        <w:t>(Cancer Australia 2023</w:t>
      </w:r>
      <w:r w:rsidRPr="00EB7A4C">
        <w:rPr>
          <w:rStyle w:val="FootnoteReference"/>
        </w:rPr>
        <w:footnoteReference w:id="4"/>
      </w:r>
      <w:r w:rsidRPr="00EB7A4C">
        <w:t>)</w:t>
      </w:r>
      <w:r w:rsidRPr="000967E1">
        <w:t>. NSCLC is the most common type of lung cancer, representing approximately 85% of all lung cancer diagnoses in Australia (Stirling 2019</w:t>
      </w:r>
      <w:r w:rsidRPr="00EB7A4C">
        <w:rPr>
          <w:rStyle w:val="FootnoteReference"/>
        </w:rPr>
        <w:footnoteReference w:id="5"/>
      </w:r>
      <w:r w:rsidRPr="00EB7A4C">
        <w:t>)</w:t>
      </w:r>
      <w:r w:rsidRPr="000967E1">
        <w:t>.</w:t>
      </w:r>
      <w:r>
        <w:t xml:space="preserve"> </w:t>
      </w:r>
      <w:r w:rsidRPr="009912F6">
        <w:rPr>
          <w:i/>
        </w:rPr>
        <w:t>EGFR</w:t>
      </w:r>
      <w:r w:rsidRPr="007A2462">
        <w:t xml:space="preserve"> </w:t>
      </w:r>
      <w:r>
        <w:t xml:space="preserve">pathogenic variants </w:t>
      </w:r>
      <w:r>
        <w:lastRenderedPageBreak/>
        <w:t xml:space="preserve">are </w:t>
      </w:r>
      <w:r w:rsidRPr="007A2462">
        <w:t xml:space="preserve">found in </w:t>
      </w:r>
      <w:r>
        <w:t xml:space="preserve">approximately </w:t>
      </w:r>
      <w:r w:rsidRPr="007A2462">
        <w:t xml:space="preserve">17.5% of </w:t>
      </w:r>
      <w:r>
        <w:t xml:space="preserve">NSCLC </w:t>
      </w:r>
      <w:r w:rsidRPr="007A2462">
        <w:t>patients</w:t>
      </w:r>
      <w:r>
        <w:t xml:space="preserve"> (Mead 2021</w:t>
      </w:r>
      <w:r>
        <w:rPr>
          <w:rStyle w:val="FootnoteReference"/>
        </w:rPr>
        <w:footnoteReference w:id="6"/>
      </w:r>
      <w:r>
        <w:t xml:space="preserve">). </w:t>
      </w:r>
      <w:r w:rsidRPr="009912F6">
        <w:rPr>
          <w:szCs w:val="22"/>
        </w:rPr>
        <w:t xml:space="preserve">Early-stage NSCLC includes Stage I-IIIA and is considered </w:t>
      </w:r>
      <w:r>
        <w:rPr>
          <w:szCs w:val="22"/>
        </w:rPr>
        <w:t xml:space="preserve">potentially </w:t>
      </w:r>
      <w:r w:rsidRPr="009912F6">
        <w:rPr>
          <w:szCs w:val="22"/>
        </w:rPr>
        <w:t xml:space="preserve">curable. </w:t>
      </w:r>
      <w:r w:rsidRPr="00A459CA">
        <w:t>The primary treatment for NSCLC patients with resectable disease is surgical removal of the tumour</w:t>
      </w:r>
      <w:r>
        <w:t xml:space="preserve"> (National Comprehensive Cancer Network (NCCN) 2023</w:t>
      </w:r>
      <w:r>
        <w:rPr>
          <w:rStyle w:val="FootnoteReference"/>
        </w:rPr>
        <w:footnoteReference w:id="7"/>
      </w:r>
      <w:r>
        <w:t>)</w:t>
      </w:r>
      <w:r w:rsidRPr="00A459CA">
        <w:t xml:space="preserve">. </w:t>
      </w:r>
      <w:r w:rsidRPr="007363E6">
        <w:t>An estimated 25-30% of patients present with early-stage, resectable disease at diagnosis</w:t>
      </w:r>
      <w:r>
        <w:t xml:space="preserve"> (Le Chevalier 2010</w:t>
      </w:r>
      <w:r>
        <w:rPr>
          <w:rStyle w:val="FootnoteReference"/>
        </w:rPr>
        <w:footnoteReference w:id="8"/>
      </w:r>
      <w:r>
        <w:t>). 5-year s</w:t>
      </w:r>
      <w:r w:rsidRPr="00A459CA">
        <w:t>urvival remains poor after resection and worsens with increasing disease severity</w:t>
      </w:r>
      <w:r>
        <w:t>, from 58%-73% of Stage I to 19%-24% of Stage IIIA tumours (Liang 2013</w:t>
      </w:r>
      <w:r>
        <w:rPr>
          <w:rStyle w:val="FootnoteReference"/>
        </w:rPr>
        <w:footnoteReference w:id="9"/>
      </w:r>
      <w:r>
        <w:t xml:space="preserve">). </w:t>
      </w:r>
      <w:r w:rsidRPr="00A459CA">
        <w:t>Causes of death are mainly due to disease recurrence</w:t>
      </w:r>
      <w:r>
        <w:t>, which</w:t>
      </w:r>
      <w:r w:rsidRPr="00615E34">
        <w:t xml:space="preserve"> occurs at distant sites in almost 70% of patients with post-resection recurrence</w:t>
      </w:r>
      <w:r>
        <w:t xml:space="preserve">. </w:t>
      </w:r>
      <w:r w:rsidRPr="00A459CA">
        <w:t xml:space="preserve">The CNS is a common site of distant metastases which is associated with a high treatment burden and </w:t>
      </w:r>
      <w:r>
        <w:t>poor</w:t>
      </w:r>
      <w:r w:rsidRPr="00A459CA">
        <w:t xml:space="preserve"> quality of life and survival</w:t>
      </w:r>
      <w:r>
        <w:t xml:space="preserve"> (De Carlo 2022</w:t>
      </w:r>
      <w:r>
        <w:rPr>
          <w:rStyle w:val="FootnoteReference"/>
        </w:rPr>
        <w:footnoteReference w:id="10"/>
      </w:r>
      <w:r>
        <w:t>).</w:t>
      </w:r>
      <w:r w:rsidRPr="00615E34">
        <w:t xml:space="preserve"> </w:t>
      </w:r>
      <w:r w:rsidRPr="00E876F4">
        <w:t xml:space="preserve">The use of adjuvant chemotherapy after surgical resection improves survival, with an absolute benefit of approximately 5% </w:t>
      </w:r>
      <w:r>
        <w:t>(Pignon 2008</w:t>
      </w:r>
      <w:r>
        <w:rPr>
          <w:rStyle w:val="FootnoteReference"/>
        </w:rPr>
        <w:footnoteReference w:id="11"/>
      </w:r>
      <w:r>
        <w:t>).</w:t>
      </w:r>
      <w:r w:rsidRPr="002D7318">
        <w:t xml:space="preserve"> </w:t>
      </w:r>
      <w:r>
        <w:t>D</w:t>
      </w:r>
      <w:r w:rsidRPr="00A459CA">
        <w:t>ue to the toxicity associated with chemotherapy and the small perceived benefit, not all patients receive adjuvant chemotherapy</w:t>
      </w:r>
      <w:r>
        <w:t xml:space="preserve"> (Chouaid 2018</w:t>
      </w:r>
      <w:r>
        <w:rPr>
          <w:rStyle w:val="FootnoteReference"/>
        </w:rPr>
        <w:footnoteReference w:id="12"/>
      </w:r>
      <w:r>
        <w:t>).</w:t>
      </w:r>
    </w:p>
    <w:p w14:paraId="3A76406F" w14:textId="77777777" w:rsidR="008E2470" w:rsidRDefault="008E2470" w:rsidP="008E2470">
      <w:pPr>
        <w:pStyle w:val="3-BodyText"/>
      </w:pPr>
      <w:r w:rsidRPr="00EB1840">
        <w:t xml:space="preserve">Lung cancers with an </w:t>
      </w:r>
      <w:r w:rsidRPr="009912F6">
        <w:rPr>
          <w:i/>
        </w:rPr>
        <w:t>EGFR</w:t>
      </w:r>
      <w:r w:rsidRPr="00EB1840">
        <w:t xml:space="preserve"> pathogenic variant depend on </w:t>
      </w:r>
      <w:r w:rsidRPr="009912F6">
        <w:rPr>
          <w:i/>
        </w:rPr>
        <w:t>EGFR</w:t>
      </w:r>
      <w:r w:rsidRPr="00EB1840">
        <w:t xml:space="preserve"> signalling for growth and survival, which confers sensitivity to treatment with </w:t>
      </w:r>
      <w:r w:rsidRPr="009912F6">
        <w:rPr>
          <w:i/>
        </w:rPr>
        <w:t>EGFR</w:t>
      </w:r>
      <w:r w:rsidRPr="00EB1840">
        <w:t xml:space="preserve"> </w:t>
      </w:r>
      <w:r>
        <w:t>TKIs (Tan 2018</w:t>
      </w:r>
      <w:r>
        <w:rPr>
          <w:rStyle w:val="FootnoteReference"/>
        </w:rPr>
        <w:footnoteReference w:id="13"/>
      </w:r>
      <w:r>
        <w:t xml:space="preserve">). </w:t>
      </w:r>
      <w:r w:rsidRPr="009912F6">
        <w:rPr>
          <w:i/>
        </w:rPr>
        <w:t>EGFR</w:t>
      </w:r>
      <w:r w:rsidRPr="00294C70">
        <w:t xml:space="preserve"> </w:t>
      </w:r>
      <w:r>
        <w:t xml:space="preserve">pathogenic variants </w:t>
      </w:r>
      <w:r w:rsidRPr="00294C70">
        <w:t>are commonly detected in adenocarcinoma</w:t>
      </w:r>
      <w:r>
        <w:t>, the most common form of non-squamous cell NSCLC</w:t>
      </w:r>
      <w:r w:rsidRPr="00294C70">
        <w:t>, with higher rates amongst Asian populations (</w:t>
      </w:r>
      <w:r>
        <w:t>30%-64%</w:t>
      </w:r>
      <w:r w:rsidRPr="00294C70">
        <w:t xml:space="preserve">) than amongst </w:t>
      </w:r>
      <w:r>
        <w:t>Western</w:t>
      </w:r>
      <w:r w:rsidRPr="00294C70">
        <w:t xml:space="preserve"> populations (</w:t>
      </w:r>
      <w:r>
        <w:t>5%-18</w:t>
      </w:r>
      <w:r w:rsidRPr="00294C70">
        <w:t>%)</w:t>
      </w:r>
      <w:r>
        <w:t>, in women and never smokers</w:t>
      </w:r>
      <w:r w:rsidRPr="00294C70">
        <w:t xml:space="preserve"> (</w:t>
      </w:r>
      <w:r>
        <w:t>Rybarczyk-Kasiuchnicz 2021</w:t>
      </w:r>
      <w:r>
        <w:rPr>
          <w:rStyle w:val="FootnoteReference"/>
        </w:rPr>
        <w:footnoteReference w:id="14"/>
      </w:r>
      <w:r>
        <w:t>, Yoon 2020</w:t>
      </w:r>
      <w:r>
        <w:rPr>
          <w:rStyle w:val="FootnoteReference"/>
        </w:rPr>
        <w:footnoteReference w:id="15"/>
      </w:r>
      <w:r>
        <w:t>, Tan 2018</w:t>
      </w:r>
      <w:r w:rsidRPr="00294C70">
        <w:t>).</w:t>
      </w:r>
      <w:r>
        <w:t xml:space="preserve"> </w:t>
      </w:r>
      <w:r w:rsidRPr="00A66001">
        <w:rPr>
          <w:i/>
        </w:rPr>
        <w:t>EGFR</w:t>
      </w:r>
      <w:r>
        <w:t xml:space="preserve"> pathogenic variants are less common in squamous cell carcinoma (2-10%), and response to </w:t>
      </w:r>
      <w:r w:rsidRPr="00A8794B">
        <w:rPr>
          <w:i/>
        </w:rPr>
        <w:t>EGFR</w:t>
      </w:r>
      <w:r>
        <w:t>-TKIs may be lower than for tumours with non-squamous histology (Joshi 2017</w:t>
      </w:r>
      <w:r>
        <w:rPr>
          <w:rStyle w:val="FootnoteReference"/>
        </w:rPr>
        <w:footnoteReference w:id="16"/>
      </w:r>
      <w:r>
        <w:t xml:space="preserve">). The most frequent </w:t>
      </w:r>
      <w:r w:rsidRPr="009912F6">
        <w:rPr>
          <w:i/>
        </w:rPr>
        <w:t>EGFR</w:t>
      </w:r>
      <w:r>
        <w:t xml:space="preserve"> pathogenic variants are </w:t>
      </w:r>
      <w:r>
        <w:rPr>
          <w:snapToGrid/>
          <w:lang w:val="en-US"/>
        </w:rPr>
        <w:t xml:space="preserve">Ex19del </w:t>
      </w:r>
      <w:r>
        <w:t>(40–50%) and L858R (30–40%).</w:t>
      </w:r>
      <w:r w:rsidRPr="00294C70">
        <w:t xml:space="preserve"> </w:t>
      </w:r>
    </w:p>
    <w:p w14:paraId="39D86DE9" w14:textId="5C1B6BC5" w:rsidR="00716999" w:rsidRPr="002E4F02" w:rsidDel="00195452" w:rsidRDefault="008E2470" w:rsidP="00716999">
      <w:pPr>
        <w:pStyle w:val="3-BodyText"/>
        <w:rPr>
          <w:color w:val="0066FF"/>
        </w:rPr>
      </w:pPr>
      <w:r w:rsidRPr="00A459CA">
        <w:lastRenderedPageBreak/>
        <w:t>Osimertinib is a</w:t>
      </w:r>
      <w:r>
        <w:t xml:space="preserve"> third generation, orally administered TKI</w:t>
      </w:r>
      <w:r w:rsidRPr="00A459CA">
        <w:t xml:space="preserve"> that selectively </w:t>
      </w:r>
      <w:r>
        <w:t xml:space="preserve">and irreversibly </w:t>
      </w:r>
      <w:r w:rsidRPr="00A459CA">
        <w:t xml:space="preserve">inhibits </w:t>
      </w:r>
      <w:r w:rsidRPr="006474C4">
        <w:rPr>
          <w:i/>
        </w:rPr>
        <w:t>EGFR</w:t>
      </w:r>
      <w:r w:rsidRPr="00A459CA">
        <w:t xml:space="preserve"> sensiti</w:t>
      </w:r>
      <w:r>
        <w:t>s</w:t>
      </w:r>
      <w:r w:rsidRPr="00A459CA">
        <w:t xml:space="preserve">ing </w:t>
      </w:r>
      <w:r>
        <w:t xml:space="preserve">pathogenic variants </w:t>
      </w:r>
      <w:r w:rsidRPr="00A459CA">
        <w:t xml:space="preserve">and the TKI resistance-conferring </w:t>
      </w:r>
      <w:r w:rsidRPr="006474C4">
        <w:rPr>
          <w:i/>
        </w:rPr>
        <w:t>EGFR</w:t>
      </w:r>
      <w:r w:rsidRPr="00A459CA">
        <w:t xml:space="preserve"> </w:t>
      </w:r>
      <w:r>
        <w:t>pathogenic variant</w:t>
      </w:r>
      <w:r w:rsidRPr="00A459CA">
        <w:t>, T790M</w:t>
      </w:r>
      <w:r>
        <w:t xml:space="preserve">, </w:t>
      </w:r>
      <w:r w:rsidRPr="00A459CA">
        <w:t>leading to inhibition of cell growth and tumour shrinkage</w:t>
      </w:r>
      <w:r>
        <w:t>, with significantly less activity against wild-type cell lines.</w:t>
      </w:r>
      <w:r w:rsidRPr="00A459CA">
        <w:t xml:space="preserve"> </w:t>
      </w:r>
      <w:r>
        <w:t>(Osimertinib approved product information (PI)).</w:t>
      </w:r>
    </w:p>
    <w:p w14:paraId="3EFD6128" w14:textId="77777777" w:rsidR="00716999" w:rsidRPr="00407F2D" w:rsidRDefault="00716999" w:rsidP="00716999">
      <w:pPr>
        <w:pStyle w:val="2-SectionHeading"/>
      </w:pPr>
      <w:bookmarkStart w:id="14" w:name="_Toc145434781"/>
      <w:r w:rsidRPr="00407F2D">
        <w:t>Comparator</w:t>
      </w:r>
      <w:bookmarkEnd w:id="14"/>
    </w:p>
    <w:p w14:paraId="78BDE107" w14:textId="5CE60CA1" w:rsidR="008E2470" w:rsidRPr="004E1DEC" w:rsidRDefault="008E2470" w:rsidP="008E2470">
      <w:pPr>
        <w:pStyle w:val="3-BodyText"/>
        <w:rPr>
          <w:color w:val="0066FF"/>
        </w:rPr>
      </w:pPr>
      <w:r w:rsidRPr="00221600">
        <w:t>The submission nominated standard of care (watch and wait) as the main comparator. Clinical practice guidelines recommend early-stage NSCLC patients with surgical resection are monitored for disease recurrence through active surveillance irrespective of whether or not they received adjuvant chemotherapy, and adjuvant osimertinib is recommended after surgical resection irrespective of the use of chemotherapy (NCCN 2023</w:t>
      </w:r>
      <w:r w:rsidRPr="008D154D">
        <w:rPr>
          <w:vertAlign w:val="superscript"/>
        </w:rPr>
        <w:footnoteReference w:id="17"/>
      </w:r>
      <w:r w:rsidRPr="00221600">
        <w:t>).</w:t>
      </w:r>
      <w:r>
        <w:rPr>
          <w:color w:val="0066FF"/>
        </w:rPr>
        <w:t xml:space="preserve"> </w:t>
      </w:r>
      <w:r w:rsidRPr="000853E6">
        <w:rPr>
          <w:iCs/>
        </w:rPr>
        <w:t xml:space="preserve">The </w:t>
      </w:r>
      <w:r w:rsidR="00C04957" w:rsidRPr="00AA29D4">
        <w:rPr>
          <w:iCs/>
        </w:rPr>
        <w:t>ESC considered the</w:t>
      </w:r>
      <w:r w:rsidR="00C04957">
        <w:rPr>
          <w:iCs/>
        </w:rPr>
        <w:t xml:space="preserve"> </w:t>
      </w:r>
      <w:r w:rsidRPr="000853E6">
        <w:rPr>
          <w:iCs/>
        </w:rPr>
        <w:t xml:space="preserve">nominated comparator </w:t>
      </w:r>
      <w:r w:rsidR="00C04957" w:rsidRPr="004C6403">
        <w:rPr>
          <w:iCs/>
        </w:rPr>
        <w:t xml:space="preserve">was </w:t>
      </w:r>
      <w:r w:rsidRPr="000853E6">
        <w:rPr>
          <w:iCs/>
        </w:rPr>
        <w:t xml:space="preserve">reasonable. </w:t>
      </w:r>
      <w:r w:rsidR="00C04957">
        <w:rPr>
          <w:iCs/>
        </w:rPr>
        <w:t xml:space="preserve"> </w:t>
      </w:r>
      <w:r w:rsidR="00C04957" w:rsidRPr="00AA29D4">
        <w:rPr>
          <w:iCs/>
        </w:rPr>
        <w:t xml:space="preserve">The ESC noted that although atezolizumab is available in the adjuvant setting for patients with PD-L1 expression </w:t>
      </w:r>
      <w:r w:rsidR="00C04957" w:rsidRPr="00AA29D4">
        <w:rPr>
          <w:rFonts w:cstheme="minorHAnsi"/>
          <w:iCs/>
        </w:rPr>
        <w:t>≥</w:t>
      </w:r>
      <w:r w:rsidR="00C04957" w:rsidRPr="00AA29D4">
        <w:rPr>
          <w:iCs/>
        </w:rPr>
        <w:t xml:space="preserve"> 50%, the PBS listing excludes patients with EGFR expression.</w:t>
      </w:r>
      <w:r w:rsidR="00C04957" w:rsidRPr="00C04957">
        <w:rPr>
          <w:i/>
        </w:rPr>
        <w:t xml:space="preserve"> </w:t>
      </w:r>
    </w:p>
    <w:p w14:paraId="1FC5C3E1" w14:textId="38C096DD" w:rsidR="00716999" w:rsidRPr="000853E6" w:rsidRDefault="008E2470" w:rsidP="00716999">
      <w:pPr>
        <w:pStyle w:val="3-BodyText"/>
        <w:rPr>
          <w:iCs/>
        </w:rPr>
      </w:pPr>
      <w:r w:rsidRPr="000853E6">
        <w:rPr>
          <w:iCs/>
        </w:rPr>
        <w:t>If osimertinib is PBS listed for adjuvant treatment as requested, it is likely to replace some osimertinib use in more progressed NSCLC</w:t>
      </w:r>
      <w:r w:rsidR="0004693B" w:rsidRPr="000853E6">
        <w:rPr>
          <w:iCs/>
        </w:rPr>
        <w:t xml:space="preserve"> due to patients not progressing or being cured due to adjuvant osimertinib</w:t>
      </w:r>
      <w:r w:rsidRPr="000853E6">
        <w:rPr>
          <w:iCs/>
        </w:rPr>
        <w:t>. Since being listed as first line therapy for locally advanced and metastatic EGFR pathogenic variant NSCLC osimertinib has become the most common PBS subsidised treatment for EGFR pathogenic variant NSCLC</w:t>
      </w:r>
      <w:r w:rsidRPr="000853E6" w:rsidDel="006800A5">
        <w:rPr>
          <w:iCs/>
        </w:rPr>
        <w:t xml:space="preserve"> </w:t>
      </w:r>
      <w:r w:rsidRPr="000853E6">
        <w:rPr>
          <w:iCs/>
        </w:rPr>
        <w:t>(DUSC 2022</w:t>
      </w:r>
      <w:r w:rsidRPr="000853E6">
        <w:rPr>
          <w:rStyle w:val="FootnoteReference"/>
          <w:iCs/>
        </w:rPr>
        <w:footnoteReference w:id="18"/>
      </w:r>
      <w:r w:rsidRPr="000853E6">
        <w:rPr>
          <w:iCs/>
        </w:rPr>
        <w:t xml:space="preserve">). The PBS listings of osimertinib in locally advanced or metastatic NSCLC including the second line listing </w:t>
      </w:r>
      <w:r w:rsidR="00C0067C" w:rsidRPr="000853E6">
        <w:rPr>
          <w:iCs/>
        </w:rPr>
        <w:t>(</w:t>
      </w:r>
      <w:r w:rsidRPr="000853E6">
        <w:rPr>
          <w:iCs/>
        </w:rPr>
        <w:t>for patients with T790M EGFR pathogenic variant who have progressed on or after prior treatment with an EGFR TKI</w:t>
      </w:r>
      <w:r w:rsidR="00C0067C" w:rsidRPr="000853E6">
        <w:rPr>
          <w:iCs/>
        </w:rPr>
        <w:t>)</w:t>
      </w:r>
      <w:r w:rsidRPr="000853E6">
        <w:rPr>
          <w:iCs/>
        </w:rPr>
        <w:t xml:space="preserve"> require </w:t>
      </w:r>
      <w:r w:rsidRPr="00A13F2F">
        <w:rPr>
          <w:iCs/>
        </w:rPr>
        <w:t>patients not to have previously received PBS-subsidised treatment with osimertinib.</w:t>
      </w:r>
      <w:r w:rsidRPr="00A13F2F">
        <w:rPr>
          <w:iCs/>
          <w:lang w:val="en-US"/>
        </w:rPr>
        <w:t xml:space="preserve"> </w:t>
      </w:r>
    </w:p>
    <w:p w14:paraId="00F848F6" w14:textId="77777777" w:rsidR="00716999" w:rsidRPr="00407F2D" w:rsidRDefault="00716999" w:rsidP="00716999">
      <w:pPr>
        <w:pStyle w:val="2-SectionHeading"/>
      </w:pPr>
      <w:bookmarkStart w:id="15" w:name="_Toc145434782"/>
      <w:bookmarkStart w:id="16" w:name="_Toc22897640"/>
      <w:r>
        <w:t>C</w:t>
      </w:r>
      <w:r w:rsidRPr="00407F2D">
        <w:t>onsideration of the evidence</w:t>
      </w:r>
      <w:bookmarkEnd w:id="15"/>
    </w:p>
    <w:p w14:paraId="13544DC1" w14:textId="77777777" w:rsidR="009B5C04" w:rsidRPr="006E1229" w:rsidRDefault="009B5C04" w:rsidP="009B5C04">
      <w:pPr>
        <w:pStyle w:val="4-SubsectionHeading"/>
      </w:pPr>
      <w:bookmarkStart w:id="17" w:name="_Toc145434783"/>
      <w:r w:rsidRPr="006E1229">
        <w:t>Sponsor hearing</w:t>
      </w:r>
    </w:p>
    <w:p w14:paraId="07526316" w14:textId="422D118F" w:rsidR="009B5C04" w:rsidRPr="00F91542" w:rsidRDefault="009B5C04" w:rsidP="009B5C04">
      <w:pPr>
        <w:widowControl w:val="0"/>
        <w:numPr>
          <w:ilvl w:val="1"/>
          <w:numId w:val="1"/>
        </w:numPr>
        <w:spacing w:after="120"/>
        <w:rPr>
          <w:rFonts w:cs="Calibri"/>
          <w:bCs/>
          <w:snapToGrid w:val="0"/>
        </w:rPr>
      </w:pPr>
      <w:r w:rsidRPr="00F91542">
        <w:rPr>
          <w:rFonts w:cs="Calibri"/>
          <w:bCs/>
          <w:snapToGrid w:val="0"/>
        </w:rPr>
        <w:t>There was no hearing for this item.</w:t>
      </w:r>
    </w:p>
    <w:p w14:paraId="40D9BC65" w14:textId="77777777" w:rsidR="009B5C04" w:rsidRPr="008210E3" w:rsidRDefault="009B5C04" w:rsidP="009B5C04">
      <w:pPr>
        <w:pStyle w:val="4-SubsectionHeading"/>
      </w:pPr>
      <w:r w:rsidRPr="008210E3">
        <w:t>Consumer comments</w:t>
      </w:r>
    </w:p>
    <w:p w14:paraId="7C1D3A97" w14:textId="1604BEC7" w:rsidR="009B5C04" w:rsidRPr="008210E3" w:rsidRDefault="009B5C04" w:rsidP="009B5C04">
      <w:pPr>
        <w:widowControl w:val="0"/>
        <w:numPr>
          <w:ilvl w:val="1"/>
          <w:numId w:val="1"/>
        </w:numPr>
        <w:spacing w:after="120"/>
        <w:rPr>
          <w:rFonts w:asciiTheme="minorHAnsi" w:hAnsiTheme="minorHAnsi"/>
          <w:bCs/>
          <w:snapToGrid w:val="0"/>
        </w:rPr>
      </w:pPr>
      <w:r w:rsidRPr="008210E3">
        <w:rPr>
          <w:rFonts w:asciiTheme="minorHAnsi" w:hAnsiTheme="minorHAnsi"/>
          <w:bCs/>
          <w:snapToGrid w:val="0"/>
        </w:rPr>
        <w:t xml:space="preserve">The PBAC noted and welcomed the input from </w:t>
      </w:r>
      <w:r w:rsidR="00A90AC1" w:rsidRPr="008210E3">
        <w:rPr>
          <w:rFonts w:asciiTheme="minorHAnsi" w:hAnsiTheme="minorHAnsi"/>
          <w:bCs/>
          <w:snapToGrid w:val="0"/>
        </w:rPr>
        <w:t xml:space="preserve">an </w:t>
      </w:r>
      <w:r w:rsidRPr="008210E3">
        <w:rPr>
          <w:rFonts w:asciiTheme="minorHAnsi" w:hAnsiTheme="minorHAnsi"/>
          <w:bCs/>
          <w:snapToGrid w:val="0"/>
        </w:rPr>
        <w:t>individual</w:t>
      </w:r>
      <w:r w:rsidR="00A90AC1" w:rsidRPr="008210E3">
        <w:rPr>
          <w:rFonts w:asciiTheme="minorHAnsi" w:hAnsiTheme="minorHAnsi"/>
          <w:bCs/>
          <w:snapToGrid w:val="0"/>
        </w:rPr>
        <w:t xml:space="preserve"> </w:t>
      </w:r>
      <w:r w:rsidRPr="008210E3">
        <w:rPr>
          <w:rFonts w:asciiTheme="minorHAnsi" w:hAnsiTheme="minorHAnsi"/>
          <w:bCs/>
          <w:snapToGrid w:val="0"/>
        </w:rPr>
        <w:t>(</w:t>
      </w:r>
      <w:r w:rsidR="00A90AC1" w:rsidRPr="008210E3">
        <w:rPr>
          <w:rFonts w:asciiTheme="minorHAnsi" w:hAnsiTheme="minorHAnsi"/>
          <w:bCs/>
          <w:snapToGrid w:val="0"/>
        </w:rPr>
        <w:t>1</w:t>
      </w:r>
      <w:r w:rsidRPr="008210E3">
        <w:rPr>
          <w:rFonts w:asciiTheme="minorHAnsi" w:hAnsiTheme="minorHAnsi"/>
          <w:bCs/>
          <w:snapToGrid w:val="0"/>
        </w:rPr>
        <w:t>) and organisations (</w:t>
      </w:r>
      <w:r w:rsidR="00A90AC1" w:rsidRPr="008210E3">
        <w:rPr>
          <w:rFonts w:asciiTheme="minorHAnsi" w:hAnsiTheme="minorHAnsi"/>
          <w:bCs/>
          <w:snapToGrid w:val="0"/>
        </w:rPr>
        <w:t>2</w:t>
      </w:r>
      <w:r w:rsidRPr="008210E3">
        <w:rPr>
          <w:rFonts w:asciiTheme="minorHAnsi" w:hAnsiTheme="minorHAnsi"/>
          <w:bCs/>
          <w:snapToGrid w:val="0"/>
        </w:rPr>
        <w:t xml:space="preserve">) via the Consumer Comments facility on the PBS website.  The comments described </w:t>
      </w:r>
      <w:r w:rsidR="008210E3" w:rsidRPr="008210E3">
        <w:rPr>
          <w:rFonts w:asciiTheme="minorHAnsi" w:hAnsiTheme="minorHAnsi"/>
          <w:bCs/>
          <w:snapToGrid w:val="0"/>
        </w:rPr>
        <w:t xml:space="preserve">the effectiveness of osimertinib in terms of reducing the risk of recurrence and death </w:t>
      </w:r>
      <w:r w:rsidR="008210E3" w:rsidRPr="008210E3">
        <w:rPr>
          <w:rFonts w:asciiTheme="minorHAnsi" w:hAnsiTheme="minorHAnsi"/>
          <w:bCs/>
          <w:snapToGrid w:val="0"/>
        </w:rPr>
        <w:lastRenderedPageBreak/>
        <w:t xml:space="preserve">and described the side effects as manageable.  </w:t>
      </w:r>
      <w:r w:rsidR="00641CB6">
        <w:rPr>
          <w:rFonts w:asciiTheme="minorHAnsi" w:hAnsiTheme="minorHAnsi"/>
          <w:bCs/>
          <w:snapToGrid w:val="0"/>
        </w:rPr>
        <w:t xml:space="preserve">Input </w:t>
      </w:r>
      <w:r w:rsidR="008210E3" w:rsidRPr="008210E3">
        <w:rPr>
          <w:rFonts w:asciiTheme="minorHAnsi" w:hAnsiTheme="minorHAnsi"/>
          <w:bCs/>
          <w:snapToGrid w:val="0"/>
        </w:rPr>
        <w:t>described the positive impacts on quality of life. The comments</w:t>
      </w:r>
      <w:r w:rsidR="00641CB6">
        <w:rPr>
          <w:rFonts w:asciiTheme="minorHAnsi" w:hAnsiTheme="minorHAnsi"/>
          <w:bCs/>
          <w:snapToGrid w:val="0"/>
        </w:rPr>
        <w:t xml:space="preserve"> noted</w:t>
      </w:r>
      <w:r w:rsidR="008210E3" w:rsidRPr="008210E3">
        <w:rPr>
          <w:rFonts w:asciiTheme="minorHAnsi" w:hAnsiTheme="minorHAnsi"/>
          <w:bCs/>
          <w:snapToGrid w:val="0"/>
        </w:rPr>
        <w:t xml:space="preserve"> the significant expense associated with paying for osimertinib privately and importance of including it on the PBS.</w:t>
      </w:r>
    </w:p>
    <w:p w14:paraId="66E1E9EF" w14:textId="01715ABE" w:rsidR="008210E3" w:rsidRPr="008210E3" w:rsidRDefault="008210E3" w:rsidP="008210E3">
      <w:pPr>
        <w:pStyle w:val="3-BodyText"/>
        <w:rPr>
          <w:bCs/>
        </w:rPr>
      </w:pPr>
      <w:r>
        <w:rPr>
          <w:bCs/>
        </w:rPr>
        <w:t xml:space="preserve">The Lung Foundation Australia </w:t>
      </w:r>
      <w:r w:rsidR="001A145D">
        <w:rPr>
          <w:bCs/>
        </w:rPr>
        <w:t xml:space="preserve">stated the inclusion of </w:t>
      </w:r>
      <w:r>
        <w:rPr>
          <w:bCs/>
        </w:rPr>
        <w:t xml:space="preserve">osimertinib on the PBS for use in the adjuvant treatment </w:t>
      </w:r>
      <w:r w:rsidR="001A145D">
        <w:rPr>
          <w:bCs/>
        </w:rPr>
        <w:t xml:space="preserve">setting will provide patients and clinicians with an additional therapy for NSCLC, improve patient </w:t>
      </w:r>
      <w:proofErr w:type="spellStart"/>
      <w:r w:rsidR="001A145D">
        <w:rPr>
          <w:bCs/>
        </w:rPr>
        <w:t>well being</w:t>
      </w:r>
      <w:proofErr w:type="spellEnd"/>
      <w:r w:rsidR="00721298">
        <w:rPr>
          <w:bCs/>
        </w:rPr>
        <w:t>, extend survival</w:t>
      </w:r>
      <w:r w:rsidR="001A145D">
        <w:rPr>
          <w:bCs/>
        </w:rPr>
        <w:t xml:space="preserve"> </w:t>
      </w:r>
      <w:r w:rsidR="00721298">
        <w:rPr>
          <w:bCs/>
        </w:rPr>
        <w:t>a</w:t>
      </w:r>
      <w:r w:rsidR="001A145D">
        <w:rPr>
          <w:bCs/>
        </w:rPr>
        <w:t xml:space="preserve">nd reduce the burden of lung cancer in the community.  </w:t>
      </w:r>
    </w:p>
    <w:p w14:paraId="57844BF5" w14:textId="0C90FC0B" w:rsidR="008210E3" w:rsidRPr="008210E3" w:rsidRDefault="008210E3" w:rsidP="008210E3">
      <w:pPr>
        <w:pStyle w:val="3-BodyText"/>
        <w:rPr>
          <w:bCs/>
        </w:rPr>
      </w:pPr>
      <w:r w:rsidRPr="008210E3">
        <w:rPr>
          <w:bCs/>
        </w:rPr>
        <w:t>The Medical Oncology Group of Australia (MOGA) also expressed its strong support for the use of osimertinib in the adjuvant treatment setting categorising it as one of the therapies of ‘highest priority for PBS listing’. The PBAC noted that the MOGA presented a European Society for Medical Oncology Magnitude of Clinical Benefit Scale (ESMO-MCBS) for</w:t>
      </w:r>
      <w:r>
        <w:rPr>
          <w:bCs/>
        </w:rPr>
        <w:t xml:space="preserve"> osimertinib</w:t>
      </w:r>
      <w:r w:rsidRPr="008210E3">
        <w:rPr>
          <w:bCs/>
        </w:rPr>
        <w:t xml:space="preserve"> the highest grade ‘A’, categorising it as a treatment with substantial benefit in the curative setting.</w:t>
      </w:r>
      <w:r w:rsidRPr="008210E3">
        <w:rPr>
          <w:rFonts w:ascii="Calibri" w:eastAsiaTheme="majorEastAsia" w:hAnsi="Calibri"/>
          <w:snapToGrid/>
          <w:vertAlign w:val="superscript"/>
        </w:rPr>
        <w:t xml:space="preserve"> </w:t>
      </w:r>
      <w:r w:rsidRPr="008210E3">
        <w:rPr>
          <w:rFonts w:ascii="Calibri" w:eastAsiaTheme="majorEastAsia" w:hAnsi="Calibri"/>
          <w:snapToGrid/>
          <w:vertAlign w:val="superscript"/>
        </w:rPr>
        <w:footnoteReference w:id="19"/>
      </w:r>
      <w:r w:rsidRPr="008210E3">
        <w:rPr>
          <w:bCs/>
        </w:rPr>
        <w:t xml:space="preserve"> </w:t>
      </w:r>
    </w:p>
    <w:p w14:paraId="5013BE03" w14:textId="77777777" w:rsidR="00716999" w:rsidRPr="00C9624D" w:rsidRDefault="00716999" w:rsidP="00716999">
      <w:pPr>
        <w:pStyle w:val="4-SubsectionHeading"/>
      </w:pPr>
      <w:r w:rsidRPr="00C9624D">
        <w:t>Clinical trial</w:t>
      </w:r>
      <w:bookmarkEnd w:id="16"/>
      <w:bookmarkEnd w:id="17"/>
    </w:p>
    <w:p w14:paraId="7A9E2439" w14:textId="77777777" w:rsidR="008E2470" w:rsidRPr="002E4F02" w:rsidRDefault="008E2470" w:rsidP="008E2470">
      <w:pPr>
        <w:pStyle w:val="3-BodyText"/>
        <w:rPr>
          <w:color w:val="0066FF"/>
        </w:rPr>
      </w:pPr>
      <w:r>
        <w:rPr>
          <w:snapToGrid/>
          <w:lang w:val="en-US"/>
        </w:rPr>
        <w:t xml:space="preserve">The submission was based on one placebo-controlled head-to-head trial (ADAURA) comparing osimertinib to placebo for standard of care (watch and wait) (placebo from herein) following surgical resection with or without adjuvant chemotherapy in people with primary Stage IB-IIIA NSCLC of predominately non-squamous histology and </w:t>
      </w:r>
      <w:r w:rsidRPr="00D54901">
        <w:rPr>
          <w:i/>
          <w:snapToGrid/>
          <w:lang w:val="en-US"/>
        </w:rPr>
        <w:t>EGFR</w:t>
      </w:r>
      <w:r>
        <w:rPr>
          <w:snapToGrid/>
          <w:lang w:val="en-US"/>
        </w:rPr>
        <w:t xml:space="preserve"> pathogenic Ex19del or L858R (n=682).</w:t>
      </w:r>
      <w:r w:rsidRPr="002E4F02">
        <w:rPr>
          <w:color w:val="0066FF"/>
        </w:rPr>
        <w:t xml:space="preserve"> </w:t>
      </w:r>
    </w:p>
    <w:p w14:paraId="1FE08F67" w14:textId="14DA9164" w:rsidR="008E2470" w:rsidRPr="00B50DB8" w:rsidRDefault="008E2470" w:rsidP="008E2470">
      <w:pPr>
        <w:pStyle w:val="3-BodyText"/>
      </w:pPr>
      <w:r>
        <w:rPr>
          <w:snapToGrid/>
          <w:lang w:val="en-US"/>
        </w:rPr>
        <w:t>Details of the trial presented in the submission are provided in</w:t>
      </w:r>
      <w:r w:rsidR="005C6CB3">
        <w:rPr>
          <w:snapToGrid/>
          <w:lang w:val="en-US"/>
        </w:rPr>
        <w:t xml:space="preserve"> </w:t>
      </w:r>
      <w:r w:rsidR="005C6CB3">
        <w:rPr>
          <w:snapToGrid/>
          <w:lang w:val="en-US"/>
        </w:rPr>
        <w:fldChar w:fldCharType="begin" w:fldLock="1"/>
      </w:r>
      <w:r w:rsidR="005C6CB3">
        <w:rPr>
          <w:snapToGrid/>
          <w:lang w:val="en-US"/>
        </w:rPr>
        <w:instrText xml:space="preserve"> REF _Ref144754795 \h </w:instrText>
      </w:r>
      <w:r w:rsidR="005C6CB3">
        <w:rPr>
          <w:snapToGrid/>
          <w:lang w:val="en-US"/>
        </w:rPr>
      </w:r>
      <w:r w:rsidR="005C6CB3">
        <w:rPr>
          <w:snapToGrid/>
          <w:lang w:val="en-US"/>
        </w:rPr>
        <w:fldChar w:fldCharType="separate"/>
      </w:r>
      <w:r w:rsidR="005C6CB3">
        <w:t xml:space="preserve">Table </w:t>
      </w:r>
      <w:r w:rsidR="005C6CB3">
        <w:rPr>
          <w:noProof/>
        </w:rPr>
        <w:t>2</w:t>
      </w:r>
      <w:r w:rsidR="005C6CB3">
        <w:rPr>
          <w:snapToGrid/>
          <w:lang w:val="en-US"/>
        </w:rPr>
        <w:fldChar w:fldCharType="end"/>
      </w:r>
      <w:r>
        <w:rPr>
          <w:snapToGrid/>
          <w:lang w:val="en-US"/>
        </w:rPr>
        <w:t xml:space="preserve">. </w:t>
      </w:r>
    </w:p>
    <w:p w14:paraId="04EA1D17" w14:textId="77777777" w:rsidR="008E2470" w:rsidRDefault="008E2470" w:rsidP="008E2470">
      <w:pPr>
        <w:pStyle w:val="Caption"/>
      </w:pPr>
      <w:bookmarkStart w:id="18" w:name="_Ref144754795"/>
      <w:r>
        <w:t xml:space="preserve">Table </w:t>
      </w:r>
      <w:r w:rsidR="001E77BF">
        <w:fldChar w:fldCharType="begin" w:fldLock="1"/>
      </w:r>
      <w:r w:rsidR="001E77BF">
        <w:instrText xml:space="preserve"> SEQ Table \* ARABIC </w:instrText>
      </w:r>
      <w:r w:rsidR="001E77BF">
        <w:fldChar w:fldCharType="separate"/>
      </w:r>
      <w:r>
        <w:rPr>
          <w:noProof/>
        </w:rPr>
        <w:t>2</w:t>
      </w:r>
      <w:r w:rsidR="001E77BF">
        <w:rPr>
          <w:noProof/>
        </w:rPr>
        <w:fldChar w:fldCharType="end"/>
      </w:r>
      <w:bookmarkEnd w:id="18"/>
      <w:r>
        <w:t xml:space="preserve"> :</w:t>
      </w:r>
      <w:r w:rsidRPr="002E4F02">
        <w:rPr>
          <w:rStyle w:val="CommentReference"/>
          <w:b/>
          <w:szCs w:val="24"/>
        </w:rPr>
        <w:t xml:space="preserve"> </w:t>
      </w:r>
      <w:r>
        <w:rPr>
          <w:rStyle w:val="CommentReference"/>
          <w:b/>
          <w:szCs w:val="24"/>
        </w:rPr>
        <w:t>Trials</w:t>
      </w:r>
      <w:r w:rsidRPr="002E4F02">
        <w:rPr>
          <w:rStyle w:val="CommentReference"/>
          <w:b/>
          <w:szCs w:val="24"/>
        </w:rPr>
        <w:t xml:space="preserve"> and associated reports presented in the submission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1129"/>
        <w:gridCol w:w="5765"/>
        <w:gridCol w:w="2123"/>
      </w:tblGrid>
      <w:tr w:rsidR="008E2470" w:rsidRPr="00B41614" w14:paraId="75B01513" w14:textId="77777777" w:rsidTr="008E2470">
        <w:trPr>
          <w:tblHeader/>
        </w:trPr>
        <w:tc>
          <w:tcPr>
            <w:tcW w:w="626" w:type="pct"/>
            <w:vAlign w:val="center"/>
          </w:tcPr>
          <w:p w14:paraId="246AB773" w14:textId="77777777" w:rsidR="008E2470" w:rsidRPr="00B41614" w:rsidRDefault="008E2470" w:rsidP="008E2470">
            <w:pPr>
              <w:pStyle w:val="In-tableHeading"/>
            </w:pPr>
            <w:r w:rsidRPr="00B41614">
              <w:t>Trial ID</w:t>
            </w:r>
          </w:p>
        </w:tc>
        <w:tc>
          <w:tcPr>
            <w:tcW w:w="3197" w:type="pct"/>
            <w:tcBorders>
              <w:bottom w:val="single" w:sz="4" w:space="0" w:color="auto"/>
            </w:tcBorders>
            <w:vAlign w:val="center"/>
          </w:tcPr>
          <w:p w14:paraId="2D0C842E" w14:textId="77777777" w:rsidR="008E2470" w:rsidRPr="00B41614" w:rsidRDefault="008E2470" w:rsidP="008E2470">
            <w:pPr>
              <w:pStyle w:val="In-tableHeading"/>
            </w:pPr>
            <w:r w:rsidRPr="00B41614">
              <w:t>Protocol title/ Publication title</w:t>
            </w:r>
          </w:p>
        </w:tc>
        <w:tc>
          <w:tcPr>
            <w:tcW w:w="1177" w:type="pct"/>
            <w:tcBorders>
              <w:bottom w:val="single" w:sz="4" w:space="0" w:color="auto"/>
            </w:tcBorders>
            <w:vAlign w:val="center"/>
          </w:tcPr>
          <w:p w14:paraId="5437A48A" w14:textId="77777777" w:rsidR="008E2470" w:rsidRPr="00B41614" w:rsidRDefault="008E2470" w:rsidP="008E2470">
            <w:pPr>
              <w:pStyle w:val="In-tableHeading"/>
            </w:pPr>
            <w:r w:rsidRPr="00B41614">
              <w:t>Publication citation</w:t>
            </w:r>
          </w:p>
        </w:tc>
      </w:tr>
      <w:tr w:rsidR="008E2470" w:rsidRPr="00CB38A8" w14:paraId="554F8816" w14:textId="77777777" w:rsidTr="008E2470">
        <w:tc>
          <w:tcPr>
            <w:tcW w:w="626" w:type="pct"/>
            <w:vMerge w:val="restart"/>
            <w:vAlign w:val="center"/>
          </w:tcPr>
          <w:p w14:paraId="7F257D06" w14:textId="77777777" w:rsidR="008E2470" w:rsidRPr="00A912DB" w:rsidRDefault="008E2470" w:rsidP="008E2470">
            <w:pPr>
              <w:pStyle w:val="TableText0"/>
            </w:pPr>
            <w:r w:rsidRPr="00A912DB">
              <w:t>ADAURA</w:t>
            </w:r>
          </w:p>
          <w:p w14:paraId="5C3A4A96" w14:textId="77777777" w:rsidR="008E2470" w:rsidRPr="00A912DB" w:rsidRDefault="008E2470" w:rsidP="008E2470">
            <w:pPr>
              <w:pStyle w:val="TableText0"/>
            </w:pPr>
            <w:r w:rsidRPr="00A912DB">
              <w:t>NCT02511106</w:t>
            </w:r>
          </w:p>
        </w:tc>
        <w:tc>
          <w:tcPr>
            <w:tcW w:w="3197" w:type="pct"/>
            <w:tcBorders>
              <w:bottom w:val="nil"/>
              <w:right w:val="single" w:sz="4" w:space="0" w:color="auto"/>
            </w:tcBorders>
            <w:vAlign w:val="center"/>
          </w:tcPr>
          <w:p w14:paraId="434C3CA0" w14:textId="77777777" w:rsidR="008E2470" w:rsidRPr="00A912DB" w:rsidRDefault="008E2470" w:rsidP="008E2470">
            <w:pPr>
              <w:pStyle w:val="TableText0"/>
            </w:pPr>
            <w:r w:rsidRPr="00A912DB">
              <w:t>A Phase III, Double-blind, Randomized, Placebo Controlled Multicentre, Study to Assess the Efficacy and Safety of AZD9291 versus Placebo, in Patients with Epidermal Growth Factor Receptor Mutation Positive Stage IBIIIA Non-small Cell Lung Carcinoma, following Complete Tumour Resection With or Without Adjuvant Chemotherapy (ADAURA).</w:t>
            </w:r>
          </w:p>
        </w:tc>
        <w:tc>
          <w:tcPr>
            <w:tcW w:w="1177" w:type="pct"/>
            <w:tcBorders>
              <w:left w:val="single" w:sz="4" w:space="0" w:color="auto"/>
              <w:bottom w:val="nil"/>
            </w:tcBorders>
            <w:vAlign w:val="center"/>
          </w:tcPr>
          <w:p w14:paraId="5EBEA1B0" w14:textId="77777777" w:rsidR="008E2470" w:rsidRPr="00A912DB" w:rsidRDefault="008E2470" w:rsidP="008E2470">
            <w:pPr>
              <w:pStyle w:val="TableText0"/>
            </w:pPr>
            <w:r w:rsidRPr="00A912DB">
              <w:t>DCO1: January 2020</w:t>
            </w:r>
          </w:p>
          <w:p w14:paraId="524DB56D" w14:textId="77777777" w:rsidR="008E2470" w:rsidRPr="00A912DB" w:rsidRDefault="008E2470" w:rsidP="008E2470">
            <w:pPr>
              <w:pStyle w:val="TableText0"/>
            </w:pPr>
            <w:r w:rsidRPr="00A912DB">
              <w:t>DCO2: April 2022</w:t>
            </w:r>
          </w:p>
          <w:p w14:paraId="0A36044C" w14:textId="77777777" w:rsidR="008E2470" w:rsidRPr="00A912DB" w:rsidRDefault="008E2470" w:rsidP="008E2470">
            <w:pPr>
              <w:pStyle w:val="TableText0"/>
            </w:pPr>
            <w:r w:rsidRPr="00A912DB">
              <w:t>DCO3: January 2022</w:t>
            </w:r>
          </w:p>
        </w:tc>
      </w:tr>
      <w:tr w:rsidR="008E2470" w:rsidRPr="00CB38A8" w14:paraId="3BD90EE6" w14:textId="77777777" w:rsidTr="008E2470">
        <w:tc>
          <w:tcPr>
            <w:tcW w:w="626" w:type="pct"/>
            <w:vMerge/>
            <w:vAlign w:val="center"/>
          </w:tcPr>
          <w:p w14:paraId="6724A1D6" w14:textId="77777777" w:rsidR="008E2470" w:rsidRPr="00A912DB" w:rsidRDefault="008E2470" w:rsidP="008E2470">
            <w:pPr>
              <w:pStyle w:val="TableText0"/>
            </w:pPr>
          </w:p>
        </w:tc>
        <w:tc>
          <w:tcPr>
            <w:tcW w:w="3197" w:type="pct"/>
            <w:tcBorders>
              <w:top w:val="nil"/>
              <w:bottom w:val="nil"/>
              <w:right w:val="single" w:sz="4" w:space="0" w:color="auto"/>
            </w:tcBorders>
            <w:vAlign w:val="center"/>
          </w:tcPr>
          <w:p w14:paraId="03617386" w14:textId="77777777" w:rsidR="008E2470" w:rsidRPr="00A912DB" w:rsidRDefault="008E2470" w:rsidP="008E2470">
            <w:pPr>
              <w:pStyle w:val="TableText0"/>
            </w:pPr>
            <w:r w:rsidRPr="00A912DB">
              <w:t xml:space="preserve">Wu et al, ADAURA: Phase III, Double-blind, Randomized Study of Osimertinib Versus Placebo in </w:t>
            </w:r>
            <w:r w:rsidRPr="0010306F">
              <w:rPr>
                <w:i/>
              </w:rPr>
              <w:t>EGFR</w:t>
            </w:r>
            <w:r w:rsidRPr="00A912DB">
              <w:t xml:space="preserve"> Mutation positive Early-stage NSCLC After Complete Surgical Resection.</w:t>
            </w:r>
          </w:p>
        </w:tc>
        <w:tc>
          <w:tcPr>
            <w:tcW w:w="1177" w:type="pct"/>
            <w:tcBorders>
              <w:top w:val="nil"/>
              <w:left w:val="single" w:sz="4" w:space="0" w:color="auto"/>
              <w:bottom w:val="nil"/>
            </w:tcBorders>
            <w:vAlign w:val="center"/>
          </w:tcPr>
          <w:p w14:paraId="4C999AEB" w14:textId="77777777" w:rsidR="008E2470" w:rsidRPr="00A912DB" w:rsidRDefault="008E2470" w:rsidP="008E2470">
            <w:pPr>
              <w:pStyle w:val="TableText0"/>
            </w:pPr>
            <w:r w:rsidRPr="00A912DB">
              <w:t>Clin Lung Cancer 2018; 19 (4): e533e536</w:t>
            </w:r>
          </w:p>
        </w:tc>
      </w:tr>
      <w:tr w:rsidR="008E2470" w:rsidRPr="00CB38A8" w14:paraId="688DE558" w14:textId="77777777" w:rsidTr="008E2470">
        <w:tc>
          <w:tcPr>
            <w:tcW w:w="626" w:type="pct"/>
            <w:vMerge/>
            <w:vAlign w:val="center"/>
          </w:tcPr>
          <w:p w14:paraId="111D6C1E" w14:textId="77777777" w:rsidR="008E2470" w:rsidRPr="00A912DB" w:rsidRDefault="008E2470" w:rsidP="008E2470">
            <w:pPr>
              <w:pStyle w:val="TableText0"/>
            </w:pPr>
          </w:p>
        </w:tc>
        <w:tc>
          <w:tcPr>
            <w:tcW w:w="3197" w:type="pct"/>
            <w:tcBorders>
              <w:top w:val="nil"/>
              <w:bottom w:val="nil"/>
              <w:right w:val="single" w:sz="4" w:space="0" w:color="auto"/>
            </w:tcBorders>
            <w:vAlign w:val="center"/>
          </w:tcPr>
          <w:p w14:paraId="30C97738" w14:textId="77777777" w:rsidR="008E2470" w:rsidRPr="00A912DB" w:rsidRDefault="008E2470" w:rsidP="008E2470">
            <w:pPr>
              <w:pStyle w:val="TableText0"/>
            </w:pPr>
            <w:r w:rsidRPr="00A912DB">
              <w:t xml:space="preserve">Wu et al, Osimertinib in Resected </w:t>
            </w:r>
            <w:r w:rsidRPr="0010306F">
              <w:rPr>
                <w:i/>
              </w:rPr>
              <w:t>EGFR</w:t>
            </w:r>
            <w:r w:rsidRPr="00A912DB">
              <w:t xml:space="preserve"> Mutated Non-Small Cell Lung Cancer.</w:t>
            </w:r>
          </w:p>
        </w:tc>
        <w:tc>
          <w:tcPr>
            <w:tcW w:w="1177" w:type="pct"/>
            <w:tcBorders>
              <w:top w:val="nil"/>
              <w:left w:val="single" w:sz="4" w:space="0" w:color="auto"/>
              <w:bottom w:val="nil"/>
            </w:tcBorders>
            <w:vAlign w:val="center"/>
          </w:tcPr>
          <w:p w14:paraId="3BEF5B49" w14:textId="77777777" w:rsidR="008E2470" w:rsidRPr="00A912DB" w:rsidRDefault="008E2470" w:rsidP="008E2470">
            <w:pPr>
              <w:pStyle w:val="TableText0"/>
            </w:pPr>
            <w:r w:rsidRPr="00A912DB">
              <w:t>New Engl J Med 2020; 383 (18): 1711-1723</w:t>
            </w:r>
          </w:p>
        </w:tc>
      </w:tr>
      <w:tr w:rsidR="008E2470" w:rsidRPr="00CB38A8" w14:paraId="2C9D61D9" w14:textId="77777777" w:rsidTr="008E2470">
        <w:tc>
          <w:tcPr>
            <w:tcW w:w="626" w:type="pct"/>
            <w:vMerge/>
            <w:vAlign w:val="center"/>
          </w:tcPr>
          <w:p w14:paraId="26A45B67" w14:textId="77777777" w:rsidR="008E2470" w:rsidRPr="00A912DB" w:rsidRDefault="008E2470" w:rsidP="008E2470">
            <w:pPr>
              <w:pStyle w:val="TableText0"/>
            </w:pPr>
          </w:p>
        </w:tc>
        <w:tc>
          <w:tcPr>
            <w:tcW w:w="3197" w:type="pct"/>
            <w:tcBorders>
              <w:top w:val="nil"/>
              <w:bottom w:val="nil"/>
              <w:right w:val="single" w:sz="4" w:space="0" w:color="auto"/>
            </w:tcBorders>
            <w:vAlign w:val="center"/>
          </w:tcPr>
          <w:p w14:paraId="0A53509E" w14:textId="77777777" w:rsidR="008E2470" w:rsidRPr="00A912DB" w:rsidRDefault="008E2470" w:rsidP="008E2470">
            <w:pPr>
              <w:pStyle w:val="TableText0"/>
            </w:pPr>
            <w:r w:rsidRPr="00A912DB">
              <w:t>Majem et al, Health-Related Quality of Life Outcomes in Patients with Resected Epidermal Growth Factor Receptor-Mutated Non-Small Cell Lung Cancer Who Received Adjuvant Osimertinib in the Phase III ADAURA Trial.</w:t>
            </w:r>
          </w:p>
        </w:tc>
        <w:tc>
          <w:tcPr>
            <w:tcW w:w="1177" w:type="pct"/>
            <w:tcBorders>
              <w:top w:val="nil"/>
              <w:left w:val="single" w:sz="4" w:space="0" w:color="auto"/>
              <w:bottom w:val="nil"/>
            </w:tcBorders>
            <w:vAlign w:val="center"/>
          </w:tcPr>
          <w:p w14:paraId="39487AD7" w14:textId="77777777" w:rsidR="008E2470" w:rsidRPr="00A912DB" w:rsidRDefault="008E2470" w:rsidP="008E2470">
            <w:pPr>
              <w:pStyle w:val="TableText0"/>
            </w:pPr>
            <w:r w:rsidRPr="00A912DB">
              <w:t>Clin Cancer Res 2022; 28 (11): 2286-2296</w:t>
            </w:r>
          </w:p>
        </w:tc>
      </w:tr>
      <w:tr w:rsidR="008E2470" w:rsidRPr="00CB38A8" w14:paraId="4DB1B6F0" w14:textId="77777777" w:rsidTr="008E2470">
        <w:tc>
          <w:tcPr>
            <w:tcW w:w="626" w:type="pct"/>
            <w:vMerge/>
            <w:vAlign w:val="center"/>
          </w:tcPr>
          <w:p w14:paraId="2CBF9035" w14:textId="77777777" w:rsidR="008E2470" w:rsidRPr="00A912DB" w:rsidRDefault="008E2470" w:rsidP="008E2470">
            <w:pPr>
              <w:pStyle w:val="TableText0"/>
            </w:pPr>
          </w:p>
        </w:tc>
        <w:tc>
          <w:tcPr>
            <w:tcW w:w="3197" w:type="pct"/>
            <w:tcBorders>
              <w:top w:val="nil"/>
              <w:bottom w:val="nil"/>
              <w:right w:val="single" w:sz="4" w:space="0" w:color="auto"/>
            </w:tcBorders>
            <w:vAlign w:val="center"/>
          </w:tcPr>
          <w:p w14:paraId="4C0C1AF1" w14:textId="77777777" w:rsidR="008E2470" w:rsidRPr="00A912DB" w:rsidRDefault="008E2470" w:rsidP="008E2470">
            <w:pPr>
              <w:pStyle w:val="TableText0"/>
            </w:pPr>
            <w:r w:rsidRPr="00A912DB">
              <w:t xml:space="preserve">Wu et al, Postoperative Chemotherapy Use and Outcomes From ADAURA: Osimertinib as Adjuvant Therapy for Resected </w:t>
            </w:r>
            <w:r w:rsidRPr="0010306F">
              <w:rPr>
                <w:i/>
              </w:rPr>
              <w:t>EGFR</w:t>
            </w:r>
            <w:r w:rsidRPr="00A912DB">
              <w:t>-Mutated NSCLC.</w:t>
            </w:r>
          </w:p>
        </w:tc>
        <w:tc>
          <w:tcPr>
            <w:tcW w:w="1177" w:type="pct"/>
            <w:tcBorders>
              <w:top w:val="nil"/>
              <w:left w:val="single" w:sz="4" w:space="0" w:color="auto"/>
              <w:bottom w:val="nil"/>
            </w:tcBorders>
            <w:vAlign w:val="center"/>
          </w:tcPr>
          <w:p w14:paraId="077279A7" w14:textId="77777777" w:rsidR="008E2470" w:rsidRPr="00A912DB" w:rsidRDefault="008E2470" w:rsidP="008E2470">
            <w:pPr>
              <w:pStyle w:val="TableText0"/>
            </w:pPr>
            <w:r w:rsidRPr="00A912DB">
              <w:t>J Thoracic Oncol 2022; 17 (3): 423-433</w:t>
            </w:r>
          </w:p>
        </w:tc>
      </w:tr>
      <w:tr w:rsidR="008E2470" w:rsidRPr="00CB38A8" w14:paraId="2C53AD48" w14:textId="77777777" w:rsidTr="008E2470">
        <w:tc>
          <w:tcPr>
            <w:tcW w:w="626" w:type="pct"/>
            <w:vMerge/>
            <w:vAlign w:val="center"/>
          </w:tcPr>
          <w:p w14:paraId="35C3E2AA" w14:textId="77777777" w:rsidR="008E2470" w:rsidRPr="00A912DB" w:rsidRDefault="008E2470" w:rsidP="008E2470">
            <w:pPr>
              <w:pStyle w:val="TableText0"/>
            </w:pPr>
          </w:p>
        </w:tc>
        <w:tc>
          <w:tcPr>
            <w:tcW w:w="3197" w:type="pct"/>
            <w:tcBorders>
              <w:top w:val="nil"/>
              <w:bottom w:val="nil"/>
              <w:right w:val="single" w:sz="4" w:space="0" w:color="auto"/>
            </w:tcBorders>
            <w:vAlign w:val="center"/>
          </w:tcPr>
          <w:p w14:paraId="36DB668E" w14:textId="77777777" w:rsidR="008E2470" w:rsidRPr="00A912DB" w:rsidRDefault="008E2470" w:rsidP="008E2470">
            <w:pPr>
              <w:pStyle w:val="TableText0"/>
            </w:pPr>
            <w:r w:rsidRPr="00A912DB">
              <w:t xml:space="preserve">Herbst et al, Adjuvant Osimertinib for Resected </w:t>
            </w:r>
            <w:r w:rsidRPr="0010306F">
              <w:rPr>
                <w:i/>
              </w:rPr>
              <w:t>EGFR</w:t>
            </w:r>
            <w:r w:rsidRPr="00A912DB">
              <w:t>-Mutated Stage IB-IIIA Non-Small Cell Lung Cancer: Updated Results From the Phase III Randomized ADAURA Trial.</w:t>
            </w:r>
          </w:p>
        </w:tc>
        <w:tc>
          <w:tcPr>
            <w:tcW w:w="1177" w:type="pct"/>
            <w:tcBorders>
              <w:top w:val="nil"/>
              <w:left w:val="single" w:sz="4" w:space="0" w:color="auto"/>
              <w:bottom w:val="nil"/>
            </w:tcBorders>
            <w:vAlign w:val="center"/>
          </w:tcPr>
          <w:p w14:paraId="19FA246A" w14:textId="77777777" w:rsidR="008E2470" w:rsidRPr="00A912DB" w:rsidRDefault="008E2470" w:rsidP="008E2470">
            <w:pPr>
              <w:pStyle w:val="TableText0"/>
            </w:pPr>
            <w:r w:rsidRPr="00A912DB">
              <w:t>J Clin Oncol 2023; 41 (10): 1830-1840</w:t>
            </w:r>
          </w:p>
        </w:tc>
      </w:tr>
      <w:tr w:rsidR="008E2470" w:rsidRPr="00CB38A8" w14:paraId="7B2B7DAA" w14:textId="77777777" w:rsidTr="008E2470">
        <w:tc>
          <w:tcPr>
            <w:tcW w:w="626" w:type="pct"/>
            <w:vMerge/>
            <w:vAlign w:val="center"/>
          </w:tcPr>
          <w:p w14:paraId="212B7488" w14:textId="77777777" w:rsidR="008E2470" w:rsidRPr="00A912DB" w:rsidRDefault="008E2470" w:rsidP="008E2470">
            <w:pPr>
              <w:pStyle w:val="TableText0"/>
            </w:pPr>
          </w:p>
        </w:tc>
        <w:tc>
          <w:tcPr>
            <w:tcW w:w="3197" w:type="pct"/>
            <w:tcBorders>
              <w:top w:val="nil"/>
              <w:right w:val="single" w:sz="4" w:space="0" w:color="auto"/>
            </w:tcBorders>
            <w:vAlign w:val="center"/>
          </w:tcPr>
          <w:p w14:paraId="1B2242ED" w14:textId="77777777" w:rsidR="008E2470" w:rsidRPr="00A912DB" w:rsidRDefault="008E2470" w:rsidP="008E2470">
            <w:pPr>
              <w:pStyle w:val="TableText0"/>
            </w:pPr>
            <w:r w:rsidRPr="00A912DB">
              <w:t xml:space="preserve">Tsuboi et al, Overall Survival with Osimertinib in Resected </w:t>
            </w:r>
            <w:r w:rsidRPr="0010306F">
              <w:rPr>
                <w:i/>
              </w:rPr>
              <w:t>EGFR</w:t>
            </w:r>
            <w:r w:rsidRPr="00A912DB">
              <w:t>-Mutated NSCLC.</w:t>
            </w:r>
          </w:p>
        </w:tc>
        <w:tc>
          <w:tcPr>
            <w:tcW w:w="1177" w:type="pct"/>
            <w:tcBorders>
              <w:top w:val="nil"/>
              <w:left w:val="single" w:sz="4" w:space="0" w:color="auto"/>
            </w:tcBorders>
            <w:vAlign w:val="center"/>
          </w:tcPr>
          <w:p w14:paraId="0C6E3672" w14:textId="77777777" w:rsidR="008E2470" w:rsidRPr="00A912DB" w:rsidRDefault="008E2470" w:rsidP="008E2470">
            <w:pPr>
              <w:pStyle w:val="TableText0"/>
            </w:pPr>
            <w:r w:rsidRPr="00A912DB">
              <w:t>New Engl J Med 2023; 389 (2): 137-147</w:t>
            </w:r>
          </w:p>
        </w:tc>
      </w:tr>
    </w:tbl>
    <w:p w14:paraId="4E80E32F" w14:textId="77777777" w:rsidR="008E2470" w:rsidRPr="0010306F" w:rsidRDefault="008E2470" w:rsidP="008E2470">
      <w:pPr>
        <w:pStyle w:val="TableFigureFooter"/>
      </w:pPr>
      <w:r w:rsidRPr="0010306F">
        <w:t>Source: Table 2.2-1, p37 of the submission.</w:t>
      </w:r>
    </w:p>
    <w:p w14:paraId="419868CD" w14:textId="77777777" w:rsidR="008E2470" w:rsidRPr="0010306F" w:rsidRDefault="008E2470" w:rsidP="008E2470">
      <w:pPr>
        <w:pStyle w:val="TableFigureFooter"/>
      </w:pPr>
      <w:r w:rsidRPr="00357DF1">
        <w:rPr>
          <w:i/>
        </w:rPr>
        <w:t>EGFR</w:t>
      </w:r>
      <w:r w:rsidRPr="0010306F">
        <w:t xml:space="preserve"> = epidermal growth factor receptor; NSCLC = non-small cell lung cancer</w:t>
      </w:r>
    </w:p>
    <w:p w14:paraId="0EF95B70" w14:textId="628FFC49" w:rsidR="008E2470" w:rsidRPr="00EC5836" w:rsidRDefault="008E2470" w:rsidP="008E2470">
      <w:pPr>
        <w:pStyle w:val="3-BodyText"/>
        <w:rPr>
          <w:color w:val="0066FF"/>
        </w:rPr>
      </w:pPr>
      <w:r w:rsidRPr="00B50DB8">
        <w:t xml:space="preserve">The key features of the direct randomised trial are summarised </w:t>
      </w:r>
      <w:r w:rsidRPr="005C6CB3">
        <w:rPr>
          <w:rFonts w:cstheme="minorHAnsi"/>
        </w:rPr>
        <w:t>in</w:t>
      </w:r>
      <w:r w:rsidR="005C6CB3" w:rsidRPr="005C6CB3">
        <w:rPr>
          <w:rFonts w:cstheme="minorHAnsi"/>
        </w:rPr>
        <w:t xml:space="preserve"> </w:t>
      </w:r>
      <w:r w:rsidR="005C6CB3" w:rsidRPr="005C6CB3">
        <w:rPr>
          <w:rFonts w:cstheme="minorHAnsi"/>
        </w:rPr>
        <w:fldChar w:fldCharType="begin" w:fldLock="1"/>
      </w:r>
      <w:r w:rsidR="005C6CB3" w:rsidRPr="005C6CB3">
        <w:rPr>
          <w:rFonts w:cstheme="minorHAnsi"/>
        </w:rPr>
        <w:instrText xml:space="preserve"> REF _Ref144754839 \h  \* MERGEFORMAT </w:instrText>
      </w:r>
      <w:r w:rsidR="005C6CB3" w:rsidRPr="005C6CB3">
        <w:rPr>
          <w:rFonts w:cstheme="minorHAnsi"/>
        </w:rPr>
      </w:r>
      <w:r w:rsidR="005C6CB3" w:rsidRPr="005C6CB3">
        <w:rPr>
          <w:rFonts w:cstheme="minorHAnsi"/>
        </w:rPr>
        <w:fldChar w:fldCharType="separate"/>
      </w:r>
      <w:r w:rsidR="005C6CB3" w:rsidRPr="005C6CB3">
        <w:rPr>
          <w:rStyle w:val="CommentReference"/>
          <w:rFonts w:asciiTheme="minorHAnsi" w:eastAsiaTheme="majorEastAsia" w:hAnsiTheme="minorHAnsi" w:cstheme="minorHAnsi"/>
          <w:b w:val="0"/>
          <w:sz w:val="24"/>
          <w:szCs w:val="24"/>
        </w:rPr>
        <w:t xml:space="preserve">Table </w:t>
      </w:r>
      <w:r w:rsidR="005C6CB3" w:rsidRPr="005C6CB3">
        <w:rPr>
          <w:rStyle w:val="CommentReference"/>
          <w:rFonts w:asciiTheme="minorHAnsi" w:eastAsiaTheme="majorEastAsia" w:hAnsiTheme="minorHAnsi" w:cstheme="minorHAnsi"/>
          <w:b w:val="0"/>
          <w:noProof/>
          <w:sz w:val="24"/>
          <w:szCs w:val="24"/>
        </w:rPr>
        <w:t>3</w:t>
      </w:r>
      <w:r w:rsidR="005C6CB3" w:rsidRPr="005C6CB3">
        <w:rPr>
          <w:rFonts w:cstheme="minorHAnsi"/>
        </w:rPr>
        <w:fldChar w:fldCharType="end"/>
      </w:r>
      <w:r w:rsidRPr="00B50DB8">
        <w:t>.</w:t>
      </w:r>
    </w:p>
    <w:p w14:paraId="0F359ECC" w14:textId="77777777" w:rsidR="008E2470" w:rsidRDefault="008E2470" w:rsidP="008E2470">
      <w:pPr>
        <w:pStyle w:val="Caption"/>
      </w:pPr>
      <w:bookmarkStart w:id="19" w:name="_Ref144754839"/>
      <w:r w:rsidRPr="00D6076E">
        <w:rPr>
          <w:rStyle w:val="CommentReference"/>
          <w:rFonts w:eastAsiaTheme="majorEastAsia" w:cstheme="majorBidi"/>
          <w:b/>
          <w:szCs w:val="24"/>
        </w:rPr>
        <w:t xml:space="preserve">Table </w:t>
      </w:r>
      <w:r w:rsidRPr="00D6076E">
        <w:rPr>
          <w:rStyle w:val="CommentReference"/>
          <w:rFonts w:eastAsiaTheme="majorEastAsia" w:cstheme="majorBidi"/>
          <w:b/>
          <w:szCs w:val="24"/>
        </w:rPr>
        <w:fldChar w:fldCharType="begin" w:fldLock="1"/>
      </w:r>
      <w:r w:rsidRPr="00D6076E">
        <w:rPr>
          <w:rStyle w:val="CommentReference"/>
          <w:rFonts w:eastAsiaTheme="majorEastAsia" w:cstheme="majorBidi"/>
          <w:b/>
          <w:szCs w:val="24"/>
        </w:rPr>
        <w:instrText xml:space="preserve"> SEQ Table \* ARABIC </w:instrText>
      </w:r>
      <w:r w:rsidRPr="00D6076E">
        <w:rPr>
          <w:rStyle w:val="CommentReference"/>
          <w:rFonts w:eastAsiaTheme="majorEastAsia" w:cstheme="majorBidi"/>
          <w:b/>
          <w:szCs w:val="24"/>
        </w:rPr>
        <w:fldChar w:fldCharType="separate"/>
      </w:r>
      <w:r>
        <w:rPr>
          <w:rStyle w:val="CommentReference"/>
          <w:rFonts w:eastAsiaTheme="majorEastAsia" w:cstheme="majorBidi"/>
          <w:b/>
          <w:noProof/>
          <w:szCs w:val="24"/>
        </w:rPr>
        <w:t>3</w:t>
      </w:r>
      <w:r w:rsidRPr="00D6076E">
        <w:rPr>
          <w:rStyle w:val="CommentReference"/>
          <w:rFonts w:eastAsiaTheme="majorEastAsia" w:cstheme="majorBidi"/>
          <w:b/>
          <w:szCs w:val="24"/>
        </w:rPr>
        <w:fldChar w:fldCharType="end"/>
      </w:r>
      <w:bookmarkEnd w:id="19"/>
      <w:r w:rsidRPr="00D6076E">
        <w:rPr>
          <w:rStyle w:val="CommentReference"/>
          <w:rFonts w:eastAsiaTheme="majorEastAsia" w:cstheme="majorBidi"/>
          <w:b/>
          <w:szCs w:val="24"/>
        </w:rPr>
        <w:t>: Key features of the included evidence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836"/>
        <w:gridCol w:w="559"/>
        <w:gridCol w:w="2545"/>
        <w:gridCol w:w="844"/>
        <w:gridCol w:w="1527"/>
        <w:gridCol w:w="1115"/>
        <w:gridCol w:w="1591"/>
      </w:tblGrid>
      <w:tr w:rsidR="008E2470" w:rsidRPr="00B41614" w14:paraId="41A9AAFE" w14:textId="77777777" w:rsidTr="008E2470">
        <w:trPr>
          <w:cantSplit/>
          <w:tblHeader/>
        </w:trPr>
        <w:tc>
          <w:tcPr>
            <w:tcW w:w="464" w:type="pct"/>
            <w:shd w:val="clear" w:color="auto" w:fill="auto"/>
            <w:vAlign w:val="center"/>
          </w:tcPr>
          <w:p w14:paraId="1719BA0D" w14:textId="77777777" w:rsidR="008E2470" w:rsidRPr="00B41614" w:rsidRDefault="008E2470" w:rsidP="008E2470">
            <w:pPr>
              <w:pStyle w:val="In-tableHeading"/>
            </w:pPr>
            <w:r w:rsidRPr="00B41614">
              <w:t>Trial</w:t>
            </w:r>
          </w:p>
        </w:tc>
        <w:tc>
          <w:tcPr>
            <w:tcW w:w="310" w:type="pct"/>
            <w:shd w:val="clear" w:color="auto" w:fill="auto"/>
            <w:vAlign w:val="center"/>
          </w:tcPr>
          <w:p w14:paraId="51033234" w14:textId="77777777" w:rsidR="008E2470" w:rsidRPr="00B41614" w:rsidRDefault="008E2470" w:rsidP="008E2470">
            <w:pPr>
              <w:pStyle w:val="In-tableHeading"/>
              <w:jc w:val="center"/>
            </w:pPr>
            <w:r w:rsidRPr="00B41614">
              <w:t>N</w:t>
            </w:r>
          </w:p>
        </w:tc>
        <w:tc>
          <w:tcPr>
            <w:tcW w:w="1411" w:type="pct"/>
            <w:shd w:val="clear" w:color="auto" w:fill="auto"/>
            <w:vAlign w:val="center"/>
          </w:tcPr>
          <w:p w14:paraId="02A9D88D" w14:textId="77777777" w:rsidR="008E2470" w:rsidRDefault="008E2470" w:rsidP="008E2470">
            <w:pPr>
              <w:pStyle w:val="In-tableHeading"/>
              <w:jc w:val="center"/>
            </w:pPr>
            <w:r w:rsidRPr="00B41614">
              <w:t>Design/</w:t>
            </w:r>
            <w:r>
              <w:t xml:space="preserve">treatment </w:t>
            </w:r>
            <w:r w:rsidRPr="00B41614">
              <w:t>duration</w:t>
            </w:r>
          </w:p>
          <w:p w14:paraId="48E53CAA" w14:textId="77777777" w:rsidR="008E2470" w:rsidRPr="00B41614" w:rsidRDefault="008E2470" w:rsidP="008E2470">
            <w:pPr>
              <w:pStyle w:val="In-tableHeading"/>
              <w:jc w:val="center"/>
            </w:pPr>
            <w:r>
              <w:t>(</w:t>
            </w:r>
            <w:proofErr w:type="gramStart"/>
            <w:r>
              <w:t>max</w:t>
            </w:r>
            <w:proofErr w:type="gramEnd"/>
            <w:r>
              <w:t xml:space="preserve"> follow up)</w:t>
            </w:r>
          </w:p>
        </w:tc>
        <w:tc>
          <w:tcPr>
            <w:tcW w:w="468" w:type="pct"/>
            <w:shd w:val="clear" w:color="auto" w:fill="auto"/>
            <w:vAlign w:val="center"/>
          </w:tcPr>
          <w:p w14:paraId="1D551C61" w14:textId="77777777" w:rsidR="008E2470" w:rsidRPr="00B41614" w:rsidRDefault="008E2470" w:rsidP="008E2470">
            <w:pPr>
              <w:pStyle w:val="In-tableHeading"/>
              <w:jc w:val="center"/>
            </w:pPr>
            <w:r w:rsidRPr="00B41614">
              <w:t>Risk of bias</w:t>
            </w:r>
          </w:p>
        </w:tc>
        <w:tc>
          <w:tcPr>
            <w:tcW w:w="847" w:type="pct"/>
            <w:shd w:val="clear" w:color="auto" w:fill="auto"/>
            <w:vAlign w:val="center"/>
          </w:tcPr>
          <w:p w14:paraId="652E7ED1" w14:textId="77777777" w:rsidR="008E2470" w:rsidRPr="00B41614" w:rsidRDefault="008E2470" w:rsidP="008E2470">
            <w:pPr>
              <w:pStyle w:val="In-tableHeading"/>
              <w:jc w:val="center"/>
            </w:pPr>
            <w:r w:rsidRPr="00B41614">
              <w:t>Patient population</w:t>
            </w:r>
          </w:p>
        </w:tc>
        <w:tc>
          <w:tcPr>
            <w:tcW w:w="618" w:type="pct"/>
            <w:shd w:val="clear" w:color="auto" w:fill="auto"/>
            <w:vAlign w:val="center"/>
          </w:tcPr>
          <w:p w14:paraId="43C40000" w14:textId="77777777" w:rsidR="008E2470" w:rsidRPr="00B41614" w:rsidRDefault="008E2470" w:rsidP="008E2470">
            <w:pPr>
              <w:pStyle w:val="In-tableHeading"/>
              <w:jc w:val="center"/>
            </w:pPr>
            <w:r w:rsidRPr="00B41614">
              <w:t>Outcome(s)</w:t>
            </w:r>
          </w:p>
        </w:tc>
        <w:tc>
          <w:tcPr>
            <w:tcW w:w="882" w:type="pct"/>
            <w:shd w:val="clear" w:color="auto" w:fill="auto"/>
            <w:vAlign w:val="center"/>
          </w:tcPr>
          <w:p w14:paraId="5140E54D" w14:textId="77777777" w:rsidR="008E2470" w:rsidRPr="00B41614" w:rsidRDefault="008E2470" w:rsidP="008E2470">
            <w:pPr>
              <w:pStyle w:val="In-tableHeading"/>
              <w:jc w:val="center"/>
            </w:pPr>
            <w:r w:rsidRPr="00B41614">
              <w:t>Use in modelled evaluation</w:t>
            </w:r>
          </w:p>
        </w:tc>
      </w:tr>
      <w:tr w:rsidR="008E2470" w:rsidRPr="00E2771E" w14:paraId="2F7263D3" w14:textId="77777777" w:rsidTr="008E2470">
        <w:trPr>
          <w:cantSplit/>
        </w:trPr>
        <w:tc>
          <w:tcPr>
            <w:tcW w:w="5000" w:type="pct"/>
            <w:gridSpan w:val="7"/>
            <w:shd w:val="clear" w:color="auto" w:fill="auto"/>
            <w:vAlign w:val="center"/>
          </w:tcPr>
          <w:p w14:paraId="25119AF5" w14:textId="77777777" w:rsidR="008E2470" w:rsidRPr="00EC5836" w:rsidRDefault="008E2470" w:rsidP="008E2470">
            <w:pPr>
              <w:pStyle w:val="In-tableHeading"/>
            </w:pPr>
            <w:r>
              <w:t>osimertinib vs standard of care (watch and wait)</w:t>
            </w:r>
          </w:p>
        </w:tc>
      </w:tr>
      <w:tr w:rsidR="008E2470" w:rsidRPr="00E2771E" w14:paraId="328BCB53" w14:textId="77777777" w:rsidTr="008E2470">
        <w:trPr>
          <w:cantSplit/>
        </w:trPr>
        <w:tc>
          <w:tcPr>
            <w:tcW w:w="464" w:type="pct"/>
            <w:shd w:val="clear" w:color="auto" w:fill="auto"/>
            <w:vAlign w:val="center"/>
          </w:tcPr>
          <w:p w14:paraId="526C5FAE" w14:textId="77777777" w:rsidR="008E2470" w:rsidRPr="00E2771E" w:rsidRDefault="008E2470" w:rsidP="008E2470">
            <w:pPr>
              <w:pStyle w:val="TableText0"/>
              <w:rPr>
                <w:lang w:val="en-US"/>
              </w:rPr>
            </w:pPr>
            <w:r>
              <w:rPr>
                <w:lang w:val="en-US"/>
              </w:rPr>
              <w:t>ADAURA</w:t>
            </w:r>
          </w:p>
        </w:tc>
        <w:tc>
          <w:tcPr>
            <w:tcW w:w="310" w:type="pct"/>
            <w:shd w:val="clear" w:color="auto" w:fill="auto"/>
            <w:vAlign w:val="center"/>
          </w:tcPr>
          <w:p w14:paraId="229F81BC" w14:textId="77777777" w:rsidR="008E2470" w:rsidRPr="00E2771E" w:rsidRDefault="008E2470" w:rsidP="008E2470">
            <w:pPr>
              <w:pStyle w:val="TableText0"/>
              <w:jc w:val="center"/>
              <w:rPr>
                <w:lang w:val="en-US"/>
              </w:rPr>
            </w:pPr>
            <w:r>
              <w:rPr>
                <w:lang w:val="en-US"/>
              </w:rPr>
              <w:t>682</w:t>
            </w:r>
          </w:p>
        </w:tc>
        <w:tc>
          <w:tcPr>
            <w:tcW w:w="1411" w:type="pct"/>
            <w:shd w:val="clear" w:color="auto" w:fill="auto"/>
            <w:vAlign w:val="center"/>
          </w:tcPr>
          <w:p w14:paraId="5C40D5DF" w14:textId="77777777" w:rsidR="008E2470" w:rsidRPr="003D3B2C" w:rsidRDefault="008E2470" w:rsidP="008E2470">
            <w:pPr>
              <w:pStyle w:val="TableText0"/>
              <w:jc w:val="center"/>
              <w:rPr>
                <w:lang w:val="es-MX"/>
              </w:rPr>
            </w:pPr>
            <w:r w:rsidRPr="003D3B2C">
              <w:rPr>
                <w:lang w:val="es-MX"/>
              </w:rPr>
              <w:t>P3, MC, R, DB/</w:t>
            </w:r>
          </w:p>
          <w:p w14:paraId="3E59BE47" w14:textId="77777777" w:rsidR="008E2470" w:rsidRPr="003D3B2C" w:rsidRDefault="008E2470" w:rsidP="008E2470">
            <w:pPr>
              <w:pStyle w:val="TableText0"/>
              <w:jc w:val="center"/>
              <w:rPr>
                <w:lang w:val="es-MX"/>
              </w:rPr>
            </w:pPr>
            <w:r w:rsidRPr="003D3B2C">
              <w:rPr>
                <w:lang w:val="es-MX"/>
              </w:rPr>
              <w:t>3y (5.5y</w:t>
            </w:r>
            <w:r w:rsidRPr="003D3B2C">
              <w:rPr>
                <w:vertAlign w:val="superscript"/>
                <w:lang w:val="es-MX"/>
              </w:rPr>
              <w:t xml:space="preserve"> </w:t>
            </w:r>
            <w:r w:rsidRPr="003D3B2C">
              <w:rPr>
                <w:lang w:val="es-MX"/>
              </w:rPr>
              <w:t>for DFS</w:t>
            </w:r>
            <w:r w:rsidRPr="003D3B2C">
              <w:rPr>
                <w:vertAlign w:val="superscript"/>
                <w:lang w:val="es-MX"/>
              </w:rPr>
              <w:t>c</w:t>
            </w:r>
            <w:r w:rsidRPr="003D3B2C">
              <w:rPr>
                <w:lang w:val="es-MX"/>
              </w:rPr>
              <w:t>, 7.5 y for OS)</w:t>
            </w:r>
          </w:p>
        </w:tc>
        <w:tc>
          <w:tcPr>
            <w:tcW w:w="468" w:type="pct"/>
            <w:shd w:val="clear" w:color="auto" w:fill="auto"/>
            <w:vAlign w:val="center"/>
          </w:tcPr>
          <w:p w14:paraId="13E583B6" w14:textId="77777777" w:rsidR="008E2470" w:rsidRPr="00A03C9A" w:rsidRDefault="008E2470" w:rsidP="008E2470">
            <w:pPr>
              <w:pStyle w:val="TableText0"/>
              <w:jc w:val="center"/>
              <w:rPr>
                <w:iCs/>
                <w:lang w:val="en-US"/>
              </w:rPr>
            </w:pPr>
            <w:r w:rsidRPr="00A03C9A">
              <w:rPr>
                <w:iCs/>
                <w:lang w:val="en-US"/>
              </w:rPr>
              <w:t>Low</w:t>
            </w:r>
          </w:p>
        </w:tc>
        <w:tc>
          <w:tcPr>
            <w:tcW w:w="847" w:type="pct"/>
            <w:shd w:val="clear" w:color="auto" w:fill="auto"/>
            <w:vAlign w:val="center"/>
          </w:tcPr>
          <w:p w14:paraId="66FA8F64" w14:textId="77777777" w:rsidR="008E2470" w:rsidRPr="006808F0" w:rsidRDefault="008E2470" w:rsidP="008E2470">
            <w:pPr>
              <w:pStyle w:val="TableText0"/>
              <w:jc w:val="center"/>
              <w:rPr>
                <w:lang w:val="en-US"/>
              </w:rPr>
            </w:pPr>
            <w:r>
              <w:rPr>
                <w:lang w:val="en-US"/>
              </w:rPr>
              <w:t>Resected</w:t>
            </w:r>
            <w:r>
              <w:rPr>
                <w:vertAlign w:val="superscript"/>
                <w:lang w:val="en-US"/>
              </w:rPr>
              <w:t>a</w:t>
            </w:r>
            <w:r>
              <w:rPr>
                <w:lang w:val="en-US"/>
              </w:rPr>
              <w:t xml:space="preserve"> early stage (IB-IIIA) NSCLC with </w:t>
            </w:r>
            <w:r>
              <w:rPr>
                <w:i/>
                <w:lang w:val="en-US"/>
              </w:rPr>
              <w:t>EGFR</w:t>
            </w:r>
            <w:r>
              <w:rPr>
                <w:lang w:val="en-US"/>
              </w:rPr>
              <w:t xml:space="preserve"> pathogenic variants</w:t>
            </w:r>
            <w:r>
              <w:rPr>
                <w:vertAlign w:val="superscript"/>
                <w:lang w:val="en-US"/>
              </w:rPr>
              <w:t>b</w:t>
            </w:r>
          </w:p>
        </w:tc>
        <w:tc>
          <w:tcPr>
            <w:tcW w:w="618" w:type="pct"/>
            <w:shd w:val="clear" w:color="auto" w:fill="auto"/>
            <w:vAlign w:val="center"/>
          </w:tcPr>
          <w:p w14:paraId="355BEAF6" w14:textId="77777777" w:rsidR="008E2470" w:rsidRPr="00E2771E" w:rsidRDefault="008E2470" w:rsidP="008E2470">
            <w:pPr>
              <w:pStyle w:val="TableText0"/>
              <w:jc w:val="center"/>
              <w:rPr>
                <w:lang w:val="en-US"/>
              </w:rPr>
            </w:pPr>
            <w:r>
              <w:rPr>
                <w:lang w:val="en-US"/>
              </w:rPr>
              <w:t xml:space="preserve">DFS, HRQoL, </w:t>
            </w:r>
            <w:r w:rsidRPr="00E2771E">
              <w:rPr>
                <w:lang w:val="en-US"/>
              </w:rPr>
              <w:t>OS</w:t>
            </w:r>
            <w:r>
              <w:rPr>
                <w:lang w:val="en-US"/>
              </w:rPr>
              <w:t>, Safety</w:t>
            </w:r>
          </w:p>
        </w:tc>
        <w:tc>
          <w:tcPr>
            <w:tcW w:w="882" w:type="pct"/>
            <w:shd w:val="clear" w:color="auto" w:fill="auto"/>
            <w:vAlign w:val="center"/>
          </w:tcPr>
          <w:p w14:paraId="2251ADF8" w14:textId="3E961CB5" w:rsidR="008E2470" w:rsidRPr="00E2771E" w:rsidRDefault="008E2470" w:rsidP="008E2470">
            <w:pPr>
              <w:pStyle w:val="TableText0"/>
              <w:jc w:val="center"/>
              <w:rPr>
                <w:lang w:val="en-US"/>
              </w:rPr>
            </w:pPr>
            <w:r>
              <w:rPr>
                <w:lang w:val="en-US"/>
              </w:rPr>
              <w:t>DFS, HRQoL</w:t>
            </w:r>
          </w:p>
        </w:tc>
      </w:tr>
    </w:tbl>
    <w:p w14:paraId="38040CE3" w14:textId="77777777" w:rsidR="008E2470" w:rsidRDefault="008E2470" w:rsidP="008E2470">
      <w:pPr>
        <w:pStyle w:val="TableFigureFooter"/>
      </w:pPr>
      <w:r>
        <w:t xml:space="preserve">Source: Section 2.3, p38 </w:t>
      </w:r>
      <w:r w:rsidRPr="00D13A3E">
        <w:t xml:space="preserve">of the </w:t>
      </w:r>
      <w:r>
        <w:t>submission.</w:t>
      </w:r>
    </w:p>
    <w:p w14:paraId="0E6F4339" w14:textId="77777777" w:rsidR="008E2470" w:rsidRDefault="008E2470" w:rsidP="008E2470">
      <w:pPr>
        <w:pStyle w:val="TableFigureFooter"/>
      </w:pPr>
      <w:r w:rsidRPr="0072416F">
        <w:t>DB</w:t>
      </w:r>
      <w:r>
        <w:t xml:space="preserve"> </w:t>
      </w:r>
      <w:r w:rsidRPr="0072416F">
        <w:t>=</w:t>
      </w:r>
      <w:r>
        <w:t xml:space="preserve"> </w:t>
      </w:r>
      <w:r w:rsidRPr="0072416F">
        <w:t xml:space="preserve">double blind; </w:t>
      </w:r>
      <w:r>
        <w:t xml:space="preserve">DFS = disease free survival; </w:t>
      </w:r>
      <w:r w:rsidRPr="006808F0">
        <w:rPr>
          <w:i/>
        </w:rPr>
        <w:t>EGFR</w:t>
      </w:r>
      <w:r>
        <w:t xml:space="preserve"> = epidermal growth factor receptor; HRQoL = health-related quality of life; </w:t>
      </w:r>
      <w:r w:rsidRPr="0072416F">
        <w:t>MC</w:t>
      </w:r>
      <w:r>
        <w:t xml:space="preserve"> </w:t>
      </w:r>
      <w:r w:rsidRPr="0072416F">
        <w:t>=</w:t>
      </w:r>
      <w:r>
        <w:t xml:space="preserve"> </w:t>
      </w:r>
      <w:r w:rsidRPr="0072416F">
        <w:t xml:space="preserve">multi-centre; </w:t>
      </w:r>
      <w:r>
        <w:t xml:space="preserve">NSCLC = non-small cell lung cancer; </w:t>
      </w:r>
      <w:r w:rsidRPr="0072416F">
        <w:t>OS</w:t>
      </w:r>
      <w:r>
        <w:t xml:space="preserve"> </w:t>
      </w:r>
      <w:r w:rsidRPr="0072416F">
        <w:t>=</w:t>
      </w:r>
      <w:r>
        <w:t xml:space="preserve"> </w:t>
      </w:r>
      <w:r w:rsidRPr="0072416F">
        <w:t xml:space="preserve">overall survival; </w:t>
      </w:r>
      <w:r>
        <w:t>P3 = phase 3;</w:t>
      </w:r>
      <w:r w:rsidRPr="0072416F">
        <w:t xml:space="preserve"> R</w:t>
      </w:r>
      <w:r>
        <w:t xml:space="preserve"> </w:t>
      </w:r>
      <w:r w:rsidRPr="0072416F">
        <w:t>=</w:t>
      </w:r>
      <w:r>
        <w:t xml:space="preserve"> </w:t>
      </w:r>
      <w:r w:rsidRPr="0072416F">
        <w:t>randomised.</w:t>
      </w:r>
      <w:r>
        <w:t xml:space="preserve"> Y=years</w:t>
      </w:r>
    </w:p>
    <w:p w14:paraId="5D72A49E" w14:textId="77777777" w:rsidR="008E2470" w:rsidRDefault="008E2470" w:rsidP="008E2470">
      <w:pPr>
        <w:pStyle w:val="TableFigureFooter"/>
      </w:pPr>
      <w:r>
        <w:rPr>
          <w:vertAlign w:val="superscript"/>
        </w:rPr>
        <w:t>a</w:t>
      </w:r>
      <w:r>
        <w:rPr>
          <w:vertAlign w:val="superscript"/>
        </w:rPr>
        <w:tab/>
      </w:r>
      <w:r w:rsidRPr="006808F0">
        <w:t>Completely r</w:t>
      </w:r>
      <w:r>
        <w:t>esected with negative margins</w:t>
      </w:r>
    </w:p>
    <w:p w14:paraId="1222231C" w14:textId="77777777" w:rsidR="008E2470" w:rsidRDefault="008E2470" w:rsidP="008E2470">
      <w:pPr>
        <w:pStyle w:val="TableFigureFooter"/>
      </w:pPr>
      <w:r>
        <w:rPr>
          <w:vertAlign w:val="superscript"/>
        </w:rPr>
        <w:t>b</w:t>
      </w:r>
      <w:r>
        <w:rPr>
          <w:vertAlign w:val="superscript"/>
        </w:rPr>
        <w:tab/>
      </w:r>
      <w:r>
        <w:t>Exon 19 deletion or exon 21 L858R substitution</w:t>
      </w:r>
    </w:p>
    <w:p w14:paraId="7F1C6749" w14:textId="0AAD2B7E" w:rsidR="008E2470" w:rsidRDefault="008E2470" w:rsidP="008E2470">
      <w:pPr>
        <w:pStyle w:val="TableFigureFooter"/>
      </w:pPr>
      <w:r>
        <w:rPr>
          <w:vertAlign w:val="superscript"/>
        </w:rPr>
        <w:t>c</w:t>
      </w:r>
      <w:r>
        <w:rPr>
          <w:vertAlign w:val="superscript"/>
        </w:rPr>
        <w:tab/>
      </w:r>
      <w:r w:rsidRPr="16CD9E8E">
        <w:t>latest timepoint for which observed DFS from ADAURA were available</w:t>
      </w:r>
      <w:r>
        <w:t>.</w:t>
      </w:r>
    </w:p>
    <w:p w14:paraId="34D731B6" w14:textId="1D59B2EA" w:rsidR="00716999" w:rsidRPr="00EC5836" w:rsidRDefault="008E2470" w:rsidP="00716999">
      <w:pPr>
        <w:pStyle w:val="3-BodyText"/>
        <w:rPr>
          <w:color w:val="0066FF"/>
        </w:rPr>
      </w:pPr>
      <w:r w:rsidRPr="009C04AF">
        <w:t>Patients were randomi</w:t>
      </w:r>
      <w:r>
        <w:t>s</w:t>
      </w:r>
      <w:r w:rsidRPr="009C04AF">
        <w:t>ed 1:1 to receive either osimertinib 80</w:t>
      </w:r>
      <w:r>
        <w:t> </w:t>
      </w:r>
      <w:r w:rsidRPr="009C04AF">
        <w:t>mg orally once daily</w:t>
      </w:r>
      <w:r>
        <w:t xml:space="preserve"> (n=339)</w:t>
      </w:r>
      <w:r w:rsidRPr="009C04AF">
        <w:t xml:space="preserve"> or placebo </w:t>
      </w:r>
      <w:r>
        <w:t xml:space="preserve">(n=343) </w:t>
      </w:r>
      <w:r w:rsidRPr="009C04AF">
        <w:t>for 3 years, until disease recurrence or meeting a treatment discontinuation criterion, whichever occurred first. Randomi</w:t>
      </w:r>
      <w:r>
        <w:t>s</w:t>
      </w:r>
      <w:r w:rsidRPr="009C04AF">
        <w:t xml:space="preserve">ation was stratified based on disease stage (IB, II, IIIA), </w:t>
      </w:r>
      <w:r>
        <w:t>variant</w:t>
      </w:r>
      <w:r w:rsidRPr="009C04AF">
        <w:t xml:space="preserve"> type (</w:t>
      </w:r>
      <w:r>
        <w:t>Ex19del, L858R</w:t>
      </w:r>
      <w:r w:rsidRPr="009C04AF">
        <w:t>), and race (Asian, non-</w:t>
      </w:r>
      <w:r w:rsidRPr="00EF2EF7">
        <w:t>Asian).</w:t>
      </w:r>
    </w:p>
    <w:p w14:paraId="3E9AD521" w14:textId="77777777" w:rsidR="00716999" w:rsidRPr="00C9624D" w:rsidRDefault="00716999" w:rsidP="00716999">
      <w:pPr>
        <w:pStyle w:val="4-SubsectionHeading"/>
      </w:pPr>
      <w:bookmarkStart w:id="20" w:name="_Toc22897641"/>
      <w:bookmarkStart w:id="21" w:name="_Toc145434784"/>
      <w:r w:rsidRPr="00C9624D">
        <w:t>Comparative effectiveness</w:t>
      </w:r>
      <w:bookmarkEnd w:id="20"/>
      <w:bookmarkEnd w:id="21"/>
    </w:p>
    <w:p w14:paraId="5E9D12E5" w14:textId="078C713D" w:rsidR="006471D6" w:rsidRPr="004009E1" w:rsidRDefault="005C6CB3" w:rsidP="006471D6">
      <w:pPr>
        <w:pStyle w:val="3-BodyText"/>
      </w:pPr>
      <w:r>
        <w:fldChar w:fldCharType="begin" w:fldLock="1"/>
      </w:r>
      <w:r>
        <w:instrText xml:space="preserve"> REF _Ref144754919 \h </w:instrText>
      </w:r>
      <w:r>
        <w:fldChar w:fldCharType="separate"/>
      </w:r>
      <w:r>
        <w:t xml:space="preserve">Table </w:t>
      </w:r>
      <w:r>
        <w:rPr>
          <w:noProof/>
        </w:rPr>
        <w:t>4</w:t>
      </w:r>
      <w:r>
        <w:fldChar w:fldCharType="end"/>
      </w:r>
      <w:r>
        <w:t xml:space="preserve"> </w:t>
      </w:r>
      <w:r w:rsidR="006471D6">
        <w:t>summarises key time to event outcomes from ADAURA. The corresponding Kaplan-Meier curves are presented in</w:t>
      </w:r>
      <w:r>
        <w:t xml:space="preserve"> </w:t>
      </w:r>
      <w:r>
        <w:fldChar w:fldCharType="begin" w:fldLock="1"/>
      </w:r>
      <w:r>
        <w:instrText xml:space="preserve"> REF _Ref144754982 \h </w:instrText>
      </w:r>
      <w:r>
        <w:fldChar w:fldCharType="separate"/>
      </w:r>
      <w:r>
        <w:t xml:space="preserve">Figure </w:t>
      </w:r>
      <w:r>
        <w:rPr>
          <w:noProof/>
        </w:rPr>
        <w:t>1</w:t>
      </w:r>
      <w:r>
        <w:fldChar w:fldCharType="end"/>
      </w:r>
      <w:r w:rsidR="006471D6">
        <w:t xml:space="preserve">. </w:t>
      </w:r>
      <w:r w:rsidR="006471D6" w:rsidRPr="004009E1">
        <w:t xml:space="preserve">There were three data cut-off (DCO) points for ADAURA. The final analysis of </w:t>
      </w:r>
      <w:r w:rsidR="006471D6">
        <w:t>disease-free survival (</w:t>
      </w:r>
      <w:r w:rsidR="006471D6" w:rsidRPr="004009E1">
        <w:t>DFS</w:t>
      </w:r>
      <w:r w:rsidR="006471D6">
        <w:t>)</w:t>
      </w:r>
      <w:r w:rsidR="006471D6" w:rsidRPr="004009E1">
        <w:t xml:space="preserve">, the primary outcome </w:t>
      </w:r>
      <w:r w:rsidR="006471D6">
        <w:t>for</w:t>
      </w:r>
      <w:r w:rsidR="006471D6" w:rsidRPr="004009E1">
        <w:t xml:space="preserve"> ADAURA, was conducted at DCO2 (April 2022)</w:t>
      </w:r>
      <w:r w:rsidR="006471D6">
        <w:t xml:space="preserve"> and final analysis of overall survival (OS) was </w:t>
      </w:r>
      <w:r w:rsidR="006471D6" w:rsidRPr="004009E1">
        <w:t>reported at DCO3</w:t>
      </w:r>
      <w:r w:rsidR="006471D6">
        <w:t xml:space="preserve"> (January 2023)</w:t>
      </w:r>
      <w:r w:rsidR="006471D6" w:rsidRPr="004009E1">
        <w:t xml:space="preserve">. </w:t>
      </w:r>
      <w:r w:rsidR="006471D6">
        <w:t>ADAURA reported results for the primary trial population (Stage II-IIIA) and the overall population (Stage IB-IIIA).</w:t>
      </w:r>
    </w:p>
    <w:p w14:paraId="4AEAB422" w14:textId="77777777" w:rsidR="006471D6" w:rsidRDefault="006471D6" w:rsidP="00566D26">
      <w:pPr>
        <w:pStyle w:val="Caption"/>
        <w:rPr>
          <w:rStyle w:val="CommentReference"/>
          <w:b/>
          <w:szCs w:val="24"/>
        </w:rPr>
      </w:pPr>
      <w:bookmarkStart w:id="22" w:name="_Ref144754919"/>
      <w:r>
        <w:t xml:space="preserve">Table </w:t>
      </w:r>
      <w:r w:rsidR="001E77BF">
        <w:fldChar w:fldCharType="begin" w:fldLock="1"/>
      </w:r>
      <w:r w:rsidR="001E77BF">
        <w:instrText xml:space="preserve"> SEQ Table \* ARABIC </w:instrText>
      </w:r>
      <w:r w:rsidR="001E77BF">
        <w:fldChar w:fldCharType="separate"/>
      </w:r>
      <w:r>
        <w:rPr>
          <w:noProof/>
        </w:rPr>
        <w:t>4</w:t>
      </w:r>
      <w:r w:rsidR="001E77BF">
        <w:rPr>
          <w:noProof/>
        </w:rPr>
        <w:fldChar w:fldCharType="end"/>
      </w:r>
      <w:bookmarkEnd w:id="22"/>
      <w:r>
        <w:t>:</w:t>
      </w:r>
      <w:r w:rsidRPr="00EC5836">
        <w:rPr>
          <w:rStyle w:val="CommentReference"/>
          <w:b/>
          <w:szCs w:val="24"/>
        </w:rPr>
        <w:t xml:space="preserve"> </w:t>
      </w:r>
      <w:r w:rsidRPr="00D6076E">
        <w:rPr>
          <w:rStyle w:val="CommentReference"/>
          <w:b/>
          <w:szCs w:val="24"/>
        </w:rPr>
        <w:t xml:space="preserve">Summary of </w:t>
      </w:r>
      <w:r>
        <w:rPr>
          <w:rStyle w:val="CommentReference"/>
          <w:b/>
          <w:szCs w:val="24"/>
        </w:rPr>
        <w:t>time to event outcomes from ADAURA</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3805"/>
        <w:gridCol w:w="1304"/>
        <w:gridCol w:w="1304"/>
        <w:gridCol w:w="1304"/>
        <w:gridCol w:w="1300"/>
      </w:tblGrid>
      <w:tr w:rsidR="006471D6" w:rsidRPr="00D27055" w14:paraId="4E3E39CD" w14:textId="77777777" w:rsidTr="00BA3F8A">
        <w:trPr>
          <w:tblHeader/>
        </w:trPr>
        <w:tc>
          <w:tcPr>
            <w:tcW w:w="2110" w:type="pct"/>
            <w:tcBorders>
              <w:bottom w:val="nil"/>
            </w:tcBorders>
            <w:vAlign w:val="center"/>
          </w:tcPr>
          <w:p w14:paraId="290D4722" w14:textId="77777777" w:rsidR="006471D6" w:rsidRPr="00D27055" w:rsidRDefault="006471D6" w:rsidP="00566D26">
            <w:pPr>
              <w:pStyle w:val="TableFigureHeading"/>
              <w:keepLines/>
              <w:rPr>
                <w:szCs w:val="20"/>
              </w:rPr>
            </w:pPr>
          </w:p>
        </w:tc>
        <w:tc>
          <w:tcPr>
            <w:tcW w:w="1446" w:type="pct"/>
            <w:gridSpan w:val="2"/>
            <w:vAlign w:val="center"/>
          </w:tcPr>
          <w:p w14:paraId="7D6EA177" w14:textId="77777777" w:rsidR="006471D6" w:rsidRPr="00D27055" w:rsidRDefault="006471D6" w:rsidP="00566D26">
            <w:pPr>
              <w:pStyle w:val="TableFigureHeading"/>
              <w:keepLines/>
              <w:jc w:val="center"/>
              <w:rPr>
                <w:szCs w:val="20"/>
              </w:rPr>
            </w:pPr>
            <w:r w:rsidRPr="00D27055">
              <w:rPr>
                <w:szCs w:val="20"/>
              </w:rPr>
              <w:t>Primary population (Stage II-IIIA)</w:t>
            </w:r>
          </w:p>
        </w:tc>
        <w:tc>
          <w:tcPr>
            <w:tcW w:w="1444" w:type="pct"/>
            <w:gridSpan w:val="2"/>
            <w:vAlign w:val="center"/>
          </w:tcPr>
          <w:p w14:paraId="18354253" w14:textId="77777777" w:rsidR="006471D6" w:rsidRPr="00D27055" w:rsidRDefault="006471D6" w:rsidP="00566D26">
            <w:pPr>
              <w:pStyle w:val="TableFigureHeading"/>
              <w:keepLines/>
              <w:jc w:val="center"/>
              <w:rPr>
                <w:szCs w:val="20"/>
              </w:rPr>
            </w:pPr>
            <w:r w:rsidRPr="00D27055">
              <w:rPr>
                <w:szCs w:val="20"/>
              </w:rPr>
              <w:t>Overall population (Stage IB-IIIA)</w:t>
            </w:r>
          </w:p>
        </w:tc>
      </w:tr>
      <w:tr w:rsidR="006471D6" w:rsidRPr="00D27055" w14:paraId="2C3FFF2F" w14:textId="77777777" w:rsidTr="00BA3F8A">
        <w:tc>
          <w:tcPr>
            <w:tcW w:w="2110" w:type="pct"/>
            <w:tcBorders>
              <w:top w:val="nil"/>
              <w:bottom w:val="single" w:sz="4" w:space="0" w:color="auto"/>
            </w:tcBorders>
            <w:vAlign w:val="bottom"/>
          </w:tcPr>
          <w:p w14:paraId="443C4A89" w14:textId="77777777" w:rsidR="006471D6" w:rsidRPr="00D27055" w:rsidRDefault="006471D6" w:rsidP="00566D26">
            <w:pPr>
              <w:pStyle w:val="TableText0"/>
              <w:keepLines/>
              <w:rPr>
                <w:szCs w:val="20"/>
              </w:rPr>
            </w:pPr>
          </w:p>
        </w:tc>
        <w:tc>
          <w:tcPr>
            <w:tcW w:w="723" w:type="pct"/>
            <w:tcBorders>
              <w:bottom w:val="single" w:sz="4" w:space="0" w:color="auto"/>
            </w:tcBorders>
            <w:vAlign w:val="center"/>
          </w:tcPr>
          <w:p w14:paraId="5804342C" w14:textId="77777777" w:rsidR="006471D6" w:rsidRPr="00D27055" w:rsidRDefault="006471D6" w:rsidP="00566D26">
            <w:pPr>
              <w:pStyle w:val="TableText0"/>
              <w:keepLines/>
              <w:jc w:val="center"/>
              <w:rPr>
                <w:b/>
                <w:bCs w:val="0"/>
                <w:szCs w:val="20"/>
              </w:rPr>
            </w:pPr>
            <w:r w:rsidRPr="00D27055">
              <w:rPr>
                <w:b/>
                <w:bCs w:val="0"/>
                <w:szCs w:val="20"/>
              </w:rPr>
              <w:t>Osimertinib</w:t>
            </w:r>
          </w:p>
          <w:p w14:paraId="345263FC" w14:textId="77777777" w:rsidR="006471D6" w:rsidRPr="00D27055" w:rsidRDefault="006471D6" w:rsidP="00566D26">
            <w:pPr>
              <w:pStyle w:val="TableText0"/>
              <w:keepLines/>
              <w:jc w:val="center"/>
              <w:rPr>
                <w:b/>
                <w:bCs w:val="0"/>
                <w:szCs w:val="20"/>
              </w:rPr>
            </w:pPr>
            <w:r w:rsidRPr="00D27055">
              <w:rPr>
                <w:b/>
                <w:bCs w:val="0"/>
                <w:szCs w:val="20"/>
              </w:rPr>
              <w:t>N=233</w:t>
            </w:r>
          </w:p>
        </w:tc>
        <w:tc>
          <w:tcPr>
            <w:tcW w:w="723" w:type="pct"/>
            <w:tcBorders>
              <w:bottom w:val="single" w:sz="4" w:space="0" w:color="auto"/>
            </w:tcBorders>
            <w:vAlign w:val="center"/>
          </w:tcPr>
          <w:p w14:paraId="57D298E1" w14:textId="77777777" w:rsidR="006471D6" w:rsidRPr="00D27055" w:rsidRDefault="006471D6" w:rsidP="00566D26">
            <w:pPr>
              <w:pStyle w:val="TableText0"/>
              <w:keepLines/>
              <w:jc w:val="center"/>
              <w:rPr>
                <w:b/>
                <w:bCs w:val="0"/>
                <w:szCs w:val="20"/>
              </w:rPr>
            </w:pPr>
            <w:r w:rsidRPr="00D27055">
              <w:rPr>
                <w:b/>
                <w:bCs w:val="0"/>
                <w:szCs w:val="20"/>
              </w:rPr>
              <w:t>Placebo</w:t>
            </w:r>
          </w:p>
          <w:p w14:paraId="453FE3E1" w14:textId="77777777" w:rsidR="006471D6" w:rsidRPr="00D27055" w:rsidRDefault="006471D6" w:rsidP="00566D26">
            <w:pPr>
              <w:pStyle w:val="TableText0"/>
              <w:keepLines/>
              <w:jc w:val="center"/>
              <w:rPr>
                <w:b/>
                <w:bCs w:val="0"/>
                <w:szCs w:val="20"/>
              </w:rPr>
            </w:pPr>
            <w:r w:rsidRPr="00D27055">
              <w:rPr>
                <w:b/>
                <w:bCs w:val="0"/>
                <w:szCs w:val="20"/>
              </w:rPr>
              <w:t>N=237</w:t>
            </w:r>
          </w:p>
        </w:tc>
        <w:tc>
          <w:tcPr>
            <w:tcW w:w="723" w:type="pct"/>
            <w:tcBorders>
              <w:bottom w:val="single" w:sz="4" w:space="0" w:color="auto"/>
            </w:tcBorders>
            <w:vAlign w:val="center"/>
          </w:tcPr>
          <w:p w14:paraId="3F15F70B" w14:textId="77777777" w:rsidR="006471D6" w:rsidRPr="00D27055" w:rsidRDefault="006471D6" w:rsidP="00566D26">
            <w:pPr>
              <w:pStyle w:val="TableText0"/>
              <w:keepLines/>
              <w:jc w:val="center"/>
              <w:rPr>
                <w:b/>
                <w:bCs w:val="0"/>
                <w:szCs w:val="20"/>
              </w:rPr>
            </w:pPr>
            <w:r w:rsidRPr="00D27055">
              <w:rPr>
                <w:b/>
                <w:bCs w:val="0"/>
                <w:szCs w:val="20"/>
              </w:rPr>
              <w:t>Osimertinib</w:t>
            </w:r>
          </w:p>
          <w:p w14:paraId="48B345B3" w14:textId="77777777" w:rsidR="006471D6" w:rsidRPr="00D27055" w:rsidRDefault="006471D6" w:rsidP="00566D26">
            <w:pPr>
              <w:pStyle w:val="TableText0"/>
              <w:keepLines/>
              <w:jc w:val="center"/>
              <w:rPr>
                <w:b/>
                <w:bCs w:val="0"/>
                <w:szCs w:val="20"/>
              </w:rPr>
            </w:pPr>
            <w:r w:rsidRPr="00D27055">
              <w:rPr>
                <w:b/>
                <w:bCs w:val="0"/>
                <w:szCs w:val="20"/>
              </w:rPr>
              <w:t>N=339</w:t>
            </w:r>
          </w:p>
        </w:tc>
        <w:tc>
          <w:tcPr>
            <w:tcW w:w="721" w:type="pct"/>
            <w:tcBorders>
              <w:bottom w:val="single" w:sz="4" w:space="0" w:color="auto"/>
            </w:tcBorders>
            <w:vAlign w:val="center"/>
          </w:tcPr>
          <w:p w14:paraId="2085C2AA" w14:textId="77777777" w:rsidR="006471D6" w:rsidRPr="00D27055" w:rsidRDefault="006471D6" w:rsidP="00566D26">
            <w:pPr>
              <w:pStyle w:val="TableText0"/>
              <w:keepLines/>
              <w:jc w:val="center"/>
              <w:rPr>
                <w:b/>
                <w:bCs w:val="0"/>
                <w:szCs w:val="20"/>
              </w:rPr>
            </w:pPr>
            <w:r w:rsidRPr="00D27055">
              <w:rPr>
                <w:b/>
                <w:bCs w:val="0"/>
                <w:szCs w:val="20"/>
              </w:rPr>
              <w:t>Placebo</w:t>
            </w:r>
          </w:p>
          <w:p w14:paraId="4689B70B" w14:textId="77777777" w:rsidR="006471D6" w:rsidRPr="00D27055" w:rsidRDefault="006471D6" w:rsidP="00566D26">
            <w:pPr>
              <w:pStyle w:val="TableText0"/>
              <w:keepLines/>
              <w:jc w:val="center"/>
              <w:rPr>
                <w:b/>
                <w:bCs w:val="0"/>
                <w:szCs w:val="20"/>
              </w:rPr>
            </w:pPr>
            <w:r w:rsidRPr="00D27055">
              <w:rPr>
                <w:b/>
                <w:bCs w:val="0"/>
                <w:szCs w:val="20"/>
              </w:rPr>
              <w:t>N=343</w:t>
            </w:r>
          </w:p>
        </w:tc>
      </w:tr>
      <w:tr w:rsidR="006471D6" w:rsidRPr="00D27055" w14:paraId="35C1F01A" w14:textId="77777777" w:rsidTr="00BA3F8A">
        <w:tc>
          <w:tcPr>
            <w:tcW w:w="2110" w:type="pct"/>
            <w:tcBorders>
              <w:top w:val="single" w:sz="4" w:space="0" w:color="auto"/>
              <w:bottom w:val="single" w:sz="4" w:space="0" w:color="auto"/>
              <w:right w:val="nil"/>
            </w:tcBorders>
            <w:shd w:val="clear" w:color="auto" w:fill="D9D9D9" w:themeFill="background1" w:themeFillShade="D9"/>
            <w:vAlign w:val="bottom"/>
          </w:tcPr>
          <w:p w14:paraId="2E2D6DEA" w14:textId="3D53EFBA" w:rsidR="006471D6" w:rsidRPr="00D27055" w:rsidRDefault="006471D6" w:rsidP="00566D26">
            <w:pPr>
              <w:pStyle w:val="TableText0"/>
              <w:keepLines/>
              <w:rPr>
                <w:b/>
                <w:i/>
                <w:iCs/>
                <w:szCs w:val="20"/>
              </w:rPr>
            </w:pPr>
            <w:r w:rsidRPr="00D27055">
              <w:rPr>
                <w:b/>
                <w:i/>
                <w:iCs/>
                <w:szCs w:val="20"/>
                <w:lang w:eastAsia="en-US"/>
              </w:rPr>
              <w:t xml:space="preserve">DCO3 </w:t>
            </w:r>
            <w:r w:rsidR="00C0067C">
              <w:rPr>
                <w:b/>
                <w:i/>
                <w:iCs/>
                <w:szCs w:val="20"/>
                <w:lang w:eastAsia="en-US"/>
              </w:rPr>
              <w:t>(</w:t>
            </w:r>
            <w:r w:rsidRPr="00D27055">
              <w:rPr>
                <w:b/>
                <w:i/>
                <w:iCs/>
                <w:szCs w:val="20"/>
                <w:lang w:eastAsia="en-US"/>
              </w:rPr>
              <w:t>27 January 2023</w:t>
            </w:r>
            <w:r w:rsidR="00C0067C">
              <w:rPr>
                <w:b/>
                <w:i/>
                <w:iCs/>
                <w:szCs w:val="20"/>
                <w:lang w:eastAsia="en-US"/>
              </w:rPr>
              <w:t>)</w:t>
            </w:r>
          </w:p>
        </w:tc>
        <w:tc>
          <w:tcPr>
            <w:tcW w:w="723" w:type="pct"/>
            <w:tcBorders>
              <w:top w:val="single" w:sz="4" w:space="0" w:color="auto"/>
              <w:left w:val="nil"/>
              <w:bottom w:val="single" w:sz="4" w:space="0" w:color="auto"/>
              <w:right w:val="nil"/>
            </w:tcBorders>
            <w:shd w:val="clear" w:color="auto" w:fill="D9D9D9" w:themeFill="background1" w:themeFillShade="D9"/>
            <w:vAlign w:val="center"/>
          </w:tcPr>
          <w:p w14:paraId="1FDE7A8F" w14:textId="77777777" w:rsidR="006471D6" w:rsidRPr="00D27055" w:rsidRDefault="006471D6" w:rsidP="00566D26">
            <w:pPr>
              <w:pStyle w:val="TableText0"/>
              <w:keepLines/>
              <w:jc w:val="center"/>
              <w:rPr>
                <w:b/>
                <w:bCs w:val="0"/>
                <w:i/>
                <w:iCs/>
                <w:szCs w:val="20"/>
              </w:rPr>
            </w:pPr>
          </w:p>
        </w:tc>
        <w:tc>
          <w:tcPr>
            <w:tcW w:w="723" w:type="pct"/>
            <w:tcBorders>
              <w:top w:val="single" w:sz="4" w:space="0" w:color="auto"/>
              <w:left w:val="nil"/>
              <w:bottom w:val="single" w:sz="4" w:space="0" w:color="auto"/>
              <w:right w:val="nil"/>
            </w:tcBorders>
            <w:shd w:val="clear" w:color="auto" w:fill="D9D9D9" w:themeFill="background1" w:themeFillShade="D9"/>
            <w:vAlign w:val="center"/>
          </w:tcPr>
          <w:p w14:paraId="35107D8B" w14:textId="77777777" w:rsidR="006471D6" w:rsidRPr="00D27055" w:rsidRDefault="006471D6" w:rsidP="00566D26">
            <w:pPr>
              <w:pStyle w:val="TableText0"/>
              <w:keepLines/>
              <w:jc w:val="center"/>
              <w:rPr>
                <w:b/>
                <w:bCs w:val="0"/>
                <w:i/>
                <w:iCs/>
                <w:szCs w:val="20"/>
              </w:rPr>
            </w:pPr>
          </w:p>
        </w:tc>
        <w:tc>
          <w:tcPr>
            <w:tcW w:w="723" w:type="pct"/>
            <w:tcBorders>
              <w:top w:val="single" w:sz="4" w:space="0" w:color="auto"/>
              <w:left w:val="nil"/>
              <w:bottom w:val="single" w:sz="4" w:space="0" w:color="auto"/>
              <w:right w:val="nil"/>
            </w:tcBorders>
            <w:shd w:val="clear" w:color="auto" w:fill="D9D9D9" w:themeFill="background1" w:themeFillShade="D9"/>
            <w:vAlign w:val="center"/>
          </w:tcPr>
          <w:p w14:paraId="54ACFCCF" w14:textId="77777777" w:rsidR="006471D6" w:rsidRPr="00D27055" w:rsidRDefault="006471D6" w:rsidP="00566D26">
            <w:pPr>
              <w:pStyle w:val="TableText0"/>
              <w:keepLines/>
              <w:jc w:val="center"/>
              <w:rPr>
                <w:b/>
                <w:bCs w:val="0"/>
                <w:i/>
                <w:iCs/>
                <w:szCs w:val="20"/>
              </w:rPr>
            </w:pPr>
          </w:p>
        </w:tc>
        <w:tc>
          <w:tcPr>
            <w:tcW w:w="721" w:type="pct"/>
            <w:tcBorders>
              <w:top w:val="single" w:sz="4" w:space="0" w:color="auto"/>
              <w:left w:val="nil"/>
              <w:bottom w:val="single" w:sz="4" w:space="0" w:color="auto"/>
            </w:tcBorders>
            <w:shd w:val="clear" w:color="auto" w:fill="D9D9D9" w:themeFill="background1" w:themeFillShade="D9"/>
            <w:vAlign w:val="center"/>
          </w:tcPr>
          <w:p w14:paraId="0B6B7DB3" w14:textId="77777777" w:rsidR="006471D6" w:rsidRPr="00D27055" w:rsidRDefault="006471D6" w:rsidP="00566D26">
            <w:pPr>
              <w:pStyle w:val="TableText0"/>
              <w:keepLines/>
              <w:jc w:val="center"/>
              <w:rPr>
                <w:b/>
                <w:bCs w:val="0"/>
                <w:i/>
                <w:iCs/>
                <w:szCs w:val="20"/>
              </w:rPr>
            </w:pPr>
          </w:p>
        </w:tc>
      </w:tr>
      <w:tr w:rsidR="006471D6" w:rsidRPr="00D27055" w14:paraId="14538D49" w14:textId="77777777" w:rsidTr="00BA3F8A">
        <w:tc>
          <w:tcPr>
            <w:tcW w:w="2110" w:type="pct"/>
            <w:vAlign w:val="center"/>
          </w:tcPr>
          <w:p w14:paraId="6C24F880" w14:textId="77777777" w:rsidR="006471D6" w:rsidRPr="00D27055" w:rsidRDefault="006471D6" w:rsidP="00566D26">
            <w:pPr>
              <w:pStyle w:val="TableText0"/>
              <w:keepLines/>
              <w:ind w:left="110"/>
              <w:rPr>
                <w:szCs w:val="20"/>
              </w:rPr>
            </w:pPr>
            <w:r w:rsidRPr="00D27055">
              <w:rPr>
                <w:szCs w:val="20"/>
              </w:rPr>
              <w:t>Median follow-up, months</w:t>
            </w:r>
          </w:p>
        </w:tc>
        <w:tc>
          <w:tcPr>
            <w:tcW w:w="723" w:type="pct"/>
            <w:vAlign w:val="center"/>
          </w:tcPr>
          <w:p w14:paraId="615E2548" w14:textId="77777777" w:rsidR="006471D6" w:rsidRPr="00D27055" w:rsidRDefault="006471D6" w:rsidP="00566D26">
            <w:pPr>
              <w:pStyle w:val="TableText0"/>
              <w:keepLines/>
              <w:jc w:val="center"/>
              <w:rPr>
                <w:szCs w:val="20"/>
              </w:rPr>
            </w:pPr>
            <w:r w:rsidRPr="00D27055">
              <w:rPr>
                <w:szCs w:val="20"/>
              </w:rPr>
              <w:t>59.9</w:t>
            </w:r>
          </w:p>
        </w:tc>
        <w:tc>
          <w:tcPr>
            <w:tcW w:w="723" w:type="pct"/>
            <w:vAlign w:val="center"/>
          </w:tcPr>
          <w:p w14:paraId="73C932D0" w14:textId="77777777" w:rsidR="006471D6" w:rsidRPr="00D27055" w:rsidRDefault="006471D6" w:rsidP="00566D26">
            <w:pPr>
              <w:pStyle w:val="TableText0"/>
              <w:keepLines/>
              <w:jc w:val="center"/>
              <w:rPr>
                <w:szCs w:val="20"/>
              </w:rPr>
            </w:pPr>
            <w:r w:rsidRPr="00D27055">
              <w:rPr>
                <w:szCs w:val="20"/>
              </w:rPr>
              <w:t>56.2</w:t>
            </w:r>
          </w:p>
        </w:tc>
        <w:tc>
          <w:tcPr>
            <w:tcW w:w="723" w:type="pct"/>
            <w:vAlign w:val="center"/>
          </w:tcPr>
          <w:p w14:paraId="08AF58D7" w14:textId="77777777" w:rsidR="006471D6" w:rsidRPr="00D27055" w:rsidRDefault="006471D6" w:rsidP="00566D26">
            <w:pPr>
              <w:pStyle w:val="TableText0"/>
              <w:keepLines/>
              <w:jc w:val="center"/>
              <w:rPr>
                <w:szCs w:val="20"/>
              </w:rPr>
            </w:pPr>
            <w:r w:rsidRPr="00D27055">
              <w:rPr>
                <w:szCs w:val="20"/>
              </w:rPr>
              <w:t>60.4</w:t>
            </w:r>
          </w:p>
        </w:tc>
        <w:tc>
          <w:tcPr>
            <w:tcW w:w="721" w:type="pct"/>
            <w:vAlign w:val="center"/>
          </w:tcPr>
          <w:p w14:paraId="49EFEC93" w14:textId="77777777" w:rsidR="006471D6" w:rsidRPr="00D27055" w:rsidRDefault="006471D6" w:rsidP="00566D26">
            <w:pPr>
              <w:pStyle w:val="TableText0"/>
              <w:keepLines/>
              <w:jc w:val="center"/>
              <w:rPr>
                <w:szCs w:val="20"/>
              </w:rPr>
            </w:pPr>
            <w:r w:rsidRPr="00D27055">
              <w:rPr>
                <w:szCs w:val="20"/>
              </w:rPr>
              <w:t>59.4</w:t>
            </w:r>
          </w:p>
        </w:tc>
      </w:tr>
      <w:tr w:rsidR="006471D6" w:rsidRPr="00D27055" w14:paraId="48B1E27A" w14:textId="77777777" w:rsidTr="00BA3F8A">
        <w:tc>
          <w:tcPr>
            <w:tcW w:w="2110" w:type="pct"/>
            <w:vAlign w:val="center"/>
          </w:tcPr>
          <w:p w14:paraId="645FE0BD" w14:textId="77777777" w:rsidR="006471D6" w:rsidRPr="00D27055" w:rsidRDefault="006471D6" w:rsidP="00566D26">
            <w:pPr>
              <w:pStyle w:val="TableText0"/>
              <w:keepLines/>
              <w:rPr>
                <w:b/>
                <w:bCs w:val="0"/>
                <w:szCs w:val="20"/>
              </w:rPr>
            </w:pPr>
            <w:r w:rsidRPr="00D27055">
              <w:rPr>
                <w:b/>
                <w:bCs w:val="0"/>
                <w:szCs w:val="20"/>
              </w:rPr>
              <w:t>OS</w:t>
            </w:r>
          </w:p>
        </w:tc>
        <w:tc>
          <w:tcPr>
            <w:tcW w:w="723" w:type="pct"/>
            <w:vAlign w:val="center"/>
          </w:tcPr>
          <w:p w14:paraId="4D3DADD7" w14:textId="77777777" w:rsidR="006471D6" w:rsidRPr="00D27055" w:rsidRDefault="006471D6" w:rsidP="00566D26">
            <w:pPr>
              <w:pStyle w:val="TableText0"/>
              <w:keepLines/>
              <w:jc w:val="center"/>
              <w:rPr>
                <w:szCs w:val="20"/>
              </w:rPr>
            </w:pPr>
          </w:p>
        </w:tc>
        <w:tc>
          <w:tcPr>
            <w:tcW w:w="723" w:type="pct"/>
            <w:vAlign w:val="center"/>
          </w:tcPr>
          <w:p w14:paraId="5243029F" w14:textId="77777777" w:rsidR="006471D6" w:rsidRPr="00D27055" w:rsidRDefault="006471D6" w:rsidP="00566D26">
            <w:pPr>
              <w:pStyle w:val="TableText0"/>
              <w:keepLines/>
              <w:jc w:val="center"/>
              <w:rPr>
                <w:szCs w:val="20"/>
              </w:rPr>
            </w:pPr>
          </w:p>
        </w:tc>
        <w:tc>
          <w:tcPr>
            <w:tcW w:w="723" w:type="pct"/>
            <w:vAlign w:val="center"/>
          </w:tcPr>
          <w:p w14:paraId="6FC86EB7" w14:textId="77777777" w:rsidR="006471D6" w:rsidRPr="00D27055" w:rsidRDefault="006471D6" w:rsidP="00566D26">
            <w:pPr>
              <w:pStyle w:val="TableText0"/>
              <w:keepLines/>
              <w:jc w:val="center"/>
              <w:rPr>
                <w:szCs w:val="20"/>
              </w:rPr>
            </w:pPr>
          </w:p>
        </w:tc>
        <w:tc>
          <w:tcPr>
            <w:tcW w:w="721" w:type="pct"/>
            <w:vAlign w:val="center"/>
          </w:tcPr>
          <w:p w14:paraId="774C6454" w14:textId="77777777" w:rsidR="006471D6" w:rsidRPr="00D27055" w:rsidRDefault="006471D6" w:rsidP="00566D26">
            <w:pPr>
              <w:pStyle w:val="TableText0"/>
              <w:keepLines/>
              <w:jc w:val="center"/>
              <w:rPr>
                <w:szCs w:val="20"/>
              </w:rPr>
            </w:pPr>
          </w:p>
        </w:tc>
      </w:tr>
      <w:tr w:rsidR="006471D6" w:rsidRPr="00D27055" w14:paraId="4AFC2621" w14:textId="77777777" w:rsidTr="00BA3F8A">
        <w:tc>
          <w:tcPr>
            <w:tcW w:w="2110" w:type="pct"/>
            <w:tcBorders>
              <w:bottom w:val="single" w:sz="4" w:space="0" w:color="auto"/>
            </w:tcBorders>
            <w:vAlign w:val="center"/>
          </w:tcPr>
          <w:p w14:paraId="6B4A34D0" w14:textId="77777777" w:rsidR="006471D6" w:rsidRPr="00D27055" w:rsidRDefault="006471D6" w:rsidP="00566D26">
            <w:pPr>
              <w:pStyle w:val="TableText0"/>
              <w:keepLines/>
              <w:ind w:left="110"/>
              <w:rPr>
                <w:szCs w:val="20"/>
              </w:rPr>
            </w:pPr>
            <w:r w:rsidRPr="00D27055">
              <w:rPr>
                <w:szCs w:val="20"/>
              </w:rPr>
              <w:t>Number of events, n / N (%)</w:t>
            </w:r>
          </w:p>
        </w:tc>
        <w:tc>
          <w:tcPr>
            <w:tcW w:w="723" w:type="pct"/>
            <w:tcBorders>
              <w:bottom w:val="single" w:sz="4" w:space="0" w:color="auto"/>
            </w:tcBorders>
            <w:vAlign w:val="center"/>
          </w:tcPr>
          <w:p w14:paraId="18D90F3E" w14:textId="77777777" w:rsidR="006471D6" w:rsidRPr="00D27055" w:rsidRDefault="006471D6" w:rsidP="00566D26">
            <w:pPr>
              <w:pStyle w:val="TableText0"/>
              <w:keepLines/>
              <w:jc w:val="center"/>
              <w:rPr>
                <w:szCs w:val="20"/>
              </w:rPr>
            </w:pPr>
            <w:r w:rsidRPr="00D27055">
              <w:rPr>
                <w:szCs w:val="20"/>
              </w:rPr>
              <w:t>35/233 (15.0)</w:t>
            </w:r>
          </w:p>
        </w:tc>
        <w:tc>
          <w:tcPr>
            <w:tcW w:w="723" w:type="pct"/>
            <w:tcBorders>
              <w:bottom w:val="single" w:sz="4" w:space="0" w:color="auto"/>
            </w:tcBorders>
            <w:vAlign w:val="center"/>
          </w:tcPr>
          <w:p w14:paraId="5A2A84C7" w14:textId="77777777" w:rsidR="006471D6" w:rsidRPr="00D27055" w:rsidRDefault="006471D6" w:rsidP="00566D26">
            <w:pPr>
              <w:pStyle w:val="TableText0"/>
              <w:keepLines/>
              <w:jc w:val="center"/>
              <w:rPr>
                <w:szCs w:val="20"/>
              </w:rPr>
            </w:pPr>
            <w:r w:rsidRPr="00D27055">
              <w:rPr>
                <w:szCs w:val="20"/>
              </w:rPr>
              <w:t>65/237 (27.4)</w:t>
            </w:r>
          </w:p>
        </w:tc>
        <w:tc>
          <w:tcPr>
            <w:tcW w:w="723" w:type="pct"/>
            <w:tcBorders>
              <w:bottom w:val="single" w:sz="4" w:space="0" w:color="auto"/>
            </w:tcBorders>
            <w:vAlign w:val="center"/>
          </w:tcPr>
          <w:p w14:paraId="2C34BC88" w14:textId="77777777" w:rsidR="006471D6" w:rsidRPr="00D27055" w:rsidRDefault="006471D6" w:rsidP="00566D26">
            <w:pPr>
              <w:pStyle w:val="TableText0"/>
              <w:keepLines/>
              <w:jc w:val="center"/>
              <w:rPr>
                <w:szCs w:val="20"/>
              </w:rPr>
            </w:pPr>
            <w:r w:rsidRPr="00D27055">
              <w:rPr>
                <w:szCs w:val="20"/>
              </w:rPr>
              <w:t>42/339 (12.4)</w:t>
            </w:r>
          </w:p>
        </w:tc>
        <w:tc>
          <w:tcPr>
            <w:tcW w:w="721" w:type="pct"/>
            <w:tcBorders>
              <w:bottom w:val="single" w:sz="4" w:space="0" w:color="auto"/>
            </w:tcBorders>
            <w:vAlign w:val="center"/>
          </w:tcPr>
          <w:p w14:paraId="7E317901" w14:textId="77777777" w:rsidR="006471D6" w:rsidRPr="00D27055" w:rsidRDefault="006471D6" w:rsidP="00566D26">
            <w:pPr>
              <w:pStyle w:val="TableText0"/>
              <w:keepLines/>
              <w:jc w:val="center"/>
              <w:rPr>
                <w:szCs w:val="20"/>
              </w:rPr>
            </w:pPr>
            <w:r w:rsidRPr="00D27055">
              <w:rPr>
                <w:szCs w:val="20"/>
              </w:rPr>
              <w:t>82/343 (23.9)</w:t>
            </w:r>
          </w:p>
        </w:tc>
      </w:tr>
      <w:tr w:rsidR="006471D6" w:rsidRPr="00D27055" w14:paraId="6BE0C913" w14:textId="77777777" w:rsidTr="00BA3F8A">
        <w:tc>
          <w:tcPr>
            <w:tcW w:w="2110" w:type="pct"/>
            <w:vAlign w:val="center"/>
          </w:tcPr>
          <w:p w14:paraId="464FA91D" w14:textId="77777777" w:rsidR="006471D6" w:rsidRPr="00D27055" w:rsidRDefault="006471D6" w:rsidP="00566D26">
            <w:pPr>
              <w:pStyle w:val="TableText0"/>
              <w:keepLines/>
              <w:ind w:left="110"/>
              <w:rPr>
                <w:szCs w:val="20"/>
              </w:rPr>
            </w:pPr>
            <w:r w:rsidRPr="00D27055">
              <w:rPr>
                <w:szCs w:val="20"/>
              </w:rPr>
              <w:t>Median OS, months (95% CI)</w:t>
            </w:r>
          </w:p>
        </w:tc>
        <w:tc>
          <w:tcPr>
            <w:tcW w:w="723" w:type="pct"/>
            <w:vAlign w:val="center"/>
          </w:tcPr>
          <w:p w14:paraId="7917914D" w14:textId="77777777" w:rsidR="006471D6" w:rsidRPr="00D27055" w:rsidRDefault="006471D6" w:rsidP="00566D26">
            <w:pPr>
              <w:pStyle w:val="TableText0"/>
              <w:keepLines/>
              <w:jc w:val="center"/>
              <w:rPr>
                <w:szCs w:val="20"/>
              </w:rPr>
            </w:pPr>
            <w:r w:rsidRPr="00D27055">
              <w:rPr>
                <w:szCs w:val="20"/>
              </w:rPr>
              <w:t>NC (NC, NC)</w:t>
            </w:r>
          </w:p>
        </w:tc>
        <w:tc>
          <w:tcPr>
            <w:tcW w:w="723" w:type="pct"/>
            <w:vAlign w:val="center"/>
          </w:tcPr>
          <w:p w14:paraId="182E3A06" w14:textId="77777777" w:rsidR="006471D6" w:rsidRPr="00D27055" w:rsidRDefault="006471D6" w:rsidP="00566D26">
            <w:pPr>
              <w:pStyle w:val="TableText0"/>
              <w:keepLines/>
              <w:jc w:val="center"/>
              <w:rPr>
                <w:szCs w:val="20"/>
              </w:rPr>
            </w:pPr>
            <w:r w:rsidRPr="00D27055">
              <w:rPr>
                <w:szCs w:val="20"/>
              </w:rPr>
              <w:t>NC (NC, NC)</w:t>
            </w:r>
          </w:p>
        </w:tc>
        <w:tc>
          <w:tcPr>
            <w:tcW w:w="723" w:type="pct"/>
            <w:vAlign w:val="center"/>
          </w:tcPr>
          <w:p w14:paraId="4074C62E" w14:textId="77777777" w:rsidR="006471D6" w:rsidRPr="00D27055" w:rsidRDefault="006471D6" w:rsidP="00566D26">
            <w:pPr>
              <w:pStyle w:val="TableText0"/>
              <w:keepLines/>
              <w:jc w:val="center"/>
              <w:rPr>
                <w:szCs w:val="20"/>
              </w:rPr>
            </w:pPr>
            <w:r w:rsidRPr="00D27055">
              <w:rPr>
                <w:szCs w:val="20"/>
              </w:rPr>
              <w:t>NC (NC, NC)</w:t>
            </w:r>
          </w:p>
        </w:tc>
        <w:tc>
          <w:tcPr>
            <w:tcW w:w="721" w:type="pct"/>
            <w:vAlign w:val="center"/>
          </w:tcPr>
          <w:p w14:paraId="5AE3AFEC" w14:textId="77777777" w:rsidR="006471D6" w:rsidRPr="00D27055" w:rsidRDefault="006471D6" w:rsidP="00566D26">
            <w:pPr>
              <w:pStyle w:val="TableText0"/>
              <w:keepLines/>
              <w:jc w:val="center"/>
              <w:rPr>
                <w:szCs w:val="20"/>
              </w:rPr>
            </w:pPr>
            <w:r w:rsidRPr="00D27055">
              <w:rPr>
                <w:szCs w:val="20"/>
              </w:rPr>
              <w:t>NC (NC, NC)</w:t>
            </w:r>
          </w:p>
        </w:tc>
      </w:tr>
      <w:tr w:rsidR="006471D6" w:rsidRPr="00D27055" w14:paraId="6036D61C" w14:textId="77777777" w:rsidTr="00BA3F8A">
        <w:tc>
          <w:tcPr>
            <w:tcW w:w="2110" w:type="pct"/>
            <w:vAlign w:val="center"/>
          </w:tcPr>
          <w:p w14:paraId="298EBDAA" w14:textId="77777777" w:rsidR="006471D6" w:rsidRPr="00D27055" w:rsidRDefault="006471D6" w:rsidP="00566D26">
            <w:pPr>
              <w:pStyle w:val="TableText0"/>
              <w:keepLines/>
              <w:ind w:left="110"/>
              <w:rPr>
                <w:szCs w:val="20"/>
              </w:rPr>
            </w:pPr>
            <w:r w:rsidRPr="00D27055">
              <w:rPr>
                <w:szCs w:val="20"/>
              </w:rPr>
              <w:t>Osimertinib vs placebo, HR (95%CI)</w:t>
            </w:r>
          </w:p>
        </w:tc>
        <w:tc>
          <w:tcPr>
            <w:tcW w:w="1446" w:type="pct"/>
            <w:gridSpan w:val="2"/>
            <w:vAlign w:val="center"/>
          </w:tcPr>
          <w:p w14:paraId="640EDBA0" w14:textId="77777777" w:rsidR="006471D6" w:rsidRPr="00D27055" w:rsidRDefault="006471D6" w:rsidP="00566D26">
            <w:pPr>
              <w:pStyle w:val="TableText0"/>
              <w:keepLines/>
              <w:jc w:val="center"/>
              <w:rPr>
                <w:szCs w:val="20"/>
              </w:rPr>
            </w:pPr>
            <w:r w:rsidRPr="00D27055">
              <w:rPr>
                <w:b/>
                <w:szCs w:val="20"/>
              </w:rPr>
              <w:t>0.49 (0.33, 0.73); p = 0.0004</w:t>
            </w:r>
          </w:p>
        </w:tc>
        <w:tc>
          <w:tcPr>
            <w:tcW w:w="1444" w:type="pct"/>
            <w:gridSpan w:val="2"/>
            <w:vAlign w:val="center"/>
          </w:tcPr>
          <w:p w14:paraId="290C8429" w14:textId="77777777" w:rsidR="006471D6" w:rsidRPr="00D27055" w:rsidRDefault="006471D6" w:rsidP="00566D26">
            <w:pPr>
              <w:pStyle w:val="TableText0"/>
              <w:keepLines/>
              <w:jc w:val="center"/>
              <w:rPr>
                <w:szCs w:val="20"/>
              </w:rPr>
            </w:pPr>
            <w:r w:rsidRPr="00D27055">
              <w:rPr>
                <w:b/>
                <w:szCs w:val="20"/>
              </w:rPr>
              <w:t>0.49 (0.34, 0.70); p &lt; 0.0001</w:t>
            </w:r>
          </w:p>
        </w:tc>
      </w:tr>
      <w:tr w:rsidR="006471D6" w:rsidRPr="00D27055" w14:paraId="2B5FEC40" w14:textId="77777777" w:rsidTr="00BA3F8A">
        <w:tc>
          <w:tcPr>
            <w:tcW w:w="5000" w:type="pct"/>
            <w:gridSpan w:val="5"/>
            <w:vAlign w:val="center"/>
          </w:tcPr>
          <w:p w14:paraId="32C0D95F" w14:textId="77777777" w:rsidR="006471D6" w:rsidRPr="00D27055" w:rsidRDefault="006471D6" w:rsidP="00566D26">
            <w:pPr>
              <w:pStyle w:val="TableText0"/>
              <w:keepLines/>
              <w:rPr>
                <w:szCs w:val="20"/>
              </w:rPr>
            </w:pPr>
            <w:r w:rsidRPr="00D27055">
              <w:rPr>
                <w:b/>
                <w:bCs w:val="0"/>
                <w:szCs w:val="20"/>
              </w:rPr>
              <w:t>TFST^</w:t>
            </w:r>
          </w:p>
        </w:tc>
      </w:tr>
      <w:tr w:rsidR="006471D6" w:rsidRPr="00D27055" w14:paraId="1A2805D6" w14:textId="77777777" w:rsidTr="00BA3F8A">
        <w:tc>
          <w:tcPr>
            <w:tcW w:w="2110" w:type="pct"/>
            <w:vAlign w:val="center"/>
          </w:tcPr>
          <w:p w14:paraId="19F72BD1" w14:textId="77777777" w:rsidR="006471D6" w:rsidRPr="00D27055" w:rsidRDefault="006471D6" w:rsidP="00566D26">
            <w:pPr>
              <w:pStyle w:val="TableText0"/>
              <w:keepLines/>
              <w:ind w:left="110"/>
              <w:rPr>
                <w:szCs w:val="20"/>
              </w:rPr>
            </w:pPr>
            <w:r w:rsidRPr="00D27055">
              <w:rPr>
                <w:szCs w:val="20"/>
              </w:rPr>
              <w:t>Number of events, n / N (%)</w:t>
            </w:r>
          </w:p>
        </w:tc>
        <w:tc>
          <w:tcPr>
            <w:tcW w:w="723" w:type="pct"/>
            <w:vAlign w:val="center"/>
          </w:tcPr>
          <w:p w14:paraId="3A58BF3A" w14:textId="77777777" w:rsidR="006471D6" w:rsidRPr="00D27055" w:rsidRDefault="006471D6" w:rsidP="00566D26">
            <w:pPr>
              <w:pStyle w:val="TableText0"/>
              <w:keepLines/>
              <w:jc w:val="center"/>
              <w:rPr>
                <w:szCs w:val="20"/>
              </w:rPr>
            </w:pPr>
            <w:r w:rsidRPr="00D27055">
              <w:rPr>
                <w:szCs w:val="20"/>
              </w:rPr>
              <w:t>NR</w:t>
            </w:r>
          </w:p>
        </w:tc>
        <w:tc>
          <w:tcPr>
            <w:tcW w:w="723" w:type="pct"/>
            <w:vAlign w:val="center"/>
          </w:tcPr>
          <w:p w14:paraId="79ACE6CA" w14:textId="77777777" w:rsidR="006471D6" w:rsidRPr="00D27055" w:rsidRDefault="006471D6" w:rsidP="00566D26">
            <w:pPr>
              <w:pStyle w:val="TableText0"/>
              <w:keepLines/>
              <w:jc w:val="center"/>
              <w:rPr>
                <w:szCs w:val="20"/>
              </w:rPr>
            </w:pPr>
            <w:r w:rsidRPr="00D27055">
              <w:rPr>
                <w:szCs w:val="20"/>
              </w:rPr>
              <w:t>NR</w:t>
            </w:r>
          </w:p>
        </w:tc>
        <w:tc>
          <w:tcPr>
            <w:tcW w:w="723" w:type="pct"/>
            <w:vAlign w:val="center"/>
          </w:tcPr>
          <w:p w14:paraId="791EC199" w14:textId="77777777" w:rsidR="006471D6" w:rsidRPr="00D27055" w:rsidRDefault="006471D6" w:rsidP="00566D26">
            <w:pPr>
              <w:pStyle w:val="TableText0"/>
              <w:keepLines/>
              <w:jc w:val="center"/>
              <w:rPr>
                <w:szCs w:val="20"/>
              </w:rPr>
            </w:pPr>
            <w:r w:rsidRPr="00D27055">
              <w:rPr>
                <w:szCs w:val="20"/>
              </w:rPr>
              <w:t>88/339 (26.0)</w:t>
            </w:r>
          </w:p>
        </w:tc>
        <w:tc>
          <w:tcPr>
            <w:tcW w:w="721" w:type="pct"/>
            <w:vAlign w:val="center"/>
          </w:tcPr>
          <w:p w14:paraId="2BF61247" w14:textId="77777777" w:rsidR="006471D6" w:rsidRPr="00D27055" w:rsidRDefault="006471D6" w:rsidP="00566D26">
            <w:pPr>
              <w:pStyle w:val="TableText0"/>
              <w:keepLines/>
              <w:jc w:val="center"/>
              <w:rPr>
                <w:szCs w:val="20"/>
              </w:rPr>
            </w:pPr>
            <w:r w:rsidRPr="00D27055">
              <w:rPr>
                <w:szCs w:val="20"/>
              </w:rPr>
              <w:t>198 343 (57.7)</w:t>
            </w:r>
          </w:p>
        </w:tc>
      </w:tr>
      <w:tr w:rsidR="006471D6" w:rsidRPr="00D27055" w14:paraId="45276382" w14:textId="77777777" w:rsidTr="00BA3F8A">
        <w:tc>
          <w:tcPr>
            <w:tcW w:w="2110" w:type="pct"/>
            <w:vAlign w:val="center"/>
          </w:tcPr>
          <w:p w14:paraId="0C74A6A1" w14:textId="77777777" w:rsidR="006471D6" w:rsidRPr="00D27055" w:rsidRDefault="006471D6" w:rsidP="00566D26">
            <w:pPr>
              <w:pStyle w:val="TableText0"/>
              <w:keepLines/>
              <w:ind w:left="110"/>
              <w:rPr>
                <w:szCs w:val="20"/>
              </w:rPr>
            </w:pPr>
            <w:r w:rsidRPr="00D27055">
              <w:rPr>
                <w:szCs w:val="20"/>
              </w:rPr>
              <w:t>Median TFST, months (95% CI)</w:t>
            </w:r>
          </w:p>
        </w:tc>
        <w:tc>
          <w:tcPr>
            <w:tcW w:w="723" w:type="pct"/>
            <w:vAlign w:val="center"/>
          </w:tcPr>
          <w:p w14:paraId="722937B1" w14:textId="77777777" w:rsidR="006471D6" w:rsidRPr="00D27055" w:rsidRDefault="006471D6" w:rsidP="00566D26">
            <w:pPr>
              <w:pStyle w:val="TableText0"/>
              <w:keepLines/>
              <w:jc w:val="center"/>
              <w:rPr>
                <w:szCs w:val="20"/>
              </w:rPr>
            </w:pPr>
            <w:r w:rsidRPr="00D27055">
              <w:rPr>
                <w:szCs w:val="20"/>
              </w:rPr>
              <w:t>NR</w:t>
            </w:r>
          </w:p>
        </w:tc>
        <w:tc>
          <w:tcPr>
            <w:tcW w:w="723" w:type="pct"/>
            <w:vAlign w:val="center"/>
          </w:tcPr>
          <w:p w14:paraId="324A6CE6" w14:textId="77777777" w:rsidR="006471D6" w:rsidRPr="00D27055" w:rsidRDefault="006471D6" w:rsidP="00566D26">
            <w:pPr>
              <w:pStyle w:val="TableText0"/>
              <w:keepLines/>
              <w:jc w:val="center"/>
              <w:rPr>
                <w:szCs w:val="20"/>
              </w:rPr>
            </w:pPr>
            <w:r w:rsidRPr="00D27055">
              <w:rPr>
                <w:szCs w:val="20"/>
              </w:rPr>
              <w:t>NR</w:t>
            </w:r>
          </w:p>
        </w:tc>
        <w:tc>
          <w:tcPr>
            <w:tcW w:w="723" w:type="pct"/>
            <w:vAlign w:val="center"/>
          </w:tcPr>
          <w:p w14:paraId="6C408719" w14:textId="77777777" w:rsidR="006471D6" w:rsidRPr="00D27055" w:rsidRDefault="006471D6" w:rsidP="00566D26">
            <w:pPr>
              <w:pStyle w:val="TableText0"/>
              <w:keepLines/>
              <w:jc w:val="center"/>
              <w:rPr>
                <w:szCs w:val="20"/>
              </w:rPr>
            </w:pPr>
            <w:r w:rsidRPr="00D27055">
              <w:rPr>
                <w:szCs w:val="20"/>
              </w:rPr>
              <w:t>NC (NC, NC)</w:t>
            </w:r>
          </w:p>
        </w:tc>
        <w:tc>
          <w:tcPr>
            <w:tcW w:w="721" w:type="pct"/>
            <w:vAlign w:val="center"/>
          </w:tcPr>
          <w:p w14:paraId="028BB83B" w14:textId="77777777" w:rsidR="006471D6" w:rsidRPr="00D27055" w:rsidRDefault="006471D6" w:rsidP="00566D26">
            <w:pPr>
              <w:pStyle w:val="TableText0"/>
              <w:keepLines/>
              <w:jc w:val="center"/>
              <w:rPr>
                <w:szCs w:val="20"/>
              </w:rPr>
            </w:pPr>
            <w:r w:rsidRPr="00D27055">
              <w:rPr>
                <w:szCs w:val="20"/>
              </w:rPr>
              <w:t>35.4 (29.0, 45.1)</w:t>
            </w:r>
          </w:p>
        </w:tc>
      </w:tr>
      <w:tr w:rsidR="006471D6" w:rsidRPr="00D27055" w14:paraId="0B5F8550" w14:textId="77777777" w:rsidTr="00BA3F8A">
        <w:tc>
          <w:tcPr>
            <w:tcW w:w="2110" w:type="pct"/>
            <w:vAlign w:val="center"/>
          </w:tcPr>
          <w:p w14:paraId="1321554A" w14:textId="77777777" w:rsidR="006471D6" w:rsidRPr="00D27055" w:rsidRDefault="006471D6" w:rsidP="00566D26">
            <w:pPr>
              <w:pStyle w:val="TableText0"/>
              <w:keepLines/>
              <w:ind w:left="110"/>
              <w:rPr>
                <w:szCs w:val="20"/>
              </w:rPr>
            </w:pPr>
            <w:r w:rsidRPr="00D27055">
              <w:rPr>
                <w:szCs w:val="20"/>
              </w:rPr>
              <w:t>Osimertinib vs placebo, HR (95% CI)</w:t>
            </w:r>
          </w:p>
        </w:tc>
        <w:tc>
          <w:tcPr>
            <w:tcW w:w="1446" w:type="pct"/>
            <w:gridSpan w:val="2"/>
            <w:vAlign w:val="center"/>
          </w:tcPr>
          <w:p w14:paraId="00D1A0F3" w14:textId="77777777" w:rsidR="006471D6" w:rsidRPr="00D27055" w:rsidRDefault="006471D6" w:rsidP="00566D26">
            <w:pPr>
              <w:pStyle w:val="TableText0"/>
              <w:keepLines/>
              <w:jc w:val="center"/>
              <w:rPr>
                <w:bCs w:val="0"/>
                <w:szCs w:val="20"/>
              </w:rPr>
            </w:pPr>
            <w:r w:rsidRPr="00D27055">
              <w:rPr>
                <w:bCs w:val="0"/>
                <w:szCs w:val="20"/>
              </w:rPr>
              <w:t>NR</w:t>
            </w:r>
          </w:p>
        </w:tc>
        <w:tc>
          <w:tcPr>
            <w:tcW w:w="1444" w:type="pct"/>
            <w:gridSpan w:val="2"/>
            <w:vAlign w:val="center"/>
          </w:tcPr>
          <w:p w14:paraId="05182C13" w14:textId="77777777" w:rsidR="006471D6" w:rsidRPr="00D27055" w:rsidRDefault="006471D6" w:rsidP="00566D26">
            <w:pPr>
              <w:pStyle w:val="TableText0"/>
              <w:keepLines/>
              <w:jc w:val="center"/>
              <w:rPr>
                <w:b/>
                <w:szCs w:val="20"/>
              </w:rPr>
            </w:pPr>
            <w:r w:rsidRPr="00D27055">
              <w:rPr>
                <w:b/>
                <w:szCs w:val="20"/>
              </w:rPr>
              <w:t>0.28 (0.22, 0.36); p &lt; 0.0001</w:t>
            </w:r>
          </w:p>
        </w:tc>
      </w:tr>
      <w:tr w:rsidR="006471D6" w:rsidRPr="00D27055" w14:paraId="495756AE" w14:textId="77777777" w:rsidTr="00BA3F8A">
        <w:tc>
          <w:tcPr>
            <w:tcW w:w="5000" w:type="pct"/>
            <w:gridSpan w:val="5"/>
            <w:shd w:val="clear" w:color="auto" w:fill="D9D9D9" w:themeFill="background1" w:themeFillShade="D9"/>
            <w:vAlign w:val="center"/>
          </w:tcPr>
          <w:p w14:paraId="6A89F3B5" w14:textId="77777777" w:rsidR="006471D6" w:rsidRPr="00D27055" w:rsidRDefault="006471D6" w:rsidP="00566D26">
            <w:pPr>
              <w:pStyle w:val="TableText0"/>
              <w:keepLines/>
              <w:rPr>
                <w:i/>
                <w:iCs/>
                <w:szCs w:val="20"/>
              </w:rPr>
            </w:pPr>
            <w:r w:rsidRPr="00D27055">
              <w:rPr>
                <w:b/>
                <w:bCs w:val="0"/>
                <w:i/>
                <w:iCs/>
                <w:szCs w:val="20"/>
              </w:rPr>
              <w:t>DCO2 (11 April 2022)</w:t>
            </w:r>
          </w:p>
        </w:tc>
      </w:tr>
      <w:tr w:rsidR="006471D6" w:rsidRPr="00D27055" w14:paraId="7109A557" w14:textId="77777777" w:rsidTr="00BA3F8A">
        <w:tc>
          <w:tcPr>
            <w:tcW w:w="2110" w:type="pct"/>
            <w:vAlign w:val="center"/>
          </w:tcPr>
          <w:p w14:paraId="36A51ACB" w14:textId="77777777" w:rsidR="006471D6" w:rsidRPr="00D27055" w:rsidRDefault="006471D6" w:rsidP="00566D26">
            <w:pPr>
              <w:pStyle w:val="TableText0"/>
              <w:keepLines/>
              <w:ind w:left="110"/>
              <w:rPr>
                <w:szCs w:val="20"/>
              </w:rPr>
            </w:pPr>
            <w:r w:rsidRPr="00D27055">
              <w:rPr>
                <w:szCs w:val="20"/>
              </w:rPr>
              <w:t>Median follow-up, months</w:t>
            </w:r>
          </w:p>
        </w:tc>
        <w:tc>
          <w:tcPr>
            <w:tcW w:w="723" w:type="pct"/>
            <w:vAlign w:val="center"/>
          </w:tcPr>
          <w:p w14:paraId="77019F75" w14:textId="77777777" w:rsidR="006471D6" w:rsidRPr="00D27055" w:rsidRDefault="006471D6" w:rsidP="00566D26">
            <w:pPr>
              <w:pStyle w:val="TableText0"/>
              <w:keepLines/>
              <w:jc w:val="center"/>
              <w:rPr>
                <w:szCs w:val="20"/>
              </w:rPr>
            </w:pPr>
            <w:r w:rsidRPr="00D27055">
              <w:rPr>
                <w:szCs w:val="20"/>
              </w:rPr>
              <w:t>44.2</w:t>
            </w:r>
          </w:p>
        </w:tc>
        <w:tc>
          <w:tcPr>
            <w:tcW w:w="723" w:type="pct"/>
            <w:vAlign w:val="center"/>
          </w:tcPr>
          <w:p w14:paraId="144F30CF" w14:textId="77777777" w:rsidR="006471D6" w:rsidRPr="00D27055" w:rsidRDefault="006471D6" w:rsidP="00566D26">
            <w:pPr>
              <w:pStyle w:val="TableText0"/>
              <w:keepLines/>
              <w:jc w:val="center"/>
              <w:rPr>
                <w:szCs w:val="20"/>
              </w:rPr>
            </w:pPr>
            <w:r w:rsidRPr="00D27055">
              <w:rPr>
                <w:szCs w:val="20"/>
              </w:rPr>
              <w:t>19.6</w:t>
            </w:r>
          </w:p>
        </w:tc>
        <w:tc>
          <w:tcPr>
            <w:tcW w:w="723" w:type="pct"/>
            <w:vAlign w:val="center"/>
          </w:tcPr>
          <w:p w14:paraId="3D103EDB" w14:textId="77777777" w:rsidR="006471D6" w:rsidRPr="00D27055" w:rsidRDefault="006471D6" w:rsidP="00566D26">
            <w:pPr>
              <w:pStyle w:val="TableText0"/>
              <w:keepLines/>
              <w:jc w:val="center"/>
              <w:rPr>
                <w:szCs w:val="20"/>
              </w:rPr>
            </w:pPr>
            <w:r w:rsidRPr="00D27055">
              <w:rPr>
                <w:szCs w:val="20"/>
              </w:rPr>
              <w:t>44.2</w:t>
            </w:r>
          </w:p>
        </w:tc>
        <w:tc>
          <w:tcPr>
            <w:tcW w:w="721" w:type="pct"/>
            <w:vAlign w:val="center"/>
          </w:tcPr>
          <w:p w14:paraId="3348203D" w14:textId="77777777" w:rsidR="006471D6" w:rsidRPr="00D27055" w:rsidRDefault="006471D6" w:rsidP="00566D26">
            <w:pPr>
              <w:pStyle w:val="TableText0"/>
              <w:keepLines/>
              <w:jc w:val="center"/>
              <w:rPr>
                <w:szCs w:val="20"/>
              </w:rPr>
            </w:pPr>
            <w:r w:rsidRPr="00D27055">
              <w:rPr>
                <w:szCs w:val="20"/>
              </w:rPr>
              <w:t>27.7</w:t>
            </w:r>
          </w:p>
        </w:tc>
      </w:tr>
      <w:tr w:rsidR="006471D6" w:rsidRPr="00D27055" w14:paraId="48FC2429" w14:textId="77777777" w:rsidTr="00BA3F8A">
        <w:tc>
          <w:tcPr>
            <w:tcW w:w="5000" w:type="pct"/>
            <w:gridSpan w:val="5"/>
            <w:vAlign w:val="center"/>
          </w:tcPr>
          <w:p w14:paraId="1A18EB00" w14:textId="77777777" w:rsidR="006471D6" w:rsidRPr="00D27055" w:rsidRDefault="006471D6" w:rsidP="00566D26">
            <w:pPr>
              <w:pStyle w:val="TableText0"/>
              <w:keepLines/>
              <w:rPr>
                <w:b/>
                <w:szCs w:val="20"/>
              </w:rPr>
            </w:pPr>
            <w:r w:rsidRPr="00D27055">
              <w:rPr>
                <w:b/>
                <w:szCs w:val="20"/>
              </w:rPr>
              <w:t>DFS -primary trial outcome</w:t>
            </w:r>
          </w:p>
        </w:tc>
      </w:tr>
      <w:tr w:rsidR="006471D6" w:rsidRPr="00D27055" w14:paraId="63F71A9C" w14:textId="77777777" w:rsidTr="00BA3F8A">
        <w:tc>
          <w:tcPr>
            <w:tcW w:w="2110" w:type="pct"/>
            <w:vAlign w:val="center"/>
          </w:tcPr>
          <w:p w14:paraId="0C04057A" w14:textId="77777777" w:rsidR="006471D6" w:rsidRPr="00D27055" w:rsidRDefault="006471D6" w:rsidP="00566D26">
            <w:pPr>
              <w:pStyle w:val="TableText0"/>
              <w:keepLines/>
              <w:ind w:left="110"/>
              <w:rPr>
                <w:szCs w:val="20"/>
              </w:rPr>
            </w:pPr>
            <w:r w:rsidRPr="00D27055">
              <w:rPr>
                <w:szCs w:val="20"/>
              </w:rPr>
              <w:t>Number of events, n/N (%)</w:t>
            </w:r>
          </w:p>
        </w:tc>
        <w:tc>
          <w:tcPr>
            <w:tcW w:w="723" w:type="pct"/>
            <w:vAlign w:val="center"/>
          </w:tcPr>
          <w:p w14:paraId="1152BEDD" w14:textId="77777777" w:rsidR="006471D6" w:rsidRPr="00D27055" w:rsidRDefault="006471D6" w:rsidP="00566D26">
            <w:pPr>
              <w:pStyle w:val="TableText0"/>
              <w:keepLines/>
              <w:jc w:val="center"/>
              <w:rPr>
                <w:szCs w:val="20"/>
              </w:rPr>
            </w:pPr>
            <w:r w:rsidRPr="00D27055">
              <w:rPr>
                <w:szCs w:val="20"/>
                <w:lang w:eastAsia="en-US"/>
              </w:rPr>
              <w:t>75/233 (32.2)</w:t>
            </w:r>
          </w:p>
        </w:tc>
        <w:tc>
          <w:tcPr>
            <w:tcW w:w="723" w:type="pct"/>
            <w:vAlign w:val="center"/>
          </w:tcPr>
          <w:p w14:paraId="2E70D7D6" w14:textId="77777777" w:rsidR="006471D6" w:rsidRPr="00D27055" w:rsidRDefault="006471D6" w:rsidP="00566D26">
            <w:pPr>
              <w:pStyle w:val="TableText0"/>
              <w:keepLines/>
              <w:jc w:val="center"/>
              <w:rPr>
                <w:szCs w:val="20"/>
              </w:rPr>
            </w:pPr>
            <w:r w:rsidRPr="00D27055">
              <w:rPr>
                <w:szCs w:val="20"/>
                <w:lang w:eastAsia="en-US"/>
              </w:rPr>
              <w:t>167/237 (70.5)</w:t>
            </w:r>
          </w:p>
        </w:tc>
        <w:tc>
          <w:tcPr>
            <w:tcW w:w="723" w:type="pct"/>
            <w:vAlign w:val="center"/>
          </w:tcPr>
          <w:p w14:paraId="3A150562" w14:textId="77777777" w:rsidR="006471D6" w:rsidRPr="00D27055" w:rsidRDefault="006471D6" w:rsidP="00566D26">
            <w:pPr>
              <w:pStyle w:val="TableText0"/>
              <w:keepLines/>
              <w:jc w:val="center"/>
              <w:rPr>
                <w:szCs w:val="20"/>
              </w:rPr>
            </w:pPr>
            <w:r w:rsidRPr="00D27055">
              <w:rPr>
                <w:szCs w:val="20"/>
                <w:lang w:eastAsia="en-US"/>
              </w:rPr>
              <w:t>94/339 (27.7)</w:t>
            </w:r>
          </w:p>
        </w:tc>
        <w:tc>
          <w:tcPr>
            <w:tcW w:w="721" w:type="pct"/>
            <w:vAlign w:val="center"/>
          </w:tcPr>
          <w:p w14:paraId="537C55DE" w14:textId="77777777" w:rsidR="006471D6" w:rsidRPr="00D27055" w:rsidRDefault="006471D6" w:rsidP="00566D26">
            <w:pPr>
              <w:pStyle w:val="TableText0"/>
              <w:keepLines/>
              <w:jc w:val="center"/>
              <w:rPr>
                <w:szCs w:val="20"/>
              </w:rPr>
            </w:pPr>
            <w:r w:rsidRPr="00D27055">
              <w:rPr>
                <w:szCs w:val="20"/>
                <w:lang w:eastAsia="en-US"/>
              </w:rPr>
              <w:t>211/343 (61.5)</w:t>
            </w:r>
          </w:p>
        </w:tc>
      </w:tr>
      <w:tr w:rsidR="006471D6" w:rsidRPr="00D27055" w14:paraId="01D0435F" w14:textId="77777777" w:rsidTr="00BA3F8A">
        <w:tc>
          <w:tcPr>
            <w:tcW w:w="2110" w:type="pct"/>
            <w:vAlign w:val="center"/>
          </w:tcPr>
          <w:p w14:paraId="19C4C145" w14:textId="77777777" w:rsidR="006471D6" w:rsidRPr="00D27055" w:rsidRDefault="006471D6" w:rsidP="00566D26">
            <w:pPr>
              <w:pStyle w:val="TableText0"/>
              <w:keepLines/>
              <w:ind w:left="110"/>
              <w:rPr>
                <w:szCs w:val="20"/>
              </w:rPr>
            </w:pPr>
            <w:r w:rsidRPr="00D27055">
              <w:rPr>
                <w:szCs w:val="20"/>
              </w:rPr>
              <w:t>Median DFS, months (95% CI)</w:t>
            </w:r>
          </w:p>
        </w:tc>
        <w:tc>
          <w:tcPr>
            <w:tcW w:w="723" w:type="pct"/>
            <w:vAlign w:val="center"/>
          </w:tcPr>
          <w:p w14:paraId="2C372B71" w14:textId="77777777" w:rsidR="006471D6" w:rsidRPr="00D27055" w:rsidRDefault="006471D6" w:rsidP="00566D26">
            <w:pPr>
              <w:pStyle w:val="TableText0"/>
              <w:keepLines/>
              <w:jc w:val="center"/>
              <w:rPr>
                <w:szCs w:val="20"/>
              </w:rPr>
            </w:pPr>
            <w:r w:rsidRPr="00D27055">
              <w:rPr>
                <w:szCs w:val="20"/>
              </w:rPr>
              <w:t>65.8 (54.4, NC)</w:t>
            </w:r>
          </w:p>
        </w:tc>
        <w:tc>
          <w:tcPr>
            <w:tcW w:w="723" w:type="pct"/>
            <w:vAlign w:val="center"/>
          </w:tcPr>
          <w:p w14:paraId="5B8A4A71" w14:textId="77777777" w:rsidR="006471D6" w:rsidRPr="00D27055" w:rsidRDefault="006471D6" w:rsidP="00566D26">
            <w:pPr>
              <w:pStyle w:val="TableText0"/>
              <w:keepLines/>
              <w:jc w:val="center"/>
              <w:rPr>
                <w:szCs w:val="20"/>
              </w:rPr>
            </w:pPr>
            <w:r w:rsidRPr="00D27055">
              <w:rPr>
                <w:szCs w:val="20"/>
              </w:rPr>
              <w:t>21.9 (16.6, 27.5)</w:t>
            </w:r>
          </w:p>
        </w:tc>
        <w:tc>
          <w:tcPr>
            <w:tcW w:w="723" w:type="pct"/>
            <w:vAlign w:val="center"/>
          </w:tcPr>
          <w:p w14:paraId="6356BA53" w14:textId="77777777" w:rsidR="006471D6" w:rsidRPr="00D27055" w:rsidRDefault="006471D6" w:rsidP="00566D26">
            <w:pPr>
              <w:pStyle w:val="TableText0"/>
              <w:keepLines/>
              <w:jc w:val="center"/>
              <w:rPr>
                <w:szCs w:val="20"/>
              </w:rPr>
            </w:pPr>
            <w:r w:rsidRPr="00D27055">
              <w:rPr>
                <w:szCs w:val="20"/>
              </w:rPr>
              <w:t>65.8 (61.7, NC)</w:t>
            </w:r>
          </w:p>
        </w:tc>
        <w:tc>
          <w:tcPr>
            <w:tcW w:w="721" w:type="pct"/>
            <w:vAlign w:val="center"/>
          </w:tcPr>
          <w:p w14:paraId="1136E3DD" w14:textId="77777777" w:rsidR="006471D6" w:rsidRPr="00D27055" w:rsidRDefault="006471D6" w:rsidP="00566D26">
            <w:pPr>
              <w:pStyle w:val="TableText0"/>
              <w:keepLines/>
              <w:jc w:val="center"/>
              <w:rPr>
                <w:szCs w:val="20"/>
              </w:rPr>
            </w:pPr>
            <w:r w:rsidRPr="00D27055">
              <w:rPr>
                <w:szCs w:val="20"/>
              </w:rPr>
              <w:t>28.1 (22.1, 35.0)</w:t>
            </w:r>
          </w:p>
        </w:tc>
      </w:tr>
      <w:tr w:rsidR="006471D6" w:rsidRPr="00D27055" w14:paraId="50BC10A0" w14:textId="77777777" w:rsidTr="00BA3F8A">
        <w:tc>
          <w:tcPr>
            <w:tcW w:w="2110" w:type="pct"/>
            <w:vAlign w:val="center"/>
          </w:tcPr>
          <w:p w14:paraId="2DB53BD3" w14:textId="77777777" w:rsidR="006471D6" w:rsidRPr="00D27055" w:rsidRDefault="006471D6" w:rsidP="00566D26">
            <w:pPr>
              <w:pStyle w:val="TableText0"/>
              <w:keepLines/>
              <w:ind w:left="110"/>
              <w:rPr>
                <w:szCs w:val="20"/>
              </w:rPr>
            </w:pPr>
            <w:r w:rsidRPr="00D27055">
              <w:rPr>
                <w:szCs w:val="20"/>
              </w:rPr>
              <w:t>Osimertinib vs placebo, HR (95%CI)</w:t>
            </w:r>
          </w:p>
        </w:tc>
        <w:tc>
          <w:tcPr>
            <w:tcW w:w="1446" w:type="pct"/>
            <w:gridSpan w:val="2"/>
            <w:vAlign w:val="center"/>
          </w:tcPr>
          <w:p w14:paraId="1CC4DCDB" w14:textId="77777777" w:rsidR="006471D6" w:rsidRPr="00D27055" w:rsidRDefault="006471D6" w:rsidP="00566D26">
            <w:pPr>
              <w:pStyle w:val="TableText0"/>
              <w:keepLines/>
              <w:jc w:val="center"/>
              <w:rPr>
                <w:szCs w:val="20"/>
              </w:rPr>
            </w:pPr>
            <w:r w:rsidRPr="00D27055">
              <w:rPr>
                <w:b/>
                <w:szCs w:val="20"/>
              </w:rPr>
              <w:t>0.23 (0.18, 0.30)</w:t>
            </w:r>
          </w:p>
        </w:tc>
        <w:tc>
          <w:tcPr>
            <w:tcW w:w="1444" w:type="pct"/>
            <w:gridSpan w:val="2"/>
            <w:vAlign w:val="center"/>
          </w:tcPr>
          <w:p w14:paraId="475987D0" w14:textId="77777777" w:rsidR="006471D6" w:rsidRPr="00D27055" w:rsidRDefault="006471D6" w:rsidP="00566D26">
            <w:pPr>
              <w:pStyle w:val="TableText0"/>
              <w:keepLines/>
              <w:jc w:val="center"/>
              <w:rPr>
                <w:szCs w:val="20"/>
              </w:rPr>
            </w:pPr>
            <w:r w:rsidRPr="00D27055">
              <w:rPr>
                <w:b/>
                <w:szCs w:val="20"/>
              </w:rPr>
              <w:t>0.27 (0.21, 0.34)</w:t>
            </w:r>
          </w:p>
        </w:tc>
      </w:tr>
      <w:tr w:rsidR="006471D6" w:rsidRPr="00D27055" w14:paraId="664592C4" w14:textId="77777777" w:rsidTr="00BA3F8A">
        <w:tc>
          <w:tcPr>
            <w:tcW w:w="2110" w:type="pct"/>
            <w:vAlign w:val="center"/>
          </w:tcPr>
          <w:p w14:paraId="59D6B0B3" w14:textId="77777777" w:rsidR="006471D6" w:rsidRPr="00D27055" w:rsidRDefault="006471D6" w:rsidP="00566D26">
            <w:pPr>
              <w:pStyle w:val="TableText0"/>
              <w:keepLines/>
              <w:ind w:left="110"/>
              <w:rPr>
                <w:szCs w:val="20"/>
              </w:rPr>
            </w:pPr>
            <w:r>
              <w:t>Disease recurrence, n (%)</w:t>
            </w:r>
          </w:p>
        </w:tc>
        <w:tc>
          <w:tcPr>
            <w:tcW w:w="723" w:type="pct"/>
            <w:vAlign w:val="center"/>
          </w:tcPr>
          <w:p w14:paraId="1C45B66B" w14:textId="77777777" w:rsidR="006471D6" w:rsidRPr="00D27055" w:rsidRDefault="006471D6" w:rsidP="00566D26">
            <w:pPr>
              <w:pStyle w:val="TableText0"/>
              <w:keepLines/>
              <w:jc w:val="center"/>
              <w:rPr>
                <w:b/>
                <w:szCs w:val="20"/>
              </w:rPr>
            </w:pPr>
            <w:r w:rsidRPr="00FA429F">
              <w:t>74</w:t>
            </w:r>
            <w:r>
              <w:t>/233</w:t>
            </w:r>
            <w:r w:rsidRPr="00FA429F">
              <w:t xml:space="preserve"> (31.8)</w:t>
            </w:r>
          </w:p>
        </w:tc>
        <w:tc>
          <w:tcPr>
            <w:tcW w:w="723" w:type="pct"/>
            <w:vAlign w:val="center"/>
          </w:tcPr>
          <w:p w14:paraId="3973F639" w14:textId="77777777" w:rsidR="006471D6" w:rsidRPr="00D27055" w:rsidRDefault="006471D6" w:rsidP="00566D26">
            <w:pPr>
              <w:pStyle w:val="TableText0"/>
              <w:keepLines/>
              <w:jc w:val="center"/>
              <w:rPr>
                <w:b/>
                <w:szCs w:val="20"/>
              </w:rPr>
            </w:pPr>
            <w:r w:rsidRPr="00FA429F">
              <w:t>164</w:t>
            </w:r>
            <w:r>
              <w:t>/237</w:t>
            </w:r>
            <w:r w:rsidRPr="00FA429F">
              <w:t xml:space="preserve"> (69.2)</w:t>
            </w:r>
          </w:p>
        </w:tc>
        <w:tc>
          <w:tcPr>
            <w:tcW w:w="723" w:type="pct"/>
            <w:vAlign w:val="center"/>
          </w:tcPr>
          <w:p w14:paraId="30B9A9E5" w14:textId="77777777" w:rsidR="006471D6" w:rsidRPr="00D27055" w:rsidRDefault="006471D6" w:rsidP="00566D26">
            <w:pPr>
              <w:pStyle w:val="TableText0"/>
              <w:keepLines/>
              <w:jc w:val="center"/>
              <w:rPr>
                <w:b/>
                <w:szCs w:val="20"/>
              </w:rPr>
            </w:pPr>
            <w:r>
              <w:t>93/339 (27.4)</w:t>
            </w:r>
          </w:p>
        </w:tc>
        <w:tc>
          <w:tcPr>
            <w:tcW w:w="721" w:type="pct"/>
            <w:vAlign w:val="center"/>
          </w:tcPr>
          <w:p w14:paraId="5DB79114" w14:textId="77777777" w:rsidR="006471D6" w:rsidRPr="00D27055" w:rsidRDefault="006471D6" w:rsidP="00566D26">
            <w:pPr>
              <w:pStyle w:val="TableText0"/>
              <w:keepLines/>
              <w:jc w:val="center"/>
              <w:rPr>
                <w:b/>
                <w:szCs w:val="20"/>
              </w:rPr>
            </w:pPr>
            <w:r w:rsidRPr="00F9103A">
              <w:t>205</w:t>
            </w:r>
            <w:r>
              <w:t>/343</w:t>
            </w:r>
            <w:r w:rsidRPr="00F9103A">
              <w:t xml:space="preserve"> (59.8)</w:t>
            </w:r>
          </w:p>
        </w:tc>
      </w:tr>
      <w:tr w:rsidR="006471D6" w:rsidRPr="00D27055" w14:paraId="164CEAFD" w14:textId="77777777" w:rsidTr="00BA3F8A">
        <w:tc>
          <w:tcPr>
            <w:tcW w:w="2110" w:type="pct"/>
            <w:vAlign w:val="center"/>
          </w:tcPr>
          <w:p w14:paraId="161C55A1" w14:textId="77777777" w:rsidR="006471D6" w:rsidRPr="00D27055" w:rsidRDefault="006471D6" w:rsidP="00566D26">
            <w:pPr>
              <w:pStyle w:val="TableText0"/>
              <w:keepLines/>
              <w:ind w:left="340"/>
              <w:rPr>
                <w:szCs w:val="20"/>
              </w:rPr>
            </w:pPr>
            <w:r>
              <w:t>Local/regional only</w:t>
            </w:r>
          </w:p>
        </w:tc>
        <w:tc>
          <w:tcPr>
            <w:tcW w:w="723" w:type="pct"/>
            <w:vAlign w:val="center"/>
          </w:tcPr>
          <w:p w14:paraId="580DAE98" w14:textId="77777777" w:rsidR="006471D6" w:rsidRPr="00D27055" w:rsidRDefault="006471D6" w:rsidP="00566D26">
            <w:pPr>
              <w:pStyle w:val="TableText0"/>
              <w:keepLines/>
              <w:jc w:val="center"/>
              <w:rPr>
                <w:b/>
                <w:szCs w:val="20"/>
              </w:rPr>
            </w:pPr>
            <w:r w:rsidRPr="00FA429F">
              <w:t>33</w:t>
            </w:r>
            <w:r>
              <w:t>/233</w:t>
            </w:r>
            <w:r w:rsidRPr="00FA429F">
              <w:t xml:space="preserve"> (14.2)</w:t>
            </w:r>
          </w:p>
        </w:tc>
        <w:tc>
          <w:tcPr>
            <w:tcW w:w="723" w:type="pct"/>
            <w:vAlign w:val="center"/>
          </w:tcPr>
          <w:p w14:paraId="1FEFE466" w14:textId="77777777" w:rsidR="006471D6" w:rsidRPr="00D27055" w:rsidRDefault="006471D6" w:rsidP="00566D26">
            <w:pPr>
              <w:pStyle w:val="TableText0"/>
              <w:keepLines/>
              <w:jc w:val="center"/>
              <w:rPr>
                <w:b/>
                <w:szCs w:val="20"/>
              </w:rPr>
            </w:pPr>
            <w:r w:rsidRPr="00FA429F">
              <w:t>61</w:t>
            </w:r>
            <w:r>
              <w:t>/237</w:t>
            </w:r>
            <w:r w:rsidRPr="00FA429F">
              <w:t xml:space="preserve"> (25.7)</w:t>
            </w:r>
          </w:p>
        </w:tc>
        <w:tc>
          <w:tcPr>
            <w:tcW w:w="723" w:type="pct"/>
            <w:vAlign w:val="center"/>
          </w:tcPr>
          <w:p w14:paraId="5119D51A" w14:textId="77777777" w:rsidR="006471D6" w:rsidRPr="00D27055" w:rsidRDefault="006471D6" w:rsidP="00566D26">
            <w:pPr>
              <w:pStyle w:val="TableText0"/>
              <w:keepLines/>
              <w:jc w:val="center"/>
              <w:rPr>
                <w:b/>
                <w:szCs w:val="20"/>
              </w:rPr>
            </w:pPr>
            <w:r w:rsidRPr="00F9103A">
              <w:t>42</w:t>
            </w:r>
            <w:r>
              <w:t>/339</w:t>
            </w:r>
            <w:r w:rsidRPr="00F9103A">
              <w:t xml:space="preserve"> (12.4)</w:t>
            </w:r>
          </w:p>
        </w:tc>
        <w:tc>
          <w:tcPr>
            <w:tcW w:w="721" w:type="pct"/>
            <w:vAlign w:val="center"/>
          </w:tcPr>
          <w:p w14:paraId="67111B30" w14:textId="77777777" w:rsidR="006471D6" w:rsidRPr="00D27055" w:rsidRDefault="006471D6" w:rsidP="00566D26">
            <w:pPr>
              <w:pStyle w:val="TableText0"/>
              <w:keepLines/>
              <w:jc w:val="center"/>
              <w:rPr>
                <w:b/>
                <w:szCs w:val="20"/>
              </w:rPr>
            </w:pPr>
            <w:r w:rsidRPr="00F9103A">
              <w:t>78</w:t>
            </w:r>
            <w:r>
              <w:t>/343</w:t>
            </w:r>
            <w:r w:rsidRPr="00F9103A">
              <w:t xml:space="preserve"> (22.7)</w:t>
            </w:r>
          </w:p>
        </w:tc>
      </w:tr>
      <w:tr w:rsidR="006471D6" w:rsidRPr="00D27055" w14:paraId="7CAA2B5C" w14:textId="77777777" w:rsidTr="00BA3F8A">
        <w:tc>
          <w:tcPr>
            <w:tcW w:w="2110" w:type="pct"/>
            <w:vAlign w:val="center"/>
          </w:tcPr>
          <w:p w14:paraId="1FDFAAA1" w14:textId="77777777" w:rsidR="006471D6" w:rsidRPr="00D27055" w:rsidRDefault="006471D6" w:rsidP="00566D26">
            <w:pPr>
              <w:pStyle w:val="TableText0"/>
              <w:keepLines/>
              <w:ind w:left="340"/>
              <w:rPr>
                <w:szCs w:val="20"/>
              </w:rPr>
            </w:pPr>
            <w:r>
              <w:t>Distant only</w:t>
            </w:r>
          </w:p>
        </w:tc>
        <w:tc>
          <w:tcPr>
            <w:tcW w:w="723" w:type="pct"/>
            <w:vAlign w:val="center"/>
          </w:tcPr>
          <w:p w14:paraId="62A1973C" w14:textId="77777777" w:rsidR="006471D6" w:rsidRPr="00D27055" w:rsidRDefault="006471D6" w:rsidP="00566D26">
            <w:pPr>
              <w:pStyle w:val="TableText0"/>
              <w:keepLines/>
              <w:jc w:val="center"/>
              <w:rPr>
                <w:b/>
                <w:szCs w:val="20"/>
              </w:rPr>
            </w:pPr>
            <w:r w:rsidRPr="00FA429F">
              <w:t>38</w:t>
            </w:r>
            <w:r>
              <w:t>/233</w:t>
            </w:r>
            <w:r w:rsidRPr="00FA429F">
              <w:t xml:space="preserve"> (16.3)</w:t>
            </w:r>
          </w:p>
        </w:tc>
        <w:tc>
          <w:tcPr>
            <w:tcW w:w="723" w:type="pct"/>
            <w:vAlign w:val="center"/>
          </w:tcPr>
          <w:p w14:paraId="6C33D434" w14:textId="77777777" w:rsidR="006471D6" w:rsidRPr="00D27055" w:rsidRDefault="006471D6" w:rsidP="00566D26">
            <w:pPr>
              <w:pStyle w:val="TableText0"/>
              <w:keepLines/>
              <w:jc w:val="center"/>
              <w:rPr>
                <w:b/>
                <w:szCs w:val="20"/>
              </w:rPr>
            </w:pPr>
            <w:r w:rsidRPr="00FA429F">
              <w:t>88</w:t>
            </w:r>
            <w:r>
              <w:t>/237</w:t>
            </w:r>
            <w:r w:rsidRPr="00FA429F">
              <w:t xml:space="preserve"> (37.1)</w:t>
            </w:r>
          </w:p>
        </w:tc>
        <w:tc>
          <w:tcPr>
            <w:tcW w:w="723" w:type="pct"/>
            <w:vAlign w:val="center"/>
          </w:tcPr>
          <w:p w14:paraId="1B60AEF4" w14:textId="77777777" w:rsidR="006471D6" w:rsidRPr="00D27055" w:rsidRDefault="006471D6" w:rsidP="00566D26">
            <w:pPr>
              <w:pStyle w:val="TableText0"/>
              <w:keepLines/>
              <w:jc w:val="center"/>
              <w:rPr>
                <w:b/>
                <w:szCs w:val="20"/>
              </w:rPr>
            </w:pPr>
            <w:r w:rsidRPr="00F9103A">
              <w:t>45</w:t>
            </w:r>
            <w:r>
              <w:t>/339</w:t>
            </w:r>
            <w:r w:rsidRPr="00F9103A">
              <w:t xml:space="preserve"> (13.3)</w:t>
            </w:r>
          </w:p>
        </w:tc>
        <w:tc>
          <w:tcPr>
            <w:tcW w:w="721" w:type="pct"/>
            <w:vAlign w:val="center"/>
          </w:tcPr>
          <w:p w14:paraId="67247505" w14:textId="77777777" w:rsidR="006471D6" w:rsidRPr="00D27055" w:rsidRDefault="006471D6" w:rsidP="00566D26">
            <w:pPr>
              <w:pStyle w:val="TableText0"/>
              <w:keepLines/>
              <w:jc w:val="center"/>
              <w:rPr>
                <w:b/>
                <w:szCs w:val="20"/>
              </w:rPr>
            </w:pPr>
            <w:r w:rsidRPr="00F9103A">
              <w:t>107</w:t>
            </w:r>
            <w:r>
              <w:t>/343</w:t>
            </w:r>
            <w:r w:rsidRPr="00F9103A">
              <w:t xml:space="preserve"> (31.2)</w:t>
            </w:r>
          </w:p>
        </w:tc>
      </w:tr>
      <w:tr w:rsidR="006471D6" w:rsidRPr="00D27055" w14:paraId="05145C9E" w14:textId="77777777" w:rsidTr="00BA3F8A">
        <w:tc>
          <w:tcPr>
            <w:tcW w:w="2110" w:type="pct"/>
            <w:vAlign w:val="center"/>
          </w:tcPr>
          <w:p w14:paraId="274E73DE" w14:textId="77777777" w:rsidR="006471D6" w:rsidRPr="00D27055" w:rsidRDefault="006471D6" w:rsidP="00566D26">
            <w:pPr>
              <w:pStyle w:val="TableText0"/>
              <w:keepLines/>
              <w:ind w:left="340"/>
              <w:rPr>
                <w:szCs w:val="20"/>
              </w:rPr>
            </w:pPr>
            <w:r>
              <w:t>Local/regional and distant</w:t>
            </w:r>
          </w:p>
        </w:tc>
        <w:tc>
          <w:tcPr>
            <w:tcW w:w="723" w:type="pct"/>
            <w:vAlign w:val="center"/>
          </w:tcPr>
          <w:p w14:paraId="07BFC07A" w14:textId="77777777" w:rsidR="006471D6" w:rsidRPr="00D27055" w:rsidRDefault="006471D6" w:rsidP="00566D26">
            <w:pPr>
              <w:pStyle w:val="TableText0"/>
              <w:keepLines/>
              <w:jc w:val="center"/>
              <w:rPr>
                <w:b/>
                <w:szCs w:val="20"/>
              </w:rPr>
            </w:pPr>
            <w:r w:rsidRPr="00FA429F">
              <w:t>3</w:t>
            </w:r>
            <w:r>
              <w:t>/233</w:t>
            </w:r>
            <w:r w:rsidRPr="00FA429F">
              <w:t xml:space="preserve"> (1.3)</w:t>
            </w:r>
          </w:p>
        </w:tc>
        <w:tc>
          <w:tcPr>
            <w:tcW w:w="723" w:type="pct"/>
            <w:vAlign w:val="center"/>
          </w:tcPr>
          <w:p w14:paraId="6247BDF8" w14:textId="77777777" w:rsidR="006471D6" w:rsidRPr="00D27055" w:rsidRDefault="006471D6" w:rsidP="00566D26">
            <w:pPr>
              <w:pStyle w:val="TableText0"/>
              <w:keepLines/>
              <w:jc w:val="center"/>
              <w:rPr>
                <w:b/>
                <w:szCs w:val="20"/>
              </w:rPr>
            </w:pPr>
            <w:r w:rsidRPr="00FA429F">
              <w:t>15</w:t>
            </w:r>
            <w:r>
              <w:t>/237</w:t>
            </w:r>
            <w:r w:rsidRPr="00FA429F">
              <w:t xml:space="preserve"> (6.3)</w:t>
            </w:r>
          </w:p>
        </w:tc>
        <w:tc>
          <w:tcPr>
            <w:tcW w:w="723" w:type="pct"/>
            <w:vAlign w:val="center"/>
          </w:tcPr>
          <w:p w14:paraId="754FAF07" w14:textId="77777777" w:rsidR="006471D6" w:rsidRPr="00D27055" w:rsidRDefault="006471D6" w:rsidP="00566D26">
            <w:pPr>
              <w:pStyle w:val="TableText0"/>
              <w:keepLines/>
              <w:jc w:val="center"/>
              <w:rPr>
                <w:b/>
                <w:szCs w:val="20"/>
              </w:rPr>
            </w:pPr>
            <w:r w:rsidRPr="00F9103A">
              <w:t>6</w:t>
            </w:r>
            <w:r>
              <w:t>/339</w:t>
            </w:r>
            <w:r w:rsidRPr="00F9103A">
              <w:t xml:space="preserve"> (1.8)</w:t>
            </w:r>
          </w:p>
        </w:tc>
        <w:tc>
          <w:tcPr>
            <w:tcW w:w="721" w:type="pct"/>
            <w:vAlign w:val="center"/>
          </w:tcPr>
          <w:p w14:paraId="0CFA9AE1" w14:textId="77777777" w:rsidR="006471D6" w:rsidRPr="00D27055" w:rsidRDefault="006471D6" w:rsidP="00566D26">
            <w:pPr>
              <w:pStyle w:val="TableText0"/>
              <w:keepLines/>
              <w:jc w:val="center"/>
              <w:rPr>
                <w:b/>
                <w:szCs w:val="20"/>
              </w:rPr>
            </w:pPr>
            <w:r w:rsidRPr="00F9103A">
              <w:t>20</w:t>
            </w:r>
            <w:r>
              <w:t>/343</w:t>
            </w:r>
            <w:r w:rsidRPr="00F9103A">
              <w:t xml:space="preserve"> (5.8)</w:t>
            </w:r>
          </w:p>
        </w:tc>
      </w:tr>
      <w:tr w:rsidR="006471D6" w:rsidRPr="00D27055" w14:paraId="22C62196" w14:textId="77777777" w:rsidTr="00BA3F8A">
        <w:tc>
          <w:tcPr>
            <w:tcW w:w="2110" w:type="pct"/>
            <w:vAlign w:val="center"/>
          </w:tcPr>
          <w:p w14:paraId="7931D9AF" w14:textId="77777777" w:rsidR="006471D6" w:rsidRPr="00D27055" w:rsidRDefault="006471D6" w:rsidP="00566D26">
            <w:pPr>
              <w:pStyle w:val="TableText0"/>
              <w:keepLines/>
              <w:ind w:left="110"/>
              <w:rPr>
                <w:szCs w:val="20"/>
              </w:rPr>
            </w:pPr>
            <w:r>
              <w:t>Death</w:t>
            </w:r>
          </w:p>
        </w:tc>
        <w:tc>
          <w:tcPr>
            <w:tcW w:w="723" w:type="pct"/>
            <w:vAlign w:val="center"/>
          </w:tcPr>
          <w:p w14:paraId="087908F0" w14:textId="77777777" w:rsidR="006471D6" w:rsidRPr="00D27055" w:rsidRDefault="006471D6" w:rsidP="00566D26">
            <w:pPr>
              <w:pStyle w:val="TableText0"/>
              <w:keepLines/>
              <w:jc w:val="center"/>
              <w:rPr>
                <w:b/>
                <w:szCs w:val="20"/>
              </w:rPr>
            </w:pPr>
            <w:r w:rsidRPr="00FA429F">
              <w:t>1</w:t>
            </w:r>
            <w:r>
              <w:t>/233</w:t>
            </w:r>
            <w:r w:rsidRPr="00FA429F">
              <w:t xml:space="preserve"> (0.4)</w:t>
            </w:r>
          </w:p>
        </w:tc>
        <w:tc>
          <w:tcPr>
            <w:tcW w:w="723" w:type="pct"/>
            <w:vAlign w:val="center"/>
          </w:tcPr>
          <w:p w14:paraId="26588421" w14:textId="77777777" w:rsidR="006471D6" w:rsidRPr="00D27055" w:rsidRDefault="006471D6" w:rsidP="00566D26">
            <w:pPr>
              <w:pStyle w:val="TableText0"/>
              <w:keepLines/>
              <w:jc w:val="center"/>
              <w:rPr>
                <w:b/>
                <w:szCs w:val="20"/>
              </w:rPr>
            </w:pPr>
            <w:r w:rsidRPr="00FA429F">
              <w:t>3</w:t>
            </w:r>
            <w:r>
              <w:t>/237</w:t>
            </w:r>
            <w:r w:rsidRPr="00FA429F">
              <w:t xml:space="preserve"> (1.3)</w:t>
            </w:r>
          </w:p>
        </w:tc>
        <w:tc>
          <w:tcPr>
            <w:tcW w:w="723" w:type="pct"/>
            <w:vAlign w:val="center"/>
          </w:tcPr>
          <w:p w14:paraId="2CD1AE85" w14:textId="77777777" w:rsidR="006471D6" w:rsidRPr="00D27055" w:rsidRDefault="006471D6" w:rsidP="00566D26">
            <w:pPr>
              <w:pStyle w:val="TableText0"/>
              <w:keepLines/>
              <w:jc w:val="center"/>
              <w:rPr>
                <w:b/>
                <w:szCs w:val="20"/>
              </w:rPr>
            </w:pPr>
            <w:r w:rsidRPr="00F9103A">
              <w:t>1</w:t>
            </w:r>
            <w:r>
              <w:t>/339</w:t>
            </w:r>
            <w:r w:rsidRPr="00F9103A">
              <w:t xml:space="preserve"> (0.3)</w:t>
            </w:r>
          </w:p>
        </w:tc>
        <w:tc>
          <w:tcPr>
            <w:tcW w:w="721" w:type="pct"/>
            <w:vAlign w:val="center"/>
          </w:tcPr>
          <w:p w14:paraId="0320F791" w14:textId="77777777" w:rsidR="006471D6" w:rsidRPr="00D27055" w:rsidRDefault="006471D6" w:rsidP="00566D26">
            <w:pPr>
              <w:pStyle w:val="TableText0"/>
              <w:keepLines/>
              <w:jc w:val="center"/>
              <w:rPr>
                <w:b/>
                <w:szCs w:val="20"/>
              </w:rPr>
            </w:pPr>
            <w:r w:rsidRPr="00F9103A">
              <w:t>6</w:t>
            </w:r>
            <w:r>
              <w:t>/343</w:t>
            </w:r>
            <w:r w:rsidRPr="00F9103A">
              <w:t xml:space="preserve"> (1.7)</w:t>
            </w:r>
          </w:p>
        </w:tc>
      </w:tr>
      <w:tr w:rsidR="006471D6" w:rsidRPr="00D27055" w14:paraId="651DF78A" w14:textId="77777777" w:rsidTr="00BA3F8A">
        <w:tc>
          <w:tcPr>
            <w:tcW w:w="5000" w:type="pct"/>
            <w:gridSpan w:val="5"/>
            <w:vAlign w:val="center"/>
          </w:tcPr>
          <w:p w14:paraId="26033BE8" w14:textId="77777777" w:rsidR="006471D6" w:rsidRPr="00D27055" w:rsidRDefault="006471D6" w:rsidP="00566D26">
            <w:pPr>
              <w:pStyle w:val="TableText0"/>
              <w:keepLines/>
              <w:ind w:left="110"/>
              <w:rPr>
                <w:b/>
                <w:szCs w:val="20"/>
              </w:rPr>
            </w:pPr>
            <w:r>
              <w:t xml:space="preserve">Treatment </w:t>
            </w:r>
            <w:r w:rsidRPr="000A54B6">
              <w:rPr>
                <w:szCs w:val="20"/>
              </w:rPr>
              <w:t>status</w:t>
            </w:r>
            <w:r>
              <w:t xml:space="preserve"> at recurrence or death, n/N (%)</w:t>
            </w:r>
          </w:p>
        </w:tc>
      </w:tr>
      <w:tr w:rsidR="006471D6" w:rsidRPr="00D27055" w14:paraId="042E53F1" w14:textId="77777777" w:rsidTr="00BA3F8A">
        <w:tc>
          <w:tcPr>
            <w:tcW w:w="2110" w:type="pct"/>
            <w:vAlign w:val="center"/>
          </w:tcPr>
          <w:p w14:paraId="49AE552E" w14:textId="77777777" w:rsidR="006471D6" w:rsidRDefault="006471D6" w:rsidP="00566D26">
            <w:pPr>
              <w:pStyle w:val="TableText0"/>
              <w:keepLines/>
              <w:ind w:left="252"/>
            </w:pPr>
            <w:r>
              <w:t>On treatment</w:t>
            </w:r>
          </w:p>
        </w:tc>
        <w:tc>
          <w:tcPr>
            <w:tcW w:w="723" w:type="pct"/>
            <w:vAlign w:val="center"/>
          </w:tcPr>
          <w:p w14:paraId="40069CB4" w14:textId="77777777" w:rsidR="006471D6" w:rsidRPr="00D27055" w:rsidRDefault="006471D6" w:rsidP="00566D26">
            <w:pPr>
              <w:pStyle w:val="TableText0"/>
              <w:keepLines/>
              <w:jc w:val="center"/>
              <w:rPr>
                <w:b/>
                <w:szCs w:val="20"/>
              </w:rPr>
            </w:pPr>
            <w:r w:rsidRPr="00CC2AF7">
              <w:t>25</w:t>
            </w:r>
            <w:r>
              <w:t>/75</w:t>
            </w:r>
            <w:r w:rsidRPr="00CC2AF7">
              <w:t xml:space="preserve"> (33.3)</w:t>
            </w:r>
          </w:p>
        </w:tc>
        <w:tc>
          <w:tcPr>
            <w:tcW w:w="723" w:type="pct"/>
            <w:vAlign w:val="center"/>
          </w:tcPr>
          <w:p w14:paraId="58B67ACF" w14:textId="77777777" w:rsidR="006471D6" w:rsidRPr="00D27055" w:rsidRDefault="006471D6" w:rsidP="00566D26">
            <w:pPr>
              <w:pStyle w:val="TableText0"/>
              <w:keepLines/>
              <w:jc w:val="center"/>
              <w:rPr>
                <w:b/>
                <w:szCs w:val="20"/>
              </w:rPr>
            </w:pPr>
            <w:r w:rsidRPr="00CC2AF7">
              <w:t>145</w:t>
            </w:r>
            <w:r>
              <w:t>/167</w:t>
            </w:r>
            <w:r w:rsidRPr="00CC2AF7">
              <w:t xml:space="preserve"> (86.8)</w:t>
            </w:r>
          </w:p>
        </w:tc>
        <w:tc>
          <w:tcPr>
            <w:tcW w:w="723" w:type="pct"/>
            <w:vAlign w:val="center"/>
          </w:tcPr>
          <w:p w14:paraId="6B9233BC" w14:textId="77777777" w:rsidR="006471D6" w:rsidRPr="00D27055" w:rsidRDefault="006471D6" w:rsidP="00566D26">
            <w:pPr>
              <w:pStyle w:val="TableText0"/>
              <w:keepLines/>
              <w:jc w:val="center"/>
              <w:rPr>
                <w:b/>
                <w:szCs w:val="20"/>
              </w:rPr>
            </w:pPr>
            <w:r w:rsidRPr="00CC2AF7">
              <w:t>35</w:t>
            </w:r>
            <w:r>
              <w:t>/94</w:t>
            </w:r>
            <w:r w:rsidRPr="00CC2AF7">
              <w:t xml:space="preserve"> (37.2)</w:t>
            </w:r>
          </w:p>
        </w:tc>
        <w:tc>
          <w:tcPr>
            <w:tcW w:w="721" w:type="pct"/>
            <w:vAlign w:val="center"/>
          </w:tcPr>
          <w:p w14:paraId="62D799A6" w14:textId="77777777" w:rsidR="006471D6" w:rsidRPr="00D27055" w:rsidRDefault="006471D6" w:rsidP="00566D26">
            <w:pPr>
              <w:pStyle w:val="TableText0"/>
              <w:keepLines/>
              <w:jc w:val="center"/>
              <w:rPr>
                <w:b/>
                <w:szCs w:val="20"/>
              </w:rPr>
            </w:pPr>
            <w:r w:rsidRPr="00CC2AF7">
              <w:t>176</w:t>
            </w:r>
            <w:r>
              <w:t>/211</w:t>
            </w:r>
            <w:r w:rsidRPr="00CC2AF7">
              <w:t xml:space="preserve"> (83.4)</w:t>
            </w:r>
          </w:p>
        </w:tc>
      </w:tr>
      <w:tr w:rsidR="006471D6" w:rsidRPr="00D27055" w14:paraId="48DF47C0" w14:textId="77777777" w:rsidTr="00BA3F8A">
        <w:tc>
          <w:tcPr>
            <w:tcW w:w="2110" w:type="pct"/>
            <w:vAlign w:val="center"/>
          </w:tcPr>
          <w:p w14:paraId="005707D7" w14:textId="77777777" w:rsidR="006471D6" w:rsidRDefault="006471D6" w:rsidP="00566D26">
            <w:pPr>
              <w:pStyle w:val="TableText0"/>
              <w:keepLines/>
              <w:ind w:left="252"/>
            </w:pPr>
            <w:r>
              <w:t>Discontinued treatment</w:t>
            </w:r>
          </w:p>
        </w:tc>
        <w:tc>
          <w:tcPr>
            <w:tcW w:w="723" w:type="pct"/>
            <w:vAlign w:val="center"/>
          </w:tcPr>
          <w:p w14:paraId="25D47AEE" w14:textId="77777777" w:rsidR="006471D6" w:rsidRPr="00D27055" w:rsidRDefault="006471D6" w:rsidP="00566D26">
            <w:pPr>
              <w:pStyle w:val="TableText0"/>
              <w:keepLines/>
              <w:jc w:val="center"/>
              <w:rPr>
                <w:b/>
                <w:szCs w:val="20"/>
              </w:rPr>
            </w:pPr>
            <w:r w:rsidRPr="00CC2AF7">
              <w:t>15</w:t>
            </w:r>
            <w:r>
              <w:t>/75</w:t>
            </w:r>
            <w:r w:rsidRPr="00CC2AF7">
              <w:t xml:space="preserve"> (20.0)</w:t>
            </w:r>
          </w:p>
        </w:tc>
        <w:tc>
          <w:tcPr>
            <w:tcW w:w="723" w:type="pct"/>
            <w:vAlign w:val="center"/>
          </w:tcPr>
          <w:p w14:paraId="637CBC4D" w14:textId="77777777" w:rsidR="006471D6" w:rsidRPr="00D27055" w:rsidRDefault="006471D6" w:rsidP="00566D26">
            <w:pPr>
              <w:pStyle w:val="TableText0"/>
              <w:keepLines/>
              <w:jc w:val="center"/>
              <w:rPr>
                <w:b/>
                <w:szCs w:val="20"/>
              </w:rPr>
            </w:pPr>
            <w:r w:rsidRPr="00CC2AF7">
              <w:t>10</w:t>
            </w:r>
            <w:r>
              <w:t>/167</w:t>
            </w:r>
            <w:r w:rsidRPr="00CC2AF7">
              <w:t xml:space="preserve"> (6.0)</w:t>
            </w:r>
          </w:p>
        </w:tc>
        <w:tc>
          <w:tcPr>
            <w:tcW w:w="723" w:type="pct"/>
            <w:vAlign w:val="center"/>
          </w:tcPr>
          <w:p w14:paraId="4350B4E8" w14:textId="77777777" w:rsidR="006471D6" w:rsidRPr="00D27055" w:rsidRDefault="006471D6" w:rsidP="00566D26">
            <w:pPr>
              <w:pStyle w:val="TableText0"/>
              <w:keepLines/>
              <w:jc w:val="center"/>
              <w:rPr>
                <w:b/>
                <w:szCs w:val="20"/>
              </w:rPr>
            </w:pPr>
            <w:r w:rsidRPr="00CC2AF7">
              <w:t>18</w:t>
            </w:r>
            <w:r>
              <w:t>/94</w:t>
            </w:r>
            <w:r w:rsidRPr="00CC2AF7">
              <w:t xml:space="preserve"> (19.1)</w:t>
            </w:r>
          </w:p>
        </w:tc>
        <w:tc>
          <w:tcPr>
            <w:tcW w:w="721" w:type="pct"/>
            <w:vAlign w:val="center"/>
          </w:tcPr>
          <w:p w14:paraId="0A390772" w14:textId="77777777" w:rsidR="006471D6" w:rsidRPr="00D27055" w:rsidRDefault="006471D6" w:rsidP="00566D26">
            <w:pPr>
              <w:pStyle w:val="TableText0"/>
              <w:keepLines/>
              <w:jc w:val="center"/>
              <w:rPr>
                <w:b/>
                <w:szCs w:val="20"/>
              </w:rPr>
            </w:pPr>
            <w:r w:rsidRPr="00CC2AF7">
              <w:t>13</w:t>
            </w:r>
            <w:r>
              <w:t>/211</w:t>
            </w:r>
            <w:r w:rsidRPr="00CC2AF7">
              <w:t xml:space="preserve"> (6.2)</w:t>
            </w:r>
          </w:p>
        </w:tc>
      </w:tr>
      <w:tr w:rsidR="006471D6" w:rsidRPr="00D27055" w14:paraId="2020C05D" w14:textId="77777777" w:rsidTr="00BA3F8A">
        <w:tc>
          <w:tcPr>
            <w:tcW w:w="2110" w:type="pct"/>
            <w:vAlign w:val="center"/>
          </w:tcPr>
          <w:p w14:paraId="38D07874" w14:textId="77777777" w:rsidR="006471D6" w:rsidRDefault="006471D6" w:rsidP="00566D26">
            <w:pPr>
              <w:pStyle w:val="TableText0"/>
              <w:keepLines/>
              <w:ind w:left="252"/>
            </w:pPr>
            <w:r>
              <w:t>Completed treatment</w:t>
            </w:r>
          </w:p>
        </w:tc>
        <w:tc>
          <w:tcPr>
            <w:tcW w:w="723" w:type="pct"/>
            <w:vAlign w:val="center"/>
          </w:tcPr>
          <w:p w14:paraId="30A9BC9A" w14:textId="77777777" w:rsidR="006471D6" w:rsidRPr="00D27055" w:rsidRDefault="006471D6" w:rsidP="00566D26">
            <w:pPr>
              <w:pStyle w:val="TableText0"/>
              <w:keepLines/>
              <w:jc w:val="center"/>
              <w:rPr>
                <w:b/>
                <w:szCs w:val="20"/>
              </w:rPr>
            </w:pPr>
            <w:r w:rsidRPr="00CC2AF7">
              <w:t>35</w:t>
            </w:r>
            <w:r>
              <w:t>/75</w:t>
            </w:r>
            <w:r w:rsidRPr="00CC2AF7">
              <w:t xml:space="preserve"> (46.7)</w:t>
            </w:r>
          </w:p>
        </w:tc>
        <w:tc>
          <w:tcPr>
            <w:tcW w:w="723" w:type="pct"/>
            <w:vAlign w:val="center"/>
          </w:tcPr>
          <w:p w14:paraId="7AB53E34" w14:textId="77777777" w:rsidR="006471D6" w:rsidRPr="00D27055" w:rsidRDefault="006471D6" w:rsidP="00566D26">
            <w:pPr>
              <w:pStyle w:val="TableText0"/>
              <w:keepLines/>
              <w:jc w:val="center"/>
              <w:rPr>
                <w:b/>
                <w:szCs w:val="20"/>
              </w:rPr>
            </w:pPr>
            <w:r w:rsidRPr="00CC2AF7">
              <w:t>12</w:t>
            </w:r>
            <w:r>
              <w:t>/167</w:t>
            </w:r>
            <w:r w:rsidRPr="00CC2AF7">
              <w:t xml:space="preserve"> (7.2)</w:t>
            </w:r>
          </w:p>
        </w:tc>
        <w:tc>
          <w:tcPr>
            <w:tcW w:w="723" w:type="pct"/>
            <w:vAlign w:val="center"/>
          </w:tcPr>
          <w:p w14:paraId="16203E10" w14:textId="77777777" w:rsidR="006471D6" w:rsidRPr="00D27055" w:rsidRDefault="006471D6" w:rsidP="00566D26">
            <w:pPr>
              <w:pStyle w:val="TableText0"/>
              <w:keepLines/>
              <w:jc w:val="center"/>
              <w:rPr>
                <w:b/>
                <w:szCs w:val="20"/>
              </w:rPr>
            </w:pPr>
            <w:r w:rsidRPr="00CC2AF7">
              <w:t>41</w:t>
            </w:r>
            <w:r>
              <w:t>/94</w:t>
            </w:r>
            <w:r w:rsidRPr="00CC2AF7">
              <w:t xml:space="preserve"> (43.6)</w:t>
            </w:r>
          </w:p>
        </w:tc>
        <w:tc>
          <w:tcPr>
            <w:tcW w:w="721" w:type="pct"/>
            <w:vAlign w:val="center"/>
          </w:tcPr>
          <w:p w14:paraId="6DF9B850" w14:textId="77777777" w:rsidR="006471D6" w:rsidRPr="00D27055" w:rsidRDefault="006471D6" w:rsidP="00566D26">
            <w:pPr>
              <w:pStyle w:val="TableText0"/>
              <w:keepLines/>
              <w:jc w:val="center"/>
              <w:rPr>
                <w:b/>
                <w:szCs w:val="20"/>
              </w:rPr>
            </w:pPr>
            <w:r w:rsidRPr="00CC2AF7">
              <w:t>22</w:t>
            </w:r>
            <w:r>
              <w:t>/211</w:t>
            </w:r>
            <w:r w:rsidRPr="00CC2AF7">
              <w:t xml:space="preserve"> (10.4)</w:t>
            </w:r>
          </w:p>
        </w:tc>
      </w:tr>
      <w:tr w:rsidR="006471D6" w:rsidRPr="00D27055" w14:paraId="100DCBC6" w14:textId="77777777" w:rsidTr="00BA3F8A">
        <w:tc>
          <w:tcPr>
            <w:tcW w:w="5000" w:type="pct"/>
            <w:gridSpan w:val="5"/>
            <w:vAlign w:val="center"/>
          </w:tcPr>
          <w:p w14:paraId="23806775" w14:textId="77777777" w:rsidR="006471D6" w:rsidRPr="00D27055" w:rsidRDefault="006471D6" w:rsidP="00566D26">
            <w:pPr>
              <w:pStyle w:val="TableText0"/>
              <w:keepLines/>
              <w:rPr>
                <w:szCs w:val="20"/>
              </w:rPr>
            </w:pPr>
            <w:r w:rsidRPr="00D27055">
              <w:rPr>
                <w:b/>
                <w:szCs w:val="20"/>
              </w:rPr>
              <w:t>CNS DFS^</w:t>
            </w:r>
          </w:p>
        </w:tc>
      </w:tr>
      <w:tr w:rsidR="006471D6" w:rsidRPr="00D27055" w14:paraId="2D79EEE2" w14:textId="77777777" w:rsidTr="00BA3F8A">
        <w:tc>
          <w:tcPr>
            <w:tcW w:w="2110" w:type="pct"/>
            <w:vAlign w:val="center"/>
          </w:tcPr>
          <w:p w14:paraId="7C4F1D5A" w14:textId="77777777" w:rsidR="006471D6" w:rsidRPr="00D27055" w:rsidRDefault="006471D6" w:rsidP="00566D26">
            <w:pPr>
              <w:pStyle w:val="TableText0"/>
              <w:keepLines/>
              <w:ind w:left="110"/>
              <w:rPr>
                <w:szCs w:val="20"/>
              </w:rPr>
            </w:pPr>
            <w:r w:rsidRPr="00D27055">
              <w:rPr>
                <w:szCs w:val="20"/>
              </w:rPr>
              <w:t>Number of events, n/N (%)</w:t>
            </w:r>
          </w:p>
        </w:tc>
        <w:tc>
          <w:tcPr>
            <w:tcW w:w="723" w:type="pct"/>
            <w:vAlign w:val="center"/>
          </w:tcPr>
          <w:p w14:paraId="02260F45" w14:textId="77777777" w:rsidR="006471D6" w:rsidRPr="00D27055" w:rsidRDefault="006471D6" w:rsidP="00566D26">
            <w:pPr>
              <w:pStyle w:val="TableText0"/>
              <w:keepLines/>
              <w:jc w:val="center"/>
              <w:rPr>
                <w:rFonts w:cs="Arial"/>
                <w:szCs w:val="20"/>
              </w:rPr>
            </w:pPr>
            <w:r w:rsidRPr="00D27055">
              <w:rPr>
                <w:szCs w:val="20"/>
                <w:lang w:eastAsia="en-US"/>
              </w:rPr>
              <w:t>22/233 (9.4)</w:t>
            </w:r>
          </w:p>
        </w:tc>
        <w:tc>
          <w:tcPr>
            <w:tcW w:w="723" w:type="pct"/>
            <w:vAlign w:val="center"/>
          </w:tcPr>
          <w:p w14:paraId="09246A11" w14:textId="77777777" w:rsidR="006471D6" w:rsidRPr="00D27055" w:rsidRDefault="006471D6" w:rsidP="00566D26">
            <w:pPr>
              <w:pStyle w:val="TableText0"/>
              <w:keepLines/>
              <w:jc w:val="center"/>
              <w:rPr>
                <w:rFonts w:cs="Arial"/>
                <w:szCs w:val="20"/>
              </w:rPr>
            </w:pPr>
            <w:r w:rsidRPr="00D27055">
              <w:rPr>
                <w:szCs w:val="20"/>
                <w:lang w:eastAsia="en-US"/>
              </w:rPr>
              <w:t>41/237 (17.3)</w:t>
            </w:r>
          </w:p>
        </w:tc>
        <w:tc>
          <w:tcPr>
            <w:tcW w:w="723" w:type="pct"/>
            <w:vAlign w:val="center"/>
          </w:tcPr>
          <w:p w14:paraId="5505B0CB" w14:textId="77777777" w:rsidR="006471D6" w:rsidRPr="00D27055" w:rsidRDefault="006471D6" w:rsidP="00566D26">
            <w:pPr>
              <w:pStyle w:val="TableText0"/>
              <w:keepLines/>
              <w:jc w:val="center"/>
              <w:rPr>
                <w:rFonts w:cs="Arial"/>
                <w:szCs w:val="20"/>
              </w:rPr>
            </w:pPr>
            <w:r w:rsidRPr="00D27055">
              <w:rPr>
                <w:szCs w:val="20"/>
                <w:lang w:eastAsia="en-US"/>
              </w:rPr>
              <w:t>25/339 (7.4)</w:t>
            </w:r>
          </w:p>
        </w:tc>
        <w:tc>
          <w:tcPr>
            <w:tcW w:w="721" w:type="pct"/>
            <w:vAlign w:val="center"/>
          </w:tcPr>
          <w:p w14:paraId="565C496E" w14:textId="77777777" w:rsidR="006471D6" w:rsidRPr="00D27055" w:rsidRDefault="006471D6" w:rsidP="00566D26">
            <w:pPr>
              <w:pStyle w:val="TableText0"/>
              <w:keepLines/>
              <w:jc w:val="center"/>
              <w:rPr>
                <w:rFonts w:cs="Arial"/>
                <w:szCs w:val="20"/>
              </w:rPr>
            </w:pPr>
            <w:r w:rsidRPr="00D27055">
              <w:rPr>
                <w:szCs w:val="20"/>
                <w:lang w:eastAsia="en-US"/>
              </w:rPr>
              <w:t>50/343 (14.6)</w:t>
            </w:r>
          </w:p>
        </w:tc>
      </w:tr>
      <w:tr w:rsidR="006471D6" w:rsidRPr="00D27055" w14:paraId="00BA1FAA" w14:textId="77777777" w:rsidTr="00BA3F8A">
        <w:tc>
          <w:tcPr>
            <w:tcW w:w="2110" w:type="pct"/>
            <w:vAlign w:val="center"/>
          </w:tcPr>
          <w:p w14:paraId="39CE197C" w14:textId="77777777" w:rsidR="006471D6" w:rsidRPr="00D27055" w:rsidRDefault="006471D6" w:rsidP="00566D26">
            <w:pPr>
              <w:pStyle w:val="TableText0"/>
              <w:keepLines/>
              <w:ind w:left="110"/>
              <w:rPr>
                <w:szCs w:val="20"/>
              </w:rPr>
            </w:pPr>
            <w:r w:rsidRPr="00D27055">
              <w:rPr>
                <w:szCs w:val="20"/>
              </w:rPr>
              <w:t>Median CNS DFS, months (95% CI)</w:t>
            </w:r>
          </w:p>
        </w:tc>
        <w:tc>
          <w:tcPr>
            <w:tcW w:w="723" w:type="pct"/>
          </w:tcPr>
          <w:p w14:paraId="32B48B88" w14:textId="77777777" w:rsidR="006471D6" w:rsidRPr="00D27055" w:rsidRDefault="006471D6" w:rsidP="00566D26">
            <w:pPr>
              <w:pStyle w:val="TableText0"/>
              <w:keepLines/>
              <w:jc w:val="center"/>
              <w:rPr>
                <w:szCs w:val="20"/>
              </w:rPr>
            </w:pPr>
            <w:r w:rsidRPr="00D27055">
              <w:rPr>
                <w:rFonts w:cs="Arial"/>
                <w:szCs w:val="20"/>
              </w:rPr>
              <w:t>NC (65.8, NC)</w:t>
            </w:r>
          </w:p>
        </w:tc>
        <w:tc>
          <w:tcPr>
            <w:tcW w:w="723" w:type="pct"/>
          </w:tcPr>
          <w:p w14:paraId="53599FF2" w14:textId="77777777" w:rsidR="006471D6" w:rsidRPr="00D27055" w:rsidRDefault="006471D6" w:rsidP="00566D26">
            <w:pPr>
              <w:pStyle w:val="TableText0"/>
              <w:keepLines/>
              <w:jc w:val="center"/>
              <w:rPr>
                <w:szCs w:val="20"/>
              </w:rPr>
            </w:pPr>
            <w:r w:rsidRPr="00D27055">
              <w:rPr>
                <w:rFonts w:cs="Arial"/>
                <w:szCs w:val="20"/>
              </w:rPr>
              <w:t>NC (NC, NC)</w:t>
            </w:r>
          </w:p>
        </w:tc>
        <w:tc>
          <w:tcPr>
            <w:tcW w:w="723" w:type="pct"/>
          </w:tcPr>
          <w:p w14:paraId="3059E1F4" w14:textId="77777777" w:rsidR="006471D6" w:rsidRPr="00D27055" w:rsidRDefault="006471D6" w:rsidP="00566D26">
            <w:pPr>
              <w:pStyle w:val="TableText0"/>
              <w:keepLines/>
              <w:jc w:val="center"/>
              <w:rPr>
                <w:szCs w:val="20"/>
              </w:rPr>
            </w:pPr>
            <w:r w:rsidRPr="00D27055">
              <w:rPr>
                <w:rFonts w:cs="Arial"/>
                <w:szCs w:val="20"/>
              </w:rPr>
              <w:t>NC (65.8, NC)</w:t>
            </w:r>
          </w:p>
        </w:tc>
        <w:tc>
          <w:tcPr>
            <w:tcW w:w="721" w:type="pct"/>
          </w:tcPr>
          <w:p w14:paraId="033E1BB8" w14:textId="77777777" w:rsidR="006471D6" w:rsidRPr="00D27055" w:rsidRDefault="006471D6" w:rsidP="00566D26">
            <w:pPr>
              <w:pStyle w:val="TableText0"/>
              <w:keepLines/>
              <w:jc w:val="center"/>
              <w:rPr>
                <w:szCs w:val="20"/>
              </w:rPr>
            </w:pPr>
            <w:r w:rsidRPr="00D27055">
              <w:rPr>
                <w:rFonts w:cs="Arial"/>
                <w:szCs w:val="20"/>
              </w:rPr>
              <w:t>NC (NC, NC)</w:t>
            </w:r>
          </w:p>
        </w:tc>
      </w:tr>
      <w:tr w:rsidR="006471D6" w:rsidRPr="00D27055" w14:paraId="629EED0F" w14:textId="77777777" w:rsidTr="00BA3F8A">
        <w:tc>
          <w:tcPr>
            <w:tcW w:w="2110" w:type="pct"/>
            <w:vAlign w:val="center"/>
          </w:tcPr>
          <w:p w14:paraId="7F5D6A9D" w14:textId="77777777" w:rsidR="006471D6" w:rsidRPr="00D27055" w:rsidRDefault="006471D6" w:rsidP="00566D26">
            <w:pPr>
              <w:pStyle w:val="TableText0"/>
              <w:keepLines/>
              <w:ind w:left="110"/>
              <w:rPr>
                <w:szCs w:val="20"/>
              </w:rPr>
            </w:pPr>
            <w:r w:rsidRPr="00D27055">
              <w:rPr>
                <w:szCs w:val="20"/>
              </w:rPr>
              <w:t>Osimertinib vs placebo, HR (95%CI)</w:t>
            </w:r>
          </w:p>
        </w:tc>
        <w:tc>
          <w:tcPr>
            <w:tcW w:w="1446" w:type="pct"/>
            <w:gridSpan w:val="2"/>
          </w:tcPr>
          <w:p w14:paraId="3DD0002A" w14:textId="77777777" w:rsidR="006471D6" w:rsidRPr="00D27055" w:rsidRDefault="006471D6" w:rsidP="00566D26">
            <w:pPr>
              <w:pStyle w:val="TableText0"/>
              <w:keepLines/>
              <w:jc w:val="center"/>
              <w:rPr>
                <w:szCs w:val="20"/>
              </w:rPr>
            </w:pPr>
            <w:r w:rsidRPr="00D27055">
              <w:rPr>
                <w:rFonts w:cs="Arial"/>
                <w:b/>
                <w:szCs w:val="20"/>
              </w:rPr>
              <w:t>0.24 (0.14, 0.</w:t>
            </w:r>
            <w:r w:rsidRPr="00032F7F">
              <w:rPr>
                <w:rFonts w:cs="Arial"/>
                <w:b/>
                <w:szCs w:val="20"/>
              </w:rPr>
              <w:t>42); p &lt; 0.0001</w:t>
            </w:r>
          </w:p>
        </w:tc>
        <w:tc>
          <w:tcPr>
            <w:tcW w:w="1444" w:type="pct"/>
            <w:gridSpan w:val="2"/>
            <w:vAlign w:val="center"/>
          </w:tcPr>
          <w:p w14:paraId="6FA33115" w14:textId="77777777" w:rsidR="006471D6" w:rsidRPr="00D27055" w:rsidRDefault="006471D6" w:rsidP="00566D26">
            <w:pPr>
              <w:pStyle w:val="TableText0"/>
              <w:keepLines/>
              <w:jc w:val="center"/>
              <w:rPr>
                <w:szCs w:val="20"/>
              </w:rPr>
            </w:pPr>
            <w:r w:rsidRPr="00D27055">
              <w:rPr>
                <w:rFonts w:cs="Arial"/>
                <w:b/>
                <w:szCs w:val="20"/>
              </w:rPr>
              <w:t>0.36 (0.23, 0.57</w:t>
            </w:r>
            <w:r w:rsidRPr="00032F7F">
              <w:rPr>
                <w:rFonts w:cs="Arial"/>
                <w:b/>
                <w:szCs w:val="20"/>
              </w:rPr>
              <w:t>); p &lt; 0.0001</w:t>
            </w:r>
          </w:p>
        </w:tc>
      </w:tr>
      <w:tr w:rsidR="006471D6" w:rsidRPr="00D27055" w14:paraId="48AB5D46" w14:textId="77777777" w:rsidTr="00BA3F8A">
        <w:tc>
          <w:tcPr>
            <w:tcW w:w="5000" w:type="pct"/>
            <w:gridSpan w:val="5"/>
            <w:tcBorders>
              <w:bottom w:val="nil"/>
            </w:tcBorders>
            <w:vAlign w:val="center"/>
          </w:tcPr>
          <w:p w14:paraId="05F9512A" w14:textId="77777777" w:rsidR="006471D6" w:rsidRPr="00D27055" w:rsidRDefault="006471D6" w:rsidP="00566D26">
            <w:pPr>
              <w:pStyle w:val="TableText0"/>
              <w:keepLines/>
              <w:rPr>
                <w:szCs w:val="20"/>
              </w:rPr>
            </w:pPr>
            <w:r w:rsidRPr="00D27055">
              <w:rPr>
                <w:b/>
                <w:bCs w:val="0"/>
                <w:szCs w:val="20"/>
              </w:rPr>
              <w:t>TFST^</w:t>
            </w:r>
          </w:p>
        </w:tc>
      </w:tr>
      <w:tr w:rsidR="006471D6" w:rsidRPr="00D27055" w14:paraId="0A206FCC" w14:textId="77777777" w:rsidTr="00BA3F8A">
        <w:tc>
          <w:tcPr>
            <w:tcW w:w="2110" w:type="pct"/>
            <w:vAlign w:val="center"/>
          </w:tcPr>
          <w:p w14:paraId="712615ED" w14:textId="77777777" w:rsidR="006471D6" w:rsidRPr="00D27055" w:rsidRDefault="006471D6" w:rsidP="00566D26">
            <w:pPr>
              <w:pStyle w:val="TableText0"/>
              <w:keepLines/>
              <w:ind w:left="110"/>
              <w:rPr>
                <w:szCs w:val="20"/>
              </w:rPr>
            </w:pPr>
            <w:r w:rsidRPr="00D27055">
              <w:rPr>
                <w:szCs w:val="20"/>
              </w:rPr>
              <w:t>Number of events, n/N (%)</w:t>
            </w:r>
          </w:p>
        </w:tc>
        <w:tc>
          <w:tcPr>
            <w:tcW w:w="723" w:type="pct"/>
          </w:tcPr>
          <w:p w14:paraId="5D241A95" w14:textId="77777777" w:rsidR="006471D6" w:rsidRPr="00D27055" w:rsidRDefault="006471D6" w:rsidP="00566D26">
            <w:pPr>
              <w:pStyle w:val="TableText0"/>
              <w:keepLines/>
              <w:jc w:val="center"/>
              <w:rPr>
                <w:szCs w:val="20"/>
              </w:rPr>
            </w:pPr>
            <w:r w:rsidRPr="00D27055">
              <w:rPr>
                <w:szCs w:val="20"/>
              </w:rPr>
              <w:t>NR</w:t>
            </w:r>
          </w:p>
        </w:tc>
        <w:tc>
          <w:tcPr>
            <w:tcW w:w="723" w:type="pct"/>
          </w:tcPr>
          <w:p w14:paraId="4D1CBF23" w14:textId="77777777" w:rsidR="006471D6" w:rsidRPr="00D27055" w:rsidRDefault="006471D6" w:rsidP="00566D26">
            <w:pPr>
              <w:pStyle w:val="TableText0"/>
              <w:keepLines/>
              <w:jc w:val="center"/>
              <w:rPr>
                <w:szCs w:val="20"/>
              </w:rPr>
            </w:pPr>
            <w:r w:rsidRPr="00D27055">
              <w:rPr>
                <w:szCs w:val="20"/>
              </w:rPr>
              <w:t>NR</w:t>
            </w:r>
          </w:p>
        </w:tc>
        <w:tc>
          <w:tcPr>
            <w:tcW w:w="723" w:type="pct"/>
          </w:tcPr>
          <w:p w14:paraId="62DD88F7" w14:textId="77777777" w:rsidR="006471D6" w:rsidRPr="00D27055" w:rsidRDefault="006471D6" w:rsidP="00566D26">
            <w:pPr>
              <w:pStyle w:val="TableText0"/>
              <w:keepLines/>
              <w:jc w:val="center"/>
              <w:rPr>
                <w:szCs w:val="20"/>
              </w:rPr>
            </w:pPr>
            <w:r w:rsidRPr="00D27055">
              <w:rPr>
                <w:szCs w:val="20"/>
              </w:rPr>
              <w:t>71/339 (20.9)</w:t>
            </w:r>
          </w:p>
        </w:tc>
        <w:tc>
          <w:tcPr>
            <w:tcW w:w="721" w:type="pct"/>
          </w:tcPr>
          <w:p w14:paraId="67DC511B" w14:textId="77777777" w:rsidR="006471D6" w:rsidRPr="00D27055" w:rsidRDefault="006471D6" w:rsidP="00566D26">
            <w:pPr>
              <w:pStyle w:val="TableText0"/>
              <w:keepLines/>
              <w:jc w:val="center"/>
              <w:rPr>
                <w:szCs w:val="20"/>
              </w:rPr>
            </w:pPr>
            <w:r w:rsidRPr="00D27055">
              <w:rPr>
                <w:szCs w:val="20"/>
              </w:rPr>
              <w:t>189/343 (55.1)</w:t>
            </w:r>
          </w:p>
        </w:tc>
      </w:tr>
      <w:tr w:rsidR="006471D6" w:rsidRPr="00D27055" w14:paraId="2AE7F68B" w14:textId="77777777" w:rsidTr="00BA3F8A">
        <w:tc>
          <w:tcPr>
            <w:tcW w:w="2110" w:type="pct"/>
            <w:vAlign w:val="center"/>
          </w:tcPr>
          <w:p w14:paraId="196DA9AC" w14:textId="77777777" w:rsidR="006471D6" w:rsidRPr="00D27055" w:rsidRDefault="006471D6" w:rsidP="00566D26">
            <w:pPr>
              <w:pStyle w:val="TableText0"/>
              <w:keepLines/>
              <w:ind w:left="110"/>
              <w:rPr>
                <w:szCs w:val="20"/>
              </w:rPr>
            </w:pPr>
            <w:r w:rsidRPr="00D27055">
              <w:rPr>
                <w:szCs w:val="20"/>
              </w:rPr>
              <w:t>Median TFST, months (95% CI)</w:t>
            </w:r>
          </w:p>
        </w:tc>
        <w:tc>
          <w:tcPr>
            <w:tcW w:w="723" w:type="pct"/>
          </w:tcPr>
          <w:p w14:paraId="1F12E6AE" w14:textId="77777777" w:rsidR="006471D6" w:rsidRPr="00D27055" w:rsidRDefault="006471D6" w:rsidP="00566D26">
            <w:pPr>
              <w:pStyle w:val="TableText0"/>
              <w:keepLines/>
              <w:jc w:val="center"/>
              <w:rPr>
                <w:szCs w:val="20"/>
              </w:rPr>
            </w:pPr>
            <w:r w:rsidRPr="00D27055">
              <w:rPr>
                <w:szCs w:val="20"/>
              </w:rPr>
              <w:t>NR</w:t>
            </w:r>
          </w:p>
        </w:tc>
        <w:tc>
          <w:tcPr>
            <w:tcW w:w="723" w:type="pct"/>
          </w:tcPr>
          <w:p w14:paraId="332867B8" w14:textId="77777777" w:rsidR="006471D6" w:rsidRPr="00D27055" w:rsidRDefault="006471D6" w:rsidP="00566D26">
            <w:pPr>
              <w:pStyle w:val="TableText0"/>
              <w:keepLines/>
              <w:jc w:val="center"/>
              <w:rPr>
                <w:szCs w:val="20"/>
              </w:rPr>
            </w:pPr>
            <w:r w:rsidRPr="00D27055">
              <w:rPr>
                <w:szCs w:val="20"/>
              </w:rPr>
              <w:t>NR</w:t>
            </w:r>
          </w:p>
        </w:tc>
        <w:tc>
          <w:tcPr>
            <w:tcW w:w="723" w:type="pct"/>
          </w:tcPr>
          <w:p w14:paraId="301FD4C3" w14:textId="77777777" w:rsidR="006471D6" w:rsidRPr="00D27055" w:rsidRDefault="006471D6" w:rsidP="00566D26">
            <w:pPr>
              <w:pStyle w:val="TableText0"/>
              <w:keepLines/>
              <w:jc w:val="center"/>
              <w:rPr>
                <w:szCs w:val="20"/>
              </w:rPr>
            </w:pPr>
            <w:r w:rsidRPr="00D27055">
              <w:rPr>
                <w:szCs w:val="20"/>
              </w:rPr>
              <w:t>NC (NC, NC)</w:t>
            </w:r>
          </w:p>
        </w:tc>
        <w:tc>
          <w:tcPr>
            <w:tcW w:w="721" w:type="pct"/>
          </w:tcPr>
          <w:p w14:paraId="50320B4A" w14:textId="77777777" w:rsidR="006471D6" w:rsidRPr="00D27055" w:rsidRDefault="006471D6" w:rsidP="00566D26">
            <w:pPr>
              <w:pStyle w:val="TableText0"/>
              <w:keepLines/>
              <w:jc w:val="center"/>
              <w:rPr>
                <w:szCs w:val="20"/>
              </w:rPr>
            </w:pPr>
            <w:r w:rsidRPr="00D27055">
              <w:rPr>
                <w:szCs w:val="20"/>
              </w:rPr>
              <w:t>38.4 (30.1, 46.2)</w:t>
            </w:r>
          </w:p>
        </w:tc>
      </w:tr>
      <w:tr w:rsidR="006471D6" w:rsidRPr="00D27055" w14:paraId="7FEF0262" w14:textId="77777777" w:rsidTr="00BA3F8A">
        <w:tc>
          <w:tcPr>
            <w:tcW w:w="2110" w:type="pct"/>
            <w:vAlign w:val="center"/>
          </w:tcPr>
          <w:p w14:paraId="1FE9F21D" w14:textId="77777777" w:rsidR="006471D6" w:rsidRPr="00D27055" w:rsidRDefault="006471D6" w:rsidP="00566D26">
            <w:pPr>
              <w:pStyle w:val="TableText0"/>
              <w:keepLines/>
              <w:ind w:left="110"/>
              <w:rPr>
                <w:szCs w:val="20"/>
              </w:rPr>
            </w:pPr>
            <w:r w:rsidRPr="00D27055">
              <w:rPr>
                <w:szCs w:val="20"/>
              </w:rPr>
              <w:t>Osimertinib vs placebo, HR (95% CI)</w:t>
            </w:r>
          </w:p>
        </w:tc>
        <w:tc>
          <w:tcPr>
            <w:tcW w:w="1446" w:type="pct"/>
            <w:gridSpan w:val="2"/>
          </w:tcPr>
          <w:p w14:paraId="6CF9FE2D" w14:textId="77777777" w:rsidR="006471D6" w:rsidRPr="00D27055" w:rsidRDefault="006471D6" w:rsidP="00566D26">
            <w:pPr>
              <w:pStyle w:val="TableText0"/>
              <w:keepLines/>
              <w:jc w:val="center"/>
              <w:rPr>
                <w:szCs w:val="20"/>
              </w:rPr>
            </w:pPr>
            <w:r w:rsidRPr="00D27055">
              <w:rPr>
                <w:szCs w:val="20"/>
              </w:rPr>
              <w:t>NR</w:t>
            </w:r>
          </w:p>
        </w:tc>
        <w:tc>
          <w:tcPr>
            <w:tcW w:w="1444" w:type="pct"/>
            <w:gridSpan w:val="2"/>
          </w:tcPr>
          <w:p w14:paraId="4D98F4AA" w14:textId="77777777" w:rsidR="006471D6" w:rsidRPr="00D27055" w:rsidRDefault="006471D6" w:rsidP="00566D26">
            <w:pPr>
              <w:pStyle w:val="TableText0"/>
              <w:keepLines/>
              <w:jc w:val="center"/>
              <w:rPr>
                <w:szCs w:val="20"/>
              </w:rPr>
            </w:pPr>
            <w:r w:rsidRPr="00D27055">
              <w:rPr>
                <w:b/>
                <w:szCs w:val="20"/>
              </w:rPr>
              <w:t>0.26 (0.20, 0.33); p &lt; 0.0001</w:t>
            </w:r>
          </w:p>
        </w:tc>
      </w:tr>
      <w:tr w:rsidR="006471D6" w:rsidRPr="00D27055" w14:paraId="75037968" w14:textId="77777777" w:rsidTr="00BA3F8A">
        <w:tc>
          <w:tcPr>
            <w:tcW w:w="5000" w:type="pct"/>
            <w:gridSpan w:val="5"/>
            <w:vAlign w:val="center"/>
          </w:tcPr>
          <w:p w14:paraId="0F3B67A2" w14:textId="77777777" w:rsidR="006471D6" w:rsidRPr="00D27055" w:rsidRDefault="006471D6" w:rsidP="00566D26">
            <w:pPr>
              <w:pStyle w:val="TableText0"/>
              <w:keepLines/>
              <w:rPr>
                <w:szCs w:val="20"/>
              </w:rPr>
            </w:pPr>
            <w:r w:rsidRPr="00D27055">
              <w:rPr>
                <w:b/>
                <w:bCs w:val="0"/>
                <w:szCs w:val="20"/>
              </w:rPr>
              <w:t>TSST</w:t>
            </w:r>
            <w:r>
              <w:rPr>
                <w:b/>
                <w:bCs w:val="0"/>
                <w:szCs w:val="20"/>
                <w:vertAlign w:val="superscript"/>
              </w:rPr>
              <w:t>a</w:t>
            </w:r>
            <w:r w:rsidRPr="00D27055">
              <w:rPr>
                <w:b/>
                <w:bCs w:val="0"/>
                <w:szCs w:val="20"/>
              </w:rPr>
              <w:t>^</w:t>
            </w:r>
          </w:p>
        </w:tc>
      </w:tr>
      <w:tr w:rsidR="006471D6" w:rsidRPr="00D27055" w14:paraId="571B0595" w14:textId="77777777" w:rsidTr="00BA3F8A">
        <w:tc>
          <w:tcPr>
            <w:tcW w:w="2110" w:type="pct"/>
          </w:tcPr>
          <w:p w14:paraId="21557688" w14:textId="77777777" w:rsidR="006471D6" w:rsidRPr="00D27055" w:rsidRDefault="006471D6" w:rsidP="00566D26">
            <w:pPr>
              <w:pStyle w:val="TableText0"/>
              <w:keepLines/>
              <w:ind w:left="110"/>
              <w:rPr>
                <w:szCs w:val="20"/>
              </w:rPr>
            </w:pPr>
            <w:r w:rsidRPr="00D27055">
              <w:rPr>
                <w:szCs w:val="20"/>
              </w:rPr>
              <w:t>Number of events, n/N (%)</w:t>
            </w:r>
          </w:p>
        </w:tc>
        <w:tc>
          <w:tcPr>
            <w:tcW w:w="723" w:type="pct"/>
          </w:tcPr>
          <w:p w14:paraId="66B0FAAC" w14:textId="77777777" w:rsidR="006471D6" w:rsidRPr="00D27055" w:rsidRDefault="006471D6" w:rsidP="00566D26">
            <w:pPr>
              <w:pStyle w:val="TableText0"/>
              <w:keepLines/>
              <w:jc w:val="center"/>
              <w:rPr>
                <w:szCs w:val="20"/>
              </w:rPr>
            </w:pPr>
            <w:r w:rsidRPr="00D27055">
              <w:rPr>
                <w:szCs w:val="20"/>
              </w:rPr>
              <w:t>NR</w:t>
            </w:r>
          </w:p>
        </w:tc>
        <w:tc>
          <w:tcPr>
            <w:tcW w:w="723" w:type="pct"/>
          </w:tcPr>
          <w:p w14:paraId="2E8D8C53" w14:textId="77777777" w:rsidR="006471D6" w:rsidRPr="00D27055" w:rsidRDefault="006471D6" w:rsidP="00566D26">
            <w:pPr>
              <w:pStyle w:val="TableText0"/>
              <w:keepLines/>
              <w:jc w:val="center"/>
              <w:rPr>
                <w:szCs w:val="20"/>
              </w:rPr>
            </w:pPr>
            <w:r w:rsidRPr="00D27055">
              <w:rPr>
                <w:szCs w:val="20"/>
              </w:rPr>
              <w:t>NR</w:t>
            </w:r>
          </w:p>
        </w:tc>
        <w:tc>
          <w:tcPr>
            <w:tcW w:w="723" w:type="pct"/>
            <w:vAlign w:val="center"/>
          </w:tcPr>
          <w:p w14:paraId="074D1EF4" w14:textId="77777777" w:rsidR="006471D6" w:rsidRPr="00D27055" w:rsidRDefault="006471D6" w:rsidP="00566D26">
            <w:pPr>
              <w:pStyle w:val="TableText0"/>
              <w:keepLines/>
              <w:jc w:val="center"/>
              <w:rPr>
                <w:szCs w:val="20"/>
              </w:rPr>
            </w:pPr>
            <w:r w:rsidRPr="00D27055">
              <w:rPr>
                <w:szCs w:val="20"/>
                <w:lang w:eastAsia="en-US"/>
              </w:rPr>
              <w:t>44/339 (13.0)</w:t>
            </w:r>
          </w:p>
        </w:tc>
        <w:tc>
          <w:tcPr>
            <w:tcW w:w="721" w:type="pct"/>
            <w:vAlign w:val="center"/>
          </w:tcPr>
          <w:p w14:paraId="34A91F1A" w14:textId="77777777" w:rsidR="006471D6" w:rsidRPr="00D27055" w:rsidRDefault="006471D6" w:rsidP="00566D26">
            <w:pPr>
              <w:pStyle w:val="TableText0"/>
              <w:keepLines/>
              <w:jc w:val="center"/>
              <w:rPr>
                <w:szCs w:val="20"/>
              </w:rPr>
            </w:pPr>
            <w:r w:rsidRPr="00D27055">
              <w:rPr>
                <w:szCs w:val="20"/>
                <w:lang w:eastAsia="en-US"/>
              </w:rPr>
              <w:t>106/343 (30.9)</w:t>
            </w:r>
          </w:p>
        </w:tc>
      </w:tr>
      <w:tr w:rsidR="006471D6" w:rsidRPr="00D27055" w14:paraId="22CFAF2B" w14:textId="77777777" w:rsidTr="00BA3F8A">
        <w:tc>
          <w:tcPr>
            <w:tcW w:w="2110" w:type="pct"/>
          </w:tcPr>
          <w:p w14:paraId="42B1F680" w14:textId="77777777" w:rsidR="006471D6" w:rsidRPr="00D27055" w:rsidRDefault="006471D6" w:rsidP="00566D26">
            <w:pPr>
              <w:pStyle w:val="TableText0"/>
              <w:keepLines/>
              <w:ind w:left="110"/>
              <w:rPr>
                <w:szCs w:val="20"/>
              </w:rPr>
            </w:pPr>
            <w:r w:rsidRPr="00D27055">
              <w:rPr>
                <w:szCs w:val="20"/>
              </w:rPr>
              <w:t>Median TSST, months (95% CI)</w:t>
            </w:r>
          </w:p>
        </w:tc>
        <w:tc>
          <w:tcPr>
            <w:tcW w:w="723" w:type="pct"/>
          </w:tcPr>
          <w:p w14:paraId="404A7061" w14:textId="77777777" w:rsidR="006471D6" w:rsidRPr="00D27055" w:rsidRDefault="006471D6" w:rsidP="00566D26">
            <w:pPr>
              <w:pStyle w:val="TableText0"/>
              <w:keepLines/>
              <w:jc w:val="center"/>
              <w:rPr>
                <w:szCs w:val="20"/>
              </w:rPr>
            </w:pPr>
            <w:r w:rsidRPr="00D27055">
              <w:rPr>
                <w:szCs w:val="20"/>
              </w:rPr>
              <w:t>NR</w:t>
            </w:r>
          </w:p>
        </w:tc>
        <w:tc>
          <w:tcPr>
            <w:tcW w:w="723" w:type="pct"/>
          </w:tcPr>
          <w:p w14:paraId="02C617F4" w14:textId="77777777" w:rsidR="006471D6" w:rsidRPr="00D27055" w:rsidRDefault="006471D6" w:rsidP="00566D26">
            <w:pPr>
              <w:pStyle w:val="TableText0"/>
              <w:keepLines/>
              <w:jc w:val="center"/>
              <w:rPr>
                <w:szCs w:val="20"/>
              </w:rPr>
            </w:pPr>
            <w:r w:rsidRPr="00D27055">
              <w:rPr>
                <w:szCs w:val="20"/>
              </w:rPr>
              <w:t>NR</w:t>
            </w:r>
          </w:p>
        </w:tc>
        <w:tc>
          <w:tcPr>
            <w:tcW w:w="723" w:type="pct"/>
          </w:tcPr>
          <w:p w14:paraId="04918F89" w14:textId="77777777" w:rsidR="006471D6" w:rsidRPr="00D27055" w:rsidRDefault="006471D6" w:rsidP="00566D26">
            <w:pPr>
              <w:pStyle w:val="TableText0"/>
              <w:keepLines/>
              <w:jc w:val="center"/>
              <w:rPr>
                <w:szCs w:val="20"/>
              </w:rPr>
            </w:pPr>
            <w:r w:rsidRPr="00D27055">
              <w:rPr>
                <w:szCs w:val="20"/>
              </w:rPr>
              <w:t>NC (NC, NC)</w:t>
            </w:r>
          </w:p>
        </w:tc>
        <w:tc>
          <w:tcPr>
            <w:tcW w:w="721" w:type="pct"/>
          </w:tcPr>
          <w:p w14:paraId="5F3C2E79" w14:textId="77777777" w:rsidR="006471D6" w:rsidRPr="00D27055" w:rsidRDefault="006471D6" w:rsidP="00566D26">
            <w:pPr>
              <w:pStyle w:val="TableText0"/>
              <w:keepLines/>
              <w:jc w:val="center"/>
              <w:rPr>
                <w:szCs w:val="20"/>
              </w:rPr>
            </w:pPr>
            <w:r w:rsidRPr="00D27055">
              <w:rPr>
                <w:szCs w:val="20"/>
              </w:rPr>
              <w:t>NC (NC, NC)</w:t>
            </w:r>
          </w:p>
        </w:tc>
      </w:tr>
      <w:tr w:rsidR="006471D6" w:rsidRPr="00D27055" w14:paraId="21DF5F56" w14:textId="77777777" w:rsidTr="00BA3F8A">
        <w:tc>
          <w:tcPr>
            <w:tcW w:w="2110" w:type="pct"/>
          </w:tcPr>
          <w:p w14:paraId="147FB94C" w14:textId="77777777" w:rsidR="006471D6" w:rsidRPr="00D27055" w:rsidRDefault="006471D6" w:rsidP="00566D26">
            <w:pPr>
              <w:pStyle w:val="TableText0"/>
              <w:keepLines/>
              <w:ind w:left="110"/>
              <w:rPr>
                <w:szCs w:val="20"/>
              </w:rPr>
            </w:pPr>
            <w:r w:rsidRPr="00D27055">
              <w:rPr>
                <w:szCs w:val="20"/>
              </w:rPr>
              <w:t>Osimertinib vs placebo, HR (95% CI)</w:t>
            </w:r>
          </w:p>
        </w:tc>
        <w:tc>
          <w:tcPr>
            <w:tcW w:w="1446" w:type="pct"/>
            <w:gridSpan w:val="2"/>
            <w:vAlign w:val="center"/>
          </w:tcPr>
          <w:p w14:paraId="02F466B0" w14:textId="77777777" w:rsidR="006471D6" w:rsidRPr="00D27055" w:rsidRDefault="006471D6" w:rsidP="00566D26">
            <w:pPr>
              <w:pStyle w:val="TableText0"/>
              <w:keepLines/>
              <w:jc w:val="center"/>
              <w:rPr>
                <w:szCs w:val="20"/>
              </w:rPr>
            </w:pPr>
            <w:r w:rsidRPr="00D27055">
              <w:rPr>
                <w:szCs w:val="20"/>
              </w:rPr>
              <w:t>NR</w:t>
            </w:r>
          </w:p>
        </w:tc>
        <w:tc>
          <w:tcPr>
            <w:tcW w:w="1444" w:type="pct"/>
            <w:gridSpan w:val="2"/>
          </w:tcPr>
          <w:p w14:paraId="75142BC0" w14:textId="77777777" w:rsidR="006471D6" w:rsidRPr="00D27055" w:rsidRDefault="006471D6" w:rsidP="00566D26">
            <w:pPr>
              <w:pStyle w:val="TableText0"/>
              <w:keepLines/>
              <w:jc w:val="center"/>
              <w:rPr>
                <w:szCs w:val="20"/>
              </w:rPr>
            </w:pPr>
            <w:r w:rsidRPr="00D27055">
              <w:rPr>
                <w:b/>
                <w:szCs w:val="20"/>
              </w:rPr>
              <w:t>0.37 (0.26, 0.50); p &lt; 0.0001</w:t>
            </w:r>
          </w:p>
        </w:tc>
      </w:tr>
    </w:tbl>
    <w:p w14:paraId="11593718" w14:textId="77777777" w:rsidR="006471D6" w:rsidRPr="00B1011F" w:rsidRDefault="006471D6" w:rsidP="00566D26">
      <w:pPr>
        <w:pStyle w:val="FooterTableFigure"/>
        <w:keepNext/>
        <w:keepLines/>
        <w:rPr>
          <w:sz w:val="20"/>
        </w:rPr>
      </w:pPr>
      <w:r>
        <w:t>Source: Tables 2.5-1, p 55, 2.5-4, p58,</w:t>
      </w:r>
      <w:r w:rsidRPr="00972491">
        <w:t xml:space="preserve"> </w:t>
      </w:r>
      <w:r>
        <w:t xml:space="preserve">2.5-5, p60, </w:t>
      </w:r>
      <w:r w:rsidRPr="00972491">
        <w:t>2.5-7</w:t>
      </w:r>
      <w:r>
        <w:t xml:space="preserve">, p63 </w:t>
      </w:r>
      <w:r w:rsidRPr="00972491">
        <w:t>and 2.5-8, p64 of the submission</w:t>
      </w:r>
      <w:r>
        <w:t xml:space="preserve">, </w:t>
      </w:r>
      <w:r w:rsidRPr="00143D70">
        <w:rPr>
          <w:szCs w:val="18"/>
        </w:rPr>
        <w:t>Table 6, p34 and Table 7, pp37-38 of ADAURA CSR DCO2</w:t>
      </w:r>
      <w:r>
        <w:rPr>
          <w:szCs w:val="18"/>
        </w:rPr>
        <w:t xml:space="preserve">, </w:t>
      </w:r>
      <w:r>
        <w:t xml:space="preserve">Tables14.2.5.1, p298, 14.2.5.2, p299 and 14.2.5.3, p300 ADAURA CSR DCO3 Tables and Figures, </w:t>
      </w:r>
    </w:p>
    <w:p w14:paraId="26A346D2" w14:textId="77777777" w:rsidR="006471D6" w:rsidRDefault="006471D6" w:rsidP="00566D26">
      <w:pPr>
        <w:pStyle w:val="FooterTableFigure"/>
        <w:keepNext/>
        <w:keepLines/>
        <w:rPr>
          <w:rFonts w:eastAsia="Calibri"/>
        </w:rPr>
      </w:pPr>
      <w:r w:rsidRPr="00B40358">
        <w:rPr>
          <w:rFonts w:eastAsia="Calibri"/>
        </w:rPr>
        <w:t xml:space="preserve">CI = confidence interval; </w:t>
      </w:r>
      <w:r>
        <w:t xml:space="preserve">CNS = central nervous system; </w:t>
      </w:r>
      <w:r>
        <w:rPr>
          <w:rFonts w:eastAsia="Calibri"/>
        </w:rPr>
        <w:t>DCO= data cut-off;</w:t>
      </w:r>
      <w:r w:rsidRPr="00C01388">
        <w:t xml:space="preserve"> </w:t>
      </w:r>
      <w:r>
        <w:t xml:space="preserve">DFS = disease-free survival; HR = hazard ratio; NC = not calculable; OS = overall survival; TFST = time to first subsequent treatment; TSST = time to second subsequent treatment; </w:t>
      </w:r>
      <w:r w:rsidRPr="00B83739">
        <w:rPr>
          <w:rFonts w:eastAsia="Calibri"/>
          <w:b/>
          <w:bCs/>
        </w:rPr>
        <w:t>Bold</w:t>
      </w:r>
      <w:r w:rsidRPr="00B83739">
        <w:rPr>
          <w:rFonts w:eastAsia="Calibri"/>
        </w:rPr>
        <w:t xml:space="preserve"> indicates statistically significant results.</w:t>
      </w:r>
    </w:p>
    <w:p w14:paraId="60E0BB7B" w14:textId="77777777" w:rsidR="006471D6" w:rsidRDefault="006471D6" w:rsidP="00566D26">
      <w:pPr>
        <w:pStyle w:val="FooterTableFigure"/>
        <w:keepNext/>
        <w:keepLines/>
        <w:ind w:left="165" w:hanging="165"/>
      </w:pPr>
      <w:r>
        <w:rPr>
          <w:rFonts w:eastAsia="Calibri"/>
          <w:vertAlign w:val="superscript"/>
        </w:rPr>
        <w:t>a</w:t>
      </w:r>
      <w:r>
        <w:rPr>
          <w:rFonts w:eastAsia="Calibri"/>
          <w:vertAlign w:val="superscript"/>
        </w:rPr>
        <w:tab/>
      </w:r>
      <w:r w:rsidRPr="00972491">
        <w:t>At DCO3, prespecified TSST analyses were not produced because TSST data were deemed too immature for meaningful analysis (ADAURA CSR DCO3, Table 2, p20).</w:t>
      </w:r>
    </w:p>
    <w:p w14:paraId="28854BAE" w14:textId="77777777" w:rsidR="006471D6" w:rsidRPr="00F557F0" w:rsidRDefault="006471D6" w:rsidP="006471D6">
      <w:pPr>
        <w:pStyle w:val="FooterTableFigure"/>
        <w:rPr>
          <w:rFonts w:eastAsia="Calibri"/>
        </w:rPr>
      </w:pPr>
      <w:r>
        <w:rPr>
          <w:rFonts w:eastAsia="Calibri"/>
        </w:rPr>
        <w:t>^</w:t>
      </w:r>
      <w:r>
        <w:rPr>
          <w:rFonts w:eastAsia="Calibri"/>
        </w:rPr>
        <w:tab/>
        <w:t>exploratory outcome.</w:t>
      </w:r>
    </w:p>
    <w:p w14:paraId="1CB51E91" w14:textId="77777777" w:rsidR="006471D6" w:rsidRDefault="006471D6" w:rsidP="006471D6"/>
    <w:p w14:paraId="6B6257AC" w14:textId="77777777" w:rsidR="006471D6" w:rsidRDefault="006471D6" w:rsidP="006471D6">
      <w:pPr>
        <w:pStyle w:val="Caption"/>
        <w:jc w:val="left"/>
      </w:pPr>
      <w:bookmarkStart w:id="23" w:name="_Ref144754982"/>
      <w:r>
        <w:t xml:space="preserve">Figure </w:t>
      </w:r>
      <w:r w:rsidR="001E77BF">
        <w:fldChar w:fldCharType="begin" w:fldLock="1"/>
      </w:r>
      <w:r w:rsidR="001E77BF">
        <w:instrText xml:space="preserve"> SEQ Figure \* ARABIC </w:instrText>
      </w:r>
      <w:r w:rsidR="001E77BF">
        <w:fldChar w:fldCharType="separate"/>
      </w:r>
      <w:r>
        <w:rPr>
          <w:noProof/>
        </w:rPr>
        <w:t>1</w:t>
      </w:r>
      <w:r w:rsidR="001E77BF">
        <w:rPr>
          <w:noProof/>
        </w:rPr>
        <w:fldChar w:fldCharType="end"/>
      </w:r>
      <w:bookmarkEnd w:id="23"/>
      <w:r>
        <w:t>: Kaplan-Meier curves for time to event outcomes from ADAURA</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8" w:type="dxa"/>
          <w:right w:w="28" w:type="dxa"/>
        </w:tblCellMar>
        <w:tblLook w:val="04A0" w:firstRow="1" w:lastRow="0" w:firstColumn="1" w:lastColumn="0" w:noHBand="0" w:noVBand="1"/>
      </w:tblPr>
      <w:tblGrid>
        <w:gridCol w:w="4456"/>
        <w:gridCol w:w="4571"/>
      </w:tblGrid>
      <w:tr w:rsidR="006471D6" w14:paraId="092FDB6F" w14:textId="77777777" w:rsidTr="00BA3F8A">
        <w:tc>
          <w:tcPr>
            <w:tcW w:w="9027" w:type="dxa"/>
            <w:gridSpan w:val="2"/>
          </w:tcPr>
          <w:p w14:paraId="36CA47C3" w14:textId="77777777" w:rsidR="006471D6" w:rsidRDefault="006471D6" w:rsidP="00BA3F8A">
            <w:pPr>
              <w:pStyle w:val="In-tableHeading"/>
              <w:jc w:val="center"/>
              <w:rPr>
                <w:lang w:val="en-AU"/>
              </w:rPr>
            </w:pPr>
            <w:r>
              <w:rPr>
                <w:lang w:val="en-AU"/>
              </w:rPr>
              <w:t>OS (DCO3 27 January 2023)</w:t>
            </w:r>
          </w:p>
        </w:tc>
      </w:tr>
      <w:tr w:rsidR="006471D6" w14:paraId="64C519EA" w14:textId="77777777" w:rsidTr="00BA3F8A">
        <w:tc>
          <w:tcPr>
            <w:tcW w:w="4444" w:type="dxa"/>
          </w:tcPr>
          <w:p w14:paraId="0C01F1C4" w14:textId="77777777" w:rsidR="006471D6" w:rsidRDefault="006471D6" w:rsidP="00BA3F8A">
            <w:pPr>
              <w:pStyle w:val="In-tableHeading"/>
              <w:rPr>
                <w:lang w:val="en-AU"/>
              </w:rPr>
            </w:pPr>
            <w:r>
              <w:t>A. Primary population (Stage II-IIIA)</w:t>
            </w:r>
          </w:p>
        </w:tc>
        <w:tc>
          <w:tcPr>
            <w:tcW w:w="4583" w:type="dxa"/>
          </w:tcPr>
          <w:p w14:paraId="41A4A7C5" w14:textId="77777777" w:rsidR="006471D6" w:rsidRDefault="006471D6" w:rsidP="00BA3F8A">
            <w:pPr>
              <w:pStyle w:val="In-tableHeading"/>
              <w:rPr>
                <w:lang w:val="en-AU"/>
              </w:rPr>
            </w:pPr>
            <w:r>
              <w:t>B</w:t>
            </w:r>
            <w:r w:rsidRPr="003158F8">
              <w:rPr>
                <w:b w:val="0"/>
              </w:rPr>
              <w:t>.</w:t>
            </w:r>
            <w:r>
              <w:t xml:space="preserve"> Overall population (Stage IB-IIIA)</w:t>
            </w:r>
          </w:p>
        </w:tc>
      </w:tr>
      <w:tr w:rsidR="006471D6" w14:paraId="5C94899A" w14:textId="77777777" w:rsidTr="00BA3F8A">
        <w:tc>
          <w:tcPr>
            <w:tcW w:w="4444" w:type="dxa"/>
          </w:tcPr>
          <w:p w14:paraId="78800EAE" w14:textId="77777777" w:rsidR="006471D6" w:rsidRDefault="006471D6" w:rsidP="00BA3F8A">
            <w:pPr>
              <w:pStyle w:val="In-tableHeading"/>
              <w:rPr>
                <w:lang w:val="en-AU"/>
              </w:rPr>
            </w:pPr>
            <w:r>
              <w:rPr>
                <w:noProof/>
                <w:lang w:val="en-AU" w:eastAsia="zh-CN"/>
              </w:rPr>
              <w:drawing>
                <wp:inline distT="0" distB="0" distL="0" distR="0" wp14:anchorId="6CBCBA1D" wp14:editId="1F3CDE14">
                  <wp:extent cx="2781300" cy="1393825"/>
                  <wp:effectExtent l="0" t="0" r="0" b="0"/>
                  <wp:docPr id="228118918" name="Picture 2281189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832589" cy="1419528"/>
                          </a:xfrm>
                          <a:prstGeom prst="rect">
                            <a:avLst/>
                          </a:prstGeom>
                          <a:noFill/>
                          <a:ln>
                            <a:noFill/>
                          </a:ln>
                        </pic:spPr>
                      </pic:pic>
                    </a:graphicData>
                  </a:graphic>
                </wp:inline>
              </w:drawing>
            </w:r>
          </w:p>
        </w:tc>
        <w:tc>
          <w:tcPr>
            <w:tcW w:w="4583" w:type="dxa"/>
          </w:tcPr>
          <w:p w14:paraId="63C01FE5" w14:textId="77777777" w:rsidR="006471D6" w:rsidRDefault="006471D6" w:rsidP="00BA3F8A">
            <w:pPr>
              <w:pStyle w:val="In-tableHeading"/>
              <w:rPr>
                <w:lang w:val="en-AU"/>
              </w:rPr>
            </w:pPr>
            <w:r>
              <w:rPr>
                <w:noProof/>
                <w:lang w:val="en-AU" w:eastAsia="zh-CN"/>
              </w:rPr>
              <w:drawing>
                <wp:inline distT="0" distB="0" distL="0" distR="0" wp14:anchorId="7D205C56" wp14:editId="5D833C7C">
                  <wp:extent cx="2802890" cy="1394273"/>
                  <wp:effectExtent l="0" t="0" r="0" b="0"/>
                  <wp:docPr id="228118919" name="Picture 2281189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904790" cy="1444962"/>
                          </a:xfrm>
                          <a:prstGeom prst="rect">
                            <a:avLst/>
                          </a:prstGeom>
                          <a:noFill/>
                          <a:ln>
                            <a:noFill/>
                          </a:ln>
                        </pic:spPr>
                      </pic:pic>
                    </a:graphicData>
                  </a:graphic>
                </wp:inline>
              </w:drawing>
            </w:r>
          </w:p>
        </w:tc>
      </w:tr>
      <w:tr w:rsidR="006471D6" w14:paraId="60CB10EB" w14:textId="77777777" w:rsidTr="00BA3F8A">
        <w:tc>
          <w:tcPr>
            <w:tcW w:w="9027" w:type="dxa"/>
            <w:gridSpan w:val="2"/>
          </w:tcPr>
          <w:p w14:paraId="496FCAFC" w14:textId="77777777" w:rsidR="006471D6" w:rsidRDefault="006471D6" w:rsidP="00BA3F8A">
            <w:pPr>
              <w:pStyle w:val="In-tableHeading"/>
              <w:jc w:val="center"/>
              <w:rPr>
                <w:lang w:val="en-AU"/>
              </w:rPr>
            </w:pPr>
            <w:r>
              <w:rPr>
                <w:lang w:val="en-AU"/>
              </w:rPr>
              <w:t>DFS* (DCO2 11 April 2022)</w:t>
            </w:r>
          </w:p>
        </w:tc>
      </w:tr>
      <w:tr w:rsidR="006471D6" w14:paraId="7803DFFA" w14:textId="77777777" w:rsidTr="00BA3F8A">
        <w:tc>
          <w:tcPr>
            <w:tcW w:w="4444" w:type="dxa"/>
          </w:tcPr>
          <w:p w14:paraId="6954EC5F" w14:textId="77777777" w:rsidR="006471D6" w:rsidRDefault="006471D6" w:rsidP="00BA3F8A">
            <w:pPr>
              <w:pStyle w:val="In-tableHeading"/>
              <w:rPr>
                <w:lang w:val="en-AU"/>
              </w:rPr>
            </w:pPr>
            <w:r>
              <w:t>C</w:t>
            </w:r>
            <w:r w:rsidRPr="00611941">
              <w:t>. Primary population (Stage II-IIIA)</w:t>
            </w:r>
          </w:p>
        </w:tc>
        <w:tc>
          <w:tcPr>
            <w:tcW w:w="4583" w:type="dxa"/>
          </w:tcPr>
          <w:p w14:paraId="79FCF304" w14:textId="77777777" w:rsidR="006471D6" w:rsidRDefault="006471D6" w:rsidP="00BA3F8A">
            <w:pPr>
              <w:pStyle w:val="In-tableHeading"/>
              <w:rPr>
                <w:lang w:val="en-AU"/>
              </w:rPr>
            </w:pPr>
            <w:r>
              <w:t>D</w:t>
            </w:r>
            <w:r w:rsidRPr="00611941">
              <w:t>. Overall population (Stage I</w:t>
            </w:r>
            <w:r w:rsidRPr="00303805">
              <w:t>B</w:t>
            </w:r>
            <w:r w:rsidRPr="00611941">
              <w:t>-IIIA)</w:t>
            </w:r>
          </w:p>
        </w:tc>
      </w:tr>
      <w:tr w:rsidR="006471D6" w14:paraId="7F1CC0B4" w14:textId="77777777" w:rsidTr="00BA3F8A">
        <w:tc>
          <w:tcPr>
            <w:tcW w:w="4444" w:type="dxa"/>
          </w:tcPr>
          <w:p w14:paraId="47B48004" w14:textId="77777777" w:rsidR="006471D6" w:rsidRDefault="006471D6" w:rsidP="00BA3F8A">
            <w:pPr>
              <w:pStyle w:val="In-tableHeading"/>
              <w:rPr>
                <w:lang w:val="en-AU"/>
              </w:rPr>
            </w:pPr>
            <w:r>
              <w:rPr>
                <w:noProof/>
                <w:lang w:val="en-AU" w:eastAsia="zh-CN"/>
              </w:rPr>
              <w:drawing>
                <wp:inline distT="0" distB="0" distL="0" distR="0" wp14:anchorId="0EB45AF5" wp14:editId="381230C9">
                  <wp:extent cx="2780787" cy="1463040"/>
                  <wp:effectExtent l="0" t="0" r="635" b="3810"/>
                  <wp:docPr id="228118920" name="Picture 2281189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043568" cy="1601295"/>
                          </a:xfrm>
                          <a:prstGeom prst="rect">
                            <a:avLst/>
                          </a:prstGeom>
                          <a:noFill/>
                          <a:ln>
                            <a:noFill/>
                          </a:ln>
                        </pic:spPr>
                      </pic:pic>
                    </a:graphicData>
                  </a:graphic>
                </wp:inline>
              </w:drawing>
            </w:r>
          </w:p>
        </w:tc>
        <w:tc>
          <w:tcPr>
            <w:tcW w:w="4583" w:type="dxa"/>
          </w:tcPr>
          <w:p w14:paraId="729FFF94" w14:textId="77777777" w:rsidR="006471D6" w:rsidRDefault="006471D6" w:rsidP="00BA3F8A">
            <w:pPr>
              <w:pStyle w:val="In-tableHeading"/>
              <w:rPr>
                <w:lang w:val="en-AU"/>
              </w:rPr>
            </w:pPr>
            <w:r w:rsidRPr="00611941">
              <w:rPr>
                <w:b w:val="0"/>
                <w:noProof/>
                <w:lang w:val="en-AU" w:eastAsia="zh-CN"/>
              </w:rPr>
              <w:drawing>
                <wp:inline distT="0" distB="0" distL="0" distR="0" wp14:anchorId="2CE6694F" wp14:editId="1E62D0D2">
                  <wp:extent cx="2861945" cy="1455725"/>
                  <wp:effectExtent l="0" t="0" r="0" b="0"/>
                  <wp:docPr id="228118921" name="Picture 2281189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909522" cy="1479925"/>
                          </a:xfrm>
                          <a:prstGeom prst="rect">
                            <a:avLst/>
                          </a:prstGeom>
                          <a:noFill/>
                          <a:ln>
                            <a:noFill/>
                          </a:ln>
                        </pic:spPr>
                      </pic:pic>
                    </a:graphicData>
                  </a:graphic>
                </wp:inline>
              </w:drawing>
            </w:r>
          </w:p>
        </w:tc>
      </w:tr>
      <w:tr w:rsidR="006471D6" w14:paraId="3119B523" w14:textId="77777777" w:rsidTr="00BA3F8A">
        <w:tc>
          <w:tcPr>
            <w:tcW w:w="9027" w:type="dxa"/>
            <w:gridSpan w:val="2"/>
          </w:tcPr>
          <w:p w14:paraId="0D19C7FC" w14:textId="77777777" w:rsidR="006471D6" w:rsidRDefault="006471D6" w:rsidP="00BA3F8A">
            <w:pPr>
              <w:pStyle w:val="In-tableHeading"/>
              <w:jc w:val="center"/>
              <w:rPr>
                <w:lang w:val="en-AU"/>
              </w:rPr>
            </w:pPr>
            <w:r>
              <w:rPr>
                <w:lang w:val="en-AU"/>
              </w:rPr>
              <w:t>Secondary and exploratory outcomes</w:t>
            </w:r>
          </w:p>
        </w:tc>
      </w:tr>
      <w:tr w:rsidR="006471D6" w14:paraId="66EED2D7" w14:textId="77777777" w:rsidTr="00BA3F8A">
        <w:tc>
          <w:tcPr>
            <w:tcW w:w="4444" w:type="dxa"/>
          </w:tcPr>
          <w:p w14:paraId="4246C819" w14:textId="77777777" w:rsidR="006471D6" w:rsidRDefault="006471D6" w:rsidP="00BA3F8A">
            <w:pPr>
              <w:pStyle w:val="TableFigureHeading"/>
            </w:pPr>
            <w:r>
              <w:rPr>
                <w:noProof/>
              </w:rPr>
              <w:t>E</w:t>
            </w:r>
            <w:r w:rsidRPr="00433839">
              <w:rPr>
                <w:noProof/>
              </w:rPr>
              <w:t>. CNS DFS</w:t>
            </w:r>
            <w:r>
              <w:rPr>
                <w:noProof/>
              </w:rPr>
              <w:t xml:space="preserve"> (DCO2 11 April 2022)</w:t>
            </w:r>
          </w:p>
        </w:tc>
        <w:tc>
          <w:tcPr>
            <w:tcW w:w="4583" w:type="dxa"/>
          </w:tcPr>
          <w:p w14:paraId="30772C64" w14:textId="77777777" w:rsidR="006471D6" w:rsidRDefault="006471D6" w:rsidP="00BA3F8A">
            <w:pPr>
              <w:pStyle w:val="In-tableHeading"/>
              <w:rPr>
                <w:lang w:val="en-AU"/>
              </w:rPr>
            </w:pPr>
            <w:r>
              <w:rPr>
                <w:bCs/>
              </w:rPr>
              <w:t>F</w:t>
            </w:r>
            <w:r w:rsidRPr="00883E5F">
              <w:rPr>
                <w:bCs/>
              </w:rPr>
              <w:t>.</w:t>
            </w:r>
            <w:r>
              <w:t xml:space="preserve"> TFST at DCO3 (27 January 2023)</w:t>
            </w:r>
          </w:p>
        </w:tc>
      </w:tr>
      <w:tr w:rsidR="006471D6" w14:paraId="4828C06A" w14:textId="77777777" w:rsidTr="00BA3F8A">
        <w:tc>
          <w:tcPr>
            <w:tcW w:w="4444" w:type="dxa"/>
          </w:tcPr>
          <w:p w14:paraId="731B6C20" w14:textId="77777777" w:rsidR="006471D6" w:rsidRDefault="006471D6" w:rsidP="00BA3F8A">
            <w:pPr>
              <w:pStyle w:val="TableFigureHeading"/>
            </w:pPr>
            <w:r>
              <w:rPr>
                <w:noProof/>
                <w:lang w:eastAsia="zh-CN"/>
              </w:rPr>
              <mc:AlternateContent>
                <mc:Choice Requires="wps">
                  <w:drawing>
                    <wp:anchor distT="0" distB="0" distL="114300" distR="114300" simplePos="0" relativeHeight="251664384" behindDoc="0" locked="0" layoutInCell="1" allowOverlap="1" wp14:anchorId="4FF1C8F4" wp14:editId="09B7091E">
                      <wp:simplePos x="0" y="0"/>
                      <wp:positionH relativeFrom="column">
                        <wp:posOffset>-635</wp:posOffset>
                      </wp:positionH>
                      <wp:positionV relativeFrom="paragraph">
                        <wp:posOffset>-635</wp:posOffset>
                      </wp:positionV>
                      <wp:extent cx="116840" cy="66040"/>
                      <wp:effectExtent l="0" t="0" r="0" b="0"/>
                      <wp:wrapNone/>
                      <wp:docPr id="228118913" name="Rectangle 228118913"/>
                      <wp:cNvGraphicFramePr/>
                      <a:graphic xmlns:a="http://schemas.openxmlformats.org/drawingml/2006/main">
                        <a:graphicData uri="http://schemas.microsoft.com/office/word/2010/wordprocessingShape">
                          <wps:wsp>
                            <wps:cNvSpPr/>
                            <wps:spPr>
                              <a:xfrm>
                                <a:off x="0" y="0"/>
                                <a:ext cx="116840" cy="6604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7322AF5" id="Rectangle 228118913" o:spid="_x0000_s1026" style="position:absolute;margin-left:-.05pt;margin-top:-.05pt;width:9.2pt;height:5.2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" fillcolor="white [3212]" stroked="f" strokeweight="2pt"/>
                  </w:pict>
                </mc:Fallback>
              </mc:AlternateContent>
            </w:r>
            <w:r>
              <w:rPr>
                <w:noProof/>
                <w:lang w:eastAsia="zh-CN"/>
              </w:rPr>
              <w:drawing>
                <wp:inline distT="0" distB="0" distL="0" distR="0" wp14:anchorId="4DE57A85" wp14:editId="779A2A1D">
                  <wp:extent cx="2776220" cy="1513840"/>
                  <wp:effectExtent l="0" t="0" r="5080" b="0"/>
                  <wp:docPr id="228118922" name="Picture 2281189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940255" cy="1603286"/>
                          </a:xfrm>
                          <a:prstGeom prst="rect">
                            <a:avLst/>
                          </a:prstGeom>
                          <a:noFill/>
                          <a:ln>
                            <a:noFill/>
                          </a:ln>
                        </pic:spPr>
                      </pic:pic>
                    </a:graphicData>
                  </a:graphic>
                </wp:inline>
              </w:drawing>
            </w:r>
          </w:p>
        </w:tc>
        <w:tc>
          <w:tcPr>
            <w:tcW w:w="4583" w:type="dxa"/>
          </w:tcPr>
          <w:p w14:paraId="7E1008A6" w14:textId="77777777" w:rsidR="006471D6" w:rsidRDefault="006471D6" w:rsidP="00BA3F8A">
            <w:pPr>
              <w:pStyle w:val="In-tableHeading"/>
              <w:rPr>
                <w:lang w:val="en-AU"/>
              </w:rPr>
            </w:pPr>
            <w:r>
              <w:rPr>
                <w:noProof/>
                <w:lang w:val="en-AU" w:eastAsia="zh-CN"/>
              </w:rPr>
              <w:drawing>
                <wp:inline distT="0" distB="0" distL="0" distR="0" wp14:anchorId="704E86A7" wp14:editId="0F90B912">
                  <wp:extent cx="2879725" cy="1513566"/>
                  <wp:effectExtent l="0" t="0" r="0" b="0"/>
                  <wp:docPr id="228118923" name="Picture 2281189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BEBA8EAE-BF5A-486C-A8C5-ECC9F3942E4B}">
                                <a14:imgProps xmlns:a14="http://schemas.microsoft.com/office/drawing/2010/main">
                                  <a14:imgLayer r:embed="rId14">
                                    <a14:imgEffect>
                                      <a14:sharpenSoften amount="30000"/>
                                    </a14:imgEffect>
                                  </a14:imgLayer>
                                </a14:imgProps>
                              </a:ext>
                              <a:ext uri="{28A0092B-C50C-407E-A947-70E740481C1C}">
                                <a14:useLocalDpi xmlns:a14="http://schemas.microsoft.com/office/drawing/2010/main" val="0"/>
                              </a:ext>
                            </a:extLst>
                          </a:blip>
                          <a:srcRect/>
                          <a:stretch>
                            <a:fillRect/>
                          </a:stretch>
                        </pic:blipFill>
                        <pic:spPr bwMode="auto">
                          <a:xfrm>
                            <a:off x="0" y="0"/>
                            <a:ext cx="3021492" cy="1588078"/>
                          </a:xfrm>
                          <a:prstGeom prst="rect">
                            <a:avLst/>
                          </a:prstGeom>
                          <a:noFill/>
                          <a:ln>
                            <a:noFill/>
                          </a:ln>
                        </pic:spPr>
                      </pic:pic>
                    </a:graphicData>
                  </a:graphic>
                </wp:inline>
              </w:drawing>
            </w:r>
          </w:p>
        </w:tc>
      </w:tr>
      <w:tr w:rsidR="006471D6" w14:paraId="00D94A23" w14:textId="77777777" w:rsidTr="00BA3F8A">
        <w:tc>
          <w:tcPr>
            <w:tcW w:w="4444" w:type="dxa"/>
          </w:tcPr>
          <w:p w14:paraId="5E6A82F0" w14:textId="77777777" w:rsidR="006471D6" w:rsidRDefault="006471D6" w:rsidP="00BA3F8A">
            <w:pPr>
              <w:pStyle w:val="In-tableHeading"/>
              <w:rPr>
                <w:lang w:val="en-AU"/>
              </w:rPr>
            </w:pPr>
            <w:r>
              <w:t>G. TSST</w:t>
            </w:r>
            <w:r>
              <w:rPr>
                <w:vertAlign w:val="superscript"/>
              </w:rPr>
              <w:t>a</w:t>
            </w:r>
            <w:r>
              <w:t xml:space="preserve"> at DCO2 (11 April 2022)</w:t>
            </w:r>
          </w:p>
        </w:tc>
        <w:tc>
          <w:tcPr>
            <w:tcW w:w="4583" w:type="dxa"/>
          </w:tcPr>
          <w:p w14:paraId="372E28A0" w14:textId="77777777" w:rsidR="006471D6" w:rsidRDefault="006471D6" w:rsidP="00BA3F8A">
            <w:pPr>
              <w:pStyle w:val="In-tableHeading"/>
              <w:rPr>
                <w:lang w:val="en-AU"/>
              </w:rPr>
            </w:pPr>
            <w:r>
              <w:rPr>
                <w:noProof/>
              </w:rPr>
              <w:t>H. TFST at DCO2 (11 April 2022)</w:t>
            </w:r>
          </w:p>
        </w:tc>
      </w:tr>
      <w:tr w:rsidR="006471D6" w14:paraId="79E77AAA" w14:textId="77777777" w:rsidTr="00BA3F8A">
        <w:tc>
          <w:tcPr>
            <w:tcW w:w="4444" w:type="dxa"/>
          </w:tcPr>
          <w:p w14:paraId="2AFDC32F" w14:textId="77777777" w:rsidR="006471D6" w:rsidRDefault="006471D6" w:rsidP="00BA3F8A">
            <w:pPr>
              <w:pStyle w:val="In-tableHeading"/>
              <w:rPr>
                <w:lang w:val="en-AU"/>
              </w:rPr>
            </w:pPr>
            <w:r>
              <w:rPr>
                <w:noProof/>
                <w:lang w:val="en-AU" w:eastAsia="zh-CN"/>
              </w:rPr>
              <w:drawing>
                <wp:inline distT="0" distB="0" distL="0" distR="0" wp14:anchorId="3E189984" wp14:editId="50C63CB6">
                  <wp:extent cx="2806065" cy="1402080"/>
                  <wp:effectExtent l="0" t="0" r="0" b="7620"/>
                  <wp:docPr id="228118924" name="Picture 2281189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a:extLst>
                              <a:ext uri="{BEBA8EAE-BF5A-486C-A8C5-ECC9F3942E4B}">
                                <a14:imgProps xmlns:a14="http://schemas.microsoft.com/office/drawing/2010/main">
                                  <a14:imgLayer r:embed="rId16">
                                    <a14:imgEffect>
                                      <a14:sharpenSoften amount="29000"/>
                                    </a14:imgEffect>
                                  </a14:imgLayer>
                                </a14:imgProps>
                              </a:ext>
                              <a:ext uri="{28A0092B-C50C-407E-A947-70E740481C1C}">
                                <a14:useLocalDpi xmlns:a14="http://schemas.microsoft.com/office/drawing/2010/main" val="0"/>
                              </a:ext>
                            </a:extLst>
                          </a:blip>
                          <a:srcRect/>
                          <a:stretch>
                            <a:fillRect/>
                          </a:stretch>
                        </pic:blipFill>
                        <pic:spPr bwMode="auto">
                          <a:xfrm>
                            <a:off x="0" y="0"/>
                            <a:ext cx="2913378" cy="1455700"/>
                          </a:xfrm>
                          <a:prstGeom prst="rect">
                            <a:avLst/>
                          </a:prstGeom>
                          <a:noFill/>
                          <a:ln>
                            <a:noFill/>
                          </a:ln>
                        </pic:spPr>
                      </pic:pic>
                    </a:graphicData>
                  </a:graphic>
                </wp:inline>
              </w:drawing>
            </w:r>
          </w:p>
        </w:tc>
        <w:tc>
          <w:tcPr>
            <w:tcW w:w="4583" w:type="dxa"/>
          </w:tcPr>
          <w:p w14:paraId="6435AAD4" w14:textId="77777777" w:rsidR="006471D6" w:rsidRDefault="006471D6" w:rsidP="00BA3F8A">
            <w:pPr>
              <w:pStyle w:val="In-tableHeading"/>
              <w:rPr>
                <w:lang w:val="en-AU"/>
              </w:rPr>
            </w:pPr>
            <w:r>
              <w:rPr>
                <w:noProof/>
                <w:lang w:val="en-AU" w:eastAsia="zh-CN"/>
              </w:rPr>
              <w:drawing>
                <wp:inline distT="0" distB="0" distL="0" distR="0" wp14:anchorId="6013F133" wp14:editId="78191E9F">
                  <wp:extent cx="2682240" cy="1422293"/>
                  <wp:effectExtent l="0" t="0" r="3810" b="6985"/>
                  <wp:docPr id="228118925" name="Picture 2281189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708037" cy="1435972"/>
                          </a:xfrm>
                          <a:prstGeom prst="rect">
                            <a:avLst/>
                          </a:prstGeom>
                          <a:noFill/>
                          <a:ln>
                            <a:noFill/>
                          </a:ln>
                        </pic:spPr>
                      </pic:pic>
                    </a:graphicData>
                  </a:graphic>
                </wp:inline>
              </w:drawing>
            </w:r>
          </w:p>
        </w:tc>
      </w:tr>
    </w:tbl>
    <w:p w14:paraId="2FBEE6CA" w14:textId="77777777" w:rsidR="00E927A0" w:rsidRPr="00E927A0" w:rsidRDefault="006471D6" w:rsidP="006471D6">
      <w:pPr>
        <w:pStyle w:val="Tablefooter0"/>
        <w:rPr>
          <w:rFonts w:ascii="Arial Narrow" w:hAnsi="Arial Narrow"/>
        </w:rPr>
      </w:pPr>
      <w:r w:rsidRPr="00C65C10">
        <w:rPr>
          <w:rFonts w:ascii="Arial Narrow" w:hAnsi="Arial Narrow"/>
        </w:rPr>
        <w:t xml:space="preserve">Source: </w:t>
      </w:r>
      <w:r>
        <w:rPr>
          <w:rFonts w:ascii="Arial Narrow" w:hAnsi="Arial Narrow"/>
        </w:rPr>
        <w:t xml:space="preserve">A Figure 1B, Tsuboi 2023; B Figure 1A, Tsuboi 2023; C Figure 1A, Herbst 2023; D Figure 1B, Herbst 2023; E Figure A5A, Herbst 2023; F </w:t>
      </w:r>
      <w:r w:rsidRPr="00C65C10">
        <w:rPr>
          <w:rFonts w:ascii="Arial Narrow" w:hAnsi="Arial Narrow"/>
        </w:rPr>
        <w:t xml:space="preserve">Figure 14.2.6.3, p303 ADAURA CSR DCO3 Tables and Figures; </w:t>
      </w:r>
      <w:r>
        <w:rPr>
          <w:rFonts w:ascii="Arial Narrow" w:hAnsi="Arial Narrow"/>
        </w:rPr>
        <w:t>G</w:t>
      </w:r>
      <w:r w:rsidRPr="00C65C10">
        <w:rPr>
          <w:rFonts w:ascii="Arial Narrow" w:hAnsi="Arial Narrow"/>
        </w:rPr>
        <w:t xml:space="preserve"> Figure 14.2.7.3, p464 ADAURA CSR DCO2 Tables and Figures; </w:t>
      </w:r>
      <w:r>
        <w:rPr>
          <w:rFonts w:ascii="Arial Narrow" w:hAnsi="Arial Narrow"/>
        </w:rPr>
        <w:t>H</w:t>
      </w:r>
      <w:r w:rsidRPr="00C65C10">
        <w:rPr>
          <w:rFonts w:ascii="Arial Narrow" w:hAnsi="Arial Narrow"/>
        </w:rPr>
        <w:t xml:space="preserve"> </w:t>
      </w:r>
      <w:r>
        <w:rPr>
          <w:rFonts w:ascii="Arial Narrow" w:hAnsi="Arial Narrow"/>
        </w:rPr>
        <w:t xml:space="preserve">Figure 14.2.6.3, p455 ADAURA CSR DCO2 Tables and Figures.  </w:t>
      </w:r>
      <w:r w:rsidRPr="00C65C10">
        <w:rPr>
          <w:rFonts w:ascii="Arial Narrow" w:hAnsi="Arial Narrow"/>
        </w:rPr>
        <w:t xml:space="preserve">ADZ9291 = osimertinib; </w:t>
      </w:r>
      <w:r>
        <w:rPr>
          <w:rFonts w:ascii="Arial Narrow" w:hAnsi="Arial Narrow"/>
        </w:rPr>
        <w:t xml:space="preserve">CI = confidence interval; CNS = central nervous system; </w:t>
      </w:r>
      <w:r w:rsidRPr="00C65C10">
        <w:rPr>
          <w:rFonts w:ascii="Arial Narrow" w:hAnsi="Arial Narrow"/>
        </w:rPr>
        <w:t xml:space="preserve">DCO = data cut-off; </w:t>
      </w:r>
      <w:r>
        <w:rPr>
          <w:rFonts w:ascii="Arial Narrow" w:hAnsi="Arial Narrow"/>
        </w:rPr>
        <w:t>DFS = disease-free survival; HR = hazard ratio; OS = overall survival</w:t>
      </w:r>
      <w:r w:rsidRPr="00C65C10">
        <w:rPr>
          <w:rFonts w:ascii="Arial Narrow" w:hAnsi="Arial Narrow"/>
        </w:rPr>
        <w:t>; TFST = time to first subsequent anticancer treatment; TSST = time to second subsequent anticancer treatment</w:t>
      </w:r>
      <w:r>
        <w:rPr>
          <w:rFonts w:ascii="Arial Narrow" w:hAnsi="Arial Narrow"/>
        </w:rPr>
        <w:t xml:space="preserve">. </w:t>
      </w:r>
      <w:r w:rsidRPr="00856846">
        <w:rPr>
          <w:rFonts w:ascii="Arial Narrow" w:hAnsi="Arial Narrow"/>
        </w:rPr>
        <w:t>*</w:t>
      </w:r>
      <w:r w:rsidRPr="00856846">
        <w:rPr>
          <w:rFonts w:ascii="Arial Narrow" w:hAnsi="Arial Narrow"/>
        </w:rPr>
        <w:tab/>
        <w:t>primary trial outcome</w:t>
      </w:r>
      <w:r>
        <w:rPr>
          <w:rFonts w:ascii="Arial Narrow" w:hAnsi="Arial Narrow"/>
          <w:vertAlign w:val="superscript"/>
        </w:rPr>
        <w:t xml:space="preserve"> </w:t>
      </w:r>
      <w:r w:rsidRPr="000E06A0">
        <w:rPr>
          <w:rFonts w:ascii="Arial Narrow" w:hAnsi="Arial Narrow"/>
          <w:vertAlign w:val="superscript"/>
        </w:rPr>
        <w:t>a</w:t>
      </w:r>
      <w:r>
        <w:rPr>
          <w:rFonts w:ascii="Arial Narrow" w:hAnsi="Arial Narrow"/>
          <w:vertAlign w:val="superscript"/>
        </w:rPr>
        <w:tab/>
      </w:r>
      <w:r w:rsidRPr="000E06A0">
        <w:rPr>
          <w:rFonts w:ascii="Arial Narrow" w:hAnsi="Arial Narrow"/>
        </w:rPr>
        <w:t>TSST</w:t>
      </w:r>
      <w:r>
        <w:rPr>
          <w:rFonts w:ascii="Arial Narrow" w:hAnsi="Arial Narrow"/>
        </w:rPr>
        <w:t xml:space="preserve"> was not reported at DCO3</w:t>
      </w:r>
      <w:r w:rsidR="00E927A0" w:rsidRPr="00E927A0">
        <w:rPr>
          <w:rFonts w:ascii="Arial Narrow" w:hAnsi="Arial Narrow"/>
        </w:rPr>
        <w:t xml:space="preserve"> </w:t>
      </w:r>
    </w:p>
    <w:p w14:paraId="4F265738" w14:textId="19460F1F" w:rsidR="006471D6" w:rsidRPr="000853E6" w:rsidRDefault="006471D6" w:rsidP="006471D6">
      <w:pPr>
        <w:pStyle w:val="3-BodyText"/>
        <w:rPr>
          <w:iCs/>
        </w:rPr>
      </w:pPr>
      <w:r>
        <w:t>DFS was the primary outcome of ADAURA, final DFS was analysed at DCO2 when all patients had completed or discontinued study treatment. No additional DFS data were reported at DCO3. At DCO2, the median follow-up was 44.2 months in the osimertinib arm and 27.7 and 19.6 months in the placebo arm for the overall and primary populations respectively. In both populations, osimertinib treated patients reported statistically significantly better DFS compared to those treated with placebo, with slightly better results in the primary population (Stage II-IIIA) versus the overall population (Stage IB-IIIA) (hazard ratio (HR) (95% confidence interval (</w:t>
      </w:r>
      <w:r w:rsidRPr="00A95939">
        <w:t>CI</w:t>
      </w:r>
      <w:r>
        <w:t>)</w:t>
      </w:r>
      <w:r w:rsidRPr="00A95939">
        <w:t>): 0.23 (0.18, 0.30) versus 0.27 (0.21, 0.34)).</w:t>
      </w:r>
      <w:r>
        <w:t xml:space="preserve"> Results of the overall population is considered more applicable to the requested PBS population given it includes patients with Stage IB disease.  Of those who experienced a DFS event, a higher proportion of patients in the placebo arm was on treatment at the time of recurrence (83.4% versus 37.2%, in the overall population). The highest proportion of DFS events in the osimertinib arm occurred after patients had completed treatment (43.6% in the overall population). </w:t>
      </w:r>
      <w:r w:rsidRPr="000853E6">
        <w:rPr>
          <w:iCs/>
        </w:rPr>
        <w:t xml:space="preserve">An open label study investigating 5-year adjuvant therapy with osimertinib in people with resected Stage II-IIIB NSCLC with EGFR pathogenic variants, including uncommon variants, is currently recruiting (NCT05526755). All subgroups of patients </w:t>
      </w:r>
      <w:r w:rsidR="00130326" w:rsidRPr="000853E6">
        <w:rPr>
          <w:iCs/>
        </w:rPr>
        <w:t xml:space="preserve">experienced </w:t>
      </w:r>
      <w:r w:rsidRPr="000853E6">
        <w:rPr>
          <w:iCs/>
        </w:rPr>
        <w:t xml:space="preserve">a statistically significant DFS benefit with osimertinib versus placebo treatment. </w:t>
      </w:r>
    </w:p>
    <w:p w14:paraId="0CECF0CA" w14:textId="0DD26800" w:rsidR="006471D6" w:rsidRPr="000853E6" w:rsidRDefault="006471D6" w:rsidP="006471D6">
      <w:pPr>
        <w:pStyle w:val="3-BodyText"/>
        <w:rPr>
          <w:iCs/>
        </w:rPr>
      </w:pPr>
      <w:r w:rsidRPr="007B2CEB">
        <w:t xml:space="preserve">At </w:t>
      </w:r>
      <w:r>
        <w:t>the time of the planned final OS analysis for ADAURA (DCO3, 27 Jan 2023),</w:t>
      </w:r>
      <w:r w:rsidRPr="007B2CEB">
        <w:t xml:space="preserve"> </w:t>
      </w:r>
      <w:r>
        <w:t xml:space="preserve">after a median follow up of approximately 5 years, </w:t>
      </w:r>
      <w:r w:rsidRPr="000853E6">
        <w:rPr>
          <w:iCs/>
        </w:rPr>
        <w:t>OS was significantly better in patients randomised to osimertinib treatment compared to placebo, in both the primary (Stage II-IIIA) and the overall populations (Stage IB-IIIA) of ADAURA. However, the OS data was still immature with median OS not reached.  In the overall population (i.e., the population closest to the requested PBS population) the estimated risk of death was 51% lower in those randomised to osimertinib versus placebo treatment (HR: 0.49, 95% CI: 0.34, 0.70; p &lt; 0.0001), with 87.6% and 77.7% of patients still alive in the osimertinib and placebo arms, respectively.  Based on the updated ADAURA trial protocol provided by the sponsor upon request during the evaluation, it appeared that long-term survival follow-up of up to 10 years is also underway in patients from the ADAURA trial who provided additional consent (Revised Clinical Study Protocol, Edn 6, p68).</w:t>
      </w:r>
    </w:p>
    <w:p w14:paraId="78DE2901" w14:textId="0C00A46A" w:rsidR="006471D6" w:rsidRPr="00BC58A5" w:rsidRDefault="005C6CB3" w:rsidP="006471D6">
      <w:pPr>
        <w:pStyle w:val="3-BodyText"/>
      </w:pPr>
      <w:r>
        <w:fldChar w:fldCharType="begin" w:fldLock="1"/>
      </w:r>
      <w:r>
        <w:instrText xml:space="preserve"> REF _Ref144755056 \h </w:instrText>
      </w:r>
      <w:r>
        <w:fldChar w:fldCharType="separate"/>
      </w:r>
      <w:r w:rsidRPr="00BC58A5">
        <w:rPr>
          <w:iCs/>
          <w:szCs w:val="20"/>
        </w:rPr>
        <w:t xml:space="preserve">Table </w:t>
      </w:r>
      <w:r w:rsidRPr="00BC58A5">
        <w:rPr>
          <w:iCs/>
          <w:noProof/>
          <w:szCs w:val="20"/>
        </w:rPr>
        <w:t>5</w:t>
      </w:r>
      <w:r>
        <w:fldChar w:fldCharType="end"/>
      </w:r>
      <w:r>
        <w:t xml:space="preserve"> </w:t>
      </w:r>
      <w:r w:rsidR="006471D6" w:rsidRPr="00BC58A5">
        <w:t>su</w:t>
      </w:r>
      <w:r w:rsidR="006471D6">
        <w:t>mmarises subgroup analyses from ADAURA on the estimated OS benefit.</w:t>
      </w:r>
    </w:p>
    <w:p w14:paraId="7DD81155" w14:textId="77777777" w:rsidR="006471D6" w:rsidRPr="00BC58A5" w:rsidRDefault="006471D6" w:rsidP="006471D6">
      <w:pPr>
        <w:pStyle w:val="Caption"/>
        <w:rPr>
          <w:iCs/>
          <w:szCs w:val="20"/>
        </w:rPr>
      </w:pPr>
      <w:bookmarkStart w:id="24" w:name="_Ref144755056"/>
      <w:r w:rsidRPr="00BC58A5">
        <w:rPr>
          <w:iCs/>
          <w:szCs w:val="20"/>
        </w:rPr>
        <w:t xml:space="preserve">Table </w:t>
      </w:r>
      <w:r w:rsidRPr="00BC58A5">
        <w:rPr>
          <w:iCs/>
          <w:szCs w:val="20"/>
        </w:rPr>
        <w:fldChar w:fldCharType="begin" w:fldLock="1"/>
      </w:r>
      <w:r w:rsidRPr="00BC58A5">
        <w:rPr>
          <w:iCs/>
          <w:szCs w:val="20"/>
        </w:rPr>
        <w:instrText xml:space="preserve"> SEQ Table \* ARABIC </w:instrText>
      </w:r>
      <w:r w:rsidRPr="00BC58A5">
        <w:rPr>
          <w:iCs/>
          <w:szCs w:val="20"/>
        </w:rPr>
        <w:fldChar w:fldCharType="separate"/>
      </w:r>
      <w:r w:rsidRPr="00BC58A5">
        <w:rPr>
          <w:iCs/>
          <w:noProof/>
          <w:szCs w:val="20"/>
        </w:rPr>
        <w:t>5</w:t>
      </w:r>
      <w:r w:rsidRPr="00BC58A5">
        <w:rPr>
          <w:iCs/>
          <w:szCs w:val="20"/>
        </w:rPr>
        <w:fldChar w:fldCharType="end"/>
      </w:r>
      <w:bookmarkEnd w:id="24"/>
      <w:r w:rsidRPr="00BC58A5">
        <w:rPr>
          <w:iCs/>
          <w:szCs w:val="20"/>
        </w:rPr>
        <w:t>: Subgroup analyses</w:t>
      </w:r>
      <w:r w:rsidRPr="00BC58A5">
        <w:rPr>
          <w:iCs/>
          <w:szCs w:val="20"/>
          <w:vertAlign w:val="superscript"/>
        </w:rPr>
        <w:t>a</w:t>
      </w:r>
      <w:r w:rsidRPr="00BC58A5">
        <w:rPr>
          <w:iCs/>
          <w:szCs w:val="20"/>
        </w:rPr>
        <w:t xml:space="preserve"> OS - ADAURA Overall population DCO3 (27 Jan 2023) (HR&lt;1 favour osimertinib)</w:t>
      </w:r>
    </w:p>
    <w:tbl>
      <w:tblPr>
        <w:tblStyle w:val="TableGrid"/>
        <w:tblW w:w="9016" w:type="dxa"/>
        <w:tblCellMar>
          <w:left w:w="28" w:type="dxa"/>
          <w:right w:w="28" w:type="dxa"/>
        </w:tblCellMar>
        <w:tblLook w:val="04A0" w:firstRow="1" w:lastRow="0" w:firstColumn="1" w:lastColumn="0" w:noHBand="0" w:noVBand="1"/>
      </w:tblPr>
      <w:tblGrid>
        <w:gridCol w:w="1696"/>
        <w:gridCol w:w="1701"/>
        <w:gridCol w:w="1419"/>
        <w:gridCol w:w="2636"/>
        <w:gridCol w:w="1564"/>
      </w:tblGrid>
      <w:tr w:rsidR="006471D6" w:rsidRPr="00CD7970" w14:paraId="19859CAC" w14:textId="77777777" w:rsidTr="00BA3F8A">
        <w:tc>
          <w:tcPr>
            <w:tcW w:w="1696" w:type="dxa"/>
            <w:tcBorders>
              <w:bottom w:val="single" w:sz="4" w:space="0" w:color="auto"/>
            </w:tcBorders>
          </w:tcPr>
          <w:p w14:paraId="651DE163" w14:textId="77777777" w:rsidR="006471D6" w:rsidRPr="00CD7970" w:rsidRDefault="006471D6" w:rsidP="00BA3F8A">
            <w:pPr>
              <w:pStyle w:val="TableFigureHeading"/>
              <w:keepLines/>
            </w:pPr>
            <w:r w:rsidRPr="00CD7970">
              <w:t>Subgroup</w:t>
            </w:r>
          </w:p>
        </w:tc>
        <w:tc>
          <w:tcPr>
            <w:tcW w:w="1701" w:type="dxa"/>
            <w:tcBorders>
              <w:bottom w:val="single" w:sz="4" w:space="0" w:color="auto"/>
            </w:tcBorders>
            <w:vAlign w:val="center"/>
          </w:tcPr>
          <w:p w14:paraId="465C8861" w14:textId="77777777" w:rsidR="006471D6" w:rsidRPr="00CD7970" w:rsidRDefault="006471D6" w:rsidP="00BA3F8A">
            <w:pPr>
              <w:pStyle w:val="TableFigureHeading"/>
              <w:keepLines/>
              <w:jc w:val="center"/>
              <w:rPr>
                <w:lang w:val="en-US"/>
              </w:rPr>
            </w:pPr>
            <w:r w:rsidRPr="00CD7970">
              <w:rPr>
                <w:lang w:val="en-US"/>
              </w:rPr>
              <w:t>Osimertinib</w:t>
            </w:r>
            <w:r>
              <w:rPr>
                <w:lang w:val="en-US"/>
              </w:rPr>
              <w:t xml:space="preserve"> </w:t>
            </w:r>
            <w:r w:rsidRPr="00CD7970">
              <w:rPr>
                <w:lang w:val="en-US"/>
              </w:rPr>
              <w:t>n/N (%)</w:t>
            </w:r>
          </w:p>
        </w:tc>
        <w:tc>
          <w:tcPr>
            <w:tcW w:w="1419" w:type="dxa"/>
            <w:tcBorders>
              <w:bottom w:val="single" w:sz="4" w:space="0" w:color="auto"/>
            </w:tcBorders>
            <w:vAlign w:val="center"/>
          </w:tcPr>
          <w:p w14:paraId="66E8BCEA" w14:textId="77777777" w:rsidR="006471D6" w:rsidRPr="00CD7970" w:rsidRDefault="006471D6" w:rsidP="00BA3F8A">
            <w:pPr>
              <w:pStyle w:val="TableFigureHeading"/>
              <w:keepLines/>
              <w:jc w:val="center"/>
              <w:rPr>
                <w:lang w:val="en-US"/>
              </w:rPr>
            </w:pPr>
            <w:r w:rsidRPr="00CD7970">
              <w:rPr>
                <w:lang w:val="en-US"/>
              </w:rPr>
              <w:t>Placebo</w:t>
            </w:r>
            <w:r>
              <w:rPr>
                <w:lang w:val="en-US"/>
              </w:rPr>
              <w:t xml:space="preserve"> </w:t>
            </w:r>
            <w:r w:rsidRPr="00CD7970">
              <w:rPr>
                <w:lang w:val="en-US"/>
              </w:rPr>
              <w:t>n /N (%)</w:t>
            </w:r>
          </w:p>
        </w:tc>
        <w:tc>
          <w:tcPr>
            <w:tcW w:w="2636" w:type="dxa"/>
            <w:vAlign w:val="center"/>
          </w:tcPr>
          <w:p w14:paraId="09A44862" w14:textId="77777777" w:rsidR="006471D6" w:rsidRPr="00CD7970" w:rsidRDefault="006471D6" w:rsidP="00BA3F8A">
            <w:pPr>
              <w:pStyle w:val="TableFigureHeading"/>
              <w:keepLines/>
              <w:jc w:val="center"/>
              <w:rPr>
                <w:lang w:val="en-US"/>
              </w:rPr>
            </w:pPr>
            <w:r w:rsidRPr="00CD7970">
              <w:rPr>
                <w:lang w:val="en-US"/>
              </w:rPr>
              <w:t>Forest plot HR</w:t>
            </w:r>
            <w:r>
              <w:rPr>
                <w:vertAlign w:val="superscript"/>
                <w:lang w:val="en-US"/>
              </w:rPr>
              <w:t>b</w:t>
            </w:r>
            <w:r w:rsidRPr="00CD7970">
              <w:rPr>
                <w:lang w:val="en-US"/>
              </w:rPr>
              <w:t xml:space="preserve"> </w:t>
            </w:r>
            <w:r>
              <w:rPr>
                <w:lang w:val="en-US"/>
              </w:rPr>
              <w:t>(</w:t>
            </w:r>
            <w:r w:rsidRPr="00CD7970">
              <w:rPr>
                <w:lang w:val="en-US"/>
              </w:rPr>
              <w:t>95% CI)</w:t>
            </w:r>
          </w:p>
        </w:tc>
        <w:tc>
          <w:tcPr>
            <w:tcW w:w="1564" w:type="dxa"/>
            <w:tcBorders>
              <w:bottom w:val="single" w:sz="4" w:space="0" w:color="auto"/>
            </w:tcBorders>
            <w:vAlign w:val="center"/>
          </w:tcPr>
          <w:p w14:paraId="7E79963D" w14:textId="77777777" w:rsidR="006471D6" w:rsidRPr="00CD7970" w:rsidRDefault="006471D6" w:rsidP="00BA3F8A">
            <w:pPr>
              <w:pStyle w:val="TableFigureHeading"/>
              <w:keepLines/>
              <w:jc w:val="center"/>
              <w:rPr>
                <w:lang w:val="en-US"/>
              </w:rPr>
            </w:pPr>
            <w:r w:rsidRPr="00CD7970">
              <w:rPr>
                <w:lang w:val="en-US"/>
              </w:rPr>
              <w:t>HR (95% CI)</w:t>
            </w:r>
          </w:p>
        </w:tc>
      </w:tr>
      <w:tr w:rsidR="006471D6" w:rsidRPr="00CD7970" w14:paraId="7259AA91" w14:textId="77777777" w:rsidTr="00BA3F8A">
        <w:tc>
          <w:tcPr>
            <w:tcW w:w="1696" w:type="dxa"/>
            <w:tcBorders>
              <w:bottom w:val="nil"/>
            </w:tcBorders>
          </w:tcPr>
          <w:p w14:paraId="35D8255D" w14:textId="77777777" w:rsidR="006471D6" w:rsidRPr="00CD7970" w:rsidRDefault="006471D6" w:rsidP="00BA3F8A">
            <w:pPr>
              <w:pStyle w:val="TableFigureHeading"/>
              <w:keepLines/>
            </w:pPr>
            <w:r w:rsidRPr="00CD7970">
              <w:t>All patients</w:t>
            </w:r>
          </w:p>
        </w:tc>
        <w:tc>
          <w:tcPr>
            <w:tcW w:w="1701" w:type="dxa"/>
            <w:tcBorders>
              <w:bottom w:val="nil"/>
            </w:tcBorders>
          </w:tcPr>
          <w:p w14:paraId="401E2113" w14:textId="77777777" w:rsidR="006471D6" w:rsidRPr="00CD7970" w:rsidRDefault="006471D6" w:rsidP="00BA3F8A">
            <w:pPr>
              <w:pStyle w:val="TableFigureHeading"/>
              <w:keepLines/>
              <w:jc w:val="center"/>
            </w:pPr>
          </w:p>
        </w:tc>
        <w:tc>
          <w:tcPr>
            <w:tcW w:w="1419" w:type="dxa"/>
            <w:tcBorders>
              <w:bottom w:val="nil"/>
            </w:tcBorders>
          </w:tcPr>
          <w:p w14:paraId="5EE7A9E5" w14:textId="77777777" w:rsidR="006471D6" w:rsidRPr="00CD7970" w:rsidRDefault="006471D6" w:rsidP="00BA3F8A">
            <w:pPr>
              <w:pStyle w:val="TableFigureHeading"/>
              <w:keepLines/>
              <w:jc w:val="center"/>
            </w:pPr>
          </w:p>
        </w:tc>
        <w:tc>
          <w:tcPr>
            <w:tcW w:w="2636" w:type="dxa"/>
            <w:vMerge w:val="restart"/>
          </w:tcPr>
          <w:p w14:paraId="786DA7C8" w14:textId="77777777" w:rsidR="006471D6" w:rsidRPr="00CD7970" w:rsidRDefault="006471D6" w:rsidP="00BA3F8A">
            <w:pPr>
              <w:pStyle w:val="TableFigureHeading"/>
              <w:keepLines/>
            </w:pPr>
            <w:r>
              <w:rPr>
                <w:noProof/>
                <w:lang w:eastAsia="zh-CN"/>
              </w:rPr>
              <mc:AlternateContent>
                <mc:Choice Requires="wpg">
                  <w:drawing>
                    <wp:anchor distT="0" distB="0" distL="114300" distR="114300" simplePos="0" relativeHeight="251667456" behindDoc="0" locked="0" layoutInCell="1" allowOverlap="1" wp14:anchorId="76B8A595" wp14:editId="24B52DA8">
                      <wp:simplePos x="0" y="0"/>
                      <wp:positionH relativeFrom="column">
                        <wp:posOffset>140335</wp:posOffset>
                      </wp:positionH>
                      <wp:positionV relativeFrom="paragraph">
                        <wp:posOffset>3699510</wp:posOffset>
                      </wp:positionV>
                      <wp:extent cx="1323975" cy="533400"/>
                      <wp:effectExtent l="0" t="0" r="0" b="0"/>
                      <wp:wrapNone/>
                      <wp:docPr id="228118914" name="Group 228118914"/>
                      <wp:cNvGraphicFramePr/>
                      <a:graphic xmlns:a="http://schemas.openxmlformats.org/drawingml/2006/main">
                        <a:graphicData uri="http://schemas.microsoft.com/office/word/2010/wordprocessingGroup">
                          <wpg:wgp>
                            <wpg:cNvGrpSpPr/>
                            <wpg:grpSpPr>
                              <a:xfrm>
                                <a:off x="0" y="0"/>
                                <a:ext cx="1323975" cy="533400"/>
                                <a:chOff x="0" y="0"/>
                                <a:chExt cx="1323975" cy="533400"/>
                              </a:xfrm>
                            </wpg:grpSpPr>
                            <wps:wsp>
                              <wps:cNvPr id="228118915" name="Text Box 228118915"/>
                              <wps:cNvSpPr txBox="1"/>
                              <wps:spPr>
                                <a:xfrm>
                                  <a:off x="0" y="0"/>
                                  <a:ext cx="1323975" cy="533400"/>
                                </a:xfrm>
                                <a:prstGeom prst="rect">
                                  <a:avLst/>
                                </a:prstGeom>
                                <a:noFill/>
                                <a:ln w="6350">
                                  <a:noFill/>
                                </a:ln>
                              </wps:spPr>
                              <wps:txbx>
                                <w:txbxContent>
                                  <w:p w14:paraId="2C79FAF3" w14:textId="77777777" w:rsidR="002D3A6B" w:rsidRPr="0039746B" w:rsidRDefault="002D3A6B" w:rsidP="006471D6">
                                    <w:pPr>
                                      <w:jc w:val="center"/>
                                      <w:rPr>
                                        <w:b/>
                                        <w:sz w:val="20"/>
                                      </w:rPr>
                                    </w:pPr>
                                    <w:r w:rsidRPr="0039746B">
                                      <w:rPr>
                                        <w:b/>
                                        <w:sz w:val="20"/>
                                      </w:rPr>
                                      <w:t>Favours osimertinib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28118916" name="Straight Arrow Connector 228118916"/>
                              <wps:cNvCnPr/>
                              <wps:spPr>
                                <a:xfrm flipH="1">
                                  <a:off x="238125" y="247650"/>
                                  <a:ext cx="809625" cy="9525"/>
                                </a:xfrm>
                                <a:prstGeom prst="straightConnector1">
                                  <a:avLst/>
                                </a:prstGeom>
                                <a:ln w="19050">
                                  <a:tailEnd type="triangle"/>
                                </a:ln>
                              </wps:spPr>
                              <wps:style>
                                <a:lnRef idx="1">
                                  <a:schemeClr val="dk1"/>
                                </a:lnRef>
                                <a:fillRef idx="0">
                                  <a:schemeClr val="dk1"/>
                                </a:fillRef>
                                <a:effectRef idx="0">
                                  <a:schemeClr val="dk1"/>
                                </a:effectRef>
                                <a:fontRef idx="minor">
                                  <a:schemeClr val="tx1"/>
                                </a:fontRef>
                              </wps:style>
                              <wps:bodyPr/>
                            </wps:wsp>
                          </wpg:wgp>
                        </a:graphicData>
                      </a:graphic>
                    </wp:anchor>
                  </w:drawing>
                </mc:Choice>
                <mc:Fallback>
                  <w:pict>
                    <v:group w14:anchorId="76B8A595" id="Group 228118914" o:spid="_x0000_s1026" style="position:absolute;margin-left:11.05pt;margin-top:291.3pt;width:104.25pt;height:42pt;z-index:251667456" coordsize="13239,53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">
                      <v:shapetype id="_x0000_t202" coordsize="21600,21600" o:spt="202" path="m,l,21600r21600,l21600,xe">
                        <v:stroke joinstyle="miter"/>
                        <v:path gradientshapeok="t" o:connecttype="rect"/>
                      </v:shapetype>
                      <v:shape id="Text Box 228118915" o:spid="_x0000_s1027" type="#_x0000_t202" style="position:absolute;width:13239;height:53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" filled="f" stroked="f" strokeweight=".5pt">
                        <v:textbox>
                          <w:txbxContent>
                            <w:p w14:paraId="2C79FAF3" w14:textId="77777777" w:rsidR="002D3A6B" w:rsidRPr="0039746B" w:rsidRDefault="002D3A6B" w:rsidP="006471D6">
                              <w:pPr>
                                <w:jc w:val="center"/>
                                <w:rPr>
                                  <w:b/>
                                  <w:sz w:val="20"/>
                                </w:rPr>
                              </w:pPr>
                              <w:r w:rsidRPr="0039746B">
                                <w:rPr>
                                  <w:b/>
                                  <w:sz w:val="20"/>
                                </w:rPr>
                                <w:t>Favours osimertinib</w:t>
                              </w:r>
                            </w:p>
                          </w:txbxContent>
                        </v:textbox>
                      </v:shape>
                      <v:shapetype id="_x0000_t32" coordsize="21600,21600" o:spt="32" o:oned="t" path="m,l21600,21600e" filled="f">
                        <v:path arrowok="t" fillok="f" o:connecttype="none"/>
                        <o:lock v:ext="edit" shapetype="t"/>
                      </v:shapetype>
                      <v:shape id="Straight Arrow Connector 228118916" o:spid="_x0000_s1028" type="#_x0000_t32" style="position:absolute;left:2381;top:2476;width:8096;height:95;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" strokecolor="black [3040]" strokeweight="1.5pt">
                        <v:stroke endarrow="block"/>
                      </v:shape>
                    </v:group>
                  </w:pict>
                </mc:Fallback>
              </mc:AlternateContent>
            </w:r>
            <w:r w:rsidRPr="00CD7970">
              <w:rPr>
                <w:noProof/>
                <w:lang w:eastAsia="zh-CN"/>
              </w:rPr>
              <w:drawing>
                <wp:inline distT="0" distB="0" distL="0" distR="0" wp14:anchorId="55A5487E" wp14:editId="40DAE809">
                  <wp:extent cx="1621813" cy="4033368"/>
                  <wp:effectExtent l="0" t="0" r="0" b="5715"/>
                  <wp:docPr id="228118926" name="Picture 228118926" descr="A diagram of a grap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Picture 27" descr="A diagram of a graph&#10;&#10;Description automatically generated"/>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680335" cy="4178908"/>
                          </a:xfrm>
                          <a:prstGeom prst="rect">
                            <a:avLst/>
                          </a:prstGeom>
                          <a:noFill/>
                          <a:ln>
                            <a:noFill/>
                          </a:ln>
                        </pic:spPr>
                      </pic:pic>
                    </a:graphicData>
                  </a:graphic>
                </wp:inline>
              </w:drawing>
            </w:r>
          </w:p>
        </w:tc>
        <w:tc>
          <w:tcPr>
            <w:tcW w:w="1564" w:type="dxa"/>
            <w:tcBorders>
              <w:bottom w:val="nil"/>
            </w:tcBorders>
          </w:tcPr>
          <w:p w14:paraId="21CA8B95" w14:textId="77777777" w:rsidR="006471D6" w:rsidRPr="00CD7970" w:rsidRDefault="006471D6" w:rsidP="00BA3F8A">
            <w:pPr>
              <w:pStyle w:val="TableFigureHeading"/>
              <w:keepLines/>
              <w:jc w:val="center"/>
            </w:pPr>
          </w:p>
        </w:tc>
      </w:tr>
      <w:tr w:rsidR="006471D6" w:rsidRPr="00CD7970" w14:paraId="4C32D081" w14:textId="77777777" w:rsidTr="00BA3F8A">
        <w:tc>
          <w:tcPr>
            <w:tcW w:w="1696" w:type="dxa"/>
            <w:tcBorders>
              <w:top w:val="nil"/>
              <w:bottom w:val="single" w:sz="4" w:space="0" w:color="auto"/>
            </w:tcBorders>
          </w:tcPr>
          <w:p w14:paraId="74F17BE7" w14:textId="77777777" w:rsidR="006471D6" w:rsidRPr="00CD7970" w:rsidRDefault="006471D6" w:rsidP="00BA3F8A">
            <w:pPr>
              <w:pStyle w:val="TableFigureHeading"/>
              <w:keepLines/>
              <w:ind w:left="170"/>
              <w:rPr>
                <w:b w:val="0"/>
              </w:rPr>
            </w:pPr>
            <w:r w:rsidRPr="00CD7970">
              <w:rPr>
                <w:b w:val="0"/>
              </w:rPr>
              <w:t>Stratified log-rank</w:t>
            </w:r>
          </w:p>
        </w:tc>
        <w:tc>
          <w:tcPr>
            <w:tcW w:w="1701" w:type="dxa"/>
            <w:tcBorders>
              <w:top w:val="nil"/>
              <w:bottom w:val="single" w:sz="4" w:space="0" w:color="auto"/>
            </w:tcBorders>
            <w:vAlign w:val="center"/>
          </w:tcPr>
          <w:p w14:paraId="6F2B373D" w14:textId="77777777" w:rsidR="006471D6" w:rsidRPr="00CD7970" w:rsidRDefault="006471D6" w:rsidP="00BA3F8A">
            <w:pPr>
              <w:pStyle w:val="TableFigureHeading"/>
              <w:keepLines/>
              <w:jc w:val="center"/>
              <w:rPr>
                <w:b w:val="0"/>
              </w:rPr>
            </w:pPr>
            <w:r w:rsidRPr="00CD7970">
              <w:rPr>
                <w:b w:val="0"/>
              </w:rPr>
              <w:t>42/339 (12.4)</w:t>
            </w:r>
          </w:p>
        </w:tc>
        <w:tc>
          <w:tcPr>
            <w:tcW w:w="1419" w:type="dxa"/>
            <w:tcBorders>
              <w:top w:val="nil"/>
              <w:bottom w:val="single" w:sz="4" w:space="0" w:color="auto"/>
            </w:tcBorders>
            <w:vAlign w:val="center"/>
          </w:tcPr>
          <w:p w14:paraId="67F315C5" w14:textId="77777777" w:rsidR="006471D6" w:rsidRPr="00C76020" w:rsidRDefault="006471D6" w:rsidP="00BA3F8A">
            <w:pPr>
              <w:pStyle w:val="TableFigureHeading"/>
              <w:keepLines/>
              <w:jc w:val="center"/>
              <w:rPr>
                <w:b w:val="0"/>
              </w:rPr>
            </w:pPr>
            <w:r w:rsidRPr="00C76020">
              <w:rPr>
                <w:b w:val="0"/>
              </w:rPr>
              <w:t>82/343 (23.9)</w:t>
            </w:r>
          </w:p>
        </w:tc>
        <w:tc>
          <w:tcPr>
            <w:tcW w:w="2636" w:type="dxa"/>
            <w:vMerge/>
            <w:vAlign w:val="center"/>
          </w:tcPr>
          <w:p w14:paraId="73971515" w14:textId="77777777" w:rsidR="006471D6" w:rsidRPr="00CD7970" w:rsidRDefault="006471D6" w:rsidP="00BA3F8A">
            <w:pPr>
              <w:pStyle w:val="TableFigureHeading"/>
              <w:keepLines/>
            </w:pPr>
          </w:p>
        </w:tc>
        <w:tc>
          <w:tcPr>
            <w:tcW w:w="1564" w:type="dxa"/>
            <w:tcBorders>
              <w:top w:val="nil"/>
              <w:bottom w:val="single" w:sz="4" w:space="0" w:color="auto"/>
            </w:tcBorders>
            <w:vAlign w:val="center"/>
          </w:tcPr>
          <w:p w14:paraId="0610C3C3" w14:textId="77777777" w:rsidR="006471D6" w:rsidRPr="00CD7970" w:rsidRDefault="006471D6" w:rsidP="00BA3F8A">
            <w:pPr>
              <w:pStyle w:val="TableFigureHeading"/>
              <w:keepLines/>
              <w:jc w:val="center"/>
            </w:pPr>
            <w:r w:rsidRPr="00CD7970">
              <w:t>0.49 (0.34, 0.70)</w:t>
            </w:r>
          </w:p>
        </w:tc>
      </w:tr>
      <w:tr w:rsidR="006471D6" w:rsidRPr="00CD7970" w14:paraId="7ED3067D" w14:textId="77777777" w:rsidTr="00BA3F8A">
        <w:tc>
          <w:tcPr>
            <w:tcW w:w="1696" w:type="dxa"/>
            <w:tcBorders>
              <w:bottom w:val="nil"/>
            </w:tcBorders>
          </w:tcPr>
          <w:p w14:paraId="5475B556" w14:textId="77777777" w:rsidR="006471D6" w:rsidRPr="00CD7970" w:rsidRDefault="006471D6" w:rsidP="00BA3F8A">
            <w:pPr>
              <w:pStyle w:val="TableFigureHeading"/>
              <w:keepLines/>
            </w:pPr>
            <w:r w:rsidRPr="00CD7970">
              <w:t>Sex</w:t>
            </w:r>
          </w:p>
        </w:tc>
        <w:tc>
          <w:tcPr>
            <w:tcW w:w="1701" w:type="dxa"/>
            <w:tcBorders>
              <w:bottom w:val="nil"/>
            </w:tcBorders>
          </w:tcPr>
          <w:p w14:paraId="42BA813A" w14:textId="77777777" w:rsidR="006471D6" w:rsidRPr="00CD7970" w:rsidRDefault="006471D6" w:rsidP="00BA3F8A">
            <w:pPr>
              <w:pStyle w:val="TableFigureHeading"/>
              <w:keepLines/>
              <w:jc w:val="center"/>
              <w:rPr>
                <w:b w:val="0"/>
              </w:rPr>
            </w:pPr>
          </w:p>
        </w:tc>
        <w:tc>
          <w:tcPr>
            <w:tcW w:w="1419" w:type="dxa"/>
            <w:tcBorders>
              <w:bottom w:val="nil"/>
            </w:tcBorders>
          </w:tcPr>
          <w:p w14:paraId="07FC77DF" w14:textId="77777777" w:rsidR="006471D6" w:rsidRPr="00CD7970" w:rsidRDefault="006471D6" w:rsidP="00BA3F8A">
            <w:pPr>
              <w:pStyle w:val="TableFigureHeading"/>
              <w:keepLines/>
              <w:jc w:val="center"/>
              <w:rPr>
                <w:b w:val="0"/>
              </w:rPr>
            </w:pPr>
          </w:p>
        </w:tc>
        <w:tc>
          <w:tcPr>
            <w:tcW w:w="2636" w:type="dxa"/>
            <w:vMerge/>
          </w:tcPr>
          <w:p w14:paraId="7B8F6BC4" w14:textId="77777777" w:rsidR="006471D6" w:rsidRPr="00CD7970" w:rsidRDefault="006471D6" w:rsidP="00BA3F8A">
            <w:pPr>
              <w:pStyle w:val="TableFigureHeading"/>
              <w:keepLines/>
            </w:pPr>
          </w:p>
        </w:tc>
        <w:tc>
          <w:tcPr>
            <w:tcW w:w="1564" w:type="dxa"/>
            <w:tcBorders>
              <w:top w:val="single" w:sz="4" w:space="0" w:color="auto"/>
              <w:bottom w:val="nil"/>
            </w:tcBorders>
          </w:tcPr>
          <w:p w14:paraId="48264287" w14:textId="77777777" w:rsidR="006471D6" w:rsidRPr="00CD7970" w:rsidRDefault="006471D6" w:rsidP="00BA3F8A">
            <w:pPr>
              <w:pStyle w:val="TableFigureHeading"/>
              <w:keepLines/>
              <w:jc w:val="center"/>
            </w:pPr>
          </w:p>
        </w:tc>
      </w:tr>
      <w:tr w:rsidR="006471D6" w:rsidRPr="00CD7970" w14:paraId="2DE4BFAD" w14:textId="77777777" w:rsidTr="00BA3F8A">
        <w:tc>
          <w:tcPr>
            <w:tcW w:w="1696" w:type="dxa"/>
            <w:tcBorders>
              <w:top w:val="nil"/>
              <w:bottom w:val="nil"/>
            </w:tcBorders>
          </w:tcPr>
          <w:p w14:paraId="00ACD443" w14:textId="77777777" w:rsidR="006471D6" w:rsidRPr="00CD7970" w:rsidRDefault="006471D6" w:rsidP="00BA3F8A">
            <w:pPr>
              <w:pStyle w:val="TableFigureHeading"/>
              <w:keepLines/>
              <w:ind w:left="170"/>
              <w:rPr>
                <w:b w:val="0"/>
              </w:rPr>
            </w:pPr>
            <w:r w:rsidRPr="00CD7970">
              <w:rPr>
                <w:b w:val="0"/>
              </w:rPr>
              <w:t>Male</w:t>
            </w:r>
          </w:p>
        </w:tc>
        <w:tc>
          <w:tcPr>
            <w:tcW w:w="1701" w:type="dxa"/>
            <w:tcBorders>
              <w:top w:val="nil"/>
              <w:bottom w:val="nil"/>
            </w:tcBorders>
          </w:tcPr>
          <w:p w14:paraId="0157C2B8" w14:textId="77777777" w:rsidR="006471D6" w:rsidRPr="00CD7970" w:rsidRDefault="006471D6" w:rsidP="00BA3F8A">
            <w:pPr>
              <w:pStyle w:val="TableFigureHeading"/>
              <w:keepLines/>
              <w:jc w:val="center"/>
              <w:rPr>
                <w:b w:val="0"/>
              </w:rPr>
            </w:pPr>
            <w:r w:rsidRPr="00CD7970">
              <w:rPr>
                <w:b w:val="0"/>
              </w:rPr>
              <w:t>18/109 (16.5)</w:t>
            </w:r>
          </w:p>
        </w:tc>
        <w:tc>
          <w:tcPr>
            <w:tcW w:w="1419" w:type="dxa"/>
            <w:tcBorders>
              <w:top w:val="nil"/>
              <w:bottom w:val="nil"/>
            </w:tcBorders>
          </w:tcPr>
          <w:p w14:paraId="1ED5BF0D" w14:textId="77777777" w:rsidR="006471D6" w:rsidRPr="00CD7970" w:rsidRDefault="006471D6" w:rsidP="00BA3F8A">
            <w:pPr>
              <w:pStyle w:val="TableFigureHeading"/>
              <w:keepLines/>
              <w:jc w:val="center"/>
              <w:rPr>
                <w:b w:val="0"/>
              </w:rPr>
            </w:pPr>
            <w:r w:rsidRPr="00CD7970">
              <w:rPr>
                <w:b w:val="0"/>
              </w:rPr>
              <w:t>24/95 (25.3)</w:t>
            </w:r>
          </w:p>
        </w:tc>
        <w:tc>
          <w:tcPr>
            <w:tcW w:w="2636" w:type="dxa"/>
            <w:vMerge/>
          </w:tcPr>
          <w:p w14:paraId="090F092A" w14:textId="77777777" w:rsidR="006471D6" w:rsidRPr="00CD7970" w:rsidRDefault="006471D6" w:rsidP="00BA3F8A">
            <w:pPr>
              <w:pStyle w:val="TableFigureHeading"/>
              <w:keepLines/>
            </w:pPr>
          </w:p>
        </w:tc>
        <w:tc>
          <w:tcPr>
            <w:tcW w:w="1564" w:type="dxa"/>
            <w:tcBorders>
              <w:top w:val="nil"/>
              <w:bottom w:val="nil"/>
            </w:tcBorders>
          </w:tcPr>
          <w:p w14:paraId="20DF3443" w14:textId="77777777" w:rsidR="006471D6" w:rsidRPr="00E713D6" w:rsidRDefault="006471D6" w:rsidP="00BA3F8A">
            <w:pPr>
              <w:pStyle w:val="TableFigureHeading"/>
              <w:keepLines/>
              <w:jc w:val="center"/>
              <w:rPr>
                <w:b w:val="0"/>
              </w:rPr>
            </w:pPr>
            <w:r w:rsidRPr="00E713D6">
              <w:rPr>
                <w:b w:val="0"/>
              </w:rPr>
              <w:t>0.62 (0.33, 1.13)</w:t>
            </w:r>
          </w:p>
        </w:tc>
      </w:tr>
      <w:tr w:rsidR="006471D6" w:rsidRPr="00CD7970" w14:paraId="5E5C9B1B" w14:textId="77777777" w:rsidTr="00BA3F8A">
        <w:tc>
          <w:tcPr>
            <w:tcW w:w="1696" w:type="dxa"/>
            <w:tcBorders>
              <w:top w:val="nil"/>
              <w:bottom w:val="single" w:sz="4" w:space="0" w:color="auto"/>
            </w:tcBorders>
          </w:tcPr>
          <w:p w14:paraId="3B9A1D10" w14:textId="77777777" w:rsidR="006471D6" w:rsidRPr="00CD7970" w:rsidRDefault="006471D6" w:rsidP="00BA3F8A">
            <w:pPr>
              <w:pStyle w:val="TableFigureHeading"/>
              <w:keepLines/>
              <w:ind w:left="170"/>
              <w:rPr>
                <w:b w:val="0"/>
              </w:rPr>
            </w:pPr>
            <w:r w:rsidRPr="00CD7970">
              <w:rPr>
                <w:b w:val="0"/>
              </w:rPr>
              <w:t>Female</w:t>
            </w:r>
          </w:p>
        </w:tc>
        <w:tc>
          <w:tcPr>
            <w:tcW w:w="1701" w:type="dxa"/>
            <w:tcBorders>
              <w:top w:val="nil"/>
              <w:bottom w:val="single" w:sz="4" w:space="0" w:color="auto"/>
            </w:tcBorders>
          </w:tcPr>
          <w:p w14:paraId="2259BC67" w14:textId="77777777" w:rsidR="006471D6" w:rsidRPr="00CD7970" w:rsidRDefault="006471D6" w:rsidP="00BA3F8A">
            <w:pPr>
              <w:pStyle w:val="TableFigureHeading"/>
              <w:keepLines/>
              <w:jc w:val="center"/>
              <w:rPr>
                <w:b w:val="0"/>
              </w:rPr>
            </w:pPr>
            <w:r w:rsidRPr="00CD7970">
              <w:rPr>
                <w:b w:val="0"/>
              </w:rPr>
              <w:t>24/230 (10.4)</w:t>
            </w:r>
          </w:p>
        </w:tc>
        <w:tc>
          <w:tcPr>
            <w:tcW w:w="1419" w:type="dxa"/>
            <w:tcBorders>
              <w:top w:val="nil"/>
              <w:bottom w:val="single" w:sz="4" w:space="0" w:color="auto"/>
            </w:tcBorders>
          </w:tcPr>
          <w:p w14:paraId="679D8572" w14:textId="77777777" w:rsidR="006471D6" w:rsidRPr="00CD7970" w:rsidRDefault="006471D6" w:rsidP="00BA3F8A">
            <w:pPr>
              <w:pStyle w:val="TableFigureHeading"/>
              <w:keepLines/>
              <w:jc w:val="center"/>
              <w:rPr>
                <w:b w:val="0"/>
              </w:rPr>
            </w:pPr>
            <w:r w:rsidRPr="00CD7970">
              <w:rPr>
                <w:b w:val="0"/>
              </w:rPr>
              <w:t>58/248 (23.4)</w:t>
            </w:r>
          </w:p>
        </w:tc>
        <w:tc>
          <w:tcPr>
            <w:tcW w:w="2636" w:type="dxa"/>
            <w:vMerge/>
          </w:tcPr>
          <w:p w14:paraId="211551F0" w14:textId="77777777" w:rsidR="006471D6" w:rsidRPr="00CD7970" w:rsidRDefault="006471D6" w:rsidP="00BA3F8A">
            <w:pPr>
              <w:pStyle w:val="TableFigureHeading"/>
              <w:keepLines/>
            </w:pPr>
          </w:p>
        </w:tc>
        <w:tc>
          <w:tcPr>
            <w:tcW w:w="1564" w:type="dxa"/>
            <w:tcBorders>
              <w:top w:val="nil"/>
              <w:bottom w:val="single" w:sz="4" w:space="0" w:color="auto"/>
            </w:tcBorders>
          </w:tcPr>
          <w:p w14:paraId="49F530C4" w14:textId="77777777" w:rsidR="006471D6" w:rsidRPr="00CD7970" w:rsidRDefault="006471D6" w:rsidP="00BA3F8A">
            <w:pPr>
              <w:pStyle w:val="TableFigureHeading"/>
              <w:keepLines/>
              <w:jc w:val="center"/>
            </w:pPr>
            <w:r w:rsidRPr="00CD7970">
              <w:t>0.41 (0.25, 0.66)</w:t>
            </w:r>
          </w:p>
        </w:tc>
      </w:tr>
      <w:tr w:rsidR="006471D6" w:rsidRPr="00CD7970" w14:paraId="55DBDD97" w14:textId="77777777" w:rsidTr="00BA3F8A">
        <w:tc>
          <w:tcPr>
            <w:tcW w:w="1696" w:type="dxa"/>
            <w:tcBorders>
              <w:bottom w:val="nil"/>
            </w:tcBorders>
          </w:tcPr>
          <w:p w14:paraId="21B734BA" w14:textId="77777777" w:rsidR="006471D6" w:rsidRPr="00CD7970" w:rsidRDefault="006471D6" w:rsidP="00BA3F8A">
            <w:pPr>
              <w:pStyle w:val="TableFigureHeading"/>
              <w:keepLines/>
            </w:pPr>
            <w:r w:rsidRPr="00CD7970">
              <w:t>Age</w:t>
            </w:r>
          </w:p>
        </w:tc>
        <w:tc>
          <w:tcPr>
            <w:tcW w:w="1701" w:type="dxa"/>
            <w:tcBorders>
              <w:bottom w:val="nil"/>
            </w:tcBorders>
          </w:tcPr>
          <w:p w14:paraId="0C6E75DA" w14:textId="77777777" w:rsidR="006471D6" w:rsidRPr="00CD7970" w:rsidRDefault="006471D6" w:rsidP="00BA3F8A">
            <w:pPr>
              <w:pStyle w:val="TableFigureHeading"/>
              <w:keepLines/>
              <w:jc w:val="center"/>
              <w:rPr>
                <w:b w:val="0"/>
              </w:rPr>
            </w:pPr>
          </w:p>
        </w:tc>
        <w:tc>
          <w:tcPr>
            <w:tcW w:w="1419" w:type="dxa"/>
            <w:tcBorders>
              <w:bottom w:val="nil"/>
            </w:tcBorders>
          </w:tcPr>
          <w:p w14:paraId="04ABDB1B" w14:textId="77777777" w:rsidR="006471D6" w:rsidRPr="00CD7970" w:rsidRDefault="006471D6" w:rsidP="00BA3F8A">
            <w:pPr>
              <w:pStyle w:val="TableFigureHeading"/>
              <w:keepLines/>
              <w:jc w:val="center"/>
              <w:rPr>
                <w:b w:val="0"/>
              </w:rPr>
            </w:pPr>
          </w:p>
        </w:tc>
        <w:tc>
          <w:tcPr>
            <w:tcW w:w="2636" w:type="dxa"/>
            <w:vMerge/>
          </w:tcPr>
          <w:p w14:paraId="5001430B" w14:textId="77777777" w:rsidR="006471D6" w:rsidRPr="00CD7970" w:rsidRDefault="006471D6" w:rsidP="00BA3F8A">
            <w:pPr>
              <w:pStyle w:val="TableFigureHeading"/>
              <w:keepLines/>
            </w:pPr>
          </w:p>
        </w:tc>
        <w:tc>
          <w:tcPr>
            <w:tcW w:w="1564" w:type="dxa"/>
            <w:tcBorders>
              <w:bottom w:val="nil"/>
            </w:tcBorders>
          </w:tcPr>
          <w:p w14:paraId="5B75EB97" w14:textId="77777777" w:rsidR="006471D6" w:rsidRPr="00CD7970" w:rsidRDefault="006471D6" w:rsidP="00BA3F8A">
            <w:pPr>
              <w:pStyle w:val="TableFigureHeading"/>
              <w:keepLines/>
              <w:jc w:val="center"/>
            </w:pPr>
          </w:p>
        </w:tc>
      </w:tr>
      <w:tr w:rsidR="006471D6" w:rsidRPr="00CD7970" w14:paraId="242942DD" w14:textId="77777777" w:rsidTr="00BA3F8A">
        <w:tc>
          <w:tcPr>
            <w:tcW w:w="1696" w:type="dxa"/>
            <w:tcBorders>
              <w:top w:val="nil"/>
              <w:bottom w:val="nil"/>
            </w:tcBorders>
          </w:tcPr>
          <w:p w14:paraId="6ED0CC9C" w14:textId="77777777" w:rsidR="006471D6" w:rsidRPr="00CD7970" w:rsidRDefault="006471D6" w:rsidP="00BA3F8A">
            <w:pPr>
              <w:pStyle w:val="TableFigureHeading"/>
              <w:keepLines/>
              <w:ind w:left="170"/>
              <w:rPr>
                <w:b w:val="0"/>
              </w:rPr>
            </w:pPr>
            <w:r w:rsidRPr="00CD7970">
              <w:rPr>
                <w:b w:val="0"/>
              </w:rPr>
              <w:t>&lt;65</w:t>
            </w:r>
          </w:p>
        </w:tc>
        <w:tc>
          <w:tcPr>
            <w:tcW w:w="1701" w:type="dxa"/>
            <w:tcBorders>
              <w:top w:val="nil"/>
              <w:bottom w:val="nil"/>
            </w:tcBorders>
          </w:tcPr>
          <w:p w14:paraId="5B4665F2" w14:textId="77777777" w:rsidR="006471D6" w:rsidRPr="00CD7970" w:rsidRDefault="006471D6" w:rsidP="00BA3F8A">
            <w:pPr>
              <w:pStyle w:val="TableFigureHeading"/>
              <w:keepLines/>
              <w:jc w:val="center"/>
              <w:rPr>
                <w:b w:val="0"/>
              </w:rPr>
            </w:pPr>
            <w:r w:rsidRPr="00CD7970">
              <w:rPr>
                <w:b w:val="0"/>
              </w:rPr>
              <w:t>22/185 (11.9)</w:t>
            </w:r>
          </w:p>
        </w:tc>
        <w:tc>
          <w:tcPr>
            <w:tcW w:w="1419" w:type="dxa"/>
            <w:tcBorders>
              <w:top w:val="nil"/>
              <w:bottom w:val="nil"/>
            </w:tcBorders>
          </w:tcPr>
          <w:p w14:paraId="36C1D6B2" w14:textId="77777777" w:rsidR="006471D6" w:rsidRPr="00CD7970" w:rsidRDefault="006471D6" w:rsidP="00BA3F8A">
            <w:pPr>
              <w:pStyle w:val="TableFigureHeading"/>
              <w:keepLines/>
              <w:jc w:val="center"/>
              <w:rPr>
                <w:b w:val="0"/>
              </w:rPr>
            </w:pPr>
            <w:r w:rsidRPr="00CD7970">
              <w:rPr>
                <w:b w:val="0"/>
              </w:rPr>
              <w:t>38/195 (19.5)</w:t>
            </w:r>
          </w:p>
        </w:tc>
        <w:tc>
          <w:tcPr>
            <w:tcW w:w="2636" w:type="dxa"/>
            <w:vMerge/>
          </w:tcPr>
          <w:p w14:paraId="45564614" w14:textId="77777777" w:rsidR="006471D6" w:rsidRPr="00CD7970" w:rsidRDefault="006471D6" w:rsidP="00BA3F8A">
            <w:pPr>
              <w:pStyle w:val="TableFigureHeading"/>
              <w:keepLines/>
            </w:pPr>
          </w:p>
        </w:tc>
        <w:tc>
          <w:tcPr>
            <w:tcW w:w="1564" w:type="dxa"/>
            <w:tcBorders>
              <w:top w:val="nil"/>
              <w:bottom w:val="nil"/>
            </w:tcBorders>
          </w:tcPr>
          <w:p w14:paraId="19CB37D2" w14:textId="77777777" w:rsidR="006471D6" w:rsidRPr="00CD7970" w:rsidRDefault="006471D6" w:rsidP="00BA3F8A">
            <w:pPr>
              <w:pStyle w:val="TableFigureHeading"/>
              <w:keepLines/>
              <w:jc w:val="center"/>
            </w:pPr>
            <w:r w:rsidRPr="007E47F1">
              <w:t>0.56 (0.33, 0.94)</w:t>
            </w:r>
          </w:p>
        </w:tc>
      </w:tr>
      <w:tr w:rsidR="006471D6" w:rsidRPr="00CD7970" w14:paraId="42908B4F" w14:textId="77777777" w:rsidTr="00BA3F8A">
        <w:tc>
          <w:tcPr>
            <w:tcW w:w="1696" w:type="dxa"/>
            <w:tcBorders>
              <w:top w:val="nil"/>
              <w:bottom w:val="single" w:sz="4" w:space="0" w:color="auto"/>
            </w:tcBorders>
          </w:tcPr>
          <w:p w14:paraId="5DF6EE60" w14:textId="77777777" w:rsidR="006471D6" w:rsidRPr="00CD7970" w:rsidRDefault="006471D6" w:rsidP="00BA3F8A">
            <w:pPr>
              <w:pStyle w:val="TableFigureHeading"/>
              <w:keepLines/>
              <w:ind w:left="170"/>
              <w:rPr>
                <w:b w:val="0"/>
              </w:rPr>
            </w:pPr>
            <w:r w:rsidRPr="00CD7970">
              <w:rPr>
                <w:b w:val="0"/>
              </w:rPr>
              <w:t>≥65</w:t>
            </w:r>
          </w:p>
        </w:tc>
        <w:tc>
          <w:tcPr>
            <w:tcW w:w="1701" w:type="dxa"/>
            <w:tcBorders>
              <w:top w:val="nil"/>
              <w:bottom w:val="single" w:sz="4" w:space="0" w:color="auto"/>
            </w:tcBorders>
          </w:tcPr>
          <w:p w14:paraId="6523CDC3" w14:textId="77777777" w:rsidR="006471D6" w:rsidRPr="00CD7970" w:rsidRDefault="006471D6" w:rsidP="00BA3F8A">
            <w:pPr>
              <w:pStyle w:val="TableFigureHeading"/>
              <w:keepLines/>
              <w:jc w:val="center"/>
              <w:rPr>
                <w:b w:val="0"/>
              </w:rPr>
            </w:pPr>
            <w:r w:rsidRPr="00CD7970">
              <w:rPr>
                <w:b w:val="0"/>
              </w:rPr>
              <w:t>20/154 (13.0)</w:t>
            </w:r>
          </w:p>
        </w:tc>
        <w:tc>
          <w:tcPr>
            <w:tcW w:w="1419" w:type="dxa"/>
            <w:tcBorders>
              <w:top w:val="nil"/>
              <w:bottom w:val="single" w:sz="4" w:space="0" w:color="auto"/>
            </w:tcBorders>
          </w:tcPr>
          <w:p w14:paraId="29999978" w14:textId="77777777" w:rsidR="006471D6" w:rsidRPr="00CD7970" w:rsidRDefault="006471D6" w:rsidP="00BA3F8A">
            <w:pPr>
              <w:pStyle w:val="TableFigureHeading"/>
              <w:keepLines/>
              <w:jc w:val="center"/>
              <w:rPr>
                <w:b w:val="0"/>
              </w:rPr>
            </w:pPr>
            <w:r w:rsidRPr="00CD7970">
              <w:rPr>
                <w:b w:val="0"/>
              </w:rPr>
              <w:t>44/148 (29.7)</w:t>
            </w:r>
          </w:p>
        </w:tc>
        <w:tc>
          <w:tcPr>
            <w:tcW w:w="2636" w:type="dxa"/>
            <w:vMerge/>
          </w:tcPr>
          <w:p w14:paraId="04A14C17" w14:textId="77777777" w:rsidR="006471D6" w:rsidRPr="00CD7970" w:rsidRDefault="006471D6" w:rsidP="00BA3F8A">
            <w:pPr>
              <w:pStyle w:val="TableFigureHeading"/>
              <w:keepLines/>
            </w:pPr>
          </w:p>
        </w:tc>
        <w:tc>
          <w:tcPr>
            <w:tcW w:w="1564" w:type="dxa"/>
            <w:tcBorders>
              <w:top w:val="nil"/>
              <w:bottom w:val="single" w:sz="4" w:space="0" w:color="auto"/>
            </w:tcBorders>
          </w:tcPr>
          <w:p w14:paraId="3AF0CA60" w14:textId="77777777" w:rsidR="006471D6" w:rsidRPr="00CD7970" w:rsidRDefault="006471D6" w:rsidP="00BA3F8A">
            <w:pPr>
              <w:pStyle w:val="TableFigureHeading"/>
              <w:keepLines/>
              <w:jc w:val="center"/>
            </w:pPr>
            <w:r w:rsidRPr="007E47F1">
              <w:t>0.42 (0.24, 0.69)</w:t>
            </w:r>
          </w:p>
        </w:tc>
      </w:tr>
      <w:tr w:rsidR="006471D6" w:rsidRPr="00CD7970" w14:paraId="6FFBD01C" w14:textId="77777777" w:rsidTr="00BA3F8A">
        <w:tc>
          <w:tcPr>
            <w:tcW w:w="1696" w:type="dxa"/>
            <w:tcBorders>
              <w:bottom w:val="nil"/>
            </w:tcBorders>
          </w:tcPr>
          <w:p w14:paraId="3E3D25A6" w14:textId="77777777" w:rsidR="006471D6" w:rsidRPr="00CD7970" w:rsidRDefault="006471D6" w:rsidP="00BA3F8A">
            <w:pPr>
              <w:pStyle w:val="TableFigureHeading"/>
              <w:keepLines/>
            </w:pPr>
            <w:r w:rsidRPr="00CD7970">
              <w:t>Smoking history</w:t>
            </w:r>
          </w:p>
        </w:tc>
        <w:tc>
          <w:tcPr>
            <w:tcW w:w="1701" w:type="dxa"/>
            <w:tcBorders>
              <w:bottom w:val="nil"/>
            </w:tcBorders>
          </w:tcPr>
          <w:p w14:paraId="4ADA23E0" w14:textId="77777777" w:rsidR="006471D6" w:rsidRPr="00CD7970" w:rsidRDefault="006471D6" w:rsidP="00BA3F8A">
            <w:pPr>
              <w:pStyle w:val="TableFigureHeading"/>
              <w:keepLines/>
              <w:jc w:val="center"/>
              <w:rPr>
                <w:b w:val="0"/>
              </w:rPr>
            </w:pPr>
          </w:p>
        </w:tc>
        <w:tc>
          <w:tcPr>
            <w:tcW w:w="1419" w:type="dxa"/>
            <w:tcBorders>
              <w:bottom w:val="nil"/>
            </w:tcBorders>
          </w:tcPr>
          <w:p w14:paraId="2D9F28A9" w14:textId="77777777" w:rsidR="006471D6" w:rsidRPr="00CD7970" w:rsidRDefault="006471D6" w:rsidP="00BA3F8A">
            <w:pPr>
              <w:pStyle w:val="TableFigureHeading"/>
              <w:keepLines/>
              <w:jc w:val="center"/>
              <w:rPr>
                <w:b w:val="0"/>
              </w:rPr>
            </w:pPr>
          </w:p>
        </w:tc>
        <w:tc>
          <w:tcPr>
            <w:tcW w:w="2636" w:type="dxa"/>
            <w:vMerge/>
          </w:tcPr>
          <w:p w14:paraId="4DE79E88" w14:textId="77777777" w:rsidR="006471D6" w:rsidRPr="00CD7970" w:rsidRDefault="006471D6" w:rsidP="00BA3F8A">
            <w:pPr>
              <w:pStyle w:val="TableFigureHeading"/>
              <w:keepLines/>
            </w:pPr>
          </w:p>
        </w:tc>
        <w:tc>
          <w:tcPr>
            <w:tcW w:w="1564" w:type="dxa"/>
            <w:tcBorders>
              <w:bottom w:val="nil"/>
            </w:tcBorders>
          </w:tcPr>
          <w:p w14:paraId="49B997A7" w14:textId="77777777" w:rsidR="006471D6" w:rsidRPr="00CD7970" w:rsidRDefault="006471D6" w:rsidP="00BA3F8A">
            <w:pPr>
              <w:pStyle w:val="TableFigureHeading"/>
              <w:keepLines/>
              <w:jc w:val="center"/>
            </w:pPr>
          </w:p>
        </w:tc>
      </w:tr>
      <w:tr w:rsidR="006471D6" w:rsidRPr="00CD7970" w14:paraId="65EF05FF" w14:textId="77777777" w:rsidTr="00BA3F8A">
        <w:tc>
          <w:tcPr>
            <w:tcW w:w="1696" w:type="dxa"/>
            <w:tcBorders>
              <w:top w:val="nil"/>
              <w:bottom w:val="nil"/>
            </w:tcBorders>
          </w:tcPr>
          <w:p w14:paraId="2A6BB856" w14:textId="77777777" w:rsidR="006471D6" w:rsidRPr="00CD7970" w:rsidRDefault="006471D6" w:rsidP="00BA3F8A">
            <w:pPr>
              <w:pStyle w:val="TableFigureHeading"/>
              <w:keepLines/>
              <w:ind w:left="170"/>
              <w:rPr>
                <w:b w:val="0"/>
              </w:rPr>
            </w:pPr>
            <w:r w:rsidRPr="00CD7970">
              <w:rPr>
                <w:b w:val="0"/>
              </w:rPr>
              <w:t>Yes</w:t>
            </w:r>
          </w:p>
        </w:tc>
        <w:tc>
          <w:tcPr>
            <w:tcW w:w="1701" w:type="dxa"/>
            <w:tcBorders>
              <w:top w:val="nil"/>
              <w:bottom w:val="nil"/>
            </w:tcBorders>
          </w:tcPr>
          <w:p w14:paraId="018B7FF5" w14:textId="77777777" w:rsidR="006471D6" w:rsidRPr="00CD7970" w:rsidRDefault="006471D6" w:rsidP="00BA3F8A">
            <w:pPr>
              <w:pStyle w:val="TableFigureHeading"/>
              <w:keepLines/>
              <w:jc w:val="center"/>
              <w:rPr>
                <w:b w:val="0"/>
              </w:rPr>
            </w:pPr>
            <w:r w:rsidRPr="00CD7970">
              <w:rPr>
                <w:b w:val="0"/>
              </w:rPr>
              <w:t>13/108 (12.0)</w:t>
            </w:r>
          </w:p>
        </w:tc>
        <w:tc>
          <w:tcPr>
            <w:tcW w:w="1419" w:type="dxa"/>
            <w:tcBorders>
              <w:top w:val="nil"/>
              <w:bottom w:val="nil"/>
            </w:tcBorders>
          </w:tcPr>
          <w:p w14:paraId="5FB87CC5" w14:textId="77777777" w:rsidR="006471D6" w:rsidRPr="00CD7970" w:rsidRDefault="006471D6" w:rsidP="00BA3F8A">
            <w:pPr>
              <w:pStyle w:val="TableFigureHeading"/>
              <w:keepLines/>
              <w:jc w:val="center"/>
              <w:rPr>
                <w:b w:val="0"/>
              </w:rPr>
            </w:pPr>
            <w:r w:rsidRPr="00CD7970">
              <w:rPr>
                <w:b w:val="0"/>
              </w:rPr>
              <w:t>21/86 (24.4)</w:t>
            </w:r>
          </w:p>
        </w:tc>
        <w:tc>
          <w:tcPr>
            <w:tcW w:w="2636" w:type="dxa"/>
            <w:vMerge/>
          </w:tcPr>
          <w:p w14:paraId="43977632" w14:textId="77777777" w:rsidR="006471D6" w:rsidRPr="00CD7970" w:rsidRDefault="006471D6" w:rsidP="00BA3F8A">
            <w:pPr>
              <w:pStyle w:val="TableFigureHeading"/>
              <w:keepLines/>
            </w:pPr>
          </w:p>
        </w:tc>
        <w:tc>
          <w:tcPr>
            <w:tcW w:w="1564" w:type="dxa"/>
            <w:tcBorders>
              <w:top w:val="nil"/>
              <w:bottom w:val="nil"/>
            </w:tcBorders>
          </w:tcPr>
          <w:p w14:paraId="249E3F4C" w14:textId="77777777" w:rsidR="006471D6" w:rsidRPr="00CD7970" w:rsidRDefault="006471D6" w:rsidP="00BA3F8A">
            <w:pPr>
              <w:pStyle w:val="TableFigureHeading"/>
              <w:keepLines/>
              <w:jc w:val="center"/>
            </w:pPr>
            <w:r w:rsidRPr="00CD7970">
              <w:t>0.45 (0.22, 0.89)</w:t>
            </w:r>
          </w:p>
        </w:tc>
      </w:tr>
      <w:tr w:rsidR="006471D6" w:rsidRPr="00CD7970" w14:paraId="32ACAD07" w14:textId="77777777" w:rsidTr="00BA3F8A">
        <w:tc>
          <w:tcPr>
            <w:tcW w:w="1696" w:type="dxa"/>
            <w:tcBorders>
              <w:top w:val="nil"/>
              <w:bottom w:val="single" w:sz="4" w:space="0" w:color="auto"/>
            </w:tcBorders>
          </w:tcPr>
          <w:p w14:paraId="1DC5FB1B" w14:textId="77777777" w:rsidR="006471D6" w:rsidRPr="00CD7970" w:rsidRDefault="006471D6" w:rsidP="00BA3F8A">
            <w:pPr>
              <w:pStyle w:val="TableFigureHeading"/>
              <w:keepLines/>
              <w:ind w:left="170"/>
              <w:rPr>
                <w:b w:val="0"/>
              </w:rPr>
            </w:pPr>
            <w:r w:rsidRPr="00CD7970">
              <w:rPr>
                <w:b w:val="0"/>
              </w:rPr>
              <w:t>No</w:t>
            </w:r>
          </w:p>
        </w:tc>
        <w:tc>
          <w:tcPr>
            <w:tcW w:w="1701" w:type="dxa"/>
            <w:tcBorders>
              <w:top w:val="nil"/>
              <w:bottom w:val="single" w:sz="4" w:space="0" w:color="auto"/>
            </w:tcBorders>
          </w:tcPr>
          <w:p w14:paraId="4F3EEAC3" w14:textId="77777777" w:rsidR="006471D6" w:rsidRPr="00CD7970" w:rsidRDefault="006471D6" w:rsidP="00BA3F8A">
            <w:pPr>
              <w:pStyle w:val="TableFigureHeading"/>
              <w:keepLines/>
              <w:jc w:val="center"/>
              <w:rPr>
                <w:b w:val="0"/>
              </w:rPr>
            </w:pPr>
            <w:r w:rsidRPr="00CD7970">
              <w:rPr>
                <w:b w:val="0"/>
              </w:rPr>
              <w:t>29/231 (12.6)</w:t>
            </w:r>
          </w:p>
        </w:tc>
        <w:tc>
          <w:tcPr>
            <w:tcW w:w="1419" w:type="dxa"/>
            <w:tcBorders>
              <w:top w:val="nil"/>
              <w:bottom w:val="single" w:sz="4" w:space="0" w:color="auto"/>
            </w:tcBorders>
          </w:tcPr>
          <w:p w14:paraId="3BC11E45" w14:textId="77777777" w:rsidR="006471D6" w:rsidRPr="00CD7970" w:rsidRDefault="006471D6" w:rsidP="00BA3F8A">
            <w:pPr>
              <w:pStyle w:val="TableFigureHeading"/>
              <w:keepLines/>
              <w:jc w:val="center"/>
              <w:rPr>
                <w:b w:val="0"/>
              </w:rPr>
            </w:pPr>
            <w:r w:rsidRPr="00CD7970">
              <w:rPr>
                <w:b w:val="0"/>
              </w:rPr>
              <w:t>61/257 (23.7)</w:t>
            </w:r>
          </w:p>
        </w:tc>
        <w:tc>
          <w:tcPr>
            <w:tcW w:w="2636" w:type="dxa"/>
            <w:vMerge/>
          </w:tcPr>
          <w:p w14:paraId="7AB31853" w14:textId="77777777" w:rsidR="006471D6" w:rsidRPr="00CD7970" w:rsidRDefault="006471D6" w:rsidP="00BA3F8A">
            <w:pPr>
              <w:pStyle w:val="TableFigureHeading"/>
              <w:keepLines/>
            </w:pPr>
          </w:p>
        </w:tc>
        <w:tc>
          <w:tcPr>
            <w:tcW w:w="1564" w:type="dxa"/>
            <w:tcBorders>
              <w:top w:val="nil"/>
              <w:bottom w:val="single" w:sz="4" w:space="0" w:color="auto"/>
            </w:tcBorders>
          </w:tcPr>
          <w:p w14:paraId="43B9317F" w14:textId="77777777" w:rsidR="006471D6" w:rsidRPr="00CD7970" w:rsidRDefault="006471D6" w:rsidP="00BA3F8A">
            <w:pPr>
              <w:pStyle w:val="TableFigureHeading"/>
              <w:keepLines/>
              <w:jc w:val="center"/>
            </w:pPr>
            <w:r w:rsidRPr="00CD7970">
              <w:t>0.49 (0.31, 0.76)</w:t>
            </w:r>
          </w:p>
        </w:tc>
      </w:tr>
      <w:tr w:rsidR="006471D6" w:rsidRPr="00CD7970" w14:paraId="0CA1BAA6" w14:textId="77777777" w:rsidTr="00BA3F8A">
        <w:tc>
          <w:tcPr>
            <w:tcW w:w="1696" w:type="dxa"/>
            <w:tcBorders>
              <w:bottom w:val="nil"/>
            </w:tcBorders>
          </w:tcPr>
          <w:p w14:paraId="2576C1DB" w14:textId="77777777" w:rsidR="006471D6" w:rsidRPr="00CD7970" w:rsidRDefault="006471D6" w:rsidP="00BA3F8A">
            <w:pPr>
              <w:pStyle w:val="TableFigureHeading"/>
              <w:keepLines/>
            </w:pPr>
            <w:r w:rsidRPr="00CD7970">
              <w:t>Race</w:t>
            </w:r>
          </w:p>
        </w:tc>
        <w:tc>
          <w:tcPr>
            <w:tcW w:w="1701" w:type="dxa"/>
            <w:tcBorders>
              <w:bottom w:val="nil"/>
            </w:tcBorders>
          </w:tcPr>
          <w:p w14:paraId="57F7C001" w14:textId="77777777" w:rsidR="006471D6" w:rsidRPr="00CD7970" w:rsidRDefault="006471D6" w:rsidP="00BA3F8A">
            <w:pPr>
              <w:pStyle w:val="TableFigureHeading"/>
              <w:keepLines/>
              <w:jc w:val="center"/>
              <w:rPr>
                <w:b w:val="0"/>
              </w:rPr>
            </w:pPr>
          </w:p>
        </w:tc>
        <w:tc>
          <w:tcPr>
            <w:tcW w:w="1419" w:type="dxa"/>
            <w:tcBorders>
              <w:bottom w:val="nil"/>
            </w:tcBorders>
          </w:tcPr>
          <w:p w14:paraId="568DD136" w14:textId="77777777" w:rsidR="006471D6" w:rsidRPr="00CD7970" w:rsidRDefault="006471D6" w:rsidP="00BA3F8A">
            <w:pPr>
              <w:pStyle w:val="TableFigureHeading"/>
              <w:keepLines/>
              <w:jc w:val="center"/>
              <w:rPr>
                <w:b w:val="0"/>
              </w:rPr>
            </w:pPr>
          </w:p>
        </w:tc>
        <w:tc>
          <w:tcPr>
            <w:tcW w:w="2636" w:type="dxa"/>
            <w:vMerge/>
          </w:tcPr>
          <w:p w14:paraId="199FDF35" w14:textId="77777777" w:rsidR="006471D6" w:rsidRPr="00CD7970" w:rsidRDefault="006471D6" w:rsidP="00BA3F8A">
            <w:pPr>
              <w:pStyle w:val="TableFigureHeading"/>
              <w:keepLines/>
            </w:pPr>
          </w:p>
        </w:tc>
        <w:tc>
          <w:tcPr>
            <w:tcW w:w="1564" w:type="dxa"/>
            <w:tcBorders>
              <w:bottom w:val="nil"/>
            </w:tcBorders>
          </w:tcPr>
          <w:p w14:paraId="2542BEE2" w14:textId="77777777" w:rsidR="006471D6" w:rsidRPr="00CD7970" w:rsidRDefault="006471D6" w:rsidP="00BA3F8A">
            <w:pPr>
              <w:pStyle w:val="TableFigureHeading"/>
              <w:keepLines/>
              <w:jc w:val="center"/>
            </w:pPr>
          </w:p>
        </w:tc>
      </w:tr>
      <w:tr w:rsidR="006471D6" w:rsidRPr="00CD7970" w14:paraId="64965DFC" w14:textId="77777777" w:rsidTr="00BA3F8A">
        <w:tc>
          <w:tcPr>
            <w:tcW w:w="1696" w:type="dxa"/>
            <w:tcBorders>
              <w:top w:val="nil"/>
              <w:bottom w:val="nil"/>
            </w:tcBorders>
          </w:tcPr>
          <w:p w14:paraId="33821DEA" w14:textId="77777777" w:rsidR="006471D6" w:rsidRPr="00CD7970" w:rsidRDefault="006471D6" w:rsidP="00BA3F8A">
            <w:pPr>
              <w:pStyle w:val="TableFigureHeading"/>
              <w:keepLines/>
              <w:ind w:left="170"/>
              <w:rPr>
                <w:b w:val="0"/>
              </w:rPr>
            </w:pPr>
            <w:r w:rsidRPr="00CD7970">
              <w:rPr>
                <w:b w:val="0"/>
              </w:rPr>
              <w:t>Asian</w:t>
            </w:r>
          </w:p>
        </w:tc>
        <w:tc>
          <w:tcPr>
            <w:tcW w:w="1701" w:type="dxa"/>
            <w:tcBorders>
              <w:top w:val="nil"/>
              <w:bottom w:val="nil"/>
            </w:tcBorders>
          </w:tcPr>
          <w:p w14:paraId="21C268E9" w14:textId="77777777" w:rsidR="006471D6" w:rsidRPr="00CD7970" w:rsidRDefault="006471D6" w:rsidP="00BA3F8A">
            <w:pPr>
              <w:pStyle w:val="TableFigureHeading"/>
              <w:keepLines/>
              <w:jc w:val="center"/>
              <w:rPr>
                <w:b w:val="0"/>
              </w:rPr>
            </w:pPr>
            <w:r w:rsidRPr="00CD7970">
              <w:rPr>
                <w:b w:val="0"/>
              </w:rPr>
              <w:t>29/216 (13.4)</w:t>
            </w:r>
          </w:p>
        </w:tc>
        <w:tc>
          <w:tcPr>
            <w:tcW w:w="1419" w:type="dxa"/>
            <w:tcBorders>
              <w:top w:val="nil"/>
              <w:bottom w:val="nil"/>
            </w:tcBorders>
          </w:tcPr>
          <w:p w14:paraId="3A3F7063" w14:textId="77777777" w:rsidR="006471D6" w:rsidRPr="00CD7970" w:rsidRDefault="006471D6" w:rsidP="00BA3F8A">
            <w:pPr>
              <w:pStyle w:val="TableFigureHeading"/>
              <w:keepLines/>
              <w:jc w:val="center"/>
              <w:rPr>
                <w:b w:val="0"/>
              </w:rPr>
            </w:pPr>
            <w:r w:rsidRPr="00CD7970">
              <w:rPr>
                <w:b w:val="0"/>
              </w:rPr>
              <w:t>44/218 (20.2)</w:t>
            </w:r>
          </w:p>
        </w:tc>
        <w:tc>
          <w:tcPr>
            <w:tcW w:w="2636" w:type="dxa"/>
            <w:vMerge/>
          </w:tcPr>
          <w:p w14:paraId="2EC75338" w14:textId="77777777" w:rsidR="006471D6" w:rsidRPr="00CD7970" w:rsidRDefault="006471D6" w:rsidP="00BA3F8A">
            <w:pPr>
              <w:pStyle w:val="TableFigureHeading"/>
              <w:keepLines/>
            </w:pPr>
          </w:p>
        </w:tc>
        <w:tc>
          <w:tcPr>
            <w:tcW w:w="1564" w:type="dxa"/>
            <w:tcBorders>
              <w:top w:val="nil"/>
              <w:bottom w:val="nil"/>
            </w:tcBorders>
          </w:tcPr>
          <w:p w14:paraId="2FD0493C" w14:textId="77777777" w:rsidR="006471D6" w:rsidRPr="00CD7970" w:rsidRDefault="006471D6" w:rsidP="00BA3F8A">
            <w:pPr>
              <w:pStyle w:val="TableFigureHeading"/>
              <w:keepLines/>
              <w:jc w:val="center"/>
            </w:pPr>
            <w:r w:rsidRPr="00CD7970">
              <w:t>0.61 (0.38, 0.97)</w:t>
            </w:r>
          </w:p>
        </w:tc>
      </w:tr>
      <w:tr w:rsidR="006471D6" w:rsidRPr="00CD7970" w14:paraId="593D16E3" w14:textId="77777777" w:rsidTr="00BA3F8A">
        <w:tc>
          <w:tcPr>
            <w:tcW w:w="1696" w:type="dxa"/>
            <w:tcBorders>
              <w:top w:val="nil"/>
              <w:bottom w:val="single" w:sz="4" w:space="0" w:color="auto"/>
            </w:tcBorders>
          </w:tcPr>
          <w:p w14:paraId="77A0688E" w14:textId="77777777" w:rsidR="006471D6" w:rsidRPr="00CD7970" w:rsidRDefault="006471D6" w:rsidP="00BA3F8A">
            <w:pPr>
              <w:pStyle w:val="TableFigureHeading"/>
              <w:keepLines/>
              <w:ind w:left="170"/>
              <w:rPr>
                <w:b w:val="0"/>
              </w:rPr>
            </w:pPr>
            <w:r w:rsidRPr="00CD7970">
              <w:rPr>
                <w:b w:val="0"/>
              </w:rPr>
              <w:t>Non-Asian</w:t>
            </w:r>
          </w:p>
        </w:tc>
        <w:tc>
          <w:tcPr>
            <w:tcW w:w="1701" w:type="dxa"/>
            <w:tcBorders>
              <w:top w:val="nil"/>
              <w:bottom w:val="single" w:sz="4" w:space="0" w:color="auto"/>
            </w:tcBorders>
          </w:tcPr>
          <w:p w14:paraId="5FD811E2" w14:textId="77777777" w:rsidR="006471D6" w:rsidRPr="00CD7970" w:rsidRDefault="006471D6" w:rsidP="00BA3F8A">
            <w:pPr>
              <w:pStyle w:val="TableFigureHeading"/>
              <w:keepLines/>
              <w:jc w:val="center"/>
              <w:rPr>
                <w:b w:val="0"/>
              </w:rPr>
            </w:pPr>
            <w:r w:rsidRPr="00CD7970">
              <w:rPr>
                <w:b w:val="0"/>
              </w:rPr>
              <w:t>13/123 (10.6)</w:t>
            </w:r>
          </w:p>
        </w:tc>
        <w:tc>
          <w:tcPr>
            <w:tcW w:w="1419" w:type="dxa"/>
            <w:tcBorders>
              <w:top w:val="nil"/>
              <w:bottom w:val="single" w:sz="4" w:space="0" w:color="auto"/>
            </w:tcBorders>
          </w:tcPr>
          <w:p w14:paraId="7F330681" w14:textId="77777777" w:rsidR="006471D6" w:rsidRPr="00CD7970" w:rsidRDefault="006471D6" w:rsidP="00BA3F8A">
            <w:pPr>
              <w:pStyle w:val="TableFigureHeading"/>
              <w:keepLines/>
              <w:jc w:val="center"/>
              <w:rPr>
                <w:b w:val="0"/>
              </w:rPr>
            </w:pPr>
            <w:r w:rsidRPr="00CD7970">
              <w:rPr>
                <w:b w:val="0"/>
              </w:rPr>
              <w:t>38/125 (30.4)</w:t>
            </w:r>
          </w:p>
        </w:tc>
        <w:tc>
          <w:tcPr>
            <w:tcW w:w="2636" w:type="dxa"/>
            <w:vMerge/>
          </w:tcPr>
          <w:p w14:paraId="638D8948" w14:textId="77777777" w:rsidR="006471D6" w:rsidRPr="00CD7970" w:rsidRDefault="006471D6" w:rsidP="00BA3F8A">
            <w:pPr>
              <w:pStyle w:val="TableFigureHeading"/>
              <w:keepLines/>
            </w:pPr>
          </w:p>
        </w:tc>
        <w:tc>
          <w:tcPr>
            <w:tcW w:w="1564" w:type="dxa"/>
            <w:tcBorders>
              <w:top w:val="nil"/>
              <w:bottom w:val="single" w:sz="4" w:space="0" w:color="auto"/>
            </w:tcBorders>
          </w:tcPr>
          <w:p w14:paraId="47D88A43" w14:textId="77777777" w:rsidR="006471D6" w:rsidRPr="00CD7970" w:rsidRDefault="006471D6" w:rsidP="00BA3F8A">
            <w:pPr>
              <w:pStyle w:val="TableFigureHeading"/>
              <w:keepLines/>
              <w:jc w:val="center"/>
            </w:pPr>
            <w:r w:rsidRPr="00CD7970">
              <w:t>0.33 (0.17, 0.61)</w:t>
            </w:r>
          </w:p>
        </w:tc>
      </w:tr>
      <w:tr w:rsidR="006471D6" w:rsidRPr="00CD7970" w14:paraId="0CC76543" w14:textId="77777777" w:rsidTr="00BA3F8A">
        <w:tc>
          <w:tcPr>
            <w:tcW w:w="1696" w:type="dxa"/>
            <w:tcBorders>
              <w:bottom w:val="nil"/>
            </w:tcBorders>
          </w:tcPr>
          <w:p w14:paraId="17A3E78C" w14:textId="77777777" w:rsidR="006471D6" w:rsidRPr="00CD7970" w:rsidRDefault="006471D6" w:rsidP="00BA3F8A">
            <w:pPr>
              <w:pStyle w:val="TableFigureHeading"/>
              <w:keepLines/>
            </w:pPr>
            <w:r w:rsidRPr="00CD7970">
              <w:t>Stage</w:t>
            </w:r>
          </w:p>
        </w:tc>
        <w:tc>
          <w:tcPr>
            <w:tcW w:w="1701" w:type="dxa"/>
            <w:tcBorders>
              <w:bottom w:val="nil"/>
            </w:tcBorders>
          </w:tcPr>
          <w:p w14:paraId="05F69A9D" w14:textId="77777777" w:rsidR="006471D6" w:rsidRPr="00CD7970" w:rsidRDefault="006471D6" w:rsidP="00BA3F8A">
            <w:pPr>
              <w:pStyle w:val="TableFigureHeading"/>
              <w:keepLines/>
              <w:jc w:val="center"/>
              <w:rPr>
                <w:b w:val="0"/>
              </w:rPr>
            </w:pPr>
          </w:p>
        </w:tc>
        <w:tc>
          <w:tcPr>
            <w:tcW w:w="1419" w:type="dxa"/>
            <w:tcBorders>
              <w:bottom w:val="nil"/>
            </w:tcBorders>
          </w:tcPr>
          <w:p w14:paraId="609627B7" w14:textId="77777777" w:rsidR="006471D6" w:rsidRPr="00CD7970" w:rsidRDefault="006471D6" w:rsidP="00BA3F8A">
            <w:pPr>
              <w:pStyle w:val="TableFigureHeading"/>
              <w:keepLines/>
              <w:jc w:val="center"/>
              <w:rPr>
                <w:b w:val="0"/>
              </w:rPr>
            </w:pPr>
          </w:p>
        </w:tc>
        <w:tc>
          <w:tcPr>
            <w:tcW w:w="2636" w:type="dxa"/>
            <w:vMerge/>
          </w:tcPr>
          <w:p w14:paraId="7B7E7789" w14:textId="77777777" w:rsidR="006471D6" w:rsidRPr="00CD7970" w:rsidRDefault="006471D6" w:rsidP="00BA3F8A">
            <w:pPr>
              <w:pStyle w:val="TableFigureHeading"/>
              <w:keepLines/>
            </w:pPr>
          </w:p>
        </w:tc>
        <w:tc>
          <w:tcPr>
            <w:tcW w:w="1564" w:type="dxa"/>
            <w:tcBorders>
              <w:bottom w:val="nil"/>
            </w:tcBorders>
          </w:tcPr>
          <w:p w14:paraId="3DBCBDBA" w14:textId="77777777" w:rsidR="006471D6" w:rsidRPr="00CD7970" w:rsidRDefault="006471D6" w:rsidP="00BA3F8A">
            <w:pPr>
              <w:pStyle w:val="TableFigureHeading"/>
              <w:keepLines/>
              <w:jc w:val="center"/>
            </w:pPr>
          </w:p>
        </w:tc>
      </w:tr>
      <w:tr w:rsidR="006471D6" w:rsidRPr="00CD7970" w14:paraId="7CE27A5E" w14:textId="77777777" w:rsidTr="00BA3F8A">
        <w:tc>
          <w:tcPr>
            <w:tcW w:w="1696" w:type="dxa"/>
            <w:tcBorders>
              <w:top w:val="nil"/>
              <w:bottom w:val="nil"/>
            </w:tcBorders>
          </w:tcPr>
          <w:p w14:paraId="588462E7" w14:textId="77777777" w:rsidR="006471D6" w:rsidRPr="00CD7970" w:rsidRDefault="006471D6" w:rsidP="00BA3F8A">
            <w:pPr>
              <w:pStyle w:val="TableFigureHeading"/>
              <w:keepLines/>
              <w:ind w:left="170"/>
              <w:rPr>
                <w:b w:val="0"/>
              </w:rPr>
            </w:pPr>
            <w:r w:rsidRPr="00CD7970">
              <w:rPr>
                <w:b w:val="0"/>
              </w:rPr>
              <w:t>IB</w:t>
            </w:r>
          </w:p>
        </w:tc>
        <w:tc>
          <w:tcPr>
            <w:tcW w:w="1701" w:type="dxa"/>
            <w:tcBorders>
              <w:top w:val="nil"/>
              <w:bottom w:val="nil"/>
            </w:tcBorders>
            <w:vAlign w:val="center"/>
          </w:tcPr>
          <w:p w14:paraId="69D30E29" w14:textId="77777777" w:rsidR="006471D6" w:rsidRPr="00CD7970" w:rsidRDefault="006471D6" w:rsidP="00BA3F8A">
            <w:pPr>
              <w:pStyle w:val="TableFigureHeading"/>
              <w:keepLines/>
              <w:jc w:val="center"/>
              <w:rPr>
                <w:b w:val="0"/>
              </w:rPr>
            </w:pPr>
            <w:r w:rsidRPr="00CD7970">
              <w:rPr>
                <w:b w:val="0"/>
              </w:rPr>
              <w:t>7/106 (6.6)</w:t>
            </w:r>
          </w:p>
        </w:tc>
        <w:tc>
          <w:tcPr>
            <w:tcW w:w="1419" w:type="dxa"/>
            <w:tcBorders>
              <w:top w:val="nil"/>
              <w:bottom w:val="nil"/>
            </w:tcBorders>
            <w:vAlign w:val="center"/>
          </w:tcPr>
          <w:p w14:paraId="60D3175B" w14:textId="77777777" w:rsidR="006471D6" w:rsidRPr="00CD7970" w:rsidRDefault="006471D6" w:rsidP="00BA3F8A">
            <w:pPr>
              <w:pStyle w:val="TableFigureHeading"/>
              <w:keepLines/>
              <w:jc w:val="center"/>
              <w:rPr>
                <w:b w:val="0"/>
              </w:rPr>
            </w:pPr>
            <w:r w:rsidRPr="00CD7970">
              <w:rPr>
                <w:b w:val="0"/>
              </w:rPr>
              <w:t>17/106 (16.0)</w:t>
            </w:r>
          </w:p>
        </w:tc>
        <w:tc>
          <w:tcPr>
            <w:tcW w:w="2636" w:type="dxa"/>
            <w:vMerge/>
            <w:vAlign w:val="center"/>
          </w:tcPr>
          <w:p w14:paraId="1D33DD72" w14:textId="77777777" w:rsidR="006471D6" w:rsidRPr="00CD7970" w:rsidRDefault="006471D6" w:rsidP="00BA3F8A">
            <w:pPr>
              <w:pStyle w:val="TableFigureHeading"/>
              <w:keepLines/>
            </w:pPr>
          </w:p>
        </w:tc>
        <w:tc>
          <w:tcPr>
            <w:tcW w:w="1564" w:type="dxa"/>
            <w:tcBorders>
              <w:top w:val="nil"/>
              <w:bottom w:val="nil"/>
            </w:tcBorders>
            <w:vAlign w:val="center"/>
          </w:tcPr>
          <w:p w14:paraId="69C31AA7" w14:textId="77777777" w:rsidR="006471D6" w:rsidRPr="00E713D6" w:rsidRDefault="006471D6" w:rsidP="00BA3F8A">
            <w:pPr>
              <w:pStyle w:val="TableFigureHeading"/>
              <w:keepLines/>
              <w:jc w:val="center"/>
              <w:rPr>
                <w:b w:val="0"/>
              </w:rPr>
            </w:pPr>
            <w:r w:rsidRPr="00E713D6">
              <w:rPr>
                <w:b w:val="0"/>
              </w:rPr>
              <w:t>0.44 (0.17, 1.02)</w:t>
            </w:r>
          </w:p>
        </w:tc>
      </w:tr>
      <w:tr w:rsidR="006471D6" w:rsidRPr="00CD7970" w14:paraId="0AE1B7DB" w14:textId="77777777" w:rsidTr="00BA3F8A">
        <w:tc>
          <w:tcPr>
            <w:tcW w:w="1696" w:type="dxa"/>
            <w:tcBorders>
              <w:top w:val="nil"/>
              <w:bottom w:val="nil"/>
            </w:tcBorders>
          </w:tcPr>
          <w:p w14:paraId="177D521A" w14:textId="77777777" w:rsidR="006471D6" w:rsidRPr="00CD7970" w:rsidRDefault="006471D6" w:rsidP="00BA3F8A">
            <w:pPr>
              <w:pStyle w:val="TableFigureHeading"/>
              <w:keepLines/>
              <w:ind w:left="170"/>
              <w:rPr>
                <w:b w:val="0"/>
              </w:rPr>
            </w:pPr>
            <w:r w:rsidRPr="00CD7970">
              <w:rPr>
                <w:b w:val="0"/>
              </w:rPr>
              <w:t>II</w:t>
            </w:r>
          </w:p>
        </w:tc>
        <w:tc>
          <w:tcPr>
            <w:tcW w:w="1701" w:type="dxa"/>
            <w:tcBorders>
              <w:top w:val="nil"/>
              <w:bottom w:val="nil"/>
            </w:tcBorders>
            <w:vAlign w:val="center"/>
          </w:tcPr>
          <w:p w14:paraId="3DC35CED" w14:textId="77777777" w:rsidR="006471D6" w:rsidRPr="00CD7970" w:rsidRDefault="006471D6" w:rsidP="00BA3F8A">
            <w:pPr>
              <w:pStyle w:val="TableFigureHeading"/>
              <w:keepLines/>
              <w:jc w:val="center"/>
              <w:rPr>
                <w:b w:val="0"/>
              </w:rPr>
            </w:pPr>
            <w:r w:rsidRPr="00CD7970">
              <w:rPr>
                <w:b w:val="0"/>
              </w:rPr>
              <w:t>18/118 (15.3)</w:t>
            </w:r>
          </w:p>
        </w:tc>
        <w:tc>
          <w:tcPr>
            <w:tcW w:w="1419" w:type="dxa"/>
            <w:tcBorders>
              <w:top w:val="nil"/>
              <w:bottom w:val="nil"/>
            </w:tcBorders>
            <w:vAlign w:val="center"/>
          </w:tcPr>
          <w:p w14:paraId="0AD0D3C1" w14:textId="77777777" w:rsidR="006471D6" w:rsidRPr="00CD7970" w:rsidRDefault="006471D6" w:rsidP="00BA3F8A">
            <w:pPr>
              <w:pStyle w:val="TableFigureHeading"/>
              <w:keepLines/>
              <w:jc w:val="center"/>
              <w:rPr>
                <w:b w:val="0"/>
              </w:rPr>
            </w:pPr>
            <w:r w:rsidRPr="00CD7970">
              <w:rPr>
                <w:b w:val="0"/>
              </w:rPr>
              <w:t>28/118 (23.7)</w:t>
            </w:r>
          </w:p>
        </w:tc>
        <w:tc>
          <w:tcPr>
            <w:tcW w:w="2636" w:type="dxa"/>
            <w:vMerge/>
            <w:vAlign w:val="center"/>
          </w:tcPr>
          <w:p w14:paraId="08585CEC" w14:textId="77777777" w:rsidR="006471D6" w:rsidRPr="00CD7970" w:rsidRDefault="006471D6" w:rsidP="00BA3F8A">
            <w:pPr>
              <w:pStyle w:val="TableFigureHeading"/>
              <w:keepLines/>
            </w:pPr>
          </w:p>
        </w:tc>
        <w:tc>
          <w:tcPr>
            <w:tcW w:w="1564" w:type="dxa"/>
            <w:tcBorders>
              <w:top w:val="nil"/>
              <w:bottom w:val="nil"/>
            </w:tcBorders>
            <w:vAlign w:val="center"/>
          </w:tcPr>
          <w:p w14:paraId="40F179FD" w14:textId="77777777" w:rsidR="006471D6" w:rsidRPr="00E713D6" w:rsidRDefault="006471D6" w:rsidP="00BA3F8A">
            <w:pPr>
              <w:pStyle w:val="TableFigureHeading"/>
              <w:keepLines/>
              <w:jc w:val="center"/>
              <w:rPr>
                <w:b w:val="0"/>
              </w:rPr>
            </w:pPr>
            <w:r w:rsidRPr="00E713D6">
              <w:rPr>
                <w:b w:val="0"/>
              </w:rPr>
              <w:t>0.63 (0.34, 1.12)</w:t>
            </w:r>
          </w:p>
        </w:tc>
      </w:tr>
      <w:tr w:rsidR="006471D6" w:rsidRPr="00CD7970" w14:paraId="58C1114A" w14:textId="77777777" w:rsidTr="00BA3F8A">
        <w:tc>
          <w:tcPr>
            <w:tcW w:w="1696" w:type="dxa"/>
            <w:tcBorders>
              <w:top w:val="nil"/>
              <w:bottom w:val="single" w:sz="4" w:space="0" w:color="auto"/>
            </w:tcBorders>
          </w:tcPr>
          <w:p w14:paraId="1056F0FA" w14:textId="77777777" w:rsidR="006471D6" w:rsidRPr="00CD7970" w:rsidRDefault="006471D6" w:rsidP="00BA3F8A">
            <w:pPr>
              <w:pStyle w:val="TableFigureHeading"/>
              <w:keepLines/>
              <w:ind w:left="170"/>
              <w:rPr>
                <w:b w:val="0"/>
              </w:rPr>
            </w:pPr>
            <w:r w:rsidRPr="00CD7970">
              <w:rPr>
                <w:b w:val="0"/>
              </w:rPr>
              <w:t>IIIA</w:t>
            </w:r>
          </w:p>
        </w:tc>
        <w:tc>
          <w:tcPr>
            <w:tcW w:w="1701" w:type="dxa"/>
            <w:tcBorders>
              <w:top w:val="nil"/>
              <w:bottom w:val="single" w:sz="4" w:space="0" w:color="auto"/>
            </w:tcBorders>
            <w:vAlign w:val="center"/>
          </w:tcPr>
          <w:p w14:paraId="726764EF" w14:textId="77777777" w:rsidR="006471D6" w:rsidRPr="00CD7970" w:rsidRDefault="006471D6" w:rsidP="00BA3F8A">
            <w:pPr>
              <w:pStyle w:val="TableFigureHeading"/>
              <w:keepLines/>
              <w:jc w:val="center"/>
              <w:rPr>
                <w:b w:val="0"/>
              </w:rPr>
            </w:pPr>
            <w:r w:rsidRPr="00CD7970">
              <w:rPr>
                <w:b w:val="0"/>
              </w:rPr>
              <w:t>17/115 (14.8)</w:t>
            </w:r>
          </w:p>
        </w:tc>
        <w:tc>
          <w:tcPr>
            <w:tcW w:w="1419" w:type="dxa"/>
            <w:tcBorders>
              <w:top w:val="nil"/>
              <w:bottom w:val="single" w:sz="4" w:space="0" w:color="auto"/>
            </w:tcBorders>
            <w:vAlign w:val="center"/>
          </w:tcPr>
          <w:p w14:paraId="039814EC" w14:textId="77777777" w:rsidR="006471D6" w:rsidRPr="00CD7970" w:rsidRDefault="006471D6" w:rsidP="00BA3F8A">
            <w:pPr>
              <w:pStyle w:val="TableFigureHeading"/>
              <w:keepLines/>
              <w:jc w:val="center"/>
              <w:rPr>
                <w:b w:val="0"/>
              </w:rPr>
            </w:pPr>
            <w:r w:rsidRPr="00CD7970">
              <w:rPr>
                <w:b w:val="0"/>
              </w:rPr>
              <w:t>37/119 (31.1)</w:t>
            </w:r>
          </w:p>
        </w:tc>
        <w:tc>
          <w:tcPr>
            <w:tcW w:w="2636" w:type="dxa"/>
            <w:vMerge/>
            <w:vAlign w:val="center"/>
          </w:tcPr>
          <w:p w14:paraId="7C674B04" w14:textId="77777777" w:rsidR="006471D6" w:rsidRPr="00CD7970" w:rsidRDefault="006471D6" w:rsidP="00BA3F8A">
            <w:pPr>
              <w:pStyle w:val="TableFigureHeading"/>
              <w:keepLines/>
            </w:pPr>
          </w:p>
        </w:tc>
        <w:tc>
          <w:tcPr>
            <w:tcW w:w="1564" w:type="dxa"/>
            <w:tcBorders>
              <w:top w:val="nil"/>
              <w:bottom w:val="single" w:sz="4" w:space="0" w:color="auto"/>
            </w:tcBorders>
            <w:vAlign w:val="center"/>
          </w:tcPr>
          <w:p w14:paraId="21B5DBE1" w14:textId="77777777" w:rsidR="006471D6" w:rsidRPr="00CD7970" w:rsidRDefault="006471D6" w:rsidP="00BA3F8A">
            <w:pPr>
              <w:pStyle w:val="TableFigureHeading"/>
              <w:keepLines/>
              <w:jc w:val="center"/>
            </w:pPr>
            <w:r w:rsidRPr="00CD7970">
              <w:t>0.37 (0.20, 0.64)</w:t>
            </w:r>
          </w:p>
        </w:tc>
      </w:tr>
      <w:tr w:rsidR="006471D6" w:rsidRPr="00CD7970" w14:paraId="3639BD84" w14:textId="77777777" w:rsidTr="00BA3F8A">
        <w:tc>
          <w:tcPr>
            <w:tcW w:w="1696" w:type="dxa"/>
            <w:tcBorders>
              <w:bottom w:val="nil"/>
            </w:tcBorders>
          </w:tcPr>
          <w:p w14:paraId="01C139D3" w14:textId="77777777" w:rsidR="006471D6" w:rsidRPr="00CD7970" w:rsidRDefault="006471D6" w:rsidP="00BA3F8A">
            <w:pPr>
              <w:pStyle w:val="TableFigureHeading"/>
              <w:keepLines/>
            </w:pPr>
            <w:r w:rsidRPr="00CD7970">
              <w:rPr>
                <w:i/>
              </w:rPr>
              <w:t>EGFR</w:t>
            </w:r>
            <w:r w:rsidRPr="00CD7970">
              <w:t xml:space="preserve"> variant</w:t>
            </w:r>
          </w:p>
        </w:tc>
        <w:tc>
          <w:tcPr>
            <w:tcW w:w="1701" w:type="dxa"/>
            <w:tcBorders>
              <w:bottom w:val="nil"/>
            </w:tcBorders>
          </w:tcPr>
          <w:p w14:paraId="6CD40361" w14:textId="77777777" w:rsidR="006471D6" w:rsidRPr="00CD7970" w:rsidRDefault="006471D6" w:rsidP="00BA3F8A">
            <w:pPr>
              <w:pStyle w:val="TableFigureHeading"/>
              <w:keepLines/>
              <w:jc w:val="center"/>
              <w:rPr>
                <w:b w:val="0"/>
              </w:rPr>
            </w:pPr>
          </w:p>
        </w:tc>
        <w:tc>
          <w:tcPr>
            <w:tcW w:w="1419" w:type="dxa"/>
            <w:tcBorders>
              <w:bottom w:val="nil"/>
            </w:tcBorders>
          </w:tcPr>
          <w:p w14:paraId="1C929522" w14:textId="77777777" w:rsidR="006471D6" w:rsidRPr="00CD7970" w:rsidRDefault="006471D6" w:rsidP="00BA3F8A">
            <w:pPr>
              <w:pStyle w:val="TableFigureHeading"/>
              <w:keepLines/>
              <w:jc w:val="center"/>
              <w:rPr>
                <w:b w:val="0"/>
              </w:rPr>
            </w:pPr>
          </w:p>
        </w:tc>
        <w:tc>
          <w:tcPr>
            <w:tcW w:w="2636" w:type="dxa"/>
            <w:vMerge/>
          </w:tcPr>
          <w:p w14:paraId="3E6FEB54" w14:textId="77777777" w:rsidR="006471D6" w:rsidRPr="00CD7970" w:rsidRDefault="006471D6" w:rsidP="00BA3F8A">
            <w:pPr>
              <w:pStyle w:val="TableFigureHeading"/>
              <w:keepLines/>
            </w:pPr>
          </w:p>
        </w:tc>
        <w:tc>
          <w:tcPr>
            <w:tcW w:w="1564" w:type="dxa"/>
            <w:tcBorders>
              <w:bottom w:val="nil"/>
            </w:tcBorders>
          </w:tcPr>
          <w:p w14:paraId="66A3D546" w14:textId="77777777" w:rsidR="006471D6" w:rsidRPr="00CD7970" w:rsidRDefault="006471D6" w:rsidP="00BA3F8A">
            <w:pPr>
              <w:pStyle w:val="TableFigureHeading"/>
              <w:keepLines/>
              <w:jc w:val="center"/>
            </w:pPr>
          </w:p>
        </w:tc>
      </w:tr>
      <w:tr w:rsidR="006471D6" w:rsidRPr="00CD7970" w14:paraId="4025E09B" w14:textId="77777777" w:rsidTr="00BA3F8A">
        <w:tc>
          <w:tcPr>
            <w:tcW w:w="1696" w:type="dxa"/>
            <w:tcBorders>
              <w:top w:val="nil"/>
              <w:bottom w:val="nil"/>
            </w:tcBorders>
          </w:tcPr>
          <w:p w14:paraId="602837AF" w14:textId="77777777" w:rsidR="006471D6" w:rsidRPr="00CD7970" w:rsidRDefault="006471D6" w:rsidP="00BA3F8A">
            <w:pPr>
              <w:pStyle w:val="TableFigureHeading"/>
              <w:keepLines/>
              <w:ind w:left="170"/>
              <w:rPr>
                <w:b w:val="0"/>
              </w:rPr>
            </w:pPr>
            <w:r w:rsidRPr="00CD7970">
              <w:rPr>
                <w:b w:val="0"/>
              </w:rPr>
              <w:t>Ex19del</w:t>
            </w:r>
          </w:p>
        </w:tc>
        <w:tc>
          <w:tcPr>
            <w:tcW w:w="1701" w:type="dxa"/>
            <w:tcBorders>
              <w:top w:val="nil"/>
              <w:bottom w:val="nil"/>
            </w:tcBorders>
          </w:tcPr>
          <w:p w14:paraId="01ED2066" w14:textId="77777777" w:rsidR="006471D6" w:rsidRPr="00CD7970" w:rsidRDefault="006471D6" w:rsidP="00BA3F8A">
            <w:pPr>
              <w:pStyle w:val="TableFigureHeading"/>
              <w:keepLines/>
              <w:jc w:val="center"/>
              <w:rPr>
                <w:b w:val="0"/>
              </w:rPr>
            </w:pPr>
            <w:r w:rsidRPr="00CD7970">
              <w:rPr>
                <w:b w:val="0"/>
              </w:rPr>
              <w:t>18/187 (9.6)</w:t>
            </w:r>
          </w:p>
        </w:tc>
        <w:tc>
          <w:tcPr>
            <w:tcW w:w="1419" w:type="dxa"/>
            <w:tcBorders>
              <w:top w:val="nil"/>
              <w:bottom w:val="nil"/>
            </w:tcBorders>
          </w:tcPr>
          <w:p w14:paraId="0100AB25" w14:textId="77777777" w:rsidR="006471D6" w:rsidRPr="00CD7970" w:rsidRDefault="006471D6" w:rsidP="00BA3F8A">
            <w:pPr>
              <w:pStyle w:val="TableFigureHeading"/>
              <w:keepLines/>
              <w:jc w:val="center"/>
              <w:rPr>
                <w:b w:val="0"/>
              </w:rPr>
            </w:pPr>
            <w:r w:rsidRPr="00CD7970">
              <w:rPr>
                <w:b w:val="0"/>
              </w:rPr>
              <w:t>47/191 (24.6)</w:t>
            </w:r>
          </w:p>
        </w:tc>
        <w:tc>
          <w:tcPr>
            <w:tcW w:w="2636" w:type="dxa"/>
            <w:vMerge/>
          </w:tcPr>
          <w:p w14:paraId="11B265DD" w14:textId="77777777" w:rsidR="006471D6" w:rsidRPr="00CD7970" w:rsidRDefault="006471D6" w:rsidP="00BA3F8A">
            <w:pPr>
              <w:pStyle w:val="TableFigureHeading"/>
              <w:keepLines/>
            </w:pPr>
          </w:p>
        </w:tc>
        <w:tc>
          <w:tcPr>
            <w:tcW w:w="1564" w:type="dxa"/>
            <w:tcBorders>
              <w:top w:val="nil"/>
              <w:bottom w:val="nil"/>
            </w:tcBorders>
          </w:tcPr>
          <w:p w14:paraId="03FA9B56" w14:textId="77777777" w:rsidR="006471D6" w:rsidRPr="00CD7970" w:rsidRDefault="006471D6" w:rsidP="00BA3F8A">
            <w:pPr>
              <w:pStyle w:val="TableFigureHeading"/>
              <w:keepLines/>
              <w:jc w:val="center"/>
            </w:pPr>
            <w:r w:rsidRPr="00CD7970">
              <w:t>0.35 (0.20, 0.59)</w:t>
            </w:r>
          </w:p>
        </w:tc>
      </w:tr>
      <w:tr w:rsidR="006471D6" w:rsidRPr="00CD7970" w14:paraId="2423F284" w14:textId="77777777" w:rsidTr="00BA3F8A">
        <w:tc>
          <w:tcPr>
            <w:tcW w:w="1696" w:type="dxa"/>
            <w:tcBorders>
              <w:top w:val="nil"/>
              <w:bottom w:val="single" w:sz="4" w:space="0" w:color="auto"/>
            </w:tcBorders>
          </w:tcPr>
          <w:p w14:paraId="08266659" w14:textId="77777777" w:rsidR="006471D6" w:rsidRPr="00CD7970" w:rsidRDefault="006471D6" w:rsidP="00BA3F8A">
            <w:pPr>
              <w:pStyle w:val="TableFigureHeading"/>
              <w:keepLines/>
              <w:ind w:left="170"/>
              <w:rPr>
                <w:b w:val="0"/>
              </w:rPr>
            </w:pPr>
            <w:r w:rsidRPr="00CD7970">
              <w:rPr>
                <w:b w:val="0"/>
              </w:rPr>
              <w:t>L858R</w:t>
            </w:r>
          </w:p>
        </w:tc>
        <w:tc>
          <w:tcPr>
            <w:tcW w:w="1701" w:type="dxa"/>
            <w:tcBorders>
              <w:top w:val="nil"/>
              <w:bottom w:val="single" w:sz="4" w:space="0" w:color="auto"/>
            </w:tcBorders>
          </w:tcPr>
          <w:p w14:paraId="44310753" w14:textId="77777777" w:rsidR="006471D6" w:rsidRPr="00CD7970" w:rsidRDefault="006471D6" w:rsidP="00BA3F8A">
            <w:pPr>
              <w:pStyle w:val="TableFigureHeading"/>
              <w:keepLines/>
              <w:jc w:val="center"/>
              <w:rPr>
                <w:b w:val="0"/>
              </w:rPr>
            </w:pPr>
            <w:r w:rsidRPr="00CD7970">
              <w:rPr>
                <w:b w:val="0"/>
              </w:rPr>
              <w:t>24/152 (15.8)</w:t>
            </w:r>
          </w:p>
        </w:tc>
        <w:tc>
          <w:tcPr>
            <w:tcW w:w="1419" w:type="dxa"/>
            <w:tcBorders>
              <w:top w:val="nil"/>
              <w:bottom w:val="single" w:sz="4" w:space="0" w:color="auto"/>
            </w:tcBorders>
          </w:tcPr>
          <w:p w14:paraId="27F2CE53" w14:textId="77777777" w:rsidR="006471D6" w:rsidRPr="00CD7970" w:rsidRDefault="006471D6" w:rsidP="00BA3F8A">
            <w:pPr>
              <w:pStyle w:val="TableFigureHeading"/>
              <w:keepLines/>
              <w:jc w:val="center"/>
              <w:rPr>
                <w:b w:val="0"/>
              </w:rPr>
            </w:pPr>
            <w:r w:rsidRPr="00CD7970">
              <w:rPr>
                <w:b w:val="0"/>
              </w:rPr>
              <w:t>35/152 (23.0)</w:t>
            </w:r>
          </w:p>
        </w:tc>
        <w:tc>
          <w:tcPr>
            <w:tcW w:w="2636" w:type="dxa"/>
            <w:vMerge/>
          </w:tcPr>
          <w:p w14:paraId="28E21175" w14:textId="77777777" w:rsidR="006471D6" w:rsidRPr="00CD7970" w:rsidRDefault="006471D6" w:rsidP="00BA3F8A">
            <w:pPr>
              <w:pStyle w:val="TableFigureHeading"/>
              <w:keepLines/>
            </w:pPr>
          </w:p>
        </w:tc>
        <w:tc>
          <w:tcPr>
            <w:tcW w:w="1564" w:type="dxa"/>
            <w:tcBorders>
              <w:top w:val="nil"/>
              <w:bottom w:val="single" w:sz="4" w:space="0" w:color="auto"/>
            </w:tcBorders>
          </w:tcPr>
          <w:p w14:paraId="03C47E0A" w14:textId="77777777" w:rsidR="006471D6" w:rsidRPr="00E713D6" w:rsidRDefault="006471D6" w:rsidP="00BA3F8A">
            <w:pPr>
              <w:pStyle w:val="TableFigureHeading"/>
              <w:keepLines/>
              <w:jc w:val="center"/>
              <w:rPr>
                <w:b w:val="0"/>
              </w:rPr>
            </w:pPr>
            <w:r w:rsidRPr="00E713D6">
              <w:rPr>
                <w:b w:val="0"/>
              </w:rPr>
              <w:t>0.68 (0.40, 1.14)</w:t>
            </w:r>
          </w:p>
        </w:tc>
      </w:tr>
      <w:tr w:rsidR="006471D6" w:rsidRPr="00CD7970" w14:paraId="5A270E63" w14:textId="77777777" w:rsidTr="00BA3F8A">
        <w:tc>
          <w:tcPr>
            <w:tcW w:w="1696" w:type="dxa"/>
            <w:tcBorders>
              <w:bottom w:val="nil"/>
            </w:tcBorders>
          </w:tcPr>
          <w:p w14:paraId="121B843A" w14:textId="77777777" w:rsidR="006471D6" w:rsidRPr="00CD7970" w:rsidRDefault="006471D6" w:rsidP="00BA3F8A">
            <w:pPr>
              <w:pStyle w:val="TableFigureHeading"/>
              <w:keepLines/>
            </w:pPr>
            <w:r w:rsidRPr="00CD7970">
              <w:t>Adjuvant chemo</w:t>
            </w:r>
          </w:p>
        </w:tc>
        <w:tc>
          <w:tcPr>
            <w:tcW w:w="1701" w:type="dxa"/>
            <w:tcBorders>
              <w:bottom w:val="nil"/>
            </w:tcBorders>
          </w:tcPr>
          <w:p w14:paraId="44AC697B" w14:textId="77777777" w:rsidR="006471D6" w:rsidRPr="00CD7970" w:rsidRDefault="006471D6" w:rsidP="00BA3F8A">
            <w:pPr>
              <w:pStyle w:val="TableFigureHeading"/>
              <w:keepLines/>
              <w:jc w:val="center"/>
              <w:rPr>
                <w:b w:val="0"/>
              </w:rPr>
            </w:pPr>
          </w:p>
        </w:tc>
        <w:tc>
          <w:tcPr>
            <w:tcW w:w="1419" w:type="dxa"/>
            <w:tcBorders>
              <w:bottom w:val="nil"/>
            </w:tcBorders>
          </w:tcPr>
          <w:p w14:paraId="2557674E" w14:textId="77777777" w:rsidR="006471D6" w:rsidRPr="00CD7970" w:rsidRDefault="006471D6" w:rsidP="00BA3F8A">
            <w:pPr>
              <w:pStyle w:val="TableFigureHeading"/>
              <w:keepLines/>
              <w:jc w:val="center"/>
              <w:rPr>
                <w:b w:val="0"/>
              </w:rPr>
            </w:pPr>
          </w:p>
        </w:tc>
        <w:tc>
          <w:tcPr>
            <w:tcW w:w="2636" w:type="dxa"/>
            <w:vMerge/>
          </w:tcPr>
          <w:p w14:paraId="2522EA16" w14:textId="77777777" w:rsidR="006471D6" w:rsidRPr="00CD7970" w:rsidRDefault="006471D6" w:rsidP="00BA3F8A">
            <w:pPr>
              <w:pStyle w:val="TableFigureHeading"/>
              <w:keepLines/>
            </w:pPr>
          </w:p>
        </w:tc>
        <w:tc>
          <w:tcPr>
            <w:tcW w:w="1564" w:type="dxa"/>
            <w:tcBorders>
              <w:bottom w:val="nil"/>
            </w:tcBorders>
          </w:tcPr>
          <w:p w14:paraId="477B2429" w14:textId="77777777" w:rsidR="006471D6" w:rsidRPr="00CD7970" w:rsidRDefault="006471D6" w:rsidP="00BA3F8A">
            <w:pPr>
              <w:pStyle w:val="TableFigureHeading"/>
              <w:keepLines/>
              <w:jc w:val="center"/>
            </w:pPr>
          </w:p>
        </w:tc>
      </w:tr>
      <w:tr w:rsidR="006471D6" w:rsidRPr="00CD7970" w14:paraId="61D513A5" w14:textId="77777777" w:rsidTr="00BA3F8A">
        <w:tc>
          <w:tcPr>
            <w:tcW w:w="1696" w:type="dxa"/>
            <w:tcBorders>
              <w:top w:val="nil"/>
              <w:bottom w:val="nil"/>
            </w:tcBorders>
          </w:tcPr>
          <w:p w14:paraId="275FCF79" w14:textId="77777777" w:rsidR="006471D6" w:rsidRPr="00F92188" w:rsidRDefault="006471D6" w:rsidP="00BA3F8A">
            <w:pPr>
              <w:pStyle w:val="TableFigureHeading"/>
              <w:keepLines/>
              <w:ind w:left="170"/>
              <w:rPr>
                <w:b w:val="0"/>
              </w:rPr>
            </w:pPr>
            <w:r w:rsidRPr="00F92188">
              <w:rPr>
                <w:b w:val="0"/>
              </w:rPr>
              <w:t>Yes</w:t>
            </w:r>
          </w:p>
        </w:tc>
        <w:tc>
          <w:tcPr>
            <w:tcW w:w="1701" w:type="dxa"/>
            <w:tcBorders>
              <w:top w:val="nil"/>
              <w:bottom w:val="nil"/>
            </w:tcBorders>
            <w:vAlign w:val="center"/>
          </w:tcPr>
          <w:p w14:paraId="21A710D4" w14:textId="77777777" w:rsidR="006471D6" w:rsidRPr="00CD7970" w:rsidRDefault="006471D6" w:rsidP="00BA3F8A">
            <w:pPr>
              <w:pStyle w:val="TableFigureHeading"/>
              <w:keepLines/>
              <w:jc w:val="center"/>
              <w:rPr>
                <w:b w:val="0"/>
              </w:rPr>
            </w:pPr>
            <w:r w:rsidRPr="00CD7970">
              <w:rPr>
                <w:b w:val="0"/>
              </w:rPr>
              <w:t>26/203 (12.8)</w:t>
            </w:r>
          </w:p>
        </w:tc>
        <w:tc>
          <w:tcPr>
            <w:tcW w:w="1419" w:type="dxa"/>
            <w:tcBorders>
              <w:top w:val="nil"/>
              <w:bottom w:val="nil"/>
            </w:tcBorders>
            <w:vAlign w:val="center"/>
          </w:tcPr>
          <w:p w14:paraId="213D4D84" w14:textId="77777777" w:rsidR="006471D6" w:rsidRPr="00CD7970" w:rsidRDefault="006471D6" w:rsidP="00BA3F8A">
            <w:pPr>
              <w:pStyle w:val="TableFigureHeading"/>
              <w:keepLines/>
              <w:jc w:val="center"/>
              <w:rPr>
                <w:b w:val="0"/>
              </w:rPr>
            </w:pPr>
            <w:r w:rsidRPr="00CD7970">
              <w:rPr>
                <w:b w:val="0"/>
              </w:rPr>
              <w:t>48/207 (23.2)</w:t>
            </w:r>
          </w:p>
        </w:tc>
        <w:tc>
          <w:tcPr>
            <w:tcW w:w="2636" w:type="dxa"/>
            <w:vMerge/>
            <w:vAlign w:val="center"/>
          </w:tcPr>
          <w:p w14:paraId="47D372C8" w14:textId="77777777" w:rsidR="006471D6" w:rsidRPr="00CD7970" w:rsidRDefault="006471D6" w:rsidP="00BA3F8A">
            <w:pPr>
              <w:pStyle w:val="TableFigureHeading"/>
              <w:keepLines/>
            </w:pPr>
          </w:p>
        </w:tc>
        <w:tc>
          <w:tcPr>
            <w:tcW w:w="1564" w:type="dxa"/>
            <w:tcBorders>
              <w:top w:val="nil"/>
              <w:bottom w:val="nil"/>
            </w:tcBorders>
            <w:vAlign w:val="center"/>
          </w:tcPr>
          <w:p w14:paraId="15E7347B" w14:textId="77777777" w:rsidR="006471D6" w:rsidRPr="00CD7970" w:rsidRDefault="006471D6" w:rsidP="00BA3F8A">
            <w:pPr>
              <w:pStyle w:val="TableFigureHeading"/>
              <w:keepLines/>
              <w:jc w:val="center"/>
            </w:pPr>
            <w:r w:rsidRPr="00CD7970">
              <w:t>0.49 (0.30, 0.79)</w:t>
            </w:r>
          </w:p>
        </w:tc>
      </w:tr>
      <w:tr w:rsidR="006471D6" w:rsidRPr="00CD7970" w14:paraId="3888EDEC" w14:textId="77777777" w:rsidTr="00BA3F8A">
        <w:tc>
          <w:tcPr>
            <w:tcW w:w="1696" w:type="dxa"/>
            <w:tcBorders>
              <w:top w:val="nil"/>
              <w:bottom w:val="single" w:sz="4" w:space="0" w:color="auto"/>
            </w:tcBorders>
          </w:tcPr>
          <w:p w14:paraId="465F8D4A" w14:textId="77777777" w:rsidR="006471D6" w:rsidRPr="00F92188" w:rsidRDefault="006471D6" w:rsidP="00BA3F8A">
            <w:pPr>
              <w:pStyle w:val="TableFigureHeading"/>
              <w:keepLines/>
              <w:ind w:left="170"/>
              <w:rPr>
                <w:b w:val="0"/>
              </w:rPr>
            </w:pPr>
            <w:r w:rsidRPr="00F92188">
              <w:rPr>
                <w:b w:val="0"/>
              </w:rPr>
              <w:t>No</w:t>
            </w:r>
          </w:p>
        </w:tc>
        <w:tc>
          <w:tcPr>
            <w:tcW w:w="1701" w:type="dxa"/>
            <w:tcBorders>
              <w:top w:val="nil"/>
              <w:bottom w:val="single" w:sz="4" w:space="0" w:color="auto"/>
            </w:tcBorders>
            <w:vAlign w:val="center"/>
          </w:tcPr>
          <w:p w14:paraId="5ABC1C62" w14:textId="77777777" w:rsidR="006471D6" w:rsidRPr="00CD7970" w:rsidRDefault="006471D6" w:rsidP="00BA3F8A">
            <w:pPr>
              <w:pStyle w:val="TableFigureHeading"/>
              <w:keepLines/>
              <w:jc w:val="center"/>
              <w:rPr>
                <w:b w:val="0"/>
              </w:rPr>
            </w:pPr>
            <w:r w:rsidRPr="00CD7970">
              <w:rPr>
                <w:b w:val="0"/>
              </w:rPr>
              <w:t>16/136 (11.8)</w:t>
            </w:r>
          </w:p>
        </w:tc>
        <w:tc>
          <w:tcPr>
            <w:tcW w:w="1419" w:type="dxa"/>
            <w:tcBorders>
              <w:top w:val="nil"/>
              <w:bottom w:val="single" w:sz="4" w:space="0" w:color="auto"/>
            </w:tcBorders>
            <w:vAlign w:val="center"/>
          </w:tcPr>
          <w:p w14:paraId="7D99C6E5" w14:textId="77777777" w:rsidR="006471D6" w:rsidRPr="00CD7970" w:rsidRDefault="006471D6" w:rsidP="00BA3F8A">
            <w:pPr>
              <w:keepNext/>
              <w:keepLines/>
              <w:jc w:val="center"/>
              <w:rPr>
                <w:rFonts w:ascii="Arial Narrow" w:eastAsiaTheme="majorEastAsia" w:hAnsi="Arial Narrow" w:cstheme="majorBidi"/>
                <w:bCs/>
                <w:sz w:val="20"/>
              </w:rPr>
            </w:pPr>
            <w:r w:rsidRPr="00CD7970">
              <w:rPr>
                <w:rFonts w:ascii="Arial Narrow" w:eastAsiaTheme="majorEastAsia" w:hAnsi="Arial Narrow" w:cstheme="majorBidi"/>
                <w:bCs/>
                <w:sz w:val="20"/>
              </w:rPr>
              <w:t>34/136 (25.0)</w:t>
            </w:r>
          </w:p>
        </w:tc>
        <w:tc>
          <w:tcPr>
            <w:tcW w:w="2636" w:type="dxa"/>
            <w:vMerge/>
            <w:vAlign w:val="center"/>
          </w:tcPr>
          <w:p w14:paraId="0F704398" w14:textId="77777777" w:rsidR="006471D6" w:rsidRPr="00CD7970" w:rsidRDefault="006471D6" w:rsidP="00BA3F8A">
            <w:pPr>
              <w:keepNext/>
              <w:keepLines/>
              <w:jc w:val="center"/>
              <w:rPr>
                <w:rFonts w:ascii="Arial Narrow" w:eastAsiaTheme="majorEastAsia" w:hAnsi="Arial Narrow" w:cstheme="majorBidi"/>
                <w:b/>
                <w:bCs/>
                <w:sz w:val="20"/>
              </w:rPr>
            </w:pPr>
          </w:p>
        </w:tc>
        <w:tc>
          <w:tcPr>
            <w:tcW w:w="1564" w:type="dxa"/>
            <w:tcBorders>
              <w:top w:val="nil"/>
              <w:bottom w:val="single" w:sz="4" w:space="0" w:color="auto"/>
            </w:tcBorders>
            <w:vAlign w:val="center"/>
          </w:tcPr>
          <w:p w14:paraId="60DDD032" w14:textId="77777777" w:rsidR="006471D6" w:rsidRPr="00CD7970" w:rsidRDefault="006471D6" w:rsidP="00BA3F8A">
            <w:pPr>
              <w:keepNext/>
              <w:keepLines/>
              <w:jc w:val="center"/>
              <w:rPr>
                <w:rFonts w:ascii="Arial Narrow" w:eastAsiaTheme="majorEastAsia" w:hAnsi="Arial Narrow" w:cstheme="majorBidi"/>
                <w:b/>
                <w:bCs/>
                <w:sz w:val="20"/>
              </w:rPr>
            </w:pPr>
            <w:r w:rsidRPr="00CD7970">
              <w:rPr>
                <w:rFonts w:ascii="Arial Narrow" w:eastAsiaTheme="majorEastAsia" w:hAnsi="Arial Narrow" w:cstheme="majorBidi"/>
                <w:b/>
                <w:bCs/>
                <w:sz w:val="20"/>
              </w:rPr>
              <w:t>0.47 (0.25, 0.83)</w:t>
            </w:r>
          </w:p>
        </w:tc>
      </w:tr>
      <w:tr w:rsidR="006471D6" w:rsidRPr="00CD7970" w14:paraId="2BE53671" w14:textId="77777777" w:rsidTr="00BA3F8A">
        <w:tc>
          <w:tcPr>
            <w:tcW w:w="1696" w:type="dxa"/>
            <w:tcBorders>
              <w:top w:val="single" w:sz="4" w:space="0" w:color="auto"/>
              <w:left w:val="nil"/>
              <w:bottom w:val="nil"/>
              <w:right w:val="nil"/>
            </w:tcBorders>
          </w:tcPr>
          <w:p w14:paraId="781C55D1" w14:textId="77777777" w:rsidR="006471D6" w:rsidRPr="00CD7970" w:rsidRDefault="006471D6" w:rsidP="00BA3F8A">
            <w:pPr>
              <w:keepNext/>
              <w:keepLines/>
              <w:jc w:val="left"/>
              <w:rPr>
                <w:rFonts w:asciiTheme="minorHAnsi" w:eastAsiaTheme="minorHAnsi" w:hAnsiTheme="minorHAnsi" w:cstheme="minorBidi"/>
                <w:sz w:val="22"/>
                <w:szCs w:val="22"/>
                <w:lang w:eastAsia="en-US"/>
              </w:rPr>
            </w:pPr>
          </w:p>
        </w:tc>
        <w:tc>
          <w:tcPr>
            <w:tcW w:w="1701" w:type="dxa"/>
            <w:tcBorders>
              <w:top w:val="single" w:sz="4" w:space="0" w:color="auto"/>
              <w:left w:val="nil"/>
              <w:bottom w:val="nil"/>
              <w:right w:val="nil"/>
            </w:tcBorders>
            <w:vAlign w:val="center"/>
          </w:tcPr>
          <w:p w14:paraId="72152005" w14:textId="77777777" w:rsidR="006471D6" w:rsidRPr="00CD7970" w:rsidRDefault="006471D6" w:rsidP="00BA3F8A">
            <w:pPr>
              <w:keepNext/>
              <w:keepLines/>
              <w:jc w:val="center"/>
              <w:rPr>
                <w:rFonts w:ascii="Arial Narrow" w:eastAsiaTheme="majorEastAsia" w:hAnsi="Arial Narrow" w:cstheme="majorBidi"/>
                <w:bCs/>
                <w:sz w:val="20"/>
              </w:rPr>
            </w:pPr>
          </w:p>
        </w:tc>
        <w:tc>
          <w:tcPr>
            <w:tcW w:w="1419" w:type="dxa"/>
            <w:tcBorders>
              <w:top w:val="single" w:sz="4" w:space="0" w:color="auto"/>
              <w:left w:val="nil"/>
              <w:bottom w:val="nil"/>
              <w:right w:val="nil"/>
            </w:tcBorders>
            <w:vAlign w:val="center"/>
          </w:tcPr>
          <w:p w14:paraId="2F7A4BA4" w14:textId="77777777" w:rsidR="006471D6" w:rsidRPr="00CD7970" w:rsidRDefault="006471D6" w:rsidP="00BA3F8A">
            <w:pPr>
              <w:keepNext/>
              <w:keepLines/>
              <w:jc w:val="center"/>
              <w:rPr>
                <w:rFonts w:ascii="Arial Narrow" w:eastAsiaTheme="majorEastAsia" w:hAnsi="Arial Narrow" w:cstheme="majorBidi"/>
                <w:bCs/>
                <w:sz w:val="20"/>
              </w:rPr>
            </w:pPr>
          </w:p>
        </w:tc>
        <w:tc>
          <w:tcPr>
            <w:tcW w:w="2636" w:type="dxa"/>
            <w:vMerge/>
            <w:tcBorders>
              <w:left w:val="nil"/>
              <w:right w:val="nil"/>
            </w:tcBorders>
            <w:vAlign w:val="center"/>
          </w:tcPr>
          <w:p w14:paraId="01B494BE" w14:textId="77777777" w:rsidR="006471D6" w:rsidRPr="00CD7970" w:rsidRDefault="006471D6" w:rsidP="00BA3F8A">
            <w:pPr>
              <w:keepNext/>
              <w:keepLines/>
              <w:jc w:val="center"/>
              <w:rPr>
                <w:rFonts w:ascii="Arial Narrow" w:eastAsiaTheme="majorEastAsia" w:hAnsi="Arial Narrow" w:cstheme="majorBidi"/>
                <w:b/>
                <w:bCs/>
                <w:sz w:val="20"/>
              </w:rPr>
            </w:pPr>
          </w:p>
        </w:tc>
        <w:tc>
          <w:tcPr>
            <w:tcW w:w="1564" w:type="dxa"/>
            <w:tcBorders>
              <w:top w:val="single" w:sz="4" w:space="0" w:color="auto"/>
              <w:left w:val="nil"/>
              <w:bottom w:val="nil"/>
              <w:right w:val="nil"/>
            </w:tcBorders>
            <w:vAlign w:val="center"/>
          </w:tcPr>
          <w:p w14:paraId="07BAFF6A" w14:textId="77777777" w:rsidR="006471D6" w:rsidRPr="00CD7970" w:rsidRDefault="006471D6" w:rsidP="00BA3F8A">
            <w:pPr>
              <w:keepNext/>
              <w:keepLines/>
              <w:jc w:val="center"/>
              <w:rPr>
                <w:rFonts w:ascii="Arial Narrow" w:eastAsiaTheme="majorEastAsia" w:hAnsi="Arial Narrow" w:cstheme="majorBidi"/>
                <w:b/>
                <w:bCs/>
                <w:sz w:val="20"/>
              </w:rPr>
            </w:pPr>
          </w:p>
        </w:tc>
      </w:tr>
      <w:tr w:rsidR="006471D6" w:rsidRPr="00CD7970" w14:paraId="18F32D7F" w14:textId="77777777" w:rsidTr="00BA3F8A">
        <w:tc>
          <w:tcPr>
            <w:tcW w:w="1696" w:type="dxa"/>
            <w:tcBorders>
              <w:top w:val="nil"/>
              <w:left w:val="nil"/>
              <w:bottom w:val="nil"/>
              <w:right w:val="nil"/>
            </w:tcBorders>
          </w:tcPr>
          <w:p w14:paraId="1366489D" w14:textId="77777777" w:rsidR="006471D6" w:rsidRPr="00CD7970" w:rsidRDefault="006471D6" w:rsidP="00BA3F8A">
            <w:pPr>
              <w:keepNext/>
              <w:keepLines/>
              <w:jc w:val="left"/>
              <w:rPr>
                <w:rFonts w:asciiTheme="minorHAnsi" w:eastAsiaTheme="minorHAnsi" w:hAnsiTheme="minorHAnsi" w:cstheme="minorBidi"/>
                <w:sz w:val="22"/>
                <w:szCs w:val="22"/>
                <w:lang w:eastAsia="en-US"/>
              </w:rPr>
            </w:pPr>
          </w:p>
        </w:tc>
        <w:tc>
          <w:tcPr>
            <w:tcW w:w="1701" w:type="dxa"/>
            <w:tcBorders>
              <w:top w:val="nil"/>
              <w:left w:val="nil"/>
              <w:bottom w:val="nil"/>
              <w:right w:val="nil"/>
            </w:tcBorders>
            <w:vAlign w:val="center"/>
          </w:tcPr>
          <w:p w14:paraId="55FC62C6" w14:textId="77777777" w:rsidR="006471D6" w:rsidRPr="00CD7970" w:rsidRDefault="006471D6" w:rsidP="00BA3F8A">
            <w:pPr>
              <w:keepNext/>
              <w:keepLines/>
              <w:jc w:val="center"/>
              <w:rPr>
                <w:rFonts w:ascii="Arial Narrow" w:eastAsiaTheme="majorEastAsia" w:hAnsi="Arial Narrow" w:cstheme="majorBidi"/>
                <w:bCs/>
                <w:sz w:val="20"/>
              </w:rPr>
            </w:pPr>
          </w:p>
        </w:tc>
        <w:tc>
          <w:tcPr>
            <w:tcW w:w="1419" w:type="dxa"/>
            <w:tcBorders>
              <w:top w:val="nil"/>
              <w:left w:val="nil"/>
              <w:bottom w:val="nil"/>
              <w:right w:val="nil"/>
            </w:tcBorders>
            <w:vAlign w:val="center"/>
          </w:tcPr>
          <w:p w14:paraId="4E661CCF" w14:textId="77777777" w:rsidR="006471D6" w:rsidRPr="00CD7970" w:rsidRDefault="006471D6" w:rsidP="00BA3F8A">
            <w:pPr>
              <w:keepNext/>
              <w:keepLines/>
              <w:jc w:val="center"/>
              <w:rPr>
                <w:rFonts w:ascii="Arial Narrow" w:eastAsiaTheme="majorEastAsia" w:hAnsi="Arial Narrow" w:cstheme="majorBidi"/>
                <w:bCs/>
                <w:sz w:val="20"/>
              </w:rPr>
            </w:pPr>
          </w:p>
        </w:tc>
        <w:tc>
          <w:tcPr>
            <w:tcW w:w="2636" w:type="dxa"/>
            <w:vMerge/>
            <w:tcBorders>
              <w:left w:val="nil"/>
              <w:bottom w:val="nil"/>
              <w:right w:val="nil"/>
            </w:tcBorders>
            <w:vAlign w:val="center"/>
          </w:tcPr>
          <w:p w14:paraId="3E6C0F4F" w14:textId="77777777" w:rsidR="006471D6" w:rsidRPr="00CD7970" w:rsidRDefault="006471D6" w:rsidP="00BA3F8A">
            <w:pPr>
              <w:keepNext/>
              <w:keepLines/>
              <w:jc w:val="center"/>
              <w:rPr>
                <w:rFonts w:ascii="Arial Narrow" w:eastAsiaTheme="majorEastAsia" w:hAnsi="Arial Narrow" w:cstheme="majorBidi"/>
                <w:b/>
                <w:bCs/>
                <w:sz w:val="20"/>
              </w:rPr>
            </w:pPr>
          </w:p>
        </w:tc>
        <w:tc>
          <w:tcPr>
            <w:tcW w:w="1564" w:type="dxa"/>
            <w:tcBorders>
              <w:top w:val="nil"/>
              <w:left w:val="nil"/>
              <w:bottom w:val="nil"/>
              <w:right w:val="nil"/>
            </w:tcBorders>
            <w:vAlign w:val="center"/>
          </w:tcPr>
          <w:p w14:paraId="529428EF" w14:textId="77777777" w:rsidR="006471D6" w:rsidRPr="00CD7970" w:rsidRDefault="006471D6" w:rsidP="00BA3F8A">
            <w:pPr>
              <w:keepNext/>
              <w:keepLines/>
              <w:jc w:val="center"/>
              <w:rPr>
                <w:rFonts w:ascii="Arial Narrow" w:eastAsiaTheme="majorEastAsia" w:hAnsi="Arial Narrow" w:cstheme="majorBidi"/>
                <w:b/>
                <w:bCs/>
                <w:sz w:val="20"/>
              </w:rPr>
            </w:pPr>
          </w:p>
        </w:tc>
      </w:tr>
    </w:tbl>
    <w:p w14:paraId="44251E5A" w14:textId="77777777" w:rsidR="006471D6" w:rsidRDefault="006471D6" w:rsidP="006471D6">
      <w:pPr>
        <w:pStyle w:val="TableFooter"/>
      </w:pPr>
      <w:r w:rsidRPr="009E7C69">
        <w:rPr>
          <w:rStyle w:val="CommentReference"/>
          <w:iCs/>
          <w:sz w:val="18"/>
          <w:szCs w:val="18"/>
        </w:rPr>
        <w:t>Bold</w:t>
      </w:r>
      <w:r w:rsidRPr="00BC58A5">
        <w:rPr>
          <w:rStyle w:val="CommentReference"/>
          <w:b w:val="0"/>
          <w:sz w:val="18"/>
          <w:szCs w:val="18"/>
        </w:rPr>
        <w:t xml:space="preserve"> </w:t>
      </w:r>
      <w:r w:rsidRPr="009E7C69">
        <w:rPr>
          <w:rStyle w:val="CommentReference"/>
          <w:b w:val="0"/>
          <w:bCs/>
          <w:sz w:val="18"/>
          <w:szCs w:val="18"/>
        </w:rPr>
        <w:t>indicates statistically significant result.</w:t>
      </w:r>
      <w:r w:rsidRPr="00BC58A5">
        <w:t xml:space="preserve"> Source: Compiled during the evaluation from Table 7, pp32-33 ADAURA CSR DCO3 and Figure S3, Tsuboi 2023.</w:t>
      </w:r>
      <w:r w:rsidRPr="00BC58A5">
        <w:rPr>
          <w:rFonts w:eastAsia="Calibri"/>
        </w:rPr>
        <w:t xml:space="preserve"> Chemo = chemotherapy; CI = confidence interval; </w:t>
      </w:r>
      <w:r w:rsidRPr="00921CDF">
        <w:rPr>
          <w:rFonts w:eastAsia="Calibri"/>
          <w:i/>
        </w:rPr>
        <w:t>EGFR</w:t>
      </w:r>
      <w:r w:rsidRPr="00BC58A5">
        <w:rPr>
          <w:rFonts w:eastAsia="Calibri"/>
        </w:rPr>
        <w:t xml:space="preserve"> = epidermal growth factor receptor; Ex19del = exon 19 deletion; HR = hazard ratio; n = number of participants reporting data; N = total participants in group; OR = odds ratio; RD = risk difference; RR = relative risk   </w:t>
      </w:r>
      <w:r w:rsidRPr="00BC58A5">
        <w:rPr>
          <w:vertAlign w:val="superscript"/>
        </w:rPr>
        <w:t>a</w:t>
      </w:r>
      <w:r w:rsidRPr="00BC58A5">
        <w:rPr>
          <w:vertAlign w:val="superscript"/>
        </w:rPr>
        <w:tab/>
      </w:r>
      <w:r w:rsidRPr="00BC58A5">
        <w:t>The subgroup analysis was performed with the use of a Cox proportional-hazards model that included treatment group, subgroup, and the treatment-by-subgroup interaction term (Tsuboi 2023 Supplementary appendix).</w:t>
      </w:r>
      <w:r w:rsidRPr="00BC58A5">
        <w:rPr>
          <w:vertAlign w:val="superscript"/>
        </w:rPr>
        <w:t xml:space="preserve">  b</w:t>
      </w:r>
      <w:r w:rsidRPr="00BC58A5">
        <w:rPr>
          <w:vertAlign w:val="superscript"/>
        </w:rPr>
        <w:tab/>
      </w:r>
      <w:r w:rsidRPr="00BC58A5">
        <w:t>The middle vertical dashed line indicates the median and the outer dashed lines indicate the 95% confidence interval for the overall hazard ratio (all patients).</w:t>
      </w:r>
    </w:p>
    <w:p w14:paraId="5F0A4BE5" w14:textId="77777777" w:rsidR="006471D6" w:rsidRPr="00BC58A5" w:rsidRDefault="006471D6" w:rsidP="006471D6">
      <w:pPr>
        <w:pStyle w:val="TableFooter"/>
      </w:pPr>
    </w:p>
    <w:p w14:paraId="290E6AEE" w14:textId="456405A2" w:rsidR="006471D6" w:rsidRPr="00A03C9A" w:rsidRDefault="006471D6" w:rsidP="006471D6">
      <w:pPr>
        <w:pStyle w:val="3-BodyText"/>
        <w:rPr>
          <w:rFonts w:eastAsia="Calibri"/>
          <w:i/>
          <w:iCs/>
        </w:rPr>
      </w:pPr>
      <w:r w:rsidRPr="00A10C67">
        <w:rPr>
          <w:rFonts w:eastAsia="Calibri"/>
        </w:rPr>
        <w:t xml:space="preserve">In subgroup analyses for OS, all analyses conducted favoured osimertinib but variations in size of benefit were observed. </w:t>
      </w:r>
      <w:r w:rsidR="00A03C9A" w:rsidRPr="00A90AC1">
        <w:rPr>
          <w:rFonts w:eastAsia="Calibri"/>
        </w:rPr>
        <w:t>The ESC noted the subgroup results by EGFR mutation</w:t>
      </w:r>
      <w:r w:rsidR="00C77E93" w:rsidRPr="00A90AC1">
        <w:rPr>
          <w:rFonts w:eastAsia="Calibri"/>
        </w:rPr>
        <w:t xml:space="preserve"> and considered it may be appropriate to monitor any suggested differences in outcome by variant</w:t>
      </w:r>
      <w:r w:rsidR="00A03C9A" w:rsidRPr="00A90AC1">
        <w:rPr>
          <w:rFonts w:eastAsia="Calibri"/>
        </w:rPr>
        <w:t>.</w:t>
      </w:r>
      <w:r w:rsidR="00A03C9A">
        <w:rPr>
          <w:rFonts w:eastAsia="Calibri"/>
          <w:i/>
          <w:iCs/>
        </w:rPr>
        <w:t xml:space="preserve">  </w:t>
      </w:r>
    </w:p>
    <w:p w14:paraId="29290507" w14:textId="77777777" w:rsidR="006471D6" w:rsidRPr="0010705B" w:rsidRDefault="006471D6" w:rsidP="006471D6">
      <w:pPr>
        <w:pStyle w:val="3-BodyText"/>
        <w:rPr>
          <w:i/>
        </w:rPr>
      </w:pPr>
      <w:r>
        <w:t>CNS recurrence was an exploratory outcome in the ADAURA trial. In the overall population, patients taking osimertinib gained a 64% benefit in CNS recurrence compared to those in the placebo arm (HR 0.36; 95% CI: 0.23, 0.57). At the time of CNS recurrence, 35/50 (70.0%) people experiencing the event in the placebo arm were on treatment, and 14/25 (56.0%) people in the osimertinib arm had completed treatment.</w:t>
      </w:r>
    </w:p>
    <w:p w14:paraId="52775030" w14:textId="69374E18" w:rsidR="006471D6" w:rsidRPr="00566D26" w:rsidRDefault="006471D6" w:rsidP="00566D26">
      <w:pPr>
        <w:pStyle w:val="3-BodyText"/>
        <w:rPr>
          <w:rFonts w:eastAsia="Calibri"/>
        </w:rPr>
      </w:pPr>
      <w:r>
        <w:rPr>
          <w:rFonts w:eastAsia="Calibri"/>
        </w:rPr>
        <w:t xml:space="preserve">DFS observed in ADAURA by recurrence type (local/regional or distant) was used to inform transition probabilities in the economic model. </w:t>
      </w:r>
      <w:r w:rsidR="005C6CB3">
        <w:rPr>
          <w:rFonts w:eastAsia="Calibri"/>
        </w:rPr>
        <w:fldChar w:fldCharType="begin" w:fldLock="1"/>
      </w:r>
      <w:r w:rsidR="005C6CB3">
        <w:rPr>
          <w:rFonts w:eastAsia="Calibri"/>
        </w:rPr>
        <w:instrText xml:space="preserve"> REF _Ref144755108 \h </w:instrText>
      </w:r>
      <w:r w:rsidR="005C6CB3">
        <w:rPr>
          <w:rFonts w:eastAsia="Calibri"/>
        </w:rPr>
      </w:r>
      <w:r w:rsidR="005C6CB3">
        <w:rPr>
          <w:rFonts w:eastAsia="Calibri"/>
        </w:rPr>
        <w:fldChar w:fldCharType="separate"/>
      </w:r>
      <w:r w:rsidR="005C6CB3">
        <w:t xml:space="preserve">Figure </w:t>
      </w:r>
      <w:r w:rsidR="005C6CB3">
        <w:rPr>
          <w:noProof/>
        </w:rPr>
        <w:t>2</w:t>
      </w:r>
      <w:r w:rsidR="005C6CB3">
        <w:rPr>
          <w:rFonts w:eastAsia="Calibri"/>
        </w:rPr>
        <w:fldChar w:fldCharType="end"/>
      </w:r>
      <w:r w:rsidR="005C6CB3">
        <w:rPr>
          <w:rFonts w:eastAsia="Calibri"/>
        </w:rPr>
        <w:t xml:space="preserve"> </w:t>
      </w:r>
      <w:r>
        <w:rPr>
          <w:rFonts w:eastAsia="Calibri"/>
        </w:rPr>
        <w:t>shows DFS by type of recurrence. A larger difference in time to recurrence was observed between osimertinib and placebo for distant metastasis (without or without local/regional recurrence).</w:t>
      </w:r>
    </w:p>
    <w:p w14:paraId="464C2FA8" w14:textId="77777777" w:rsidR="006471D6" w:rsidRDefault="006471D6" w:rsidP="006471D6">
      <w:pPr>
        <w:pStyle w:val="TableFigureHeading"/>
        <w:rPr>
          <w:szCs w:val="20"/>
        </w:rPr>
      </w:pPr>
      <w:bookmarkStart w:id="25" w:name="_Ref144755108"/>
      <w:r>
        <w:t xml:space="preserve">Figure </w:t>
      </w:r>
      <w:r w:rsidR="001E77BF">
        <w:fldChar w:fldCharType="begin" w:fldLock="1"/>
      </w:r>
      <w:r w:rsidR="001E77BF">
        <w:instrText xml:space="preserve"> SEQ Figure \* ARABIC </w:instrText>
      </w:r>
      <w:r w:rsidR="001E77BF">
        <w:fldChar w:fldCharType="separate"/>
      </w:r>
      <w:r>
        <w:rPr>
          <w:noProof/>
        </w:rPr>
        <w:t>2</w:t>
      </w:r>
      <w:r w:rsidR="001E77BF">
        <w:rPr>
          <w:noProof/>
        </w:rPr>
        <w:fldChar w:fldCharType="end"/>
      </w:r>
      <w:bookmarkEnd w:id="25"/>
      <w:r>
        <w:rPr>
          <w:noProof/>
        </w:rPr>
        <w:t xml:space="preserve">: </w:t>
      </w:r>
      <w:r w:rsidRPr="00DB3820">
        <w:rPr>
          <w:szCs w:val="20"/>
        </w:rPr>
        <w:t xml:space="preserve">DFS-ADAURA DCO2 11 April </w:t>
      </w:r>
      <w:r>
        <w:rPr>
          <w:szCs w:val="20"/>
        </w:rPr>
        <w:t xml:space="preserve">2022 </w:t>
      </w:r>
      <w:r w:rsidRPr="00DB3820">
        <w:rPr>
          <w:szCs w:val="20"/>
        </w:rPr>
        <w:t>by type of recurrence</w:t>
      </w:r>
    </w:p>
    <w:tbl>
      <w:tblPr>
        <w:tblStyle w:val="TableGrid"/>
        <w:tblW w:w="90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28" w:type="dxa"/>
          <w:right w:w="28" w:type="dxa"/>
        </w:tblCellMar>
        <w:tblLook w:val="04A0" w:firstRow="1" w:lastRow="0" w:firstColumn="1" w:lastColumn="0" w:noHBand="0" w:noVBand="1"/>
      </w:tblPr>
      <w:tblGrid>
        <w:gridCol w:w="4536"/>
        <w:gridCol w:w="4536"/>
      </w:tblGrid>
      <w:tr w:rsidR="006471D6" w:rsidRPr="00DB3820" w14:paraId="62B7D8E6" w14:textId="77777777" w:rsidTr="00BA3F8A">
        <w:tc>
          <w:tcPr>
            <w:tcW w:w="4536" w:type="dxa"/>
          </w:tcPr>
          <w:p w14:paraId="73CD2149" w14:textId="77777777" w:rsidR="006471D6" w:rsidRPr="00DB3820" w:rsidRDefault="006471D6" w:rsidP="00BA3F8A">
            <w:pPr>
              <w:jc w:val="center"/>
              <w:rPr>
                <w:rFonts w:ascii="Arial Narrow" w:hAnsi="Arial Narrow"/>
                <w:b/>
                <w:sz w:val="20"/>
              </w:rPr>
            </w:pPr>
            <w:r w:rsidRPr="00DB3820">
              <w:rPr>
                <w:rFonts w:ascii="Arial Narrow" w:hAnsi="Arial Narrow"/>
                <w:b/>
                <w:sz w:val="20"/>
              </w:rPr>
              <w:t>L</w:t>
            </w:r>
            <w:r>
              <w:rPr>
                <w:rFonts w:ascii="Arial Narrow" w:hAnsi="Arial Narrow"/>
                <w:b/>
                <w:sz w:val="20"/>
              </w:rPr>
              <w:t>ocal/regional recurrence only</w:t>
            </w:r>
          </w:p>
        </w:tc>
        <w:tc>
          <w:tcPr>
            <w:tcW w:w="4536" w:type="dxa"/>
          </w:tcPr>
          <w:p w14:paraId="1F82E4E2" w14:textId="77777777" w:rsidR="006471D6" w:rsidRDefault="006471D6" w:rsidP="00BA3F8A">
            <w:pPr>
              <w:jc w:val="center"/>
              <w:rPr>
                <w:rFonts w:ascii="Arial Narrow" w:hAnsi="Arial Narrow"/>
                <w:b/>
                <w:sz w:val="20"/>
              </w:rPr>
            </w:pPr>
            <w:r w:rsidRPr="00DB3820">
              <w:rPr>
                <w:rFonts w:ascii="Arial Narrow" w:hAnsi="Arial Narrow"/>
                <w:b/>
                <w:sz w:val="20"/>
              </w:rPr>
              <w:t>Distant metastasis</w:t>
            </w:r>
          </w:p>
          <w:p w14:paraId="7B937336" w14:textId="77777777" w:rsidR="006471D6" w:rsidRPr="00DB3820" w:rsidRDefault="006471D6" w:rsidP="00BA3F8A">
            <w:pPr>
              <w:jc w:val="center"/>
              <w:rPr>
                <w:rFonts w:ascii="Arial Narrow" w:hAnsi="Arial Narrow"/>
                <w:b/>
                <w:sz w:val="20"/>
              </w:rPr>
            </w:pPr>
            <w:r>
              <w:rPr>
                <w:rFonts w:ascii="Arial Narrow" w:hAnsi="Arial Narrow"/>
                <w:b/>
                <w:sz w:val="20"/>
              </w:rPr>
              <w:t>(with or without local/regional recurrence)</w:t>
            </w:r>
          </w:p>
        </w:tc>
      </w:tr>
      <w:tr w:rsidR="006471D6" w14:paraId="6461E5AE" w14:textId="77777777" w:rsidTr="00BA3F8A">
        <w:tc>
          <w:tcPr>
            <w:tcW w:w="4536" w:type="dxa"/>
          </w:tcPr>
          <w:p w14:paraId="4208DA2E" w14:textId="77777777" w:rsidR="006471D6" w:rsidRPr="00DB3820" w:rsidRDefault="006471D6" w:rsidP="00BA3F8A">
            <w:pPr>
              <w:rPr>
                <w:rFonts w:ascii="Arial Narrow" w:hAnsi="Arial Narrow"/>
                <w:sz w:val="20"/>
              </w:rPr>
            </w:pPr>
            <w:r w:rsidRPr="00DB3820">
              <w:rPr>
                <w:rFonts w:ascii="Arial Narrow" w:hAnsi="Arial Narrow"/>
                <w:noProof/>
                <w:sz w:val="20"/>
                <w:lang w:eastAsia="zh-CN"/>
              </w:rPr>
              <w:drawing>
                <wp:inline distT="0" distB="0" distL="0" distR="0" wp14:anchorId="29046814" wp14:editId="291993B2">
                  <wp:extent cx="2907602" cy="2333625"/>
                  <wp:effectExtent l="0" t="0" r="7620" b="0"/>
                  <wp:docPr id="228118927" name="Picture 228118927"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Picture 56" descr="Chart&#10;&#10;Description automatically generated"/>
                          <pic:cNvPicPr>
                            <a:picLocks noChangeAspect="1" noChangeArrowheads="1"/>
                          </pic:cNvPicPr>
                        </pic:nvPicPr>
                        <pic:blipFill rotWithShape="1">
                          <a:blip r:embed="rId19" cstate="print">
                            <a:extLst>
                              <a:ext uri="{28A0092B-C50C-407E-A947-70E740481C1C}">
                                <a14:useLocalDpi xmlns:a14="http://schemas.microsoft.com/office/drawing/2010/main" val="0"/>
                              </a:ext>
                            </a:extLst>
                          </a:blip>
                          <a:srcRect/>
                          <a:stretch/>
                        </pic:blipFill>
                        <pic:spPr bwMode="auto">
                          <a:xfrm>
                            <a:off x="0" y="0"/>
                            <a:ext cx="2988003" cy="2398154"/>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536" w:type="dxa"/>
          </w:tcPr>
          <w:p w14:paraId="68A6DC64" w14:textId="77777777" w:rsidR="006471D6" w:rsidRPr="00DB3820" w:rsidRDefault="006471D6" w:rsidP="00BA3F8A">
            <w:pPr>
              <w:rPr>
                <w:rFonts w:ascii="Arial Narrow" w:hAnsi="Arial Narrow"/>
                <w:sz w:val="20"/>
              </w:rPr>
            </w:pPr>
            <w:r w:rsidRPr="00DB3820">
              <w:rPr>
                <w:rFonts w:ascii="Arial Narrow" w:hAnsi="Arial Narrow"/>
                <w:noProof/>
                <w:sz w:val="20"/>
                <w:lang w:eastAsia="zh-CN"/>
              </w:rPr>
              <w:drawing>
                <wp:inline distT="0" distB="0" distL="0" distR="0" wp14:anchorId="5543D1A1" wp14:editId="25CDEFA5">
                  <wp:extent cx="2876550" cy="2310424"/>
                  <wp:effectExtent l="0" t="0" r="0" b="0"/>
                  <wp:docPr id="228118928" name="Picture 228118928"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 name="Picture 72" descr="Chart&#10;&#10;Description automatically generated"/>
                          <pic:cNvPicPr>
                            <a:picLocks noChangeAspect="1" noChangeArrowheads="1"/>
                          </pic:cNvPicPr>
                        </pic:nvPicPr>
                        <pic:blipFill rotWithShape="1">
                          <a:blip r:embed="rId20">
                            <a:extLst>
                              <a:ext uri="{28A0092B-C50C-407E-A947-70E740481C1C}">
                                <a14:useLocalDpi xmlns:a14="http://schemas.microsoft.com/office/drawing/2010/main" val="0"/>
                              </a:ext>
                            </a:extLst>
                          </a:blip>
                          <a:srcRect/>
                          <a:stretch/>
                        </pic:blipFill>
                        <pic:spPr bwMode="auto">
                          <a:xfrm>
                            <a:off x="0" y="0"/>
                            <a:ext cx="3000358" cy="2409866"/>
                          </a:xfrm>
                          <a:prstGeom prst="rect">
                            <a:avLst/>
                          </a:prstGeom>
                          <a:noFill/>
                          <a:ln>
                            <a:noFill/>
                          </a:ln>
                          <a:extLst>
                            <a:ext uri="{53640926-AAD7-44D8-BBD7-CCE9431645EC}">
                              <a14:shadowObscured xmlns:a14="http://schemas.microsoft.com/office/drawing/2010/main"/>
                            </a:ext>
                          </a:extLst>
                        </pic:spPr>
                      </pic:pic>
                    </a:graphicData>
                  </a:graphic>
                </wp:inline>
              </w:drawing>
            </w:r>
          </w:p>
        </w:tc>
      </w:tr>
    </w:tbl>
    <w:p w14:paraId="1AB53FFF" w14:textId="77777777" w:rsidR="006471D6" w:rsidRDefault="006471D6" w:rsidP="006471D6">
      <w:pPr>
        <w:pStyle w:val="Tablefooter0"/>
        <w:jc w:val="left"/>
        <w:rPr>
          <w:rFonts w:ascii="Arial" w:hAnsi="Arial" w:cs="Arial"/>
        </w:rPr>
      </w:pPr>
      <w:r w:rsidRPr="00A459CA">
        <w:rPr>
          <w:rFonts w:ascii="Arial" w:hAnsi="Arial" w:cs="Arial"/>
        </w:rPr>
        <w:t xml:space="preserve">Source: </w:t>
      </w:r>
      <w:r>
        <w:rPr>
          <w:rFonts w:ascii="Arial" w:hAnsi="Arial" w:cs="Arial"/>
        </w:rPr>
        <w:t xml:space="preserve">Figure 3.4-1, p 124 and Figure 3.4-6, p130 of the submission, </w:t>
      </w:r>
      <w:r w:rsidRPr="00A459CA">
        <w:rPr>
          <w:rFonts w:ascii="Arial" w:hAnsi="Arial" w:cs="Arial"/>
        </w:rPr>
        <w:t xml:space="preserve">LR All Data </w:t>
      </w:r>
      <w:r>
        <w:rPr>
          <w:rFonts w:ascii="Arial" w:hAnsi="Arial" w:cs="Arial"/>
        </w:rPr>
        <w:t xml:space="preserve">and </w:t>
      </w:r>
      <w:r w:rsidRPr="00A459CA">
        <w:rPr>
          <w:rFonts w:ascii="Arial" w:hAnsi="Arial" w:cs="Arial"/>
        </w:rPr>
        <w:t xml:space="preserve">ADAURA.doc </w:t>
      </w:r>
      <w:r>
        <w:rPr>
          <w:rFonts w:ascii="Arial" w:hAnsi="Arial" w:cs="Arial"/>
        </w:rPr>
        <w:t xml:space="preserve">and </w:t>
      </w:r>
      <w:r w:rsidRPr="00A459CA">
        <w:rPr>
          <w:rFonts w:ascii="Arial" w:hAnsi="Arial" w:cs="Arial"/>
        </w:rPr>
        <w:t>DM All Data ADAURA.doc (Attachment 3.</w:t>
      </w:r>
      <w:r>
        <w:rPr>
          <w:rFonts w:ascii="Arial" w:hAnsi="Arial" w:cs="Arial"/>
        </w:rPr>
        <w:t>2</w:t>
      </w:r>
      <w:r w:rsidRPr="00A459CA">
        <w:rPr>
          <w:rFonts w:ascii="Arial" w:hAnsi="Arial" w:cs="Arial"/>
        </w:rPr>
        <w:t>)</w:t>
      </w:r>
    </w:p>
    <w:p w14:paraId="3664CFD0" w14:textId="77777777" w:rsidR="006471D6" w:rsidRPr="00F01905" w:rsidRDefault="006471D6" w:rsidP="006471D6">
      <w:pPr>
        <w:pStyle w:val="In-tableHeading"/>
        <w:rPr>
          <w:lang w:val="en-AU"/>
        </w:rPr>
      </w:pPr>
    </w:p>
    <w:p w14:paraId="54851E8D" w14:textId="32B3AB75" w:rsidR="006471D6" w:rsidRDefault="006471D6" w:rsidP="006471D6">
      <w:pPr>
        <w:pStyle w:val="3-BodyText"/>
        <w:rPr>
          <w:rFonts w:eastAsia="Calibri"/>
        </w:rPr>
      </w:pPr>
      <w:r>
        <w:rPr>
          <w:rFonts w:eastAsia="Calibri"/>
        </w:rPr>
        <w:t>Reduced time to first (</w:t>
      </w:r>
      <w:r w:rsidRPr="005246BC">
        <w:rPr>
          <w:rFonts w:eastAsia="Calibri"/>
        </w:rPr>
        <w:t>TFST</w:t>
      </w:r>
      <w:r>
        <w:rPr>
          <w:rFonts w:eastAsia="Calibri"/>
        </w:rPr>
        <w:t xml:space="preserve">) and second subsequent treatment (TSST) were observed for those in the osimertinib arm versus placebo treatment in ADAURA </w:t>
      </w:r>
      <w:r w:rsidRPr="005246BC">
        <w:rPr>
          <w:rFonts w:eastAsia="Calibri"/>
        </w:rPr>
        <w:t>(</w:t>
      </w:r>
      <w:r>
        <w:rPr>
          <w:rFonts w:eastAsia="Calibri"/>
        </w:rPr>
        <w:t xml:space="preserve">TFST: </w:t>
      </w:r>
      <w:r w:rsidRPr="005246BC">
        <w:rPr>
          <w:rFonts w:eastAsia="Calibri"/>
        </w:rPr>
        <w:t>HR 0.28 [95% CI 0.22, 0.36]) and TSST (HR 0.37 [95%CI 0.26, 0.50]</w:t>
      </w:r>
      <w:r>
        <w:rPr>
          <w:rFonts w:eastAsia="Calibri"/>
        </w:rPr>
        <w:t xml:space="preserve"> in the overall population</w:t>
      </w:r>
      <w:r w:rsidRPr="005246BC">
        <w:rPr>
          <w:rFonts w:eastAsia="Calibri"/>
        </w:rPr>
        <w:t>). At DCO3, January 2023, patients taking osimertinib were 72% less likely to have received a first subsequent treatment or die than those</w:t>
      </w:r>
      <w:r>
        <w:rPr>
          <w:rFonts w:eastAsia="Calibri"/>
        </w:rPr>
        <w:t xml:space="preserve"> in the placebo arm</w:t>
      </w:r>
      <w:r w:rsidRPr="005246BC">
        <w:rPr>
          <w:rFonts w:eastAsia="Calibri"/>
        </w:rPr>
        <w:t xml:space="preserve">. Of those who did receive a first subsequent treatment, there was a higher proportion of responders in the </w:t>
      </w:r>
      <w:r>
        <w:rPr>
          <w:rFonts w:eastAsia="Calibri"/>
        </w:rPr>
        <w:t>placebo</w:t>
      </w:r>
      <w:r w:rsidRPr="005246BC">
        <w:rPr>
          <w:rFonts w:eastAsia="Calibri"/>
        </w:rPr>
        <w:t xml:space="preserve"> group (25.0% versus 18.3%), possibly due to those patients being </w:t>
      </w:r>
      <w:r w:rsidRPr="005246BC">
        <w:rPr>
          <w:rFonts w:eastAsia="Calibri"/>
          <w:i/>
        </w:rPr>
        <w:t>EGFR</w:t>
      </w:r>
      <w:r w:rsidRPr="005246BC">
        <w:rPr>
          <w:rFonts w:eastAsia="Calibri"/>
        </w:rPr>
        <w:t xml:space="preserve">-TKI treatment naïve. In non-responders, a higher proportion of patients in the osimertinib arm had stable disease </w:t>
      </w:r>
      <w:r>
        <w:rPr>
          <w:rFonts w:eastAsia="Calibri"/>
        </w:rPr>
        <w:t xml:space="preserve">compared to placebo arm </w:t>
      </w:r>
      <w:r w:rsidRPr="005246BC">
        <w:rPr>
          <w:rFonts w:eastAsia="Calibri"/>
        </w:rPr>
        <w:t>(33/47 (70.2%) versus 42/90 (46.7%)) and fewer patients had progressive disease (3/47 (6.4%) versus 22/90 (24.4%)), however, these data should be interpreted with caution due to the low number of TFST events. TSST analyses were planned at DCO3, however, investigators deemed the data too immature for meaningful analysis and did not update results from DCO2</w:t>
      </w:r>
      <w:r w:rsidRPr="000853E6">
        <w:rPr>
          <w:rFonts w:eastAsia="Calibri"/>
          <w:i/>
          <w:iCs/>
        </w:rPr>
        <w:t xml:space="preserve">. </w:t>
      </w:r>
      <w:r w:rsidRPr="00850515">
        <w:rPr>
          <w:rFonts w:eastAsia="Calibri"/>
        </w:rPr>
        <w:t>The TGA delegate was concerned about whether use of osimertinib in the adjuvant setting leads to treatment-resistant disease if recurrence occurs after cessation of adjuvant osimertinib, and requested assessment of this in the final study report (Revised TGA Delegate Overview, March 2021, p30).</w:t>
      </w:r>
      <w:r w:rsidR="00F57178">
        <w:rPr>
          <w:rFonts w:eastAsia="Calibri"/>
        </w:rPr>
        <w:t xml:space="preserve"> </w:t>
      </w:r>
      <w:r w:rsidR="00F57178" w:rsidRPr="00A90AC1">
        <w:rPr>
          <w:rFonts w:eastAsia="Calibri"/>
        </w:rPr>
        <w:t>The ESC noted there is currently no evidence for or against the occurrence of treatment resistance and considered the final study report for ADUARA (expected mid 2024) may be informative.</w:t>
      </w:r>
      <w:r w:rsidR="00F57178">
        <w:rPr>
          <w:rFonts w:eastAsia="Calibri"/>
          <w:i/>
          <w:iCs/>
        </w:rPr>
        <w:t xml:space="preserve">  </w:t>
      </w:r>
    </w:p>
    <w:p w14:paraId="11F1E5B6" w14:textId="0556D27A" w:rsidR="006471D6" w:rsidRPr="00A90AC1" w:rsidRDefault="006471D6" w:rsidP="006471D6">
      <w:pPr>
        <w:pStyle w:val="3-BodyText"/>
        <w:rPr>
          <w:rFonts w:eastAsia="Calibri"/>
        </w:rPr>
      </w:pPr>
      <w:bookmarkStart w:id="26" w:name="_Ref148018436"/>
      <w:bookmarkStart w:id="27" w:name="_Ref151584394"/>
      <w:r w:rsidRPr="005246BC">
        <w:rPr>
          <w:rFonts w:eastAsia="Calibri"/>
        </w:rPr>
        <w:t xml:space="preserve">Treatments given after disease recurrence were at the discretion of the treating physicians. </w:t>
      </w:r>
      <w:r w:rsidR="00AD3063" w:rsidRPr="00A90AC1">
        <w:rPr>
          <w:rFonts w:eastAsia="Calibri"/>
        </w:rPr>
        <w:t>Following an interim analysis of ADAURA in 2020,</w:t>
      </w:r>
      <w:r w:rsidR="00AD3063">
        <w:rPr>
          <w:rFonts w:eastAsia="Calibri"/>
        </w:rPr>
        <w:t xml:space="preserve"> p</w:t>
      </w:r>
      <w:r w:rsidRPr="005246BC">
        <w:rPr>
          <w:rFonts w:eastAsia="Calibri"/>
        </w:rPr>
        <w:t xml:space="preserve">atients in both arms had access to open label osimertinib after disease recurrence. </w:t>
      </w:r>
      <w:r w:rsidR="005C6CB3">
        <w:rPr>
          <w:rFonts w:eastAsia="Calibri"/>
        </w:rPr>
        <w:fldChar w:fldCharType="begin" w:fldLock="1"/>
      </w:r>
      <w:r w:rsidR="005C6CB3">
        <w:rPr>
          <w:rFonts w:eastAsia="Calibri"/>
        </w:rPr>
        <w:instrText xml:space="preserve"> REF _Ref144755160 \h </w:instrText>
      </w:r>
      <w:r w:rsidR="005C6CB3">
        <w:rPr>
          <w:rFonts w:eastAsia="Calibri"/>
        </w:rPr>
      </w:r>
      <w:r w:rsidR="005C6CB3">
        <w:rPr>
          <w:rFonts w:eastAsia="Calibri"/>
        </w:rPr>
        <w:fldChar w:fldCharType="separate"/>
      </w:r>
      <w:r w:rsidR="005C6CB3" w:rsidRPr="008C09FF">
        <w:rPr>
          <w:szCs w:val="20"/>
        </w:rPr>
        <w:t xml:space="preserve">Table </w:t>
      </w:r>
      <w:r w:rsidR="005C6CB3">
        <w:rPr>
          <w:noProof/>
          <w:szCs w:val="20"/>
        </w:rPr>
        <w:t>6</w:t>
      </w:r>
      <w:r w:rsidR="005C6CB3">
        <w:rPr>
          <w:rFonts w:eastAsia="Calibri"/>
        </w:rPr>
        <w:fldChar w:fldCharType="end"/>
      </w:r>
      <w:r w:rsidR="005C6CB3">
        <w:rPr>
          <w:rFonts w:eastAsia="Calibri"/>
        </w:rPr>
        <w:t xml:space="preserve"> </w:t>
      </w:r>
      <w:r>
        <w:rPr>
          <w:rFonts w:eastAsia="Calibri"/>
        </w:rPr>
        <w:t>summarises the m</w:t>
      </w:r>
      <w:r w:rsidRPr="008C09FF">
        <w:rPr>
          <w:rFonts w:eastAsia="Calibri"/>
        </w:rPr>
        <w:t>ost frequently used first and second subsequent anti-cancer therapies</w:t>
      </w:r>
      <w:r>
        <w:rPr>
          <w:rFonts w:eastAsia="Calibri"/>
        </w:rPr>
        <w:t xml:space="preserve">. </w:t>
      </w:r>
      <w:r w:rsidRPr="000853E6">
        <w:rPr>
          <w:rFonts w:eastAsia="Calibri"/>
        </w:rPr>
        <w:t xml:space="preserve">40.8% of patients in the osimertinib arm </w:t>
      </w:r>
      <w:r w:rsidR="00850515" w:rsidRPr="00A90AC1">
        <w:rPr>
          <w:rFonts w:eastAsia="Calibri"/>
        </w:rPr>
        <w:t xml:space="preserve">(31 of 76 patients who received a first subsequent therapy) </w:t>
      </w:r>
      <w:r w:rsidRPr="00A90AC1">
        <w:rPr>
          <w:rFonts w:eastAsia="Calibri"/>
        </w:rPr>
        <w:t xml:space="preserve">had continued osimertinib post progression and overall 69.7% of patients treated with osimertinib in ADAURA </w:t>
      </w:r>
      <w:r w:rsidR="00850515" w:rsidRPr="00A90AC1">
        <w:rPr>
          <w:rFonts w:eastAsia="Calibri"/>
        </w:rPr>
        <w:t xml:space="preserve">(53 of 76 patients who received a first subsequent therapy) </w:t>
      </w:r>
      <w:r w:rsidRPr="000853E6">
        <w:rPr>
          <w:rFonts w:eastAsia="Calibri"/>
        </w:rPr>
        <w:t>continued with a TKI in subsequent treatment. These would not be permitted on PBS.</w:t>
      </w:r>
      <w:r w:rsidR="00850515">
        <w:rPr>
          <w:rFonts w:eastAsia="Calibri"/>
        </w:rPr>
        <w:t xml:space="preserve"> </w:t>
      </w:r>
      <w:r w:rsidR="00850515" w:rsidRPr="00A90AC1">
        <w:rPr>
          <w:rFonts w:eastAsia="Calibri"/>
        </w:rPr>
        <w:t>The ESC considered</w:t>
      </w:r>
      <w:r w:rsidR="006B3B3F" w:rsidRPr="00A90AC1">
        <w:rPr>
          <w:rFonts w:eastAsia="Calibri"/>
        </w:rPr>
        <w:t xml:space="preserve"> that, aside from the use of subsequent TKIs,</w:t>
      </w:r>
      <w:r w:rsidR="00850515" w:rsidRPr="00A90AC1">
        <w:rPr>
          <w:rFonts w:eastAsia="Calibri"/>
        </w:rPr>
        <w:t xml:space="preserve"> the distribution of use of subsequent therapies in both arms was largely consistent with clinical practice</w:t>
      </w:r>
      <w:r w:rsidR="00EC3DB3">
        <w:rPr>
          <w:rFonts w:eastAsia="Calibri"/>
        </w:rPr>
        <w:t>.</w:t>
      </w:r>
      <w:bookmarkEnd w:id="26"/>
      <w:r w:rsidR="00EC3DB3">
        <w:rPr>
          <w:rFonts w:eastAsia="Calibri"/>
        </w:rPr>
        <w:t xml:space="preserve"> </w:t>
      </w:r>
      <w:r w:rsidR="006B3B3F" w:rsidRPr="00A90AC1">
        <w:rPr>
          <w:rFonts w:eastAsia="Calibri"/>
        </w:rPr>
        <w:t xml:space="preserve">The ESC </w:t>
      </w:r>
      <w:r w:rsidR="00B35C28" w:rsidRPr="00A90AC1">
        <w:rPr>
          <w:rFonts w:eastAsia="Calibri"/>
        </w:rPr>
        <w:t>noted</w:t>
      </w:r>
      <w:r w:rsidR="006B3B3F" w:rsidRPr="00A90AC1">
        <w:rPr>
          <w:rFonts w:eastAsia="Calibri"/>
        </w:rPr>
        <w:t xml:space="preserve"> the number of patients </w:t>
      </w:r>
      <w:r w:rsidR="00B35C28" w:rsidRPr="00A90AC1">
        <w:rPr>
          <w:rFonts w:eastAsia="Calibri"/>
        </w:rPr>
        <w:t xml:space="preserve">in the osimertinib arm </w:t>
      </w:r>
      <w:r w:rsidR="006B3B3F" w:rsidRPr="00A90AC1">
        <w:rPr>
          <w:rFonts w:eastAsia="Calibri"/>
        </w:rPr>
        <w:t xml:space="preserve">who received subsequent TKIs in ADAURA </w:t>
      </w:r>
      <w:r w:rsidR="00B35C28" w:rsidRPr="00A90AC1">
        <w:rPr>
          <w:rFonts w:eastAsia="Calibri"/>
        </w:rPr>
        <w:t xml:space="preserve">was small and considered this was unlikely to influence </w:t>
      </w:r>
      <w:r w:rsidR="006B3B3F" w:rsidRPr="00A90AC1">
        <w:rPr>
          <w:rFonts w:eastAsia="Calibri"/>
        </w:rPr>
        <w:t>clinical applicability to the Australian setting.</w:t>
      </w:r>
      <w:bookmarkEnd w:id="27"/>
      <w:r w:rsidR="006B3B3F" w:rsidRPr="00A90AC1">
        <w:rPr>
          <w:rFonts w:eastAsia="Calibri"/>
        </w:rPr>
        <w:t xml:space="preserve"> </w:t>
      </w:r>
    </w:p>
    <w:p w14:paraId="08062C78" w14:textId="77777777" w:rsidR="006471D6" w:rsidRPr="008C09FF" w:rsidRDefault="006471D6" w:rsidP="001A6B03">
      <w:pPr>
        <w:pStyle w:val="Caption"/>
        <w:rPr>
          <w:szCs w:val="20"/>
        </w:rPr>
      </w:pPr>
      <w:bookmarkStart w:id="28" w:name="_Ref144755160"/>
      <w:r w:rsidRPr="008C09FF">
        <w:rPr>
          <w:szCs w:val="20"/>
        </w:rPr>
        <w:t xml:space="preserve">Table </w:t>
      </w:r>
      <w:r>
        <w:rPr>
          <w:szCs w:val="20"/>
        </w:rPr>
        <w:fldChar w:fldCharType="begin" w:fldLock="1"/>
      </w:r>
      <w:r>
        <w:rPr>
          <w:szCs w:val="20"/>
        </w:rPr>
        <w:instrText xml:space="preserve"> SEQ Table \* ARABIC </w:instrText>
      </w:r>
      <w:r>
        <w:rPr>
          <w:szCs w:val="20"/>
        </w:rPr>
        <w:fldChar w:fldCharType="separate"/>
      </w:r>
      <w:r>
        <w:rPr>
          <w:noProof/>
          <w:szCs w:val="20"/>
        </w:rPr>
        <w:t>6</w:t>
      </w:r>
      <w:r>
        <w:rPr>
          <w:szCs w:val="20"/>
        </w:rPr>
        <w:fldChar w:fldCharType="end"/>
      </w:r>
      <w:bookmarkEnd w:id="28"/>
      <w:r>
        <w:rPr>
          <w:szCs w:val="20"/>
        </w:rPr>
        <w:t>:</w:t>
      </w:r>
      <w:r w:rsidRPr="008C09FF">
        <w:rPr>
          <w:szCs w:val="20"/>
        </w:rPr>
        <w:t xml:space="preserve"> Most frequently used</w:t>
      </w:r>
      <w:r w:rsidRPr="008C09FF">
        <w:rPr>
          <w:szCs w:val="20"/>
          <w:vertAlign w:val="superscript"/>
        </w:rPr>
        <w:t>a</w:t>
      </w:r>
      <w:r w:rsidRPr="008C09FF">
        <w:rPr>
          <w:szCs w:val="20"/>
        </w:rPr>
        <w:t xml:space="preserve"> first and second subsequent anti-cancer therapies</w:t>
      </w:r>
    </w:p>
    <w:tbl>
      <w:tblPr>
        <w:tblStyle w:val="TableGrid1"/>
        <w:tblW w:w="4999" w:type="pct"/>
        <w:tblCellMar>
          <w:left w:w="28" w:type="dxa"/>
          <w:right w:w="28" w:type="dxa"/>
        </w:tblCellMar>
        <w:tblLook w:val="04A0" w:firstRow="1" w:lastRow="0" w:firstColumn="1" w:lastColumn="0" w:noHBand="0" w:noVBand="1"/>
      </w:tblPr>
      <w:tblGrid>
        <w:gridCol w:w="5070"/>
        <w:gridCol w:w="1291"/>
        <w:gridCol w:w="1327"/>
        <w:gridCol w:w="1327"/>
      </w:tblGrid>
      <w:tr w:rsidR="006471D6" w:rsidRPr="00A42296" w14:paraId="4C32602A" w14:textId="77777777" w:rsidTr="00BA3F8A">
        <w:trPr>
          <w:tblHeader/>
        </w:trPr>
        <w:tc>
          <w:tcPr>
            <w:tcW w:w="2812" w:type="pct"/>
            <w:vMerge w:val="restart"/>
            <w:vAlign w:val="center"/>
          </w:tcPr>
          <w:p w14:paraId="6FE4B7A8" w14:textId="77777777" w:rsidR="006471D6" w:rsidRPr="0004642C" w:rsidRDefault="006471D6" w:rsidP="001A6B03">
            <w:pPr>
              <w:pStyle w:val="Tabletext"/>
              <w:keepNext/>
              <w:keepLines/>
              <w:rPr>
                <w:b/>
              </w:rPr>
            </w:pPr>
            <w:r w:rsidRPr="0004642C">
              <w:rPr>
                <w:b/>
              </w:rPr>
              <w:t>ATC classification/ Generic term</w:t>
            </w:r>
          </w:p>
        </w:tc>
        <w:tc>
          <w:tcPr>
            <w:tcW w:w="716" w:type="pct"/>
            <w:tcBorders>
              <w:right w:val="nil"/>
            </w:tcBorders>
            <w:vAlign w:val="center"/>
          </w:tcPr>
          <w:p w14:paraId="34668D7C" w14:textId="77777777" w:rsidR="006471D6" w:rsidRPr="00A42296" w:rsidRDefault="006471D6" w:rsidP="001A6B03">
            <w:pPr>
              <w:keepNext/>
              <w:keepLines/>
              <w:jc w:val="center"/>
              <w:rPr>
                <w:rFonts w:ascii="Arial Narrow" w:hAnsi="Arial Narrow" w:cs="Times New Roman"/>
                <w:sz w:val="20"/>
                <w:szCs w:val="20"/>
              </w:rPr>
            </w:pPr>
          </w:p>
        </w:tc>
        <w:tc>
          <w:tcPr>
            <w:tcW w:w="736" w:type="pct"/>
            <w:tcBorders>
              <w:left w:val="nil"/>
              <w:right w:val="nil"/>
            </w:tcBorders>
            <w:vAlign w:val="center"/>
          </w:tcPr>
          <w:p w14:paraId="5D4EA5C9" w14:textId="77777777" w:rsidR="006471D6" w:rsidRPr="00A42296" w:rsidRDefault="006471D6" w:rsidP="001A6B03">
            <w:pPr>
              <w:keepNext/>
              <w:keepLines/>
              <w:jc w:val="center"/>
              <w:rPr>
                <w:rFonts w:ascii="Arial Narrow" w:hAnsi="Arial Narrow" w:cs="Times New Roman"/>
                <w:b/>
                <w:sz w:val="20"/>
                <w:szCs w:val="20"/>
                <w:vertAlign w:val="superscript"/>
              </w:rPr>
            </w:pPr>
            <w:r w:rsidRPr="00A42296">
              <w:rPr>
                <w:rFonts w:ascii="Arial Narrow" w:hAnsi="Arial Narrow" w:cs="Times New Roman"/>
                <w:b/>
                <w:sz w:val="20"/>
                <w:szCs w:val="20"/>
              </w:rPr>
              <w:t>N (%)</w:t>
            </w:r>
            <w:r>
              <w:rPr>
                <w:rFonts w:ascii="Arial Narrow" w:hAnsi="Arial Narrow" w:cs="Times New Roman"/>
                <w:b/>
                <w:sz w:val="20"/>
                <w:szCs w:val="20"/>
                <w:vertAlign w:val="superscript"/>
              </w:rPr>
              <w:t>b</w:t>
            </w:r>
          </w:p>
        </w:tc>
        <w:tc>
          <w:tcPr>
            <w:tcW w:w="736" w:type="pct"/>
            <w:tcBorders>
              <w:left w:val="nil"/>
            </w:tcBorders>
            <w:vAlign w:val="center"/>
          </w:tcPr>
          <w:p w14:paraId="2D3B04C2" w14:textId="77777777" w:rsidR="006471D6" w:rsidRPr="00A42296" w:rsidRDefault="006471D6" w:rsidP="001A6B03">
            <w:pPr>
              <w:keepNext/>
              <w:keepLines/>
              <w:jc w:val="center"/>
              <w:rPr>
                <w:rFonts w:ascii="Arial Narrow" w:hAnsi="Arial Narrow" w:cs="Times New Roman"/>
                <w:sz w:val="20"/>
                <w:szCs w:val="20"/>
              </w:rPr>
            </w:pPr>
          </w:p>
        </w:tc>
      </w:tr>
      <w:tr w:rsidR="006471D6" w:rsidRPr="00A42296" w14:paraId="37C4599C" w14:textId="77777777" w:rsidTr="00BA3F8A">
        <w:trPr>
          <w:tblHeader/>
        </w:trPr>
        <w:tc>
          <w:tcPr>
            <w:tcW w:w="2812" w:type="pct"/>
            <w:vMerge/>
            <w:vAlign w:val="center"/>
          </w:tcPr>
          <w:p w14:paraId="43A0155B" w14:textId="77777777" w:rsidR="006471D6" w:rsidRPr="00A42296" w:rsidRDefault="006471D6" w:rsidP="001A6B03">
            <w:pPr>
              <w:keepNext/>
              <w:keepLines/>
              <w:autoSpaceDE w:val="0"/>
              <w:autoSpaceDN w:val="0"/>
              <w:adjustRightInd w:val="0"/>
              <w:jc w:val="left"/>
              <w:rPr>
                <w:rFonts w:ascii="Arial Narrow" w:hAnsi="Arial Narrow" w:cs="Times New Roman"/>
                <w:b/>
                <w:sz w:val="20"/>
                <w:szCs w:val="20"/>
              </w:rPr>
            </w:pPr>
          </w:p>
        </w:tc>
        <w:tc>
          <w:tcPr>
            <w:tcW w:w="716" w:type="pct"/>
            <w:vAlign w:val="center"/>
          </w:tcPr>
          <w:p w14:paraId="6F6025B0" w14:textId="77777777" w:rsidR="006471D6" w:rsidRDefault="006471D6" w:rsidP="001A6B03">
            <w:pPr>
              <w:keepNext/>
              <w:keepLines/>
              <w:jc w:val="center"/>
              <w:rPr>
                <w:rFonts w:ascii="Arial Narrow" w:hAnsi="Arial Narrow" w:cs="Times New Roman"/>
                <w:b/>
                <w:sz w:val="20"/>
                <w:szCs w:val="20"/>
              </w:rPr>
            </w:pPr>
            <w:r w:rsidRPr="00A42296">
              <w:rPr>
                <w:rFonts w:ascii="Arial Narrow" w:hAnsi="Arial Narrow" w:cs="Times New Roman"/>
                <w:b/>
                <w:sz w:val="20"/>
                <w:szCs w:val="20"/>
              </w:rPr>
              <w:t>Osi</w:t>
            </w:r>
            <w:r>
              <w:rPr>
                <w:rFonts w:ascii="Arial Narrow" w:hAnsi="Arial Narrow" w:cs="Times New Roman"/>
                <w:b/>
                <w:sz w:val="20"/>
                <w:szCs w:val="20"/>
              </w:rPr>
              <w:t>mertinib</w:t>
            </w:r>
          </w:p>
          <w:p w14:paraId="5692C4C7" w14:textId="77777777" w:rsidR="006471D6" w:rsidRPr="00A42296" w:rsidRDefault="006471D6" w:rsidP="001A6B03">
            <w:pPr>
              <w:keepNext/>
              <w:keepLines/>
              <w:jc w:val="center"/>
              <w:rPr>
                <w:rFonts w:ascii="Arial Narrow" w:hAnsi="Arial Narrow" w:cs="Times New Roman"/>
                <w:b/>
                <w:sz w:val="20"/>
                <w:szCs w:val="20"/>
              </w:rPr>
            </w:pPr>
            <w:r>
              <w:rPr>
                <w:rFonts w:ascii="Arial Narrow" w:hAnsi="Arial Narrow" w:cs="Times New Roman"/>
                <w:b/>
                <w:sz w:val="20"/>
                <w:szCs w:val="20"/>
              </w:rPr>
              <w:t>(N=339)</w:t>
            </w:r>
          </w:p>
        </w:tc>
        <w:tc>
          <w:tcPr>
            <w:tcW w:w="736" w:type="pct"/>
            <w:vAlign w:val="center"/>
          </w:tcPr>
          <w:p w14:paraId="5793D93D" w14:textId="77777777" w:rsidR="006471D6" w:rsidRPr="00A42296" w:rsidRDefault="006471D6" w:rsidP="001A6B03">
            <w:pPr>
              <w:keepNext/>
              <w:keepLines/>
              <w:jc w:val="center"/>
              <w:rPr>
                <w:rFonts w:ascii="Arial Narrow" w:hAnsi="Arial Narrow" w:cs="Times New Roman"/>
                <w:b/>
                <w:sz w:val="20"/>
                <w:szCs w:val="20"/>
              </w:rPr>
            </w:pPr>
            <w:r w:rsidRPr="00A42296">
              <w:rPr>
                <w:rFonts w:ascii="Arial Narrow" w:hAnsi="Arial Narrow" w:cs="Times New Roman"/>
                <w:b/>
                <w:sz w:val="20"/>
                <w:szCs w:val="20"/>
              </w:rPr>
              <w:t>Placebo</w:t>
            </w:r>
            <w:r>
              <w:rPr>
                <w:rFonts w:ascii="Arial Narrow" w:hAnsi="Arial Narrow" w:cs="Times New Roman"/>
                <w:b/>
                <w:sz w:val="20"/>
                <w:szCs w:val="20"/>
              </w:rPr>
              <w:t xml:space="preserve"> (N=343)</w:t>
            </w:r>
          </w:p>
        </w:tc>
        <w:tc>
          <w:tcPr>
            <w:tcW w:w="736" w:type="pct"/>
            <w:vAlign w:val="center"/>
          </w:tcPr>
          <w:p w14:paraId="5E01D5EB" w14:textId="77777777" w:rsidR="006471D6" w:rsidRDefault="006471D6" w:rsidP="001A6B03">
            <w:pPr>
              <w:keepNext/>
              <w:keepLines/>
              <w:jc w:val="center"/>
              <w:rPr>
                <w:rFonts w:ascii="Arial Narrow" w:hAnsi="Arial Narrow" w:cs="Times New Roman"/>
                <w:b/>
                <w:sz w:val="20"/>
                <w:szCs w:val="20"/>
              </w:rPr>
            </w:pPr>
            <w:r w:rsidRPr="00A42296">
              <w:rPr>
                <w:rFonts w:ascii="Arial Narrow" w:hAnsi="Arial Narrow" w:cs="Times New Roman"/>
                <w:b/>
                <w:sz w:val="20"/>
                <w:szCs w:val="20"/>
              </w:rPr>
              <w:t>Total</w:t>
            </w:r>
            <w:r>
              <w:rPr>
                <w:rFonts w:ascii="Arial Narrow" w:hAnsi="Arial Narrow" w:cs="Times New Roman"/>
                <w:b/>
                <w:sz w:val="20"/>
                <w:szCs w:val="20"/>
              </w:rPr>
              <w:t xml:space="preserve"> </w:t>
            </w:r>
          </w:p>
          <w:p w14:paraId="077893A2" w14:textId="77777777" w:rsidR="006471D6" w:rsidRPr="00A42296" w:rsidRDefault="006471D6" w:rsidP="001A6B03">
            <w:pPr>
              <w:keepNext/>
              <w:keepLines/>
              <w:jc w:val="center"/>
              <w:rPr>
                <w:rFonts w:ascii="Arial Narrow" w:hAnsi="Arial Narrow" w:cs="Times New Roman"/>
                <w:b/>
                <w:sz w:val="20"/>
                <w:szCs w:val="20"/>
              </w:rPr>
            </w:pPr>
            <w:r>
              <w:rPr>
                <w:rFonts w:ascii="Arial Narrow" w:hAnsi="Arial Narrow" w:cs="Times New Roman"/>
                <w:b/>
                <w:sz w:val="20"/>
                <w:szCs w:val="20"/>
              </w:rPr>
              <w:t>(N=682)</w:t>
            </w:r>
          </w:p>
        </w:tc>
      </w:tr>
      <w:tr w:rsidR="006471D6" w:rsidRPr="00A42296" w14:paraId="13094CB5" w14:textId="77777777" w:rsidTr="00BA3F8A">
        <w:tc>
          <w:tcPr>
            <w:tcW w:w="2812" w:type="pct"/>
            <w:vAlign w:val="center"/>
          </w:tcPr>
          <w:p w14:paraId="02AE9283" w14:textId="77777777" w:rsidR="006471D6" w:rsidRPr="00A42296" w:rsidRDefault="006471D6" w:rsidP="001A6B03">
            <w:pPr>
              <w:keepNext/>
              <w:keepLines/>
              <w:autoSpaceDE w:val="0"/>
              <w:autoSpaceDN w:val="0"/>
              <w:adjustRightInd w:val="0"/>
              <w:jc w:val="left"/>
              <w:rPr>
                <w:rFonts w:ascii="Arial Narrow" w:hAnsi="Arial Narrow" w:cs="Times New Roman"/>
                <w:b/>
                <w:sz w:val="20"/>
                <w:szCs w:val="20"/>
              </w:rPr>
            </w:pPr>
            <w:r>
              <w:rPr>
                <w:rFonts w:ascii="Arial Narrow" w:hAnsi="Arial Narrow" w:cs="Times New Roman"/>
                <w:b/>
                <w:sz w:val="20"/>
                <w:szCs w:val="20"/>
              </w:rPr>
              <w:t>DCO3 (27 January 2023)</w:t>
            </w:r>
          </w:p>
        </w:tc>
        <w:tc>
          <w:tcPr>
            <w:tcW w:w="716" w:type="pct"/>
            <w:vAlign w:val="center"/>
          </w:tcPr>
          <w:p w14:paraId="7E376116" w14:textId="77777777" w:rsidR="006471D6" w:rsidRPr="00A42296" w:rsidRDefault="006471D6" w:rsidP="001A6B03">
            <w:pPr>
              <w:keepNext/>
              <w:keepLines/>
              <w:jc w:val="center"/>
              <w:rPr>
                <w:rFonts w:ascii="Arial Narrow" w:hAnsi="Arial Narrow" w:cs="Times New Roman"/>
                <w:b/>
                <w:sz w:val="20"/>
                <w:szCs w:val="20"/>
              </w:rPr>
            </w:pPr>
          </w:p>
        </w:tc>
        <w:tc>
          <w:tcPr>
            <w:tcW w:w="736" w:type="pct"/>
            <w:vAlign w:val="center"/>
          </w:tcPr>
          <w:p w14:paraId="2D947D5C" w14:textId="77777777" w:rsidR="006471D6" w:rsidRPr="00A42296" w:rsidRDefault="006471D6" w:rsidP="001A6B03">
            <w:pPr>
              <w:keepNext/>
              <w:keepLines/>
              <w:jc w:val="center"/>
              <w:rPr>
                <w:rFonts w:ascii="Arial Narrow" w:hAnsi="Arial Narrow" w:cs="Times New Roman"/>
                <w:b/>
                <w:sz w:val="20"/>
                <w:szCs w:val="20"/>
              </w:rPr>
            </w:pPr>
          </w:p>
        </w:tc>
        <w:tc>
          <w:tcPr>
            <w:tcW w:w="736" w:type="pct"/>
            <w:vAlign w:val="center"/>
          </w:tcPr>
          <w:p w14:paraId="349A0046" w14:textId="77777777" w:rsidR="006471D6" w:rsidRPr="00A42296" w:rsidRDefault="006471D6" w:rsidP="001A6B03">
            <w:pPr>
              <w:keepNext/>
              <w:keepLines/>
              <w:jc w:val="center"/>
              <w:rPr>
                <w:rFonts w:ascii="Arial Narrow" w:hAnsi="Arial Narrow" w:cs="Times New Roman"/>
                <w:b/>
                <w:sz w:val="20"/>
                <w:szCs w:val="20"/>
              </w:rPr>
            </w:pPr>
          </w:p>
        </w:tc>
      </w:tr>
      <w:tr w:rsidR="006471D6" w:rsidRPr="00A42296" w14:paraId="4EAB9213" w14:textId="77777777" w:rsidTr="00BA3F8A">
        <w:tc>
          <w:tcPr>
            <w:tcW w:w="2812" w:type="pct"/>
            <w:tcBorders>
              <w:bottom w:val="single" w:sz="4" w:space="0" w:color="auto"/>
            </w:tcBorders>
            <w:vAlign w:val="center"/>
          </w:tcPr>
          <w:p w14:paraId="66D075F9" w14:textId="77777777" w:rsidR="006471D6" w:rsidRPr="00A42296" w:rsidRDefault="006471D6" w:rsidP="001A6B03">
            <w:pPr>
              <w:keepNext/>
              <w:keepLines/>
              <w:jc w:val="left"/>
              <w:rPr>
                <w:rFonts w:ascii="Arial Narrow" w:hAnsi="Arial Narrow" w:cs="Times New Roman"/>
                <w:sz w:val="20"/>
                <w:szCs w:val="20"/>
              </w:rPr>
            </w:pPr>
            <w:r w:rsidRPr="00BE3262">
              <w:rPr>
                <w:rFonts w:ascii="Arial Narrow" w:hAnsi="Arial Narrow" w:cs="Times New Roman"/>
                <w:sz w:val="20"/>
                <w:szCs w:val="20"/>
              </w:rPr>
              <w:t xml:space="preserve">Number of patients with </w:t>
            </w:r>
            <w:r w:rsidRPr="00CA1DD5">
              <w:rPr>
                <w:rFonts w:ascii="Arial Narrow" w:hAnsi="Arial Narrow" w:cs="Times New Roman"/>
                <w:b/>
                <w:sz w:val="20"/>
                <w:szCs w:val="20"/>
              </w:rPr>
              <w:t>first</w:t>
            </w:r>
            <w:r w:rsidRPr="00BE3262">
              <w:rPr>
                <w:rFonts w:ascii="Arial Narrow" w:hAnsi="Arial Narrow" w:cs="Times New Roman"/>
                <w:sz w:val="20"/>
                <w:szCs w:val="20"/>
              </w:rPr>
              <w:t xml:space="preserve"> </w:t>
            </w:r>
            <w:r>
              <w:rPr>
                <w:rFonts w:ascii="Arial Narrow" w:hAnsi="Arial Narrow" w:cs="Times New Roman"/>
                <w:sz w:val="20"/>
                <w:szCs w:val="20"/>
              </w:rPr>
              <w:t>subsequent</w:t>
            </w:r>
            <w:r w:rsidRPr="00BE3262">
              <w:rPr>
                <w:rFonts w:ascii="Arial Narrow" w:hAnsi="Arial Narrow" w:cs="Times New Roman"/>
                <w:sz w:val="20"/>
                <w:szCs w:val="20"/>
              </w:rPr>
              <w:t xml:space="preserve"> anticancer therapy</w:t>
            </w:r>
            <w:r>
              <w:rPr>
                <w:rFonts w:ascii="Arial Narrow" w:hAnsi="Arial Narrow" w:cs="Times New Roman"/>
                <w:sz w:val="20"/>
                <w:szCs w:val="20"/>
                <w:vertAlign w:val="superscript"/>
              </w:rPr>
              <w:t>c</w:t>
            </w:r>
            <w:r>
              <w:rPr>
                <w:rFonts w:ascii="Arial Narrow" w:hAnsi="Arial Narrow" w:cs="Times New Roman"/>
                <w:sz w:val="20"/>
                <w:szCs w:val="20"/>
              </w:rPr>
              <w:t xml:space="preserve"> </w:t>
            </w:r>
          </w:p>
        </w:tc>
        <w:tc>
          <w:tcPr>
            <w:tcW w:w="716" w:type="pct"/>
            <w:tcBorders>
              <w:bottom w:val="single" w:sz="4" w:space="0" w:color="auto"/>
            </w:tcBorders>
            <w:vAlign w:val="center"/>
          </w:tcPr>
          <w:p w14:paraId="664AB077" w14:textId="77777777" w:rsidR="006471D6" w:rsidRPr="00A42296" w:rsidRDefault="006471D6" w:rsidP="001A6B03">
            <w:pPr>
              <w:keepNext/>
              <w:keepLines/>
              <w:jc w:val="center"/>
              <w:rPr>
                <w:rFonts w:ascii="Arial Narrow" w:hAnsi="Arial Narrow" w:cs="Times New Roman"/>
                <w:b/>
                <w:sz w:val="20"/>
                <w:szCs w:val="20"/>
              </w:rPr>
            </w:pPr>
            <w:r>
              <w:rPr>
                <w:rFonts w:ascii="Arial Narrow" w:hAnsi="Arial Narrow" w:cs="Times New Roman"/>
                <w:b/>
                <w:sz w:val="20"/>
                <w:szCs w:val="20"/>
              </w:rPr>
              <w:t>76 (22.4)</w:t>
            </w:r>
          </w:p>
        </w:tc>
        <w:tc>
          <w:tcPr>
            <w:tcW w:w="736" w:type="pct"/>
            <w:tcBorders>
              <w:bottom w:val="single" w:sz="4" w:space="0" w:color="auto"/>
            </w:tcBorders>
            <w:vAlign w:val="center"/>
          </w:tcPr>
          <w:p w14:paraId="5A60AB5B" w14:textId="77777777" w:rsidR="006471D6" w:rsidRPr="00A42296" w:rsidRDefault="006471D6" w:rsidP="001A6B03">
            <w:pPr>
              <w:keepNext/>
              <w:keepLines/>
              <w:jc w:val="center"/>
              <w:rPr>
                <w:rFonts w:ascii="Arial Narrow" w:hAnsi="Arial Narrow" w:cs="Times New Roman"/>
                <w:b/>
                <w:sz w:val="20"/>
                <w:szCs w:val="20"/>
              </w:rPr>
            </w:pPr>
            <w:r w:rsidRPr="00A42296">
              <w:rPr>
                <w:rFonts w:ascii="Arial Narrow" w:hAnsi="Arial Narrow" w:cs="Times New Roman"/>
                <w:b/>
                <w:sz w:val="20"/>
                <w:szCs w:val="20"/>
              </w:rPr>
              <w:t>18</w:t>
            </w:r>
            <w:r>
              <w:rPr>
                <w:rFonts w:ascii="Arial Narrow" w:hAnsi="Arial Narrow" w:cs="Times New Roman"/>
                <w:b/>
                <w:sz w:val="20"/>
                <w:szCs w:val="20"/>
              </w:rPr>
              <w:t>4</w:t>
            </w:r>
            <w:r w:rsidRPr="00A42296">
              <w:rPr>
                <w:rFonts w:ascii="Arial Narrow" w:hAnsi="Arial Narrow" w:cs="Times New Roman"/>
                <w:b/>
                <w:sz w:val="20"/>
                <w:szCs w:val="20"/>
              </w:rPr>
              <w:t xml:space="preserve"> (</w:t>
            </w:r>
            <w:r>
              <w:rPr>
                <w:rFonts w:ascii="Arial Narrow" w:hAnsi="Arial Narrow" w:cs="Times New Roman"/>
                <w:b/>
                <w:sz w:val="20"/>
                <w:szCs w:val="20"/>
              </w:rPr>
              <w:t>53.6)</w:t>
            </w:r>
          </w:p>
        </w:tc>
        <w:tc>
          <w:tcPr>
            <w:tcW w:w="736" w:type="pct"/>
            <w:tcBorders>
              <w:bottom w:val="single" w:sz="4" w:space="0" w:color="auto"/>
            </w:tcBorders>
            <w:vAlign w:val="center"/>
          </w:tcPr>
          <w:p w14:paraId="499AB200" w14:textId="77777777" w:rsidR="006471D6" w:rsidRPr="00A42296" w:rsidRDefault="006471D6" w:rsidP="001A6B03">
            <w:pPr>
              <w:keepNext/>
              <w:keepLines/>
              <w:jc w:val="center"/>
              <w:rPr>
                <w:rFonts w:ascii="Arial Narrow" w:hAnsi="Arial Narrow" w:cs="Times New Roman"/>
                <w:b/>
                <w:sz w:val="20"/>
                <w:szCs w:val="20"/>
              </w:rPr>
            </w:pPr>
            <w:r w:rsidRPr="00A42296">
              <w:rPr>
                <w:rFonts w:ascii="Arial Narrow" w:hAnsi="Arial Narrow" w:cs="Times New Roman"/>
                <w:b/>
                <w:sz w:val="20"/>
                <w:szCs w:val="20"/>
              </w:rPr>
              <w:t>2</w:t>
            </w:r>
            <w:r>
              <w:rPr>
                <w:rFonts w:ascii="Arial Narrow" w:hAnsi="Arial Narrow" w:cs="Times New Roman"/>
                <w:b/>
                <w:sz w:val="20"/>
                <w:szCs w:val="20"/>
              </w:rPr>
              <w:t>60</w:t>
            </w:r>
            <w:r w:rsidRPr="00A42296">
              <w:rPr>
                <w:rFonts w:ascii="Arial Narrow" w:hAnsi="Arial Narrow" w:cs="Times New Roman"/>
                <w:b/>
                <w:sz w:val="20"/>
                <w:szCs w:val="20"/>
              </w:rPr>
              <w:t xml:space="preserve"> (</w:t>
            </w:r>
            <w:r>
              <w:rPr>
                <w:rFonts w:ascii="Arial Narrow" w:hAnsi="Arial Narrow" w:cs="Times New Roman"/>
                <w:b/>
                <w:sz w:val="20"/>
                <w:szCs w:val="20"/>
              </w:rPr>
              <w:t>38.1</w:t>
            </w:r>
            <w:r w:rsidRPr="00A42296">
              <w:rPr>
                <w:rFonts w:ascii="Arial Narrow" w:hAnsi="Arial Narrow" w:cs="Times New Roman"/>
                <w:b/>
                <w:sz w:val="20"/>
                <w:szCs w:val="20"/>
              </w:rPr>
              <w:t>)</w:t>
            </w:r>
          </w:p>
        </w:tc>
      </w:tr>
      <w:tr w:rsidR="006471D6" w:rsidRPr="00A42296" w14:paraId="15FE8F46" w14:textId="77777777" w:rsidTr="00BA3F8A">
        <w:tc>
          <w:tcPr>
            <w:tcW w:w="2812" w:type="pct"/>
            <w:tcBorders>
              <w:bottom w:val="nil"/>
            </w:tcBorders>
            <w:vAlign w:val="center"/>
          </w:tcPr>
          <w:p w14:paraId="270FC835" w14:textId="77777777" w:rsidR="006471D6" w:rsidRPr="00A42296" w:rsidRDefault="006471D6" w:rsidP="001A6B03">
            <w:pPr>
              <w:keepNext/>
              <w:keepLines/>
              <w:autoSpaceDE w:val="0"/>
              <w:autoSpaceDN w:val="0"/>
              <w:adjustRightInd w:val="0"/>
              <w:jc w:val="left"/>
              <w:rPr>
                <w:rFonts w:ascii="Arial Narrow" w:hAnsi="Arial Narrow" w:cs="Times New Roman"/>
                <w:b/>
                <w:sz w:val="20"/>
                <w:szCs w:val="20"/>
              </w:rPr>
            </w:pPr>
            <w:r w:rsidRPr="009E0B10">
              <w:rPr>
                <w:rFonts w:ascii="Arial Narrow" w:hAnsi="Arial Narrow" w:cs="CourierNewPSMT"/>
                <w:b/>
                <w:i/>
                <w:sz w:val="20"/>
                <w:szCs w:val="20"/>
              </w:rPr>
              <w:t>EGFR</w:t>
            </w:r>
            <w:r>
              <w:rPr>
                <w:rFonts w:ascii="Arial Narrow" w:hAnsi="Arial Narrow" w:cs="CourierNewPSMT"/>
                <w:b/>
                <w:sz w:val="20"/>
                <w:szCs w:val="20"/>
              </w:rPr>
              <w:t xml:space="preserve"> - TKIs</w:t>
            </w:r>
          </w:p>
        </w:tc>
        <w:tc>
          <w:tcPr>
            <w:tcW w:w="716" w:type="pct"/>
            <w:tcBorders>
              <w:bottom w:val="nil"/>
            </w:tcBorders>
            <w:vAlign w:val="center"/>
          </w:tcPr>
          <w:p w14:paraId="238062E9" w14:textId="77777777" w:rsidR="006471D6" w:rsidRPr="00A42296" w:rsidRDefault="006471D6" w:rsidP="001A6B03">
            <w:pPr>
              <w:keepNext/>
              <w:keepLines/>
              <w:jc w:val="center"/>
              <w:rPr>
                <w:rFonts w:ascii="Arial Narrow" w:hAnsi="Arial Narrow" w:cs="Times New Roman"/>
                <w:b/>
                <w:sz w:val="20"/>
                <w:szCs w:val="20"/>
              </w:rPr>
            </w:pPr>
            <w:r>
              <w:rPr>
                <w:rFonts w:ascii="Arial Narrow" w:hAnsi="Arial Narrow" w:cs="Times New Roman"/>
                <w:b/>
                <w:sz w:val="20"/>
                <w:szCs w:val="20"/>
              </w:rPr>
              <w:t>53 (69.7)</w:t>
            </w:r>
          </w:p>
        </w:tc>
        <w:tc>
          <w:tcPr>
            <w:tcW w:w="736" w:type="pct"/>
            <w:tcBorders>
              <w:bottom w:val="nil"/>
            </w:tcBorders>
            <w:vAlign w:val="center"/>
          </w:tcPr>
          <w:p w14:paraId="0F5F4D54" w14:textId="77777777" w:rsidR="006471D6" w:rsidRPr="00A42296" w:rsidRDefault="006471D6" w:rsidP="001A6B03">
            <w:pPr>
              <w:keepNext/>
              <w:keepLines/>
              <w:jc w:val="center"/>
              <w:rPr>
                <w:rFonts w:ascii="Arial Narrow" w:hAnsi="Arial Narrow" w:cs="Times New Roman"/>
                <w:b/>
                <w:sz w:val="20"/>
                <w:szCs w:val="20"/>
              </w:rPr>
            </w:pPr>
            <w:r>
              <w:rPr>
                <w:rFonts w:ascii="Arial Narrow" w:hAnsi="Arial Narrow" w:cs="Times New Roman"/>
                <w:b/>
                <w:sz w:val="20"/>
                <w:szCs w:val="20"/>
              </w:rPr>
              <w:t>154 (83.7)</w:t>
            </w:r>
          </w:p>
        </w:tc>
        <w:tc>
          <w:tcPr>
            <w:tcW w:w="736" w:type="pct"/>
            <w:tcBorders>
              <w:bottom w:val="nil"/>
            </w:tcBorders>
            <w:vAlign w:val="center"/>
          </w:tcPr>
          <w:p w14:paraId="56264A55" w14:textId="77777777" w:rsidR="006471D6" w:rsidRPr="00A42296" w:rsidRDefault="006471D6" w:rsidP="001A6B03">
            <w:pPr>
              <w:keepNext/>
              <w:keepLines/>
              <w:jc w:val="center"/>
              <w:rPr>
                <w:rFonts w:ascii="Arial Narrow" w:hAnsi="Arial Narrow" w:cs="Times New Roman"/>
                <w:b/>
                <w:sz w:val="20"/>
                <w:szCs w:val="20"/>
              </w:rPr>
            </w:pPr>
            <w:r>
              <w:rPr>
                <w:rFonts w:ascii="Arial Narrow" w:hAnsi="Arial Narrow" w:cs="Times New Roman"/>
                <w:b/>
                <w:sz w:val="20"/>
                <w:szCs w:val="20"/>
              </w:rPr>
              <w:t>207 (79.6)</w:t>
            </w:r>
          </w:p>
        </w:tc>
      </w:tr>
      <w:tr w:rsidR="006471D6" w:rsidRPr="00A42296" w14:paraId="7FE5822F" w14:textId="77777777" w:rsidTr="00BA3F8A">
        <w:tc>
          <w:tcPr>
            <w:tcW w:w="2812" w:type="pct"/>
            <w:tcBorders>
              <w:top w:val="nil"/>
              <w:bottom w:val="nil"/>
            </w:tcBorders>
            <w:vAlign w:val="center"/>
          </w:tcPr>
          <w:p w14:paraId="61CB3596" w14:textId="77777777" w:rsidR="006471D6" w:rsidRPr="00A42296" w:rsidRDefault="006471D6" w:rsidP="001A6B03">
            <w:pPr>
              <w:keepNext/>
              <w:keepLines/>
              <w:ind w:left="170"/>
              <w:jc w:val="left"/>
              <w:rPr>
                <w:rFonts w:ascii="Arial Narrow" w:hAnsi="Arial Narrow" w:cs="Times New Roman"/>
                <w:sz w:val="20"/>
                <w:szCs w:val="20"/>
              </w:rPr>
            </w:pPr>
            <w:r w:rsidRPr="00A42296">
              <w:rPr>
                <w:rFonts w:ascii="Arial Narrow" w:hAnsi="Arial Narrow" w:cs="CourierNewPSMT"/>
                <w:sz w:val="20"/>
                <w:szCs w:val="20"/>
              </w:rPr>
              <w:t>A</w:t>
            </w:r>
            <w:r>
              <w:rPr>
                <w:rFonts w:ascii="Arial Narrow" w:hAnsi="Arial Narrow" w:cs="CourierNewPSMT"/>
                <w:sz w:val="20"/>
                <w:szCs w:val="20"/>
              </w:rPr>
              <w:t>fatinib</w:t>
            </w:r>
          </w:p>
        </w:tc>
        <w:tc>
          <w:tcPr>
            <w:tcW w:w="716" w:type="pct"/>
            <w:tcBorders>
              <w:top w:val="nil"/>
              <w:bottom w:val="nil"/>
            </w:tcBorders>
            <w:vAlign w:val="center"/>
          </w:tcPr>
          <w:p w14:paraId="4BD3AE6F" w14:textId="77777777" w:rsidR="006471D6" w:rsidRPr="00A42296" w:rsidRDefault="006471D6" w:rsidP="001A6B03">
            <w:pPr>
              <w:keepNext/>
              <w:keepLines/>
              <w:jc w:val="center"/>
              <w:rPr>
                <w:rFonts w:ascii="Arial Narrow" w:hAnsi="Arial Narrow" w:cs="Times New Roman"/>
                <w:sz w:val="20"/>
                <w:szCs w:val="20"/>
              </w:rPr>
            </w:pPr>
            <w:r w:rsidRPr="00A42296">
              <w:rPr>
                <w:rFonts w:ascii="Arial Narrow" w:hAnsi="Arial Narrow" w:cs="CourierNewPSMT"/>
                <w:sz w:val="20"/>
                <w:szCs w:val="20"/>
              </w:rPr>
              <w:t>3</w:t>
            </w:r>
            <w:r>
              <w:rPr>
                <w:rFonts w:ascii="Arial Narrow" w:hAnsi="Arial Narrow" w:cs="CourierNewPSMT"/>
                <w:sz w:val="20"/>
                <w:szCs w:val="20"/>
              </w:rPr>
              <w:t xml:space="preserve"> </w:t>
            </w:r>
            <w:r w:rsidRPr="00A42296">
              <w:rPr>
                <w:rFonts w:ascii="Arial Narrow" w:hAnsi="Arial Narrow" w:cs="CourierNewPSMT"/>
                <w:sz w:val="20"/>
                <w:szCs w:val="20"/>
              </w:rPr>
              <w:t>(</w:t>
            </w:r>
            <w:r>
              <w:rPr>
                <w:rFonts w:ascii="Arial Narrow" w:hAnsi="Arial Narrow" w:cs="CourierNewPSMT"/>
                <w:sz w:val="20"/>
                <w:szCs w:val="20"/>
              </w:rPr>
              <w:t>3</w:t>
            </w:r>
            <w:r w:rsidRPr="00A42296">
              <w:rPr>
                <w:rFonts w:ascii="Arial Narrow" w:hAnsi="Arial Narrow" w:cs="CourierNewPSMT"/>
                <w:sz w:val="20"/>
                <w:szCs w:val="20"/>
              </w:rPr>
              <w:t>.9)</w:t>
            </w:r>
          </w:p>
        </w:tc>
        <w:tc>
          <w:tcPr>
            <w:tcW w:w="736" w:type="pct"/>
            <w:tcBorders>
              <w:top w:val="nil"/>
              <w:bottom w:val="nil"/>
            </w:tcBorders>
            <w:vAlign w:val="center"/>
          </w:tcPr>
          <w:p w14:paraId="12D7A43B" w14:textId="77777777" w:rsidR="006471D6" w:rsidRPr="00A42296" w:rsidRDefault="006471D6" w:rsidP="001A6B03">
            <w:pPr>
              <w:keepNext/>
              <w:keepLines/>
              <w:jc w:val="center"/>
              <w:rPr>
                <w:rFonts w:ascii="Arial Narrow" w:hAnsi="Arial Narrow" w:cs="Times New Roman"/>
                <w:sz w:val="20"/>
                <w:szCs w:val="20"/>
              </w:rPr>
            </w:pPr>
            <w:r>
              <w:rPr>
                <w:rFonts w:ascii="Arial Narrow" w:hAnsi="Arial Narrow" w:cs="CourierNewPSMT"/>
                <w:sz w:val="20"/>
                <w:szCs w:val="20"/>
              </w:rPr>
              <w:t>25 (13.6)</w:t>
            </w:r>
          </w:p>
        </w:tc>
        <w:tc>
          <w:tcPr>
            <w:tcW w:w="736" w:type="pct"/>
            <w:tcBorders>
              <w:top w:val="nil"/>
              <w:bottom w:val="nil"/>
            </w:tcBorders>
            <w:vAlign w:val="center"/>
          </w:tcPr>
          <w:p w14:paraId="75C41EFB" w14:textId="77777777" w:rsidR="006471D6" w:rsidRPr="00A42296" w:rsidRDefault="006471D6" w:rsidP="001A6B03">
            <w:pPr>
              <w:keepNext/>
              <w:keepLines/>
              <w:jc w:val="center"/>
              <w:rPr>
                <w:rFonts w:ascii="Arial Narrow" w:hAnsi="Arial Narrow" w:cs="Times New Roman"/>
                <w:sz w:val="20"/>
                <w:szCs w:val="20"/>
              </w:rPr>
            </w:pPr>
            <w:r>
              <w:rPr>
                <w:rFonts w:ascii="Arial Narrow" w:hAnsi="Arial Narrow" w:cs="CourierNewPSMT"/>
                <w:sz w:val="20"/>
                <w:szCs w:val="20"/>
              </w:rPr>
              <w:t>28 (10.8)</w:t>
            </w:r>
          </w:p>
        </w:tc>
      </w:tr>
      <w:tr w:rsidR="006471D6" w:rsidRPr="00A42296" w14:paraId="452644BA" w14:textId="77777777" w:rsidTr="00BA3F8A">
        <w:tc>
          <w:tcPr>
            <w:tcW w:w="2812" w:type="pct"/>
            <w:tcBorders>
              <w:top w:val="nil"/>
              <w:bottom w:val="nil"/>
            </w:tcBorders>
            <w:vAlign w:val="center"/>
          </w:tcPr>
          <w:p w14:paraId="22C040C8" w14:textId="77777777" w:rsidR="006471D6" w:rsidRPr="00A42296" w:rsidRDefault="006471D6" w:rsidP="001A6B03">
            <w:pPr>
              <w:keepNext/>
              <w:keepLines/>
              <w:ind w:left="170"/>
              <w:jc w:val="left"/>
              <w:rPr>
                <w:rFonts w:ascii="Arial Narrow" w:hAnsi="Arial Narrow" w:cs="Times New Roman"/>
                <w:sz w:val="20"/>
                <w:szCs w:val="20"/>
              </w:rPr>
            </w:pPr>
            <w:r w:rsidRPr="00A42296">
              <w:rPr>
                <w:rFonts w:ascii="Arial Narrow" w:hAnsi="Arial Narrow" w:cs="CourierNewPSMT"/>
                <w:sz w:val="20"/>
                <w:szCs w:val="20"/>
              </w:rPr>
              <w:t>E</w:t>
            </w:r>
            <w:r>
              <w:rPr>
                <w:rFonts w:ascii="Arial Narrow" w:hAnsi="Arial Narrow" w:cs="CourierNewPSMT"/>
                <w:sz w:val="20"/>
                <w:szCs w:val="20"/>
              </w:rPr>
              <w:t>rlotinib</w:t>
            </w:r>
          </w:p>
        </w:tc>
        <w:tc>
          <w:tcPr>
            <w:tcW w:w="716" w:type="pct"/>
            <w:tcBorders>
              <w:top w:val="nil"/>
              <w:bottom w:val="nil"/>
            </w:tcBorders>
            <w:vAlign w:val="center"/>
          </w:tcPr>
          <w:p w14:paraId="44820E4D" w14:textId="77777777" w:rsidR="006471D6" w:rsidRPr="00A42296" w:rsidRDefault="006471D6" w:rsidP="001A6B03">
            <w:pPr>
              <w:keepNext/>
              <w:keepLines/>
              <w:jc w:val="center"/>
              <w:rPr>
                <w:rFonts w:ascii="Arial Narrow" w:hAnsi="Arial Narrow" w:cs="Times New Roman"/>
                <w:sz w:val="20"/>
                <w:szCs w:val="20"/>
              </w:rPr>
            </w:pPr>
            <w:r>
              <w:rPr>
                <w:rFonts w:ascii="Arial Narrow" w:hAnsi="Arial Narrow" w:cs="Times New Roman"/>
                <w:sz w:val="20"/>
                <w:szCs w:val="20"/>
              </w:rPr>
              <w:t>6 (7.9)</w:t>
            </w:r>
          </w:p>
        </w:tc>
        <w:tc>
          <w:tcPr>
            <w:tcW w:w="736" w:type="pct"/>
            <w:tcBorders>
              <w:top w:val="nil"/>
              <w:bottom w:val="nil"/>
            </w:tcBorders>
            <w:vAlign w:val="center"/>
          </w:tcPr>
          <w:p w14:paraId="4C6B6B0D" w14:textId="77777777" w:rsidR="006471D6" w:rsidRPr="00A42296" w:rsidRDefault="006471D6" w:rsidP="001A6B03">
            <w:pPr>
              <w:keepNext/>
              <w:keepLines/>
              <w:jc w:val="center"/>
              <w:rPr>
                <w:rFonts w:ascii="Arial Narrow" w:hAnsi="Arial Narrow" w:cs="Times New Roman"/>
                <w:sz w:val="20"/>
                <w:szCs w:val="20"/>
              </w:rPr>
            </w:pPr>
            <w:r>
              <w:rPr>
                <w:rFonts w:ascii="Arial Narrow" w:hAnsi="Arial Narrow" w:cs="Times New Roman"/>
                <w:sz w:val="20"/>
                <w:szCs w:val="20"/>
              </w:rPr>
              <w:t>21 (11.4)</w:t>
            </w:r>
          </w:p>
        </w:tc>
        <w:tc>
          <w:tcPr>
            <w:tcW w:w="736" w:type="pct"/>
            <w:tcBorders>
              <w:top w:val="nil"/>
              <w:bottom w:val="nil"/>
            </w:tcBorders>
            <w:vAlign w:val="center"/>
          </w:tcPr>
          <w:p w14:paraId="4FF6ABB6" w14:textId="77777777" w:rsidR="006471D6" w:rsidRPr="00A42296" w:rsidRDefault="006471D6" w:rsidP="001A6B03">
            <w:pPr>
              <w:keepNext/>
              <w:keepLines/>
              <w:jc w:val="center"/>
              <w:rPr>
                <w:rFonts w:ascii="Arial Narrow" w:hAnsi="Arial Narrow" w:cs="Times New Roman"/>
                <w:sz w:val="20"/>
                <w:szCs w:val="20"/>
              </w:rPr>
            </w:pPr>
            <w:r>
              <w:rPr>
                <w:rFonts w:ascii="Arial Narrow" w:hAnsi="Arial Narrow" w:cs="Times New Roman"/>
                <w:sz w:val="20"/>
                <w:szCs w:val="20"/>
              </w:rPr>
              <w:t>27 (10.4)</w:t>
            </w:r>
          </w:p>
        </w:tc>
      </w:tr>
      <w:tr w:rsidR="006471D6" w:rsidRPr="00A42296" w14:paraId="3E48499E" w14:textId="77777777" w:rsidTr="00BA3F8A">
        <w:tc>
          <w:tcPr>
            <w:tcW w:w="2812" w:type="pct"/>
            <w:tcBorders>
              <w:top w:val="nil"/>
              <w:bottom w:val="nil"/>
            </w:tcBorders>
            <w:vAlign w:val="center"/>
          </w:tcPr>
          <w:p w14:paraId="682764B7" w14:textId="77777777" w:rsidR="006471D6" w:rsidRPr="00A42296" w:rsidRDefault="006471D6" w:rsidP="001A6B03">
            <w:pPr>
              <w:keepNext/>
              <w:keepLines/>
              <w:ind w:left="170"/>
              <w:jc w:val="left"/>
              <w:rPr>
                <w:rFonts w:ascii="Arial Narrow" w:hAnsi="Arial Narrow" w:cs="Times New Roman"/>
                <w:sz w:val="20"/>
                <w:szCs w:val="20"/>
              </w:rPr>
            </w:pPr>
            <w:r w:rsidRPr="00A42296">
              <w:rPr>
                <w:rFonts w:ascii="Arial Narrow" w:hAnsi="Arial Narrow" w:cs="CourierNewPSMT"/>
                <w:sz w:val="20"/>
                <w:szCs w:val="20"/>
              </w:rPr>
              <w:t>G</w:t>
            </w:r>
            <w:r>
              <w:rPr>
                <w:rFonts w:ascii="Arial Narrow" w:hAnsi="Arial Narrow" w:cs="CourierNewPSMT"/>
                <w:sz w:val="20"/>
                <w:szCs w:val="20"/>
              </w:rPr>
              <w:t>efitinib</w:t>
            </w:r>
          </w:p>
        </w:tc>
        <w:tc>
          <w:tcPr>
            <w:tcW w:w="716" w:type="pct"/>
            <w:tcBorders>
              <w:top w:val="nil"/>
              <w:bottom w:val="nil"/>
            </w:tcBorders>
            <w:vAlign w:val="center"/>
          </w:tcPr>
          <w:p w14:paraId="4A4FB5D1" w14:textId="77777777" w:rsidR="006471D6" w:rsidRPr="00A42296" w:rsidRDefault="006471D6" w:rsidP="001A6B03">
            <w:pPr>
              <w:keepNext/>
              <w:keepLines/>
              <w:jc w:val="center"/>
              <w:rPr>
                <w:rFonts w:ascii="Arial Narrow" w:hAnsi="Arial Narrow" w:cs="Times New Roman"/>
                <w:sz w:val="20"/>
                <w:szCs w:val="20"/>
              </w:rPr>
            </w:pPr>
            <w:r>
              <w:rPr>
                <w:rFonts w:ascii="Arial Narrow" w:hAnsi="Arial Narrow" w:cs="Times New Roman"/>
                <w:sz w:val="20"/>
                <w:szCs w:val="20"/>
              </w:rPr>
              <w:t>11 (14.5)</w:t>
            </w:r>
          </w:p>
        </w:tc>
        <w:tc>
          <w:tcPr>
            <w:tcW w:w="736" w:type="pct"/>
            <w:tcBorders>
              <w:top w:val="nil"/>
              <w:bottom w:val="nil"/>
            </w:tcBorders>
            <w:vAlign w:val="center"/>
          </w:tcPr>
          <w:p w14:paraId="6EFEFDFF" w14:textId="77777777" w:rsidR="006471D6" w:rsidRPr="00A42296" w:rsidRDefault="006471D6" w:rsidP="001A6B03">
            <w:pPr>
              <w:keepNext/>
              <w:keepLines/>
              <w:jc w:val="center"/>
              <w:rPr>
                <w:rFonts w:ascii="Arial Narrow" w:hAnsi="Arial Narrow" w:cs="Times New Roman"/>
                <w:sz w:val="20"/>
                <w:szCs w:val="20"/>
              </w:rPr>
            </w:pPr>
            <w:r>
              <w:rPr>
                <w:rFonts w:ascii="Arial Narrow" w:hAnsi="Arial Narrow" w:cs="Times New Roman"/>
                <w:sz w:val="20"/>
                <w:szCs w:val="20"/>
              </w:rPr>
              <w:t>53 (28.8)</w:t>
            </w:r>
          </w:p>
        </w:tc>
        <w:tc>
          <w:tcPr>
            <w:tcW w:w="736" w:type="pct"/>
            <w:tcBorders>
              <w:top w:val="nil"/>
              <w:bottom w:val="nil"/>
            </w:tcBorders>
            <w:vAlign w:val="center"/>
          </w:tcPr>
          <w:p w14:paraId="47630F21" w14:textId="77777777" w:rsidR="006471D6" w:rsidRPr="00A42296" w:rsidRDefault="006471D6" w:rsidP="001A6B03">
            <w:pPr>
              <w:keepNext/>
              <w:keepLines/>
              <w:jc w:val="center"/>
              <w:rPr>
                <w:rFonts w:ascii="Arial Narrow" w:hAnsi="Arial Narrow" w:cs="Times New Roman"/>
                <w:sz w:val="20"/>
                <w:szCs w:val="20"/>
              </w:rPr>
            </w:pPr>
            <w:r>
              <w:rPr>
                <w:rFonts w:ascii="Arial Narrow" w:hAnsi="Arial Narrow" w:cs="Times New Roman"/>
                <w:sz w:val="20"/>
                <w:szCs w:val="20"/>
              </w:rPr>
              <w:t>64 (24.6</w:t>
            </w:r>
            <w:r w:rsidRPr="00A42296">
              <w:rPr>
                <w:rFonts w:ascii="Arial Narrow" w:hAnsi="Arial Narrow" w:cs="Times New Roman"/>
                <w:sz w:val="20"/>
                <w:szCs w:val="20"/>
              </w:rPr>
              <w:t>)</w:t>
            </w:r>
          </w:p>
        </w:tc>
      </w:tr>
      <w:tr w:rsidR="006471D6" w:rsidRPr="00A42296" w14:paraId="4445DBB0" w14:textId="77777777" w:rsidTr="00BA3F8A">
        <w:tc>
          <w:tcPr>
            <w:tcW w:w="2812" w:type="pct"/>
            <w:tcBorders>
              <w:top w:val="nil"/>
              <w:bottom w:val="nil"/>
            </w:tcBorders>
            <w:vAlign w:val="center"/>
          </w:tcPr>
          <w:p w14:paraId="763D0A10" w14:textId="77777777" w:rsidR="006471D6" w:rsidRPr="00A42296" w:rsidRDefault="006471D6" w:rsidP="001A6B03">
            <w:pPr>
              <w:keepNext/>
              <w:keepLines/>
              <w:ind w:left="170"/>
              <w:jc w:val="left"/>
              <w:rPr>
                <w:rFonts w:ascii="Arial Narrow" w:hAnsi="Arial Narrow" w:cs="Times New Roman"/>
                <w:sz w:val="20"/>
                <w:szCs w:val="20"/>
              </w:rPr>
            </w:pPr>
            <w:r w:rsidRPr="00A42296">
              <w:rPr>
                <w:rFonts w:ascii="Arial Narrow" w:hAnsi="Arial Narrow" w:cs="CourierNewPSMT"/>
                <w:sz w:val="20"/>
                <w:szCs w:val="20"/>
              </w:rPr>
              <w:t>I</w:t>
            </w:r>
            <w:r>
              <w:rPr>
                <w:rFonts w:ascii="Arial Narrow" w:hAnsi="Arial Narrow" w:cs="CourierNewPSMT"/>
                <w:sz w:val="20"/>
                <w:szCs w:val="20"/>
              </w:rPr>
              <w:t>cotinib</w:t>
            </w:r>
            <w:r w:rsidRPr="00A42296">
              <w:rPr>
                <w:rFonts w:ascii="Arial Narrow" w:hAnsi="Arial Narrow" w:cs="CourierNewPSMT"/>
                <w:sz w:val="20"/>
                <w:szCs w:val="20"/>
              </w:rPr>
              <w:t xml:space="preserve"> </w:t>
            </w:r>
          </w:p>
        </w:tc>
        <w:tc>
          <w:tcPr>
            <w:tcW w:w="716" w:type="pct"/>
            <w:tcBorders>
              <w:top w:val="nil"/>
              <w:bottom w:val="nil"/>
            </w:tcBorders>
            <w:vAlign w:val="center"/>
          </w:tcPr>
          <w:p w14:paraId="1EB7F596" w14:textId="77777777" w:rsidR="006471D6" w:rsidRPr="00A42296" w:rsidRDefault="006471D6" w:rsidP="001A6B03">
            <w:pPr>
              <w:keepNext/>
              <w:keepLines/>
              <w:jc w:val="center"/>
              <w:rPr>
                <w:rFonts w:ascii="Arial Narrow" w:hAnsi="Arial Narrow" w:cs="Times New Roman"/>
                <w:sz w:val="20"/>
                <w:szCs w:val="20"/>
              </w:rPr>
            </w:pPr>
            <w:r w:rsidRPr="00A42296">
              <w:rPr>
                <w:rFonts w:ascii="Arial Narrow" w:hAnsi="Arial Narrow" w:cs="Times New Roman"/>
                <w:sz w:val="20"/>
                <w:szCs w:val="20"/>
              </w:rPr>
              <w:t>2 (</w:t>
            </w:r>
            <w:r>
              <w:rPr>
                <w:rFonts w:ascii="Arial Narrow" w:hAnsi="Arial Narrow" w:cs="Times New Roman"/>
                <w:sz w:val="20"/>
                <w:szCs w:val="20"/>
              </w:rPr>
              <w:t>2</w:t>
            </w:r>
            <w:r w:rsidRPr="00A42296">
              <w:rPr>
                <w:rFonts w:ascii="Arial Narrow" w:hAnsi="Arial Narrow" w:cs="Times New Roman"/>
                <w:sz w:val="20"/>
                <w:szCs w:val="20"/>
              </w:rPr>
              <w:t>.6)</w:t>
            </w:r>
          </w:p>
        </w:tc>
        <w:tc>
          <w:tcPr>
            <w:tcW w:w="736" w:type="pct"/>
            <w:tcBorders>
              <w:top w:val="nil"/>
              <w:bottom w:val="nil"/>
            </w:tcBorders>
            <w:vAlign w:val="center"/>
          </w:tcPr>
          <w:p w14:paraId="12553304" w14:textId="77777777" w:rsidR="006471D6" w:rsidRPr="00A42296" w:rsidRDefault="006471D6" w:rsidP="001A6B03">
            <w:pPr>
              <w:keepNext/>
              <w:keepLines/>
              <w:jc w:val="center"/>
              <w:rPr>
                <w:rFonts w:ascii="Arial Narrow" w:hAnsi="Arial Narrow" w:cs="Times New Roman"/>
                <w:sz w:val="20"/>
                <w:szCs w:val="20"/>
              </w:rPr>
            </w:pPr>
            <w:r>
              <w:rPr>
                <w:rFonts w:ascii="Arial Narrow" w:hAnsi="Arial Narrow" w:cs="Times New Roman"/>
                <w:sz w:val="20"/>
                <w:szCs w:val="20"/>
              </w:rPr>
              <w:t>13 (7.1)</w:t>
            </w:r>
          </w:p>
        </w:tc>
        <w:tc>
          <w:tcPr>
            <w:tcW w:w="736" w:type="pct"/>
            <w:tcBorders>
              <w:top w:val="nil"/>
              <w:bottom w:val="nil"/>
            </w:tcBorders>
            <w:vAlign w:val="center"/>
          </w:tcPr>
          <w:p w14:paraId="6992EAC8" w14:textId="77777777" w:rsidR="006471D6" w:rsidRPr="00A42296" w:rsidRDefault="006471D6" w:rsidP="001A6B03">
            <w:pPr>
              <w:keepNext/>
              <w:keepLines/>
              <w:jc w:val="center"/>
              <w:rPr>
                <w:rFonts w:ascii="Arial Narrow" w:hAnsi="Arial Narrow" w:cs="Times New Roman"/>
                <w:sz w:val="20"/>
                <w:szCs w:val="20"/>
              </w:rPr>
            </w:pPr>
            <w:r>
              <w:rPr>
                <w:rFonts w:ascii="Arial Narrow" w:hAnsi="Arial Narrow" w:cs="Times New Roman"/>
                <w:sz w:val="20"/>
                <w:szCs w:val="20"/>
              </w:rPr>
              <w:t>15 (5.8)</w:t>
            </w:r>
          </w:p>
        </w:tc>
      </w:tr>
      <w:tr w:rsidR="006471D6" w:rsidRPr="00A42296" w14:paraId="2DBA0999" w14:textId="77777777" w:rsidTr="00BA3F8A">
        <w:tc>
          <w:tcPr>
            <w:tcW w:w="2812" w:type="pct"/>
            <w:tcBorders>
              <w:top w:val="nil"/>
            </w:tcBorders>
            <w:vAlign w:val="center"/>
          </w:tcPr>
          <w:p w14:paraId="4709D165" w14:textId="77777777" w:rsidR="006471D6" w:rsidRPr="00A42296" w:rsidRDefault="006471D6" w:rsidP="001A6B03">
            <w:pPr>
              <w:keepNext/>
              <w:keepLines/>
              <w:tabs>
                <w:tab w:val="left" w:pos="1995"/>
              </w:tabs>
              <w:ind w:left="170"/>
              <w:jc w:val="left"/>
              <w:rPr>
                <w:rFonts w:ascii="Arial Narrow" w:hAnsi="Arial Narrow" w:cs="Times New Roman"/>
                <w:sz w:val="20"/>
                <w:szCs w:val="20"/>
              </w:rPr>
            </w:pPr>
            <w:r w:rsidRPr="00A42296">
              <w:rPr>
                <w:rFonts w:ascii="Arial Narrow" w:hAnsi="Arial Narrow" w:cs="Times New Roman"/>
                <w:sz w:val="20"/>
                <w:szCs w:val="20"/>
              </w:rPr>
              <w:t>O</w:t>
            </w:r>
            <w:r>
              <w:rPr>
                <w:rFonts w:ascii="Arial Narrow" w:hAnsi="Arial Narrow" w:cs="Times New Roman"/>
                <w:sz w:val="20"/>
                <w:szCs w:val="20"/>
              </w:rPr>
              <w:t>simertinib</w:t>
            </w:r>
          </w:p>
        </w:tc>
        <w:tc>
          <w:tcPr>
            <w:tcW w:w="716" w:type="pct"/>
            <w:tcBorders>
              <w:top w:val="nil"/>
            </w:tcBorders>
            <w:vAlign w:val="center"/>
          </w:tcPr>
          <w:p w14:paraId="5EB2DD17" w14:textId="77777777" w:rsidR="006471D6" w:rsidRPr="00A42296" w:rsidRDefault="006471D6" w:rsidP="001A6B03">
            <w:pPr>
              <w:keepNext/>
              <w:keepLines/>
              <w:jc w:val="center"/>
              <w:rPr>
                <w:rFonts w:ascii="Arial Narrow" w:hAnsi="Arial Narrow" w:cs="Times New Roman"/>
                <w:sz w:val="20"/>
                <w:szCs w:val="20"/>
              </w:rPr>
            </w:pPr>
            <w:r>
              <w:rPr>
                <w:rFonts w:ascii="Arial Narrow" w:hAnsi="Arial Narrow" w:cs="Times New Roman"/>
                <w:sz w:val="20"/>
                <w:szCs w:val="20"/>
              </w:rPr>
              <w:t>31 (40.8)</w:t>
            </w:r>
          </w:p>
        </w:tc>
        <w:tc>
          <w:tcPr>
            <w:tcW w:w="736" w:type="pct"/>
            <w:tcBorders>
              <w:top w:val="nil"/>
            </w:tcBorders>
            <w:vAlign w:val="center"/>
          </w:tcPr>
          <w:p w14:paraId="0ED8AD8D" w14:textId="77777777" w:rsidR="006471D6" w:rsidRPr="00A42296" w:rsidRDefault="006471D6" w:rsidP="001A6B03">
            <w:pPr>
              <w:keepNext/>
              <w:keepLines/>
              <w:jc w:val="center"/>
              <w:rPr>
                <w:rFonts w:ascii="Arial Narrow" w:hAnsi="Arial Narrow" w:cs="Times New Roman"/>
                <w:sz w:val="20"/>
                <w:szCs w:val="20"/>
              </w:rPr>
            </w:pPr>
            <w:r>
              <w:rPr>
                <w:rFonts w:ascii="Arial Narrow" w:hAnsi="Arial Narrow" w:cs="Times New Roman"/>
                <w:sz w:val="20"/>
                <w:szCs w:val="20"/>
              </w:rPr>
              <w:t>50 (27.2)</w:t>
            </w:r>
          </w:p>
        </w:tc>
        <w:tc>
          <w:tcPr>
            <w:tcW w:w="736" w:type="pct"/>
            <w:tcBorders>
              <w:top w:val="nil"/>
            </w:tcBorders>
            <w:vAlign w:val="center"/>
          </w:tcPr>
          <w:p w14:paraId="2986A6CF" w14:textId="77777777" w:rsidR="006471D6" w:rsidRPr="00A42296" w:rsidRDefault="006471D6" w:rsidP="001A6B03">
            <w:pPr>
              <w:keepNext/>
              <w:keepLines/>
              <w:jc w:val="center"/>
              <w:rPr>
                <w:rFonts w:ascii="Arial Narrow" w:hAnsi="Arial Narrow" w:cs="Times New Roman"/>
                <w:sz w:val="20"/>
                <w:szCs w:val="20"/>
              </w:rPr>
            </w:pPr>
            <w:r>
              <w:rPr>
                <w:rFonts w:ascii="Arial Narrow" w:hAnsi="Arial Narrow" w:cs="Times New Roman"/>
                <w:sz w:val="20"/>
                <w:szCs w:val="20"/>
              </w:rPr>
              <w:t>81 (31.2)</w:t>
            </w:r>
          </w:p>
        </w:tc>
      </w:tr>
      <w:tr w:rsidR="006471D6" w:rsidRPr="00A42296" w14:paraId="4DA56084" w14:textId="77777777" w:rsidTr="00BA3F8A">
        <w:tc>
          <w:tcPr>
            <w:tcW w:w="2812" w:type="pct"/>
            <w:tcBorders>
              <w:bottom w:val="single" w:sz="4" w:space="0" w:color="auto"/>
            </w:tcBorders>
            <w:vAlign w:val="center"/>
          </w:tcPr>
          <w:p w14:paraId="550F077A" w14:textId="77777777" w:rsidR="006471D6" w:rsidRPr="00A42296" w:rsidRDefault="006471D6" w:rsidP="001A6B03">
            <w:pPr>
              <w:keepNext/>
              <w:keepLines/>
              <w:rPr>
                <w:rFonts w:ascii="Arial Narrow" w:hAnsi="Arial Narrow" w:cs="Times New Roman"/>
                <w:b/>
                <w:sz w:val="20"/>
                <w:szCs w:val="20"/>
              </w:rPr>
            </w:pPr>
            <w:r>
              <w:rPr>
                <w:rFonts w:ascii="Arial Narrow" w:hAnsi="Arial Narrow" w:cs="Times New Roman"/>
                <w:b/>
                <w:sz w:val="20"/>
                <w:szCs w:val="20"/>
              </w:rPr>
              <w:t>Folic acid analogues</w:t>
            </w:r>
            <w:r w:rsidRPr="00A42296">
              <w:rPr>
                <w:rFonts w:ascii="Arial Narrow" w:hAnsi="Arial Narrow" w:cs="Times New Roman"/>
                <w:b/>
                <w:sz w:val="20"/>
                <w:szCs w:val="20"/>
              </w:rPr>
              <w:t xml:space="preserve"> </w:t>
            </w:r>
            <w:r w:rsidRPr="00A42296">
              <w:rPr>
                <w:rFonts w:ascii="Arial Narrow" w:hAnsi="Arial Narrow" w:cs="Times New Roman"/>
                <w:sz w:val="20"/>
                <w:szCs w:val="20"/>
              </w:rPr>
              <w:t>(P</w:t>
            </w:r>
            <w:r>
              <w:rPr>
                <w:rFonts w:ascii="Arial Narrow" w:hAnsi="Arial Narrow" w:cs="Times New Roman"/>
                <w:sz w:val="20"/>
                <w:szCs w:val="20"/>
              </w:rPr>
              <w:t>emetrexed</w:t>
            </w:r>
            <w:r w:rsidRPr="00A42296">
              <w:rPr>
                <w:rFonts w:ascii="Arial Narrow" w:hAnsi="Arial Narrow" w:cs="Times New Roman"/>
                <w:sz w:val="20"/>
                <w:szCs w:val="20"/>
              </w:rPr>
              <w:t>)</w:t>
            </w:r>
          </w:p>
        </w:tc>
        <w:tc>
          <w:tcPr>
            <w:tcW w:w="716" w:type="pct"/>
            <w:tcBorders>
              <w:bottom w:val="single" w:sz="4" w:space="0" w:color="auto"/>
            </w:tcBorders>
            <w:vAlign w:val="center"/>
          </w:tcPr>
          <w:p w14:paraId="3C9EA571" w14:textId="77777777" w:rsidR="006471D6" w:rsidRPr="00A42296" w:rsidRDefault="006471D6" w:rsidP="001A6B03">
            <w:pPr>
              <w:keepNext/>
              <w:keepLines/>
              <w:jc w:val="center"/>
              <w:rPr>
                <w:rFonts w:ascii="Arial Narrow" w:hAnsi="Arial Narrow" w:cs="Times New Roman"/>
                <w:b/>
                <w:sz w:val="20"/>
                <w:szCs w:val="20"/>
              </w:rPr>
            </w:pPr>
            <w:r w:rsidRPr="007573DD">
              <w:rPr>
                <w:rFonts w:ascii="Arial Narrow" w:hAnsi="Arial Narrow" w:cs="Times New Roman"/>
                <w:b/>
                <w:sz w:val="20"/>
                <w:szCs w:val="20"/>
              </w:rPr>
              <w:t>10 (13.2)</w:t>
            </w:r>
          </w:p>
        </w:tc>
        <w:tc>
          <w:tcPr>
            <w:tcW w:w="736" w:type="pct"/>
            <w:tcBorders>
              <w:bottom w:val="single" w:sz="4" w:space="0" w:color="auto"/>
            </w:tcBorders>
            <w:vAlign w:val="center"/>
          </w:tcPr>
          <w:p w14:paraId="2D3DBCE3" w14:textId="77777777" w:rsidR="006471D6" w:rsidRPr="00A42296" w:rsidRDefault="006471D6" w:rsidP="001A6B03">
            <w:pPr>
              <w:keepNext/>
              <w:keepLines/>
              <w:jc w:val="center"/>
              <w:rPr>
                <w:rFonts w:ascii="Arial Narrow" w:hAnsi="Arial Narrow" w:cs="Times New Roman"/>
                <w:b/>
                <w:sz w:val="20"/>
                <w:szCs w:val="20"/>
              </w:rPr>
            </w:pPr>
            <w:r w:rsidRPr="007573DD">
              <w:rPr>
                <w:rFonts w:ascii="Arial Narrow" w:hAnsi="Arial Narrow" w:cs="Times New Roman"/>
                <w:b/>
                <w:sz w:val="20"/>
                <w:szCs w:val="20"/>
              </w:rPr>
              <w:t>8 (4.3)</w:t>
            </w:r>
          </w:p>
        </w:tc>
        <w:tc>
          <w:tcPr>
            <w:tcW w:w="736" w:type="pct"/>
            <w:tcBorders>
              <w:bottom w:val="single" w:sz="4" w:space="0" w:color="auto"/>
            </w:tcBorders>
            <w:vAlign w:val="center"/>
          </w:tcPr>
          <w:p w14:paraId="34842C54" w14:textId="77777777" w:rsidR="006471D6" w:rsidRPr="00A42296" w:rsidRDefault="006471D6" w:rsidP="001A6B03">
            <w:pPr>
              <w:keepNext/>
              <w:keepLines/>
              <w:jc w:val="center"/>
              <w:rPr>
                <w:rFonts w:ascii="Arial Narrow" w:hAnsi="Arial Narrow" w:cs="Times New Roman"/>
                <w:b/>
                <w:sz w:val="20"/>
                <w:szCs w:val="20"/>
              </w:rPr>
            </w:pPr>
            <w:r w:rsidRPr="007573DD">
              <w:rPr>
                <w:rFonts w:ascii="Arial Narrow" w:hAnsi="Arial Narrow" w:cs="Times New Roman"/>
                <w:b/>
                <w:sz w:val="20"/>
                <w:szCs w:val="20"/>
              </w:rPr>
              <w:t>18 (6.9)</w:t>
            </w:r>
          </w:p>
        </w:tc>
      </w:tr>
      <w:tr w:rsidR="006471D6" w:rsidRPr="00A42296" w14:paraId="4CD68DC6" w14:textId="77777777" w:rsidTr="00BA3F8A">
        <w:tc>
          <w:tcPr>
            <w:tcW w:w="2812" w:type="pct"/>
            <w:tcBorders>
              <w:bottom w:val="nil"/>
            </w:tcBorders>
            <w:vAlign w:val="center"/>
          </w:tcPr>
          <w:p w14:paraId="5C74852A" w14:textId="77777777" w:rsidR="006471D6" w:rsidRPr="00A42296" w:rsidRDefault="006471D6" w:rsidP="001A6B03">
            <w:pPr>
              <w:keepNext/>
              <w:keepLines/>
              <w:jc w:val="left"/>
              <w:rPr>
                <w:rFonts w:ascii="Arial Narrow" w:hAnsi="Arial Narrow" w:cs="CourierNewPSMT"/>
                <w:b/>
                <w:sz w:val="20"/>
                <w:szCs w:val="20"/>
              </w:rPr>
            </w:pPr>
            <w:r w:rsidRPr="007573DD">
              <w:rPr>
                <w:rFonts w:ascii="Arial Narrow" w:hAnsi="Arial Narrow" w:cs="CourierNewPSMT"/>
                <w:b/>
                <w:sz w:val="20"/>
                <w:szCs w:val="20"/>
              </w:rPr>
              <w:t>PD-1/PDL-1 inhibitors</w:t>
            </w:r>
          </w:p>
        </w:tc>
        <w:tc>
          <w:tcPr>
            <w:tcW w:w="716" w:type="pct"/>
            <w:tcBorders>
              <w:bottom w:val="nil"/>
            </w:tcBorders>
            <w:vAlign w:val="center"/>
          </w:tcPr>
          <w:p w14:paraId="7D257498" w14:textId="77777777" w:rsidR="006471D6" w:rsidRPr="00A42296" w:rsidRDefault="006471D6" w:rsidP="001A6B03">
            <w:pPr>
              <w:keepNext/>
              <w:keepLines/>
              <w:jc w:val="center"/>
              <w:rPr>
                <w:rFonts w:ascii="Arial Narrow" w:hAnsi="Arial Narrow" w:cs="Times New Roman"/>
                <w:b/>
                <w:sz w:val="20"/>
                <w:szCs w:val="20"/>
              </w:rPr>
            </w:pPr>
            <w:r w:rsidRPr="007573DD">
              <w:rPr>
                <w:rFonts w:ascii="Arial Narrow" w:hAnsi="Arial Narrow" w:cs="Times New Roman"/>
                <w:b/>
                <w:sz w:val="20"/>
                <w:szCs w:val="20"/>
              </w:rPr>
              <w:t>3 (3.9)</w:t>
            </w:r>
          </w:p>
        </w:tc>
        <w:tc>
          <w:tcPr>
            <w:tcW w:w="736" w:type="pct"/>
            <w:tcBorders>
              <w:bottom w:val="nil"/>
            </w:tcBorders>
            <w:vAlign w:val="center"/>
          </w:tcPr>
          <w:p w14:paraId="20F6F158" w14:textId="77777777" w:rsidR="006471D6" w:rsidRPr="00A42296" w:rsidRDefault="006471D6" w:rsidP="001A6B03">
            <w:pPr>
              <w:keepNext/>
              <w:keepLines/>
              <w:jc w:val="center"/>
              <w:rPr>
                <w:rFonts w:ascii="Arial Narrow" w:hAnsi="Arial Narrow" w:cs="Times New Roman"/>
                <w:b/>
                <w:sz w:val="20"/>
                <w:szCs w:val="20"/>
              </w:rPr>
            </w:pPr>
            <w:r w:rsidRPr="007573DD">
              <w:rPr>
                <w:rFonts w:ascii="Arial Narrow" w:hAnsi="Arial Narrow" w:cs="Times New Roman"/>
                <w:b/>
                <w:sz w:val="20"/>
                <w:szCs w:val="20"/>
              </w:rPr>
              <w:t>1 (0.5)</w:t>
            </w:r>
          </w:p>
        </w:tc>
        <w:tc>
          <w:tcPr>
            <w:tcW w:w="736" w:type="pct"/>
            <w:tcBorders>
              <w:bottom w:val="nil"/>
            </w:tcBorders>
            <w:vAlign w:val="center"/>
          </w:tcPr>
          <w:p w14:paraId="3C9575D7" w14:textId="77777777" w:rsidR="006471D6" w:rsidRPr="00A42296" w:rsidRDefault="006471D6" w:rsidP="001A6B03">
            <w:pPr>
              <w:keepNext/>
              <w:keepLines/>
              <w:jc w:val="center"/>
              <w:rPr>
                <w:rFonts w:ascii="Arial Narrow" w:hAnsi="Arial Narrow" w:cs="Times New Roman"/>
                <w:b/>
                <w:sz w:val="20"/>
                <w:szCs w:val="20"/>
              </w:rPr>
            </w:pPr>
            <w:r w:rsidRPr="007573DD">
              <w:rPr>
                <w:rFonts w:ascii="Arial Narrow" w:hAnsi="Arial Narrow" w:cs="Times New Roman"/>
                <w:b/>
                <w:sz w:val="20"/>
                <w:szCs w:val="20"/>
              </w:rPr>
              <w:t>4 (1.5)</w:t>
            </w:r>
          </w:p>
        </w:tc>
      </w:tr>
      <w:tr w:rsidR="006471D6" w:rsidRPr="00A42296" w14:paraId="62D7AE7F" w14:textId="77777777" w:rsidTr="00BA3F8A">
        <w:tc>
          <w:tcPr>
            <w:tcW w:w="2812" w:type="pct"/>
            <w:tcBorders>
              <w:top w:val="nil"/>
              <w:bottom w:val="single" w:sz="4" w:space="0" w:color="auto"/>
            </w:tcBorders>
            <w:vAlign w:val="center"/>
          </w:tcPr>
          <w:p w14:paraId="5E09C882" w14:textId="77777777" w:rsidR="006471D6" w:rsidRPr="007573DD" w:rsidRDefault="006471D6" w:rsidP="001A6B03">
            <w:pPr>
              <w:keepNext/>
              <w:keepLines/>
              <w:ind w:left="170"/>
              <w:jc w:val="left"/>
              <w:rPr>
                <w:rFonts w:ascii="Arial Narrow" w:hAnsi="Arial Narrow" w:cs="CourierNewPSMT"/>
                <w:sz w:val="20"/>
                <w:szCs w:val="20"/>
              </w:rPr>
            </w:pPr>
            <w:r w:rsidRPr="007573DD">
              <w:rPr>
                <w:rFonts w:ascii="Arial Narrow" w:hAnsi="Arial Narrow" w:cs="CourierNewPSMT"/>
                <w:sz w:val="20"/>
                <w:szCs w:val="20"/>
              </w:rPr>
              <w:t>Durvalumab</w:t>
            </w:r>
          </w:p>
        </w:tc>
        <w:tc>
          <w:tcPr>
            <w:tcW w:w="716" w:type="pct"/>
            <w:tcBorders>
              <w:top w:val="nil"/>
              <w:bottom w:val="single" w:sz="4" w:space="0" w:color="auto"/>
            </w:tcBorders>
            <w:vAlign w:val="center"/>
          </w:tcPr>
          <w:p w14:paraId="385E0C6D" w14:textId="77777777" w:rsidR="006471D6" w:rsidRPr="007573DD" w:rsidRDefault="006471D6" w:rsidP="001A6B03">
            <w:pPr>
              <w:keepNext/>
              <w:keepLines/>
              <w:jc w:val="center"/>
              <w:rPr>
                <w:rFonts w:ascii="Arial Narrow" w:hAnsi="Arial Narrow" w:cs="Times New Roman"/>
                <w:sz w:val="20"/>
                <w:szCs w:val="20"/>
              </w:rPr>
            </w:pPr>
            <w:r w:rsidRPr="007573DD">
              <w:rPr>
                <w:rFonts w:ascii="Arial Narrow" w:hAnsi="Arial Narrow" w:cs="Times New Roman"/>
                <w:sz w:val="20"/>
                <w:szCs w:val="20"/>
              </w:rPr>
              <w:t>2 (2.6)</w:t>
            </w:r>
          </w:p>
        </w:tc>
        <w:tc>
          <w:tcPr>
            <w:tcW w:w="736" w:type="pct"/>
            <w:tcBorders>
              <w:top w:val="nil"/>
              <w:bottom w:val="single" w:sz="4" w:space="0" w:color="auto"/>
            </w:tcBorders>
            <w:vAlign w:val="center"/>
          </w:tcPr>
          <w:p w14:paraId="0B0F8C57" w14:textId="77777777" w:rsidR="006471D6" w:rsidRPr="007573DD" w:rsidRDefault="006471D6" w:rsidP="001A6B03">
            <w:pPr>
              <w:keepNext/>
              <w:keepLines/>
              <w:jc w:val="center"/>
              <w:rPr>
                <w:rFonts w:ascii="Arial Narrow" w:hAnsi="Arial Narrow" w:cs="Times New Roman"/>
                <w:sz w:val="20"/>
                <w:szCs w:val="20"/>
              </w:rPr>
            </w:pPr>
            <w:r w:rsidRPr="007573DD">
              <w:rPr>
                <w:rFonts w:ascii="Arial Narrow" w:hAnsi="Arial Narrow" w:cs="Times New Roman"/>
                <w:sz w:val="20"/>
                <w:szCs w:val="20"/>
              </w:rPr>
              <w:t>1 (0.5)</w:t>
            </w:r>
          </w:p>
        </w:tc>
        <w:tc>
          <w:tcPr>
            <w:tcW w:w="736" w:type="pct"/>
            <w:tcBorders>
              <w:top w:val="nil"/>
              <w:bottom w:val="single" w:sz="4" w:space="0" w:color="auto"/>
            </w:tcBorders>
            <w:vAlign w:val="center"/>
          </w:tcPr>
          <w:p w14:paraId="6E8797CE" w14:textId="77777777" w:rsidR="006471D6" w:rsidRPr="007573DD" w:rsidRDefault="006471D6" w:rsidP="001A6B03">
            <w:pPr>
              <w:keepNext/>
              <w:keepLines/>
              <w:jc w:val="center"/>
              <w:rPr>
                <w:rFonts w:ascii="Arial Narrow" w:hAnsi="Arial Narrow" w:cs="Times New Roman"/>
                <w:sz w:val="20"/>
                <w:szCs w:val="20"/>
              </w:rPr>
            </w:pPr>
            <w:r w:rsidRPr="007573DD">
              <w:rPr>
                <w:rFonts w:ascii="Arial Narrow" w:hAnsi="Arial Narrow" w:cs="Times New Roman"/>
                <w:sz w:val="20"/>
                <w:szCs w:val="20"/>
              </w:rPr>
              <w:t>3 (1.2)</w:t>
            </w:r>
          </w:p>
        </w:tc>
      </w:tr>
      <w:tr w:rsidR="006471D6" w:rsidRPr="00A42296" w14:paraId="419B200A" w14:textId="77777777" w:rsidTr="00BA3F8A">
        <w:tc>
          <w:tcPr>
            <w:tcW w:w="2812" w:type="pct"/>
            <w:tcBorders>
              <w:bottom w:val="nil"/>
            </w:tcBorders>
            <w:vAlign w:val="center"/>
          </w:tcPr>
          <w:p w14:paraId="074E374D" w14:textId="77777777" w:rsidR="006471D6" w:rsidRPr="00A42296" w:rsidRDefault="006471D6" w:rsidP="001A6B03">
            <w:pPr>
              <w:keepNext/>
              <w:keepLines/>
              <w:jc w:val="left"/>
              <w:rPr>
                <w:rFonts w:ascii="Arial Narrow" w:hAnsi="Arial Narrow" w:cs="CourierNewPSMT"/>
                <w:b/>
                <w:sz w:val="20"/>
                <w:szCs w:val="20"/>
              </w:rPr>
            </w:pPr>
            <w:r>
              <w:rPr>
                <w:rFonts w:ascii="Arial Narrow" w:hAnsi="Arial Narrow" w:cs="CourierNewPSMT"/>
                <w:b/>
                <w:sz w:val="20"/>
                <w:szCs w:val="20"/>
              </w:rPr>
              <w:t>Platinum compounds</w:t>
            </w:r>
          </w:p>
        </w:tc>
        <w:tc>
          <w:tcPr>
            <w:tcW w:w="716" w:type="pct"/>
            <w:tcBorders>
              <w:bottom w:val="nil"/>
            </w:tcBorders>
            <w:vAlign w:val="center"/>
          </w:tcPr>
          <w:p w14:paraId="5EAC2D6F" w14:textId="77777777" w:rsidR="006471D6" w:rsidRPr="00BB29DA" w:rsidRDefault="006471D6" w:rsidP="001A6B03">
            <w:pPr>
              <w:pStyle w:val="Tabletext"/>
              <w:keepNext/>
              <w:keepLines/>
              <w:jc w:val="center"/>
              <w:rPr>
                <w:b/>
              </w:rPr>
            </w:pPr>
            <w:r w:rsidRPr="00BB29DA">
              <w:rPr>
                <w:b/>
              </w:rPr>
              <w:t>17 (22.4)</w:t>
            </w:r>
          </w:p>
        </w:tc>
        <w:tc>
          <w:tcPr>
            <w:tcW w:w="736" w:type="pct"/>
            <w:tcBorders>
              <w:bottom w:val="nil"/>
            </w:tcBorders>
            <w:vAlign w:val="center"/>
          </w:tcPr>
          <w:p w14:paraId="0E57D877" w14:textId="77777777" w:rsidR="006471D6" w:rsidRPr="00BB29DA" w:rsidRDefault="006471D6" w:rsidP="001A6B03">
            <w:pPr>
              <w:pStyle w:val="Tabletext"/>
              <w:keepNext/>
              <w:keepLines/>
              <w:jc w:val="center"/>
              <w:rPr>
                <w:b/>
              </w:rPr>
            </w:pPr>
            <w:r w:rsidRPr="00BB29DA">
              <w:rPr>
                <w:b/>
              </w:rPr>
              <w:t>18 (9.8)</w:t>
            </w:r>
          </w:p>
        </w:tc>
        <w:tc>
          <w:tcPr>
            <w:tcW w:w="736" w:type="pct"/>
            <w:tcBorders>
              <w:bottom w:val="nil"/>
            </w:tcBorders>
            <w:vAlign w:val="center"/>
          </w:tcPr>
          <w:p w14:paraId="5B17F83D" w14:textId="77777777" w:rsidR="006471D6" w:rsidRPr="00BB29DA" w:rsidRDefault="006471D6" w:rsidP="001A6B03">
            <w:pPr>
              <w:pStyle w:val="Tabletext"/>
              <w:keepNext/>
              <w:keepLines/>
              <w:jc w:val="center"/>
              <w:rPr>
                <w:b/>
              </w:rPr>
            </w:pPr>
            <w:r w:rsidRPr="00BB29DA">
              <w:rPr>
                <w:b/>
              </w:rPr>
              <w:t>35 (13.5)</w:t>
            </w:r>
          </w:p>
        </w:tc>
      </w:tr>
      <w:tr w:rsidR="006471D6" w:rsidRPr="00A42296" w14:paraId="45E7A23B" w14:textId="77777777" w:rsidTr="00BA3F8A">
        <w:tc>
          <w:tcPr>
            <w:tcW w:w="2812" w:type="pct"/>
            <w:tcBorders>
              <w:top w:val="nil"/>
              <w:bottom w:val="nil"/>
            </w:tcBorders>
            <w:vAlign w:val="center"/>
          </w:tcPr>
          <w:p w14:paraId="7728FE57" w14:textId="77777777" w:rsidR="006471D6" w:rsidRPr="00A42296" w:rsidRDefault="006471D6" w:rsidP="001A6B03">
            <w:pPr>
              <w:keepNext/>
              <w:keepLines/>
              <w:ind w:left="170"/>
              <w:jc w:val="left"/>
              <w:rPr>
                <w:rFonts w:ascii="Arial Narrow" w:hAnsi="Arial Narrow" w:cs="CourierNewPSMT"/>
                <w:b/>
                <w:sz w:val="20"/>
                <w:szCs w:val="20"/>
              </w:rPr>
            </w:pPr>
            <w:r w:rsidRPr="00A42296">
              <w:rPr>
                <w:rFonts w:ascii="Arial Narrow" w:hAnsi="Arial Narrow" w:cs="CourierNewPSMT"/>
                <w:sz w:val="20"/>
                <w:szCs w:val="20"/>
              </w:rPr>
              <w:t>C</w:t>
            </w:r>
            <w:r>
              <w:rPr>
                <w:rFonts w:ascii="Arial Narrow" w:hAnsi="Arial Narrow" w:cs="CourierNewPSMT"/>
                <w:sz w:val="20"/>
                <w:szCs w:val="20"/>
              </w:rPr>
              <w:t>arboplatin</w:t>
            </w:r>
          </w:p>
        </w:tc>
        <w:tc>
          <w:tcPr>
            <w:tcW w:w="716" w:type="pct"/>
            <w:tcBorders>
              <w:top w:val="nil"/>
              <w:bottom w:val="nil"/>
            </w:tcBorders>
            <w:vAlign w:val="center"/>
          </w:tcPr>
          <w:p w14:paraId="7AB24038" w14:textId="77777777" w:rsidR="006471D6" w:rsidRPr="00A42296" w:rsidRDefault="006471D6" w:rsidP="001A6B03">
            <w:pPr>
              <w:keepNext/>
              <w:keepLines/>
              <w:jc w:val="center"/>
              <w:rPr>
                <w:rFonts w:ascii="Arial Narrow" w:hAnsi="Arial Narrow" w:cs="Times New Roman"/>
                <w:sz w:val="20"/>
                <w:szCs w:val="20"/>
              </w:rPr>
            </w:pPr>
            <w:r w:rsidRPr="00845274">
              <w:rPr>
                <w:rFonts w:ascii="Arial Narrow" w:hAnsi="Arial Narrow" w:cs="Times New Roman"/>
                <w:sz w:val="20"/>
                <w:szCs w:val="20"/>
              </w:rPr>
              <w:t>13 (17.1)</w:t>
            </w:r>
          </w:p>
        </w:tc>
        <w:tc>
          <w:tcPr>
            <w:tcW w:w="736" w:type="pct"/>
            <w:tcBorders>
              <w:top w:val="nil"/>
              <w:bottom w:val="nil"/>
            </w:tcBorders>
            <w:vAlign w:val="center"/>
          </w:tcPr>
          <w:p w14:paraId="2356A4D9" w14:textId="77777777" w:rsidR="006471D6" w:rsidRPr="00A42296" w:rsidRDefault="006471D6" w:rsidP="001A6B03">
            <w:pPr>
              <w:keepNext/>
              <w:keepLines/>
              <w:jc w:val="center"/>
              <w:rPr>
                <w:rFonts w:ascii="Arial Narrow" w:hAnsi="Arial Narrow" w:cs="Times New Roman"/>
                <w:sz w:val="20"/>
                <w:szCs w:val="20"/>
              </w:rPr>
            </w:pPr>
            <w:r w:rsidRPr="00845274">
              <w:rPr>
                <w:rFonts w:ascii="Arial Narrow" w:hAnsi="Arial Narrow" w:cs="Times New Roman"/>
                <w:sz w:val="20"/>
                <w:szCs w:val="20"/>
              </w:rPr>
              <w:t>10 (5.4)</w:t>
            </w:r>
          </w:p>
        </w:tc>
        <w:tc>
          <w:tcPr>
            <w:tcW w:w="736" w:type="pct"/>
            <w:tcBorders>
              <w:top w:val="nil"/>
              <w:bottom w:val="nil"/>
            </w:tcBorders>
            <w:vAlign w:val="center"/>
          </w:tcPr>
          <w:p w14:paraId="4DFEE017" w14:textId="77777777" w:rsidR="006471D6" w:rsidRPr="00A42296" w:rsidRDefault="006471D6" w:rsidP="001A6B03">
            <w:pPr>
              <w:keepNext/>
              <w:keepLines/>
              <w:jc w:val="center"/>
              <w:rPr>
                <w:rFonts w:ascii="Arial Narrow" w:hAnsi="Arial Narrow" w:cs="Times New Roman"/>
                <w:sz w:val="20"/>
                <w:szCs w:val="20"/>
              </w:rPr>
            </w:pPr>
            <w:r w:rsidRPr="00845274">
              <w:rPr>
                <w:rFonts w:ascii="Arial Narrow" w:hAnsi="Arial Narrow" w:cs="Times New Roman"/>
                <w:sz w:val="20"/>
                <w:szCs w:val="20"/>
              </w:rPr>
              <w:t>23 (8.8)</w:t>
            </w:r>
          </w:p>
        </w:tc>
      </w:tr>
      <w:tr w:rsidR="006471D6" w:rsidRPr="00A42296" w14:paraId="5629349B" w14:textId="77777777" w:rsidTr="00BA3F8A">
        <w:tc>
          <w:tcPr>
            <w:tcW w:w="2812" w:type="pct"/>
            <w:tcBorders>
              <w:top w:val="nil"/>
              <w:bottom w:val="nil"/>
            </w:tcBorders>
            <w:vAlign w:val="center"/>
          </w:tcPr>
          <w:p w14:paraId="62477D09" w14:textId="77777777" w:rsidR="006471D6" w:rsidRPr="00A42296" w:rsidRDefault="006471D6" w:rsidP="001A6B03">
            <w:pPr>
              <w:keepNext/>
              <w:keepLines/>
              <w:ind w:left="170"/>
              <w:jc w:val="left"/>
              <w:rPr>
                <w:rFonts w:ascii="Arial Narrow" w:hAnsi="Arial Narrow" w:cs="CourierNewPSMT"/>
                <w:b/>
                <w:sz w:val="20"/>
                <w:szCs w:val="20"/>
              </w:rPr>
            </w:pPr>
            <w:r w:rsidRPr="00A42296">
              <w:rPr>
                <w:rFonts w:ascii="Arial Narrow" w:hAnsi="Arial Narrow" w:cs="CourierNewPSMT"/>
                <w:sz w:val="20"/>
                <w:szCs w:val="20"/>
              </w:rPr>
              <w:t>C</w:t>
            </w:r>
            <w:r>
              <w:rPr>
                <w:rFonts w:ascii="Arial Narrow" w:hAnsi="Arial Narrow" w:cs="CourierNewPSMT"/>
                <w:sz w:val="20"/>
                <w:szCs w:val="20"/>
              </w:rPr>
              <w:t>isplatin</w:t>
            </w:r>
          </w:p>
        </w:tc>
        <w:tc>
          <w:tcPr>
            <w:tcW w:w="716" w:type="pct"/>
            <w:tcBorders>
              <w:top w:val="nil"/>
              <w:bottom w:val="nil"/>
            </w:tcBorders>
            <w:vAlign w:val="center"/>
          </w:tcPr>
          <w:p w14:paraId="6B94A6AC" w14:textId="77777777" w:rsidR="006471D6" w:rsidRPr="00A42296" w:rsidRDefault="006471D6" w:rsidP="001A6B03">
            <w:pPr>
              <w:keepNext/>
              <w:keepLines/>
              <w:jc w:val="center"/>
              <w:rPr>
                <w:rFonts w:ascii="Arial Narrow" w:hAnsi="Arial Narrow" w:cs="Times New Roman"/>
                <w:sz w:val="20"/>
                <w:szCs w:val="20"/>
              </w:rPr>
            </w:pPr>
            <w:r w:rsidRPr="00A42296">
              <w:rPr>
                <w:rFonts w:ascii="Arial Narrow" w:hAnsi="Arial Narrow" w:cs="Times New Roman"/>
                <w:sz w:val="20"/>
                <w:szCs w:val="20"/>
              </w:rPr>
              <w:t>3 (</w:t>
            </w:r>
            <w:r>
              <w:rPr>
                <w:rFonts w:ascii="Arial Narrow" w:hAnsi="Arial Narrow" w:cs="Times New Roman"/>
                <w:sz w:val="20"/>
                <w:szCs w:val="20"/>
              </w:rPr>
              <w:t>3</w:t>
            </w:r>
            <w:r w:rsidRPr="00A42296">
              <w:rPr>
                <w:rFonts w:ascii="Arial Narrow" w:hAnsi="Arial Narrow" w:cs="Times New Roman"/>
                <w:sz w:val="20"/>
                <w:szCs w:val="20"/>
              </w:rPr>
              <w:t>.9)</w:t>
            </w:r>
          </w:p>
        </w:tc>
        <w:tc>
          <w:tcPr>
            <w:tcW w:w="736" w:type="pct"/>
            <w:tcBorders>
              <w:top w:val="nil"/>
              <w:bottom w:val="nil"/>
            </w:tcBorders>
            <w:vAlign w:val="center"/>
          </w:tcPr>
          <w:p w14:paraId="40CAFD9C" w14:textId="77777777" w:rsidR="006471D6" w:rsidRPr="00A42296" w:rsidRDefault="006471D6" w:rsidP="001A6B03">
            <w:pPr>
              <w:keepNext/>
              <w:keepLines/>
              <w:jc w:val="center"/>
              <w:rPr>
                <w:rFonts w:ascii="Arial Narrow" w:hAnsi="Arial Narrow" w:cs="Times New Roman"/>
                <w:sz w:val="20"/>
                <w:szCs w:val="20"/>
              </w:rPr>
            </w:pPr>
            <w:r w:rsidRPr="00A42296">
              <w:rPr>
                <w:rFonts w:ascii="Arial Narrow" w:hAnsi="Arial Narrow" w:cs="Times New Roman"/>
                <w:sz w:val="20"/>
                <w:szCs w:val="20"/>
              </w:rPr>
              <w:t>7 (</w:t>
            </w:r>
            <w:r>
              <w:rPr>
                <w:rFonts w:ascii="Arial Narrow" w:hAnsi="Arial Narrow" w:cs="Times New Roman"/>
                <w:sz w:val="20"/>
                <w:szCs w:val="20"/>
              </w:rPr>
              <w:t>3.8</w:t>
            </w:r>
            <w:r w:rsidRPr="00A42296">
              <w:rPr>
                <w:rFonts w:ascii="Arial Narrow" w:hAnsi="Arial Narrow" w:cs="Times New Roman"/>
                <w:sz w:val="20"/>
                <w:szCs w:val="20"/>
              </w:rPr>
              <w:t>)</w:t>
            </w:r>
          </w:p>
        </w:tc>
        <w:tc>
          <w:tcPr>
            <w:tcW w:w="736" w:type="pct"/>
            <w:tcBorders>
              <w:top w:val="nil"/>
              <w:bottom w:val="nil"/>
            </w:tcBorders>
            <w:vAlign w:val="center"/>
          </w:tcPr>
          <w:p w14:paraId="46701D84" w14:textId="77777777" w:rsidR="006471D6" w:rsidRPr="00A42296" w:rsidRDefault="006471D6" w:rsidP="001A6B03">
            <w:pPr>
              <w:keepNext/>
              <w:keepLines/>
              <w:jc w:val="center"/>
              <w:rPr>
                <w:rFonts w:ascii="Arial Narrow" w:hAnsi="Arial Narrow" w:cs="Times New Roman"/>
                <w:sz w:val="20"/>
                <w:szCs w:val="20"/>
              </w:rPr>
            </w:pPr>
            <w:r w:rsidRPr="00A42296">
              <w:rPr>
                <w:rFonts w:ascii="Arial Narrow" w:hAnsi="Arial Narrow" w:cs="Times New Roman"/>
                <w:sz w:val="20"/>
                <w:szCs w:val="20"/>
              </w:rPr>
              <w:t>10 (</w:t>
            </w:r>
            <w:r>
              <w:rPr>
                <w:rFonts w:ascii="Arial Narrow" w:hAnsi="Arial Narrow" w:cs="Times New Roman"/>
                <w:sz w:val="20"/>
                <w:szCs w:val="20"/>
              </w:rPr>
              <w:t>3.8</w:t>
            </w:r>
            <w:r w:rsidRPr="00A42296">
              <w:rPr>
                <w:rFonts w:ascii="Arial Narrow" w:hAnsi="Arial Narrow" w:cs="Times New Roman"/>
                <w:sz w:val="20"/>
                <w:szCs w:val="20"/>
              </w:rPr>
              <w:t>)</w:t>
            </w:r>
          </w:p>
        </w:tc>
      </w:tr>
      <w:tr w:rsidR="006471D6" w:rsidRPr="00A42296" w14:paraId="0A33E3B0" w14:textId="77777777" w:rsidTr="00BA3F8A">
        <w:tc>
          <w:tcPr>
            <w:tcW w:w="2812" w:type="pct"/>
            <w:tcBorders>
              <w:bottom w:val="nil"/>
            </w:tcBorders>
            <w:vAlign w:val="center"/>
          </w:tcPr>
          <w:p w14:paraId="05D40E7B" w14:textId="77777777" w:rsidR="006471D6" w:rsidRPr="00A42296" w:rsidRDefault="006471D6" w:rsidP="001A6B03">
            <w:pPr>
              <w:keepNext/>
              <w:keepLines/>
              <w:jc w:val="left"/>
              <w:rPr>
                <w:rFonts w:ascii="Arial Narrow" w:hAnsi="Arial Narrow" w:cs="CourierNewPSMT"/>
                <w:b/>
                <w:sz w:val="20"/>
                <w:szCs w:val="20"/>
              </w:rPr>
            </w:pPr>
            <w:r>
              <w:rPr>
                <w:rFonts w:ascii="Arial Narrow" w:hAnsi="Arial Narrow" w:cs="CourierNewPSMT"/>
                <w:b/>
                <w:sz w:val="20"/>
                <w:szCs w:val="20"/>
              </w:rPr>
              <w:t>Pyrimidine analogues</w:t>
            </w:r>
          </w:p>
        </w:tc>
        <w:tc>
          <w:tcPr>
            <w:tcW w:w="716" w:type="pct"/>
            <w:tcBorders>
              <w:bottom w:val="nil"/>
            </w:tcBorders>
            <w:vAlign w:val="center"/>
          </w:tcPr>
          <w:p w14:paraId="333C34F0" w14:textId="77777777" w:rsidR="006471D6" w:rsidRPr="00A42296" w:rsidRDefault="006471D6" w:rsidP="001A6B03">
            <w:pPr>
              <w:keepNext/>
              <w:keepLines/>
              <w:jc w:val="center"/>
              <w:rPr>
                <w:rFonts w:ascii="Arial Narrow" w:hAnsi="Arial Narrow" w:cs="Times New Roman"/>
                <w:b/>
                <w:sz w:val="20"/>
                <w:szCs w:val="20"/>
              </w:rPr>
            </w:pPr>
            <w:r w:rsidRPr="00A42296">
              <w:rPr>
                <w:rFonts w:ascii="Arial Narrow" w:hAnsi="Arial Narrow" w:cs="Times New Roman"/>
                <w:b/>
                <w:sz w:val="20"/>
                <w:szCs w:val="20"/>
              </w:rPr>
              <w:t>3 (</w:t>
            </w:r>
            <w:r>
              <w:rPr>
                <w:rFonts w:ascii="Arial Narrow" w:hAnsi="Arial Narrow" w:cs="Times New Roman"/>
                <w:b/>
                <w:sz w:val="20"/>
                <w:szCs w:val="20"/>
              </w:rPr>
              <w:t>3</w:t>
            </w:r>
            <w:r w:rsidRPr="00A42296">
              <w:rPr>
                <w:rFonts w:ascii="Arial Narrow" w:hAnsi="Arial Narrow" w:cs="Times New Roman"/>
                <w:b/>
                <w:sz w:val="20"/>
                <w:szCs w:val="20"/>
              </w:rPr>
              <w:t>.9)</w:t>
            </w:r>
          </w:p>
        </w:tc>
        <w:tc>
          <w:tcPr>
            <w:tcW w:w="736" w:type="pct"/>
            <w:tcBorders>
              <w:bottom w:val="nil"/>
            </w:tcBorders>
            <w:vAlign w:val="center"/>
          </w:tcPr>
          <w:p w14:paraId="27C7B421" w14:textId="77777777" w:rsidR="006471D6" w:rsidRPr="00A42296" w:rsidRDefault="006471D6" w:rsidP="001A6B03">
            <w:pPr>
              <w:keepNext/>
              <w:keepLines/>
              <w:jc w:val="center"/>
              <w:rPr>
                <w:rFonts w:ascii="Arial Narrow" w:hAnsi="Arial Narrow" w:cs="Times New Roman"/>
                <w:b/>
                <w:sz w:val="20"/>
                <w:szCs w:val="20"/>
              </w:rPr>
            </w:pPr>
            <w:r>
              <w:rPr>
                <w:rFonts w:ascii="Arial Narrow" w:hAnsi="Arial Narrow" w:cs="Times New Roman"/>
                <w:b/>
                <w:sz w:val="20"/>
                <w:szCs w:val="20"/>
              </w:rPr>
              <w:t>3</w:t>
            </w:r>
            <w:r w:rsidRPr="00A42296">
              <w:rPr>
                <w:rFonts w:ascii="Arial Narrow" w:hAnsi="Arial Narrow" w:cs="Times New Roman"/>
                <w:b/>
                <w:sz w:val="20"/>
                <w:szCs w:val="20"/>
              </w:rPr>
              <w:t xml:space="preserve"> (</w:t>
            </w:r>
            <w:r>
              <w:rPr>
                <w:rFonts w:ascii="Arial Narrow" w:hAnsi="Arial Narrow" w:cs="Times New Roman"/>
                <w:b/>
                <w:sz w:val="20"/>
                <w:szCs w:val="20"/>
              </w:rPr>
              <w:t>1</w:t>
            </w:r>
            <w:r w:rsidRPr="00A42296">
              <w:rPr>
                <w:rFonts w:ascii="Arial Narrow" w:hAnsi="Arial Narrow" w:cs="Times New Roman"/>
                <w:b/>
                <w:sz w:val="20"/>
                <w:szCs w:val="20"/>
              </w:rPr>
              <w:t>.6)</w:t>
            </w:r>
          </w:p>
        </w:tc>
        <w:tc>
          <w:tcPr>
            <w:tcW w:w="736" w:type="pct"/>
            <w:tcBorders>
              <w:bottom w:val="nil"/>
            </w:tcBorders>
            <w:vAlign w:val="center"/>
          </w:tcPr>
          <w:p w14:paraId="335620C5" w14:textId="77777777" w:rsidR="006471D6" w:rsidRPr="00A42296" w:rsidRDefault="006471D6" w:rsidP="001A6B03">
            <w:pPr>
              <w:keepNext/>
              <w:keepLines/>
              <w:jc w:val="center"/>
              <w:rPr>
                <w:rFonts w:ascii="Arial Narrow" w:hAnsi="Arial Narrow" w:cs="Times New Roman"/>
                <w:b/>
                <w:sz w:val="20"/>
                <w:szCs w:val="20"/>
              </w:rPr>
            </w:pPr>
            <w:r>
              <w:rPr>
                <w:rFonts w:ascii="Arial Narrow" w:hAnsi="Arial Narrow" w:cs="Times New Roman"/>
                <w:b/>
                <w:sz w:val="20"/>
                <w:szCs w:val="20"/>
              </w:rPr>
              <w:t>6 (2.3)</w:t>
            </w:r>
          </w:p>
        </w:tc>
      </w:tr>
      <w:tr w:rsidR="006471D6" w:rsidRPr="00A42296" w14:paraId="5BF8D4A5" w14:textId="77777777" w:rsidTr="00BA3F8A">
        <w:tc>
          <w:tcPr>
            <w:tcW w:w="2812" w:type="pct"/>
            <w:tcBorders>
              <w:bottom w:val="nil"/>
            </w:tcBorders>
            <w:vAlign w:val="center"/>
          </w:tcPr>
          <w:p w14:paraId="03B27A4F" w14:textId="77777777" w:rsidR="006471D6" w:rsidRPr="00A42296" w:rsidRDefault="006471D6" w:rsidP="001A6B03">
            <w:pPr>
              <w:keepNext/>
              <w:keepLines/>
              <w:jc w:val="left"/>
              <w:rPr>
                <w:rFonts w:ascii="Arial Narrow" w:hAnsi="Arial Narrow" w:cs="CourierNewPSMT"/>
                <w:b/>
                <w:sz w:val="20"/>
                <w:szCs w:val="20"/>
              </w:rPr>
            </w:pPr>
            <w:r w:rsidRPr="00A42296">
              <w:rPr>
                <w:rFonts w:ascii="Arial Narrow" w:hAnsi="Arial Narrow" w:cs="CourierNewPSMT"/>
                <w:b/>
                <w:sz w:val="20"/>
                <w:szCs w:val="20"/>
              </w:rPr>
              <w:t>T</w:t>
            </w:r>
            <w:r>
              <w:rPr>
                <w:rFonts w:ascii="Arial Narrow" w:hAnsi="Arial Narrow" w:cs="CourierNewPSMT"/>
                <w:b/>
                <w:sz w:val="20"/>
                <w:szCs w:val="20"/>
              </w:rPr>
              <w:t>axanes</w:t>
            </w:r>
          </w:p>
        </w:tc>
        <w:tc>
          <w:tcPr>
            <w:tcW w:w="716" w:type="pct"/>
            <w:tcBorders>
              <w:bottom w:val="nil"/>
            </w:tcBorders>
            <w:vAlign w:val="center"/>
          </w:tcPr>
          <w:p w14:paraId="710AD1FB" w14:textId="77777777" w:rsidR="006471D6" w:rsidRPr="00A42296" w:rsidRDefault="006471D6" w:rsidP="001A6B03">
            <w:pPr>
              <w:keepNext/>
              <w:keepLines/>
              <w:jc w:val="center"/>
              <w:rPr>
                <w:rFonts w:ascii="Arial Narrow" w:hAnsi="Arial Narrow" w:cs="Times New Roman"/>
                <w:b/>
                <w:sz w:val="20"/>
                <w:szCs w:val="20"/>
              </w:rPr>
            </w:pPr>
            <w:r w:rsidRPr="00845274">
              <w:rPr>
                <w:rFonts w:ascii="Arial Narrow" w:hAnsi="Arial Narrow" w:cs="Times New Roman"/>
                <w:b/>
                <w:sz w:val="20"/>
                <w:szCs w:val="20"/>
              </w:rPr>
              <w:t>5 (6.6)</w:t>
            </w:r>
          </w:p>
        </w:tc>
        <w:tc>
          <w:tcPr>
            <w:tcW w:w="736" w:type="pct"/>
            <w:tcBorders>
              <w:bottom w:val="nil"/>
            </w:tcBorders>
            <w:vAlign w:val="center"/>
          </w:tcPr>
          <w:p w14:paraId="47268D9C" w14:textId="77777777" w:rsidR="006471D6" w:rsidRPr="00A42296" w:rsidRDefault="006471D6" w:rsidP="001A6B03">
            <w:pPr>
              <w:keepNext/>
              <w:keepLines/>
              <w:jc w:val="center"/>
              <w:rPr>
                <w:rFonts w:ascii="Arial Narrow" w:hAnsi="Arial Narrow" w:cs="Times New Roman"/>
                <w:b/>
                <w:sz w:val="20"/>
                <w:szCs w:val="20"/>
              </w:rPr>
            </w:pPr>
            <w:r w:rsidRPr="00845274">
              <w:rPr>
                <w:rFonts w:ascii="Arial Narrow" w:hAnsi="Arial Narrow" w:cs="Times New Roman"/>
                <w:b/>
                <w:sz w:val="20"/>
                <w:szCs w:val="20"/>
              </w:rPr>
              <w:t>7 (3.8)</w:t>
            </w:r>
          </w:p>
        </w:tc>
        <w:tc>
          <w:tcPr>
            <w:tcW w:w="736" w:type="pct"/>
            <w:tcBorders>
              <w:bottom w:val="nil"/>
            </w:tcBorders>
            <w:vAlign w:val="center"/>
          </w:tcPr>
          <w:p w14:paraId="2D13643A" w14:textId="77777777" w:rsidR="006471D6" w:rsidRPr="00A42296" w:rsidRDefault="006471D6" w:rsidP="001A6B03">
            <w:pPr>
              <w:keepNext/>
              <w:keepLines/>
              <w:jc w:val="center"/>
              <w:rPr>
                <w:rFonts w:ascii="Arial Narrow" w:hAnsi="Arial Narrow" w:cs="Times New Roman"/>
                <w:b/>
                <w:sz w:val="20"/>
                <w:szCs w:val="20"/>
              </w:rPr>
            </w:pPr>
            <w:r w:rsidRPr="00845274">
              <w:rPr>
                <w:rFonts w:ascii="Arial Narrow" w:hAnsi="Arial Narrow" w:cs="Times New Roman"/>
                <w:b/>
                <w:sz w:val="20"/>
                <w:szCs w:val="20"/>
              </w:rPr>
              <w:t>12 (4.6)</w:t>
            </w:r>
          </w:p>
        </w:tc>
      </w:tr>
      <w:tr w:rsidR="006471D6" w:rsidRPr="00A42296" w14:paraId="3319A0AE" w14:textId="77777777" w:rsidTr="00BA3F8A">
        <w:tc>
          <w:tcPr>
            <w:tcW w:w="2812" w:type="pct"/>
            <w:tcBorders>
              <w:top w:val="nil"/>
            </w:tcBorders>
            <w:vAlign w:val="center"/>
          </w:tcPr>
          <w:p w14:paraId="74029408" w14:textId="77777777" w:rsidR="006471D6" w:rsidRPr="00A42296" w:rsidRDefault="006471D6" w:rsidP="001A6B03">
            <w:pPr>
              <w:keepNext/>
              <w:keepLines/>
              <w:ind w:left="170"/>
              <w:rPr>
                <w:rFonts w:ascii="Arial Narrow" w:hAnsi="Arial Narrow" w:cs="CourierNewPSMT"/>
                <w:sz w:val="20"/>
                <w:szCs w:val="20"/>
              </w:rPr>
            </w:pPr>
            <w:r w:rsidRPr="00A42296">
              <w:rPr>
                <w:rFonts w:ascii="Arial Narrow" w:hAnsi="Arial Narrow" w:cs="CourierNewPSMT"/>
                <w:sz w:val="20"/>
                <w:szCs w:val="20"/>
              </w:rPr>
              <w:t>P</w:t>
            </w:r>
            <w:r>
              <w:rPr>
                <w:rFonts w:ascii="Arial Narrow" w:hAnsi="Arial Narrow" w:cs="CourierNewPSMT"/>
                <w:sz w:val="20"/>
                <w:szCs w:val="20"/>
              </w:rPr>
              <w:t>aclitaxel</w:t>
            </w:r>
          </w:p>
        </w:tc>
        <w:tc>
          <w:tcPr>
            <w:tcW w:w="716" w:type="pct"/>
            <w:tcBorders>
              <w:top w:val="nil"/>
            </w:tcBorders>
            <w:vAlign w:val="center"/>
          </w:tcPr>
          <w:p w14:paraId="21F5EBCC" w14:textId="77777777" w:rsidR="006471D6" w:rsidRPr="00A42296" w:rsidRDefault="006471D6" w:rsidP="001A6B03">
            <w:pPr>
              <w:keepNext/>
              <w:keepLines/>
              <w:jc w:val="center"/>
              <w:rPr>
                <w:rFonts w:ascii="Arial Narrow" w:hAnsi="Arial Narrow" w:cs="Times New Roman"/>
                <w:sz w:val="20"/>
                <w:szCs w:val="20"/>
              </w:rPr>
            </w:pPr>
            <w:r w:rsidRPr="00845274">
              <w:rPr>
                <w:rFonts w:ascii="Arial Narrow" w:hAnsi="Arial Narrow" w:cs="Times New Roman"/>
                <w:sz w:val="20"/>
                <w:szCs w:val="20"/>
              </w:rPr>
              <w:t>4 (5.3)</w:t>
            </w:r>
          </w:p>
        </w:tc>
        <w:tc>
          <w:tcPr>
            <w:tcW w:w="736" w:type="pct"/>
            <w:tcBorders>
              <w:top w:val="nil"/>
            </w:tcBorders>
            <w:vAlign w:val="center"/>
          </w:tcPr>
          <w:p w14:paraId="7263B25F" w14:textId="77777777" w:rsidR="006471D6" w:rsidRPr="00A42296" w:rsidRDefault="006471D6" w:rsidP="001A6B03">
            <w:pPr>
              <w:keepNext/>
              <w:keepLines/>
              <w:jc w:val="center"/>
              <w:rPr>
                <w:rFonts w:ascii="Arial Narrow" w:hAnsi="Arial Narrow" w:cs="Times New Roman"/>
                <w:sz w:val="20"/>
                <w:szCs w:val="20"/>
              </w:rPr>
            </w:pPr>
            <w:r w:rsidRPr="00845274">
              <w:rPr>
                <w:rFonts w:ascii="Arial Narrow" w:hAnsi="Arial Narrow" w:cs="Times New Roman"/>
                <w:sz w:val="20"/>
                <w:szCs w:val="20"/>
              </w:rPr>
              <w:t>5 (2.7)</w:t>
            </w:r>
          </w:p>
        </w:tc>
        <w:tc>
          <w:tcPr>
            <w:tcW w:w="736" w:type="pct"/>
            <w:tcBorders>
              <w:top w:val="nil"/>
              <w:bottom w:val="single" w:sz="4" w:space="0" w:color="auto"/>
            </w:tcBorders>
            <w:vAlign w:val="center"/>
          </w:tcPr>
          <w:p w14:paraId="75BEC85D" w14:textId="77777777" w:rsidR="006471D6" w:rsidRPr="00A42296" w:rsidRDefault="006471D6" w:rsidP="001A6B03">
            <w:pPr>
              <w:keepNext/>
              <w:keepLines/>
              <w:jc w:val="center"/>
              <w:rPr>
                <w:rFonts w:ascii="Arial Narrow" w:hAnsi="Arial Narrow" w:cs="Times New Roman"/>
                <w:sz w:val="20"/>
                <w:szCs w:val="20"/>
              </w:rPr>
            </w:pPr>
            <w:r w:rsidRPr="00845274">
              <w:rPr>
                <w:rFonts w:ascii="Arial Narrow" w:hAnsi="Arial Narrow" w:cs="Times New Roman"/>
                <w:sz w:val="20"/>
                <w:szCs w:val="20"/>
              </w:rPr>
              <w:t>9 (3.5)</w:t>
            </w:r>
          </w:p>
        </w:tc>
      </w:tr>
      <w:tr w:rsidR="006471D6" w:rsidRPr="00A42296" w14:paraId="34257287" w14:textId="77777777" w:rsidTr="00BA3F8A">
        <w:tc>
          <w:tcPr>
            <w:tcW w:w="2812" w:type="pct"/>
            <w:vAlign w:val="center"/>
          </w:tcPr>
          <w:p w14:paraId="793607A7" w14:textId="77777777" w:rsidR="006471D6" w:rsidRPr="00A42296" w:rsidRDefault="006471D6" w:rsidP="001A6B03">
            <w:pPr>
              <w:keepNext/>
              <w:keepLines/>
              <w:jc w:val="left"/>
              <w:rPr>
                <w:rFonts w:ascii="Arial Narrow" w:hAnsi="Arial Narrow" w:cs="CourierNewPSMT"/>
                <w:b/>
                <w:sz w:val="20"/>
                <w:szCs w:val="20"/>
              </w:rPr>
            </w:pPr>
            <w:r>
              <w:rPr>
                <w:rFonts w:ascii="Arial Narrow" w:hAnsi="Arial Narrow" w:cs="CourierNewPSMT"/>
                <w:b/>
                <w:sz w:val="20"/>
                <w:szCs w:val="20"/>
              </w:rPr>
              <w:t>Unspecified herbal and traditional medicine</w:t>
            </w:r>
          </w:p>
        </w:tc>
        <w:tc>
          <w:tcPr>
            <w:tcW w:w="716" w:type="pct"/>
            <w:vAlign w:val="center"/>
          </w:tcPr>
          <w:p w14:paraId="28D086B5" w14:textId="77777777" w:rsidR="006471D6" w:rsidRPr="00A42296" w:rsidRDefault="006471D6" w:rsidP="001A6B03">
            <w:pPr>
              <w:keepNext/>
              <w:keepLines/>
              <w:jc w:val="center"/>
              <w:rPr>
                <w:rFonts w:ascii="Arial Narrow" w:hAnsi="Arial Narrow" w:cs="Times New Roman"/>
                <w:b/>
                <w:sz w:val="20"/>
                <w:szCs w:val="20"/>
              </w:rPr>
            </w:pPr>
            <w:r w:rsidRPr="00A42296">
              <w:rPr>
                <w:rFonts w:ascii="Arial Narrow" w:hAnsi="Arial Narrow" w:cs="Times New Roman"/>
                <w:b/>
                <w:sz w:val="20"/>
                <w:szCs w:val="20"/>
              </w:rPr>
              <w:t>2 (</w:t>
            </w:r>
            <w:r>
              <w:rPr>
                <w:rFonts w:ascii="Arial Narrow" w:hAnsi="Arial Narrow" w:cs="Times New Roman"/>
                <w:b/>
                <w:sz w:val="20"/>
                <w:szCs w:val="20"/>
              </w:rPr>
              <w:t>2</w:t>
            </w:r>
            <w:r w:rsidRPr="00A42296">
              <w:rPr>
                <w:rFonts w:ascii="Arial Narrow" w:hAnsi="Arial Narrow" w:cs="Times New Roman"/>
                <w:b/>
                <w:sz w:val="20"/>
                <w:szCs w:val="20"/>
              </w:rPr>
              <w:t>.6)</w:t>
            </w:r>
          </w:p>
        </w:tc>
        <w:tc>
          <w:tcPr>
            <w:tcW w:w="736" w:type="pct"/>
            <w:vAlign w:val="center"/>
          </w:tcPr>
          <w:p w14:paraId="62CC9D1A" w14:textId="77777777" w:rsidR="006471D6" w:rsidRPr="00A42296" w:rsidRDefault="006471D6" w:rsidP="001A6B03">
            <w:pPr>
              <w:keepNext/>
              <w:keepLines/>
              <w:jc w:val="center"/>
              <w:rPr>
                <w:rFonts w:ascii="Arial Narrow" w:hAnsi="Arial Narrow" w:cs="Times New Roman"/>
                <w:b/>
                <w:sz w:val="20"/>
                <w:szCs w:val="20"/>
              </w:rPr>
            </w:pPr>
            <w:r w:rsidRPr="00A42296">
              <w:rPr>
                <w:rFonts w:ascii="Arial Narrow" w:hAnsi="Arial Narrow" w:cs="Times New Roman"/>
                <w:b/>
                <w:sz w:val="20"/>
                <w:szCs w:val="20"/>
              </w:rPr>
              <w:t>2 (</w:t>
            </w:r>
            <w:r>
              <w:rPr>
                <w:rFonts w:ascii="Arial Narrow" w:hAnsi="Arial Narrow" w:cs="Times New Roman"/>
                <w:b/>
                <w:sz w:val="20"/>
                <w:szCs w:val="20"/>
              </w:rPr>
              <w:t>1.1</w:t>
            </w:r>
            <w:r w:rsidRPr="00A42296">
              <w:rPr>
                <w:rFonts w:ascii="Arial Narrow" w:hAnsi="Arial Narrow" w:cs="Times New Roman"/>
                <w:b/>
                <w:sz w:val="20"/>
                <w:szCs w:val="20"/>
              </w:rPr>
              <w:t>)</w:t>
            </w:r>
          </w:p>
        </w:tc>
        <w:tc>
          <w:tcPr>
            <w:tcW w:w="736" w:type="pct"/>
            <w:vAlign w:val="center"/>
          </w:tcPr>
          <w:p w14:paraId="5EB3D5FF" w14:textId="77777777" w:rsidR="006471D6" w:rsidRPr="00A42296" w:rsidRDefault="006471D6" w:rsidP="001A6B03">
            <w:pPr>
              <w:keepNext/>
              <w:keepLines/>
              <w:jc w:val="center"/>
              <w:rPr>
                <w:rFonts w:ascii="Arial Narrow" w:hAnsi="Arial Narrow" w:cs="Times New Roman"/>
                <w:b/>
                <w:sz w:val="20"/>
                <w:szCs w:val="20"/>
              </w:rPr>
            </w:pPr>
            <w:r w:rsidRPr="00A42296">
              <w:rPr>
                <w:rFonts w:ascii="Arial Narrow" w:hAnsi="Arial Narrow" w:cs="Times New Roman"/>
                <w:b/>
                <w:sz w:val="20"/>
                <w:szCs w:val="20"/>
              </w:rPr>
              <w:t>4 (</w:t>
            </w:r>
            <w:r>
              <w:rPr>
                <w:rFonts w:ascii="Arial Narrow" w:hAnsi="Arial Narrow" w:cs="Times New Roman"/>
                <w:b/>
                <w:sz w:val="20"/>
                <w:szCs w:val="20"/>
              </w:rPr>
              <w:t>1.5)</w:t>
            </w:r>
          </w:p>
        </w:tc>
      </w:tr>
      <w:tr w:rsidR="006471D6" w:rsidRPr="00A42296" w14:paraId="33E50362" w14:textId="77777777" w:rsidTr="00BA3F8A">
        <w:tc>
          <w:tcPr>
            <w:tcW w:w="2812" w:type="pct"/>
            <w:vAlign w:val="center"/>
          </w:tcPr>
          <w:p w14:paraId="1BA7652F" w14:textId="77777777" w:rsidR="006471D6" w:rsidRPr="00A42296" w:rsidRDefault="006471D6" w:rsidP="001A6B03">
            <w:pPr>
              <w:keepNext/>
              <w:keepLines/>
              <w:jc w:val="left"/>
              <w:rPr>
                <w:rFonts w:ascii="Arial Narrow" w:hAnsi="Arial Narrow" w:cs="CourierNewPSMT"/>
                <w:sz w:val="20"/>
                <w:szCs w:val="20"/>
              </w:rPr>
            </w:pPr>
            <w:r>
              <w:rPr>
                <w:rFonts w:ascii="Arial Narrow" w:hAnsi="Arial Narrow" w:cs="CourierNewPSMT"/>
                <w:b/>
                <w:sz w:val="20"/>
                <w:szCs w:val="20"/>
              </w:rPr>
              <w:t>Radiotherapy</w:t>
            </w:r>
            <w:r>
              <w:rPr>
                <w:rFonts w:ascii="Arial Narrow" w:hAnsi="Arial Narrow" w:cs="CourierNewPSMT"/>
                <w:b/>
                <w:sz w:val="20"/>
                <w:szCs w:val="20"/>
                <w:vertAlign w:val="superscript"/>
              </w:rPr>
              <w:t>d</w:t>
            </w:r>
          </w:p>
        </w:tc>
        <w:tc>
          <w:tcPr>
            <w:tcW w:w="716" w:type="pct"/>
            <w:vAlign w:val="center"/>
          </w:tcPr>
          <w:p w14:paraId="7FE18221" w14:textId="77777777" w:rsidR="006471D6" w:rsidRPr="00A42296" w:rsidRDefault="006471D6" w:rsidP="001A6B03">
            <w:pPr>
              <w:keepNext/>
              <w:keepLines/>
              <w:jc w:val="center"/>
              <w:rPr>
                <w:rFonts w:ascii="Arial Narrow" w:hAnsi="Arial Narrow" w:cs="Times New Roman"/>
                <w:b/>
                <w:sz w:val="20"/>
                <w:szCs w:val="20"/>
              </w:rPr>
            </w:pPr>
            <w:r w:rsidRPr="007573DD">
              <w:rPr>
                <w:rFonts w:ascii="Arial Narrow" w:hAnsi="Arial Narrow" w:cs="Times New Roman"/>
                <w:b/>
                <w:sz w:val="20"/>
                <w:szCs w:val="20"/>
              </w:rPr>
              <w:t>28 (36.8)</w:t>
            </w:r>
          </w:p>
        </w:tc>
        <w:tc>
          <w:tcPr>
            <w:tcW w:w="736" w:type="pct"/>
            <w:vAlign w:val="center"/>
          </w:tcPr>
          <w:p w14:paraId="094A25D3" w14:textId="77777777" w:rsidR="006471D6" w:rsidRPr="00A42296" w:rsidRDefault="006471D6" w:rsidP="001A6B03">
            <w:pPr>
              <w:keepNext/>
              <w:keepLines/>
              <w:jc w:val="center"/>
              <w:rPr>
                <w:rFonts w:ascii="Arial Narrow" w:hAnsi="Arial Narrow" w:cs="Times New Roman"/>
                <w:b/>
                <w:sz w:val="20"/>
                <w:szCs w:val="20"/>
              </w:rPr>
            </w:pPr>
            <w:r w:rsidRPr="007573DD">
              <w:rPr>
                <w:rFonts w:ascii="Arial Narrow" w:hAnsi="Arial Narrow" w:cs="Times New Roman"/>
                <w:b/>
                <w:sz w:val="20"/>
                <w:szCs w:val="20"/>
              </w:rPr>
              <w:t>47 (25.5)</w:t>
            </w:r>
          </w:p>
        </w:tc>
        <w:tc>
          <w:tcPr>
            <w:tcW w:w="736" w:type="pct"/>
            <w:vAlign w:val="center"/>
          </w:tcPr>
          <w:p w14:paraId="7C99D09D" w14:textId="77777777" w:rsidR="006471D6" w:rsidRPr="00A42296" w:rsidRDefault="006471D6" w:rsidP="001A6B03">
            <w:pPr>
              <w:keepNext/>
              <w:keepLines/>
              <w:jc w:val="center"/>
              <w:rPr>
                <w:rFonts w:ascii="Arial Narrow" w:hAnsi="Arial Narrow" w:cs="Times New Roman"/>
                <w:b/>
                <w:sz w:val="20"/>
                <w:szCs w:val="20"/>
              </w:rPr>
            </w:pPr>
            <w:r w:rsidRPr="007573DD">
              <w:rPr>
                <w:rFonts w:ascii="Arial Narrow" w:hAnsi="Arial Narrow" w:cs="Times New Roman"/>
                <w:b/>
                <w:sz w:val="20"/>
                <w:szCs w:val="20"/>
              </w:rPr>
              <w:t>75 (28.8)</w:t>
            </w:r>
          </w:p>
        </w:tc>
      </w:tr>
      <w:tr w:rsidR="006471D6" w:rsidRPr="00A42296" w14:paraId="65EC84CA" w14:textId="77777777" w:rsidTr="00BA3F8A">
        <w:tc>
          <w:tcPr>
            <w:tcW w:w="2812" w:type="pct"/>
            <w:vAlign w:val="center"/>
          </w:tcPr>
          <w:p w14:paraId="73BF9340" w14:textId="77777777" w:rsidR="006471D6" w:rsidRPr="000F151E" w:rsidRDefault="006471D6" w:rsidP="001A6B03">
            <w:pPr>
              <w:keepNext/>
              <w:keepLines/>
              <w:jc w:val="left"/>
              <w:rPr>
                <w:rFonts w:ascii="Arial Narrow" w:hAnsi="Arial Narrow" w:cs="CourierNewPSMT"/>
                <w:b/>
                <w:sz w:val="20"/>
                <w:szCs w:val="20"/>
                <w:vertAlign w:val="superscript"/>
              </w:rPr>
            </w:pPr>
            <w:r>
              <w:rPr>
                <w:rFonts w:ascii="Arial Narrow" w:hAnsi="Arial Narrow" w:cs="CourierNewPSMT"/>
                <w:b/>
                <w:sz w:val="20"/>
                <w:szCs w:val="20"/>
              </w:rPr>
              <w:t>DCO2 (11 April 2022)</w:t>
            </w:r>
            <w:r>
              <w:rPr>
                <w:rFonts w:ascii="Arial Narrow" w:hAnsi="Arial Narrow" w:cs="CourierNewPSMT"/>
                <w:b/>
                <w:sz w:val="20"/>
                <w:szCs w:val="20"/>
                <w:vertAlign w:val="superscript"/>
              </w:rPr>
              <w:t>e</w:t>
            </w:r>
          </w:p>
        </w:tc>
        <w:tc>
          <w:tcPr>
            <w:tcW w:w="716" w:type="pct"/>
            <w:vAlign w:val="center"/>
          </w:tcPr>
          <w:p w14:paraId="1780F77D" w14:textId="77777777" w:rsidR="006471D6" w:rsidRPr="007573DD" w:rsidRDefault="006471D6" w:rsidP="001A6B03">
            <w:pPr>
              <w:keepNext/>
              <w:keepLines/>
              <w:jc w:val="center"/>
              <w:rPr>
                <w:rFonts w:ascii="Arial Narrow" w:hAnsi="Arial Narrow" w:cs="Times New Roman"/>
                <w:b/>
                <w:sz w:val="20"/>
                <w:szCs w:val="20"/>
              </w:rPr>
            </w:pPr>
          </w:p>
        </w:tc>
        <w:tc>
          <w:tcPr>
            <w:tcW w:w="736" w:type="pct"/>
            <w:vAlign w:val="center"/>
          </w:tcPr>
          <w:p w14:paraId="49A325FD" w14:textId="77777777" w:rsidR="006471D6" w:rsidRPr="007573DD" w:rsidRDefault="006471D6" w:rsidP="001A6B03">
            <w:pPr>
              <w:keepNext/>
              <w:keepLines/>
              <w:jc w:val="center"/>
              <w:rPr>
                <w:rFonts w:ascii="Arial Narrow" w:hAnsi="Arial Narrow" w:cs="Times New Roman"/>
                <w:b/>
                <w:sz w:val="20"/>
                <w:szCs w:val="20"/>
              </w:rPr>
            </w:pPr>
          </w:p>
        </w:tc>
        <w:tc>
          <w:tcPr>
            <w:tcW w:w="736" w:type="pct"/>
            <w:vAlign w:val="center"/>
          </w:tcPr>
          <w:p w14:paraId="12F541DD" w14:textId="77777777" w:rsidR="006471D6" w:rsidRPr="007573DD" w:rsidRDefault="006471D6" w:rsidP="001A6B03">
            <w:pPr>
              <w:keepNext/>
              <w:keepLines/>
              <w:jc w:val="center"/>
              <w:rPr>
                <w:rFonts w:ascii="Arial Narrow" w:hAnsi="Arial Narrow" w:cs="Times New Roman"/>
                <w:b/>
                <w:sz w:val="20"/>
                <w:szCs w:val="20"/>
              </w:rPr>
            </w:pPr>
          </w:p>
        </w:tc>
      </w:tr>
      <w:tr w:rsidR="006471D6" w:rsidRPr="00A42296" w14:paraId="4B90957D" w14:textId="77777777" w:rsidTr="00BA3F8A">
        <w:tc>
          <w:tcPr>
            <w:tcW w:w="2812" w:type="pct"/>
            <w:tcBorders>
              <w:bottom w:val="single" w:sz="4" w:space="0" w:color="auto"/>
            </w:tcBorders>
            <w:vAlign w:val="center"/>
          </w:tcPr>
          <w:p w14:paraId="3DAF1A7E" w14:textId="77777777" w:rsidR="006471D6" w:rsidRPr="00CA1DD5" w:rsidRDefault="006471D6" w:rsidP="001A6B03">
            <w:pPr>
              <w:keepNext/>
              <w:keepLines/>
              <w:jc w:val="left"/>
              <w:rPr>
                <w:rFonts w:ascii="Arial Narrow" w:hAnsi="Arial Narrow" w:cs="CourierNewPSMT"/>
                <w:sz w:val="20"/>
                <w:szCs w:val="20"/>
              </w:rPr>
            </w:pPr>
            <w:r w:rsidRPr="00CA1DD5">
              <w:rPr>
                <w:rFonts w:ascii="Arial Narrow" w:hAnsi="Arial Narrow" w:cs="CourierNewPSMT"/>
                <w:sz w:val="20"/>
                <w:szCs w:val="20"/>
              </w:rPr>
              <w:t xml:space="preserve">Number of patients with </w:t>
            </w:r>
            <w:r w:rsidRPr="00CA1DD5">
              <w:rPr>
                <w:rFonts w:ascii="Arial Narrow" w:hAnsi="Arial Narrow" w:cs="CourierNewPSMT"/>
                <w:b/>
                <w:sz w:val="20"/>
                <w:szCs w:val="20"/>
              </w:rPr>
              <w:t>second</w:t>
            </w:r>
            <w:r w:rsidRPr="00CA1DD5">
              <w:rPr>
                <w:rFonts w:ascii="Arial Narrow" w:hAnsi="Arial Narrow" w:cs="CourierNewPSMT"/>
                <w:sz w:val="20"/>
                <w:szCs w:val="20"/>
              </w:rPr>
              <w:t xml:space="preserve"> subsequent anticancer therapy</w:t>
            </w:r>
            <w:r>
              <w:rPr>
                <w:rFonts w:ascii="Arial Narrow" w:hAnsi="Arial Narrow" w:cs="CourierNewPSMT"/>
                <w:sz w:val="20"/>
                <w:szCs w:val="20"/>
              </w:rPr>
              <w:t xml:space="preserve"> </w:t>
            </w:r>
          </w:p>
        </w:tc>
        <w:tc>
          <w:tcPr>
            <w:tcW w:w="716" w:type="pct"/>
            <w:tcBorders>
              <w:bottom w:val="single" w:sz="4" w:space="0" w:color="auto"/>
            </w:tcBorders>
            <w:vAlign w:val="center"/>
          </w:tcPr>
          <w:p w14:paraId="019816D7" w14:textId="77777777" w:rsidR="006471D6" w:rsidRPr="00CA1DD5" w:rsidRDefault="006471D6" w:rsidP="001A6B03">
            <w:pPr>
              <w:keepNext/>
              <w:keepLines/>
              <w:jc w:val="center"/>
              <w:rPr>
                <w:rFonts w:ascii="Arial Narrow" w:hAnsi="Arial Narrow" w:cs="Times New Roman"/>
                <w:b/>
                <w:sz w:val="20"/>
                <w:szCs w:val="20"/>
              </w:rPr>
            </w:pPr>
            <w:r w:rsidRPr="00CA1DD5">
              <w:rPr>
                <w:rFonts w:ascii="Arial Narrow" w:hAnsi="Arial Narrow" w:cs="Times New Roman"/>
                <w:b/>
                <w:sz w:val="20"/>
                <w:szCs w:val="20"/>
              </w:rPr>
              <w:t>23 (6.8)</w:t>
            </w:r>
          </w:p>
        </w:tc>
        <w:tc>
          <w:tcPr>
            <w:tcW w:w="736" w:type="pct"/>
            <w:tcBorders>
              <w:bottom w:val="single" w:sz="4" w:space="0" w:color="auto"/>
            </w:tcBorders>
            <w:vAlign w:val="center"/>
          </w:tcPr>
          <w:p w14:paraId="42B0D906" w14:textId="77777777" w:rsidR="006471D6" w:rsidRPr="00CA1DD5" w:rsidRDefault="006471D6" w:rsidP="001A6B03">
            <w:pPr>
              <w:keepNext/>
              <w:keepLines/>
              <w:jc w:val="center"/>
              <w:rPr>
                <w:rFonts w:ascii="Arial Narrow" w:hAnsi="Arial Narrow" w:cs="Times New Roman"/>
                <w:b/>
                <w:sz w:val="20"/>
                <w:szCs w:val="20"/>
              </w:rPr>
            </w:pPr>
            <w:r w:rsidRPr="00CA1DD5">
              <w:rPr>
                <w:rFonts w:ascii="Arial Narrow" w:hAnsi="Arial Narrow" w:cs="Times New Roman"/>
                <w:b/>
                <w:sz w:val="20"/>
                <w:szCs w:val="20"/>
              </w:rPr>
              <w:t>70 (20.4)</w:t>
            </w:r>
          </w:p>
        </w:tc>
        <w:tc>
          <w:tcPr>
            <w:tcW w:w="736" w:type="pct"/>
            <w:tcBorders>
              <w:bottom w:val="single" w:sz="4" w:space="0" w:color="auto"/>
            </w:tcBorders>
            <w:vAlign w:val="center"/>
          </w:tcPr>
          <w:p w14:paraId="15828763" w14:textId="77777777" w:rsidR="006471D6" w:rsidRPr="00CA1DD5" w:rsidRDefault="006471D6" w:rsidP="001A6B03">
            <w:pPr>
              <w:keepNext/>
              <w:keepLines/>
              <w:jc w:val="center"/>
              <w:rPr>
                <w:rFonts w:ascii="Arial Narrow" w:hAnsi="Arial Narrow" w:cs="Times New Roman"/>
                <w:b/>
                <w:sz w:val="20"/>
                <w:szCs w:val="20"/>
              </w:rPr>
            </w:pPr>
            <w:r w:rsidRPr="00CA1DD5">
              <w:rPr>
                <w:rFonts w:ascii="Arial Narrow" w:hAnsi="Arial Narrow" w:cs="Times New Roman"/>
                <w:b/>
                <w:sz w:val="20"/>
                <w:szCs w:val="20"/>
              </w:rPr>
              <w:t>93 (13.6)</w:t>
            </w:r>
          </w:p>
        </w:tc>
      </w:tr>
      <w:tr w:rsidR="006471D6" w:rsidRPr="00A42296" w14:paraId="0A9E0650" w14:textId="77777777" w:rsidTr="00BA3F8A">
        <w:tc>
          <w:tcPr>
            <w:tcW w:w="2812" w:type="pct"/>
            <w:tcBorders>
              <w:bottom w:val="nil"/>
            </w:tcBorders>
            <w:vAlign w:val="center"/>
          </w:tcPr>
          <w:p w14:paraId="04C3C2EA" w14:textId="77777777" w:rsidR="006471D6" w:rsidRPr="00CA1DD5" w:rsidRDefault="006471D6" w:rsidP="001A6B03">
            <w:pPr>
              <w:keepNext/>
              <w:keepLines/>
              <w:jc w:val="left"/>
              <w:rPr>
                <w:rFonts w:ascii="Arial Narrow" w:hAnsi="Arial Narrow" w:cs="CourierNewPSMT"/>
                <w:sz w:val="20"/>
                <w:szCs w:val="20"/>
              </w:rPr>
            </w:pPr>
            <w:r w:rsidRPr="00CA1DD5">
              <w:rPr>
                <w:rFonts w:ascii="Arial Narrow" w:hAnsi="Arial Narrow" w:cs="CourierNewPSMT"/>
                <w:i/>
                <w:sz w:val="20"/>
                <w:szCs w:val="20"/>
              </w:rPr>
              <w:t>EGFR</w:t>
            </w:r>
            <w:r w:rsidRPr="00CA1DD5">
              <w:rPr>
                <w:rFonts w:ascii="Arial Narrow" w:hAnsi="Arial Narrow" w:cs="CourierNewPSMT"/>
                <w:sz w:val="20"/>
                <w:szCs w:val="20"/>
              </w:rPr>
              <w:t xml:space="preserve"> - TKIs</w:t>
            </w:r>
          </w:p>
        </w:tc>
        <w:tc>
          <w:tcPr>
            <w:tcW w:w="716" w:type="pct"/>
            <w:tcBorders>
              <w:bottom w:val="nil"/>
            </w:tcBorders>
            <w:vAlign w:val="center"/>
          </w:tcPr>
          <w:p w14:paraId="65195110" w14:textId="77777777" w:rsidR="006471D6" w:rsidRPr="00CA1DD5" w:rsidRDefault="006471D6" w:rsidP="001A6B03">
            <w:pPr>
              <w:keepNext/>
              <w:keepLines/>
              <w:jc w:val="center"/>
              <w:rPr>
                <w:rFonts w:ascii="Arial Narrow" w:hAnsi="Arial Narrow" w:cs="Times New Roman"/>
                <w:sz w:val="20"/>
                <w:szCs w:val="20"/>
              </w:rPr>
            </w:pPr>
            <w:r w:rsidRPr="00CA1DD5">
              <w:rPr>
                <w:rFonts w:ascii="Arial Narrow" w:hAnsi="Arial Narrow" w:cs="Times New Roman"/>
                <w:sz w:val="20"/>
                <w:szCs w:val="20"/>
              </w:rPr>
              <w:t>8 (2.4)</w:t>
            </w:r>
          </w:p>
        </w:tc>
        <w:tc>
          <w:tcPr>
            <w:tcW w:w="736" w:type="pct"/>
            <w:tcBorders>
              <w:bottom w:val="nil"/>
            </w:tcBorders>
            <w:vAlign w:val="center"/>
          </w:tcPr>
          <w:p w14:paraId="1747CCA6" w14:textId="77777777" w:rsidR="006471D6" w:rsidRPr="00CA1DD5" w:rsidRDefault="006471D6" w:rsidP="001A6B03">
            <w:pPr>
              <w:keepNext/>
              <w:keepLines/>
              <w:jc w:val="center"/>
              <w:rPr>
                <w:rFonts w:ascii="Arial Narrow" w:hAnsi="Arial Narrow" w:cs="Times New Roman"/>
                <w:sz w:val="20"/>
                <w:szCs w:val="20"/>
              </w:rPr>
            </w:pPr>
            <w:r w:rsidRPr="00CA1DD5">
              <w:rPr>
                <w:rFonts w:ascii="Arial Narrow" w:hAnsi="Arial Narrow" w:cs="Times New Roman"/>
                <w:sz w:val="20"/>
                <w:szCs w:val="20"/>
              </w:rPr>
              <w:t>38 (11.1)</w:t>
            </w:r>
          </w:p>
        </w:tc>
        <w:tc>
          <w:tcPr>
            <w:tcW w:w="736" w:type="pct"/>
            <w:tcBorders>
              <w:bottom w:val="nil"/>
            </w:tcBorders>
            <w:vAlign w:val="center"/>
          </w:tcPr>
          <w:p w14:paraId="3882BD1E" w14:textId="77777777" w:rsidR="006471D6" w:rsidRPr="00CA1DD5" w:rsidRDefault="006471D6" w:rsidP="001A6B03">
            <w:pPr>
              <w:keepNext/>
              <w:keepLines/>
              <w:jc w:val="center"/>
              <w:rPr>
                <w:rFonts w:ascii="Arial Narrow" w:hAnsi="Arial Narrow" w:cs="Times New Roman"/>
                <w:sz w:val="20"/>
                <w:szCs w:val="20"/>
              </w:rPr>
            </w:pPr>
            <w:r w:rsidRPr="00CA1DD5">
              <w:rPr>
                <w:rFonts w:ascii="Arial Narrow" w:hAnsi="Arial Narrow" w:cs="Times New Roman"/>
                <w:sz w:val="20"/>
                <w:szCs w:val="20"/>
              </w:rPr>
              <w:t>46 (6.7)</w:t>
            </w:r>
          </w:p>
        </w:tc>
      </w:tr>
      <w:tr w:rsidR="006471D6" w:rsidRPr="00A42296" w14:paraId="034B220E" w14:textId="77777777" w:rsidTr="00BA3F8A">
        <w:tc>
          <w:tcPr>
            <w:tcW w:w="2812" w:type="pct"/>
            <w:tcBorders>
              <w:top w:val="nil"/>
            </w:tcBorders>
            <w:vAlign w:val="center"/>
          </w:tcPr>
          <w:p w14:paraId="6B64D971" w14:textId="77777777" w:rsidR="006471D6" w:rsidRPr="00CA1DD5" w:rsidRDefault="006471D6" w:rsidP="001A6B03">
            <w:pPr>
              <w:keepNext/>
              <w:keepLines/>
              <w:ind w:left="170"/>
              <w:jc w:val="left"/>
              <w:rPr>
                <w:rFonts w:ascii="Arial Narrow" w:hAnsi="Arial Narrow" w:cs="CourierNewPSMT"/>
                <w:sz w:val="20"/>
                <w:szCs w:val="20"/>
              </w:rPr>
            </w:pPr>
            <w:r w:rsidRPr="00CA1DD5">
              <w:rPr>
                <w:rFonts w:ascii="Arial Narrow" w:hAnsi="Arial Narrow" w:cs="CourierNewPSMT"/>
                <w:sz w:val="20"/>
                <w:szCs w:val="20"/>
              </w:rPr>
              <w:t>Osimertinib</w:t>
            </w:r>
          </w:p>
        </w:tc>
        <w:tc>
          <w:tcPr>
            <w:tcW w:w="716" w:type="pct"/>
            <w:tcBorders>
              <w:top w:val="nil"/>
            </w:tcBorders>
            <w:vAlign w:val="center"/>
          </w:tcPr>
          <w:p w14:paraId="16F6AE9A" w14:textId="77777777" w:rsidR="006471D6" w:rsidRPr="00CA1DD5" w:rsidRDefault="006471D6" w:rsidP="001A6B03">
            <w:pPr>
              <w:keepNext/>
              <w:keepLines/>
              <w:jc w:val="center"/>
              <w:rPr>
                <w:rFonts w:ascii="Arial Narrow" w:hAnsi="Arial Narrow" w:cs="Times New Roman"/>
                <w:sz w:val="20"/>
                <w:szCs w:val="20"/>
              </w:rPr>
            </w:pPr>
            <w:r w:rsidRPr="00CA1DD5">
              <w:rPr>
                <w:rFonts w:ascii="Arial Narrow" w:hAnsi="Arial Narrow" w:cs="Times New Roman"/>
                <w:sz w:val="20"/>
                <w:szCs w:val="20"/>
              </w:rPr>
              <w:t>3 (0.9)</w:t>
            </w:r>
          </w:p>
        </w:tc>
        <w:tc>
          <w:tcPr>
            <w:tcW w:w="736" w:type="pct"/>
            <w:tcBorders>
              <w:top w:val="nil"/>
            </w:tcBorders>
            <w:vAlign w:val="center"/>
          </w:tcPr>
          <w:p w14:paraId="109508D0" w14:textId="77777777" w:rsidR="006471D6" w:rsidRPr="00CA1DD5" w:rsidRDefault="006471D6" w:rsidP="001A6B03">
            <w:pPr>
              <w:keepNext/>
              <w:keepLines/>
              <w:jc w:val="center"/>
              <w:rPr>
                <w:rFonts w:ascii="Arial Narrow" w:hAnsi="Arial Narrow" w:cs="Times New Roman"/>
                <w:sz w:val="20"/>
                <w:szCs w:val="20"/>
              </w:rPr>
            </w:pPr>
            <w:r w:rsidRPr="00CA1DD5">
              <w:rPr>
                <w:rFonts w:ascii="Arial Narrow" w:hAnsi="Arial Narrow" w:cs="Times New Roman"/>
                <w:sz w:val="20"/>
                <w:szCs w:val="20"/>
              </w:rPr>
              <w:t>16 (4.7)</w:t>
            </w:r>
          </w:p>
        </w:tc>
        <w:tc>
          <w:tcPr>
            <w:tcW w:w="736" w:type="pct"/>
            <w:tcBorders>
              <w:top w:val="nil"/>
            </w:tcBorders>
            <w:vAlign w:val="center"/>
          </w:tcPr>
          <w:p w14:paraId="407FD640" w14:textId="77777777" w:rsidR="006471D6" w:rsidRPr="00CA1DD5" w:rsidRDefault="006471D6" w:rsidP="001A6B03">
            <w:pPr>
              <w:keepNext/>
              <w:keepLines/>
              <w:jc w:val="center"/>
              <w:rPr>
                <w:rFonts w:ascii="Arial Narrow" w:hAnsi="Arial Narrow" w:cs="Times New Roman"/>
                <w:sz w:val="20"/>
                <w:szCs w:val="20"/>
              </w:rPr>
            </w:pPr>
            <w:r w:rsidRPr="00CA1DD5">
              <w:rPr>
                <w:rFonts w:ascii="Arial Narrow" w:hAnsi="Arial Narrow" w:cs="Times New Roman"/>
                <w:sz w:val="20"/>
                <w:szCs w:val="20"/>
              </w:rPr>
              <w:t>19 (2.8)</w:t>
            </w:r>
          </w:p>
        </w:tc>
      </w:tr>
      <w:tr w:rsidR="006471D6" w:rsidRPr="00A42296" w14:paraId="021CF404" w14:textId="77777777" w:rsidTr="00BA3F8A">
        <w:tc>
          <w:tcPr>
            <w:tcW w:w="2812" w:type="pct"/>
            <w:vAlign w:val="center"/>
          </w:tcPr>
          <w:p w14:paraId="74662D87" w14:textId="77777777" w:rsidR="006471D6" w:rsidRPr="00CA1DD5" w:rsidRDefault="006471D6" w:rsidP="001A6B03">
            <w:pPr>
              <w:keepNext/>
              <w:keepLines/>
              <w:jc w:val="left"/>
              <w:rPr>
                <w:rFonts w:ascii="Arial Narrow" w:hAnsi="Arial Narrow" w:cs="CourierNewPSMT"/>
                <w:sz w:val="20"/>
                <w:szCs w:val="20"/>
              </w:rPr>
            </w:pPr>
            <w:r w:rsidRPr="00CA1DD5">
              <w:rPr>
                <w:rFonts w:ascii="Arial Narrow" w:hAnsi="Arial Narrow" w:cs="Times New Roman"/>
                <w:sz w:val="20"/>
                <w:szCs w:val="20"/>
              </w:rPr>
              <w:t xml:space="preserve">Folic acid analogues </w:t>
            </w:r>
          </w:p>
        </w:tc>
        <w:tc>
          <w:tcPr>
            <w:tcW w:w="716" w:type="pct"/>
            <w:vAlign w:val="center"/>
          </w:tcPr>
          <w:p w14:paraId="0EED87F6" w14:textId="77777777" w:rsidR="006471D6" w:rsidRPr="00CA1DD5" w:rsidRDefault="006471D6" w:rsidP="001A6B03">
            <w:pPr>
              <w:keepNext/>
              <w:keepLines/>
              <w:jc w:val="center"/>
              <w:rPr>
                <w:rFonts w:ascii="Arial Narrow" w:hAnsi="Arial Narrow" w:cs="Times New Roman"/>
                <w:sz w:val="20"/>
                <w:szCs w:val="20"/>
              </w:rPr>
            </w:pPr>
            <w:r w:rsidRPr="00CA1DD5">
              <w:rPr>
                <w:rFonts w:ascii="Arial Narrow" w:hAnsi="Arial Narrow" w:cs="Times New Roman"/>
                <w:sz w:val="20"/>
                <w:szCs w:val="20"/>
              </w:rPr>
              <w:t>2 (0.6)</w:t>
            </w:r>
          </w:p>
        </w:tc>
        <w:tc>
          <w:tcPr>
            <w:tcW w:w="736" w:type="pct"/>
            <w:vAlign w:val="center"/>
          </w:tcPr>
          <w:p w14:paraId="4985B2C5" w14:textId="77777777" w:rsidR="006471D6" w:rsidRPr="00CA1DD5" w:rsidRDefault="006471D6" w:rsidP="001A6B03">
            <w:pPr>
              <w:keepNext/>
              <w:keepLines/>
              <w:jc w:val="center"/>
              <w:rPr>
                <w:rFonts w:ascii="Arial Narrow" w:hAnsi="Arial Narrow" w:cs="Times New Roman"/>
                <w:sz w:val="20"/>
                <w:szCs w:val="20"/>
              </w:rPr>
            </w:pPr>
            <w:r w:rsidRPr="00CA1DD5">
              <w:rPr>
                <w:rFonts w:ascii="Arial Narrow" w:hAnsi="Arial Narrow" w:cs="Times New Roman"/>
                <w:sz w:val="20"/>
                <w:szCs w:val="20"/>
              </w:rPr>
              <w:t>7 (2.0)</w:t>
            </w:r>
          </w:p>
        </w:tc>
        <w:tc>
          <w:tcPr>
            <w:tcW w:w="736" w:type="pct"/>
            <w:vAlign w:val="center"/>
          </w:tcPr>
          <w:p w14:paraId="29281792" w14:textId="77777777" w:rsidR="006471D6" w:rsidRPr="00CA1DD5" w:rsidRDefault="006471D6" w:rsidP="001A6B03">
            <w:pPr>
              <w:keepNext/>
              <w:keepLines/>
              <w:jc w:val="center"/>
              <w:rPr>
                <w:rFonts w:ascii="Arial Narrow" w:hAnsi="Arial Narrow" w:cs="Times New Roman"/>
                <w:sz w:val="20"/>
                <w:szCs w:val="20"/>
              </w:rPr>
            </w:pPr>
            <w:r>
              <w:rPr>
                <w:rFonts w:ascii="Arial Narrow" w:hAnsi="Arial Narrow" w:cs="Times New Roman"/>
                <w:sz w:val="20"/>
                <w:szCs w:val="20"/>
              </w:rPr>
              <w:t>9</w:t>
            </w:r>
            <w:r w:rsidRPr="00CA1DD5">
              <w:rPr>
                <w:rFonts w:ascii="Arial Narrow" w:hAnsi="Arial Narrow" w:cs="Times New Roman"/>
                <w:sz w:val="20"/>
                <w:szCs w:val="20"/>
              </w:rPr>
              <w:t xml:space="preserve"> (1.3)</w:t>
            </w:r>
          </w:p>
        </w:tc>
      </w:tr>
      <w:tr w:rsidR="006471D6" w:rsidRPr="00A42296" w14:paraId="182E2CE7" w14:textId="77777777" w:rsidTr="00BA3F8A">
        <w:tc>
          <w:tcPr>
            <w:tcW w:w="2812" w:type="pct"/>
            <w:vAlign w:val="center"/>
          </w:tcPr>
          <w:p w14:paraId="2BC9E4DE" w14:textId="77777777" w:rsidR="006471D6" w:rsidRPr="00CA1DD5" w:rsidRDefault="006471D6" w:rsidP="001A6B03">
            <w:pPr>
              <w:keepNext/>
              <w:keepLines/>
              <w:jc w:val="left"/>
              <w:rPr>
                <w:rFonts w:ascii="Arial Narrow" w:hAnsi="Arial Narrow" w:cs="Times New Roman"/>
                <w:sz w:val="20"/>
                <w:szCs w:val="20"/>
              </w:rPr>
            </w:pPr>
            <w:r>
              <w:rPr>
                <w:rFonts w:ascii="Arial Narrow" w:hAnsi="Arial Narrow" w:cs="Times New Roman"/>
                <w:sz w:val="20"/>
                <w:szCs w:val="20"/>
              </w:rPr>
              <w:t>Monoclonal antibodies</w:t>
            </w:r>
          </w:p>
        </w:tc>
        <w:tc>
          <w:tcPr>
            <w:tcW w:w="716" w:type="pct"/>
            <w:vAlign w:val="center"/>
          </w:tcPr>
          <w:p w14:paraId="7B5DE0F4" w14:textId="77777777" w:rsidR="006471D6" w:rsidRPr="00CA1DD5" w:rsidRDefault="006471D6" w:rsidP="001A6B03">
            <w:pPr>
              <w:keepNext/>
              <w:keepLines/>
              <w:jc w:val="center"/>
              <w:rPr>
                <w:rFonts w:ascii="Arial Narrow" w:hAnsi="Arial Narrow" w:cs="Times New Roman"/>
                <w:sz w:val="20"/>
                <w:szCs w:val="20"/>
              </w:rPr>
            </w:pPr>
            <w:r>
              <w:rPr>
                <w:rFonts w:ascii="Arial Narrow" w:hAnsi="Arial Narrow" w:cs="Times New Roman"/>
                <w:sz w:val="20"/>
                <w:szCs w:val="20"/>
              </w:rPr>
              <w:t>4 (1.2)</w:t>
            </w:r>
          </w:p>
        </w:tc>
        <w:tc>
          <w:tcPr>
            <w:tcW w:w="736" w:type="pct"/>
            <w:vAlign w:val="center"/>
          </w:tcPr>
          <w:p w14:paraId="5B8BEC59" w14:textId="77777777" w:rsidR="006471D6" w:rsidRPr="00CA1DD5" w:rsidRDefault="006471D6" w:rsidP="001A6B03">
            <w:pPr>
              <w:keepNext/>
              <w:keepLines/>
              <w:jc w:val="center"/>
              <w:rPr>
                <w:rFonts w:ascii="Arial Narrow" w:hAnsi="Arial Narrow" w:cs="Times New Roman"/>
                <w:sz w:val="20"/>
                <w:szCs w:val="20"/>
              </w:rPr>
            </w:pPr>
            <w:r>
              <w:rPr>
                <w:rFonts w:ascii="Arial Narrow" w:hAnsi="Arial Narrow" w:cs="Times New Roman"/>
                <w:sz w:val="20"/>
                <w:szCs w:val="20"/>
              </w:rPr>
              <w:t>3 (0.9)</w:t>
            </w:r>
          </w:p>
        </w:tc>
        <w:tc>
          <w:tcPr>
            <w:tcW w:w="736" w:type="pct"/>
            <w:vAlign w:val="center"/>
          </w:tcPr>
          <w:p w14:paraId="21F6E7FA" w14:textId="77777777" w:rsidR="006471D6" w:rsidRDefault="006471D6" w:rsidP="001A6B03">
            <w:pPr>
              <w:keepNext/>
              <w:keepLines/>
              <w:jc w:val="center"/>
              <w:rPr>
                <w:rFonts w:ascii="Arial Narrow" w:hAnsi="Arial Narrow" w:cs="Times New Roman"/>
                <w:sz w:val="20"/>
                <w:szCs w:val="20"/>
              </w:rPr>
            </w:pPr>
            <w:r>
              <w:rPr>
                <w:rFonts w:ascii="Arial Narrow" w:hAnsi="Arial Narrow" w:cs="Times New Roman"/>
                <w:sz w:val="20"/>
                <w:szCs w:val="20"/>
              </w:rPr>
              <w:t>7 (1.0)</w:t>
            </w:r>
          </w:p>
        </w:tc>
      </w:tr>
      <w:tr w:rsidR="006471D6" w:rsidRPr="00A42296" w14:paraId="7325D00A" w14:textId="77777777" w:rsidTr="00BA3F8A">
        <w:tc>
          <w:tcPr>
            <w:tcW w:w="2812" w:type="pct"/>
            <w:vAlign w:val="center"/>
          </w:tcPr>
          <w:p w14:paraId="3E7D4D8B" w14:textId="77777777" w:rsidR="006471D6" w:rsidRPr="00CA1DD5" w:rsidRDefault="006471D6" w:rsidP="001A6B03">
            <w:pPr>
              <w:keepNext/>
              <w:keepLines/>
              <w:jc w:val="left"/>
              <w:rPr>
                <w:rFonts w:ascii="Arial Narrow" w:hAnsi="Arial Narrow" w:cs="CourierNewPSMT"/>
                <w:sz w:val="20"/>
                <w:szCs w:val="20"/>
              </w:rPr>
            </w:pPr>
            <w:r w:rsidRPr="00CA1DD5">
              <w:rPr>
                <w:rFonts w:ascii="Arial Narrow" w:hAnsi="Arial Narrow" w:cs="CourierNewPSMT"/>
                <w:sz w:val="20"/>
                <w:szCs w:val="20"/>
              </w:rPr>
              <w:t>Platinum compounds</w:t>
            </w:r>
          </w:p>
        </w:tc>
        <w:tc>
          <w:tcPr>
            <w:tcW w:w="716" w:type="pct"/>
            <w:vAlign w:val="center"/>
          </w:tcPr>
          <w:p w14:paraId="6814AD1A" w14:textId="77777777" w:rsidR="006471D6" w:rsidRPr="00CA1DD5" w:rsidRDefault="006471D6" w:rsidP="001A6B03">
            <w:pPr>
              <w:keepNext/>
              <w:keepLines/>
              <w:jc w:val="center"/>
              <w:rPr>
                <w:rFonts w:ascii="Arial Narrow" w:hAnsi="Arial Narrow" w:cs="Times New Roman"/>
                <w:sz w:val="20"/>
                <w:szCs w:val="20"/>
              </w:rPr>
            </w:pPr>
            <w:r w:rsidRPr="00CA1DD5">
              <w:rPr>
                <w:rFonts w:ascii="Arial Narrow" w:hAnsi="Arial Narrow" w:cs="Times New Roman"/>
                <w:sz w:val="20"/>
                <w:szCs w:val="20"/>
              </w:rPr>
              <w:t>2 (0.6)</w:t>
            </w:r>
          </w:p>
        </w:tc>
        <w:tc>
          <w:tcPr>
            <w:tcW w:w="736" w:type="pct"/>
            <w:vAlign w:val="center"/>
          </w:tcPr>
          <w:p w14:paraId="7C41B5F4" w14:textId="77777777" w:rsidR="006471D6" w:rsidRPr="00CA1DD5" w:rsidRDefault="006471D6" w:rsidP="001A6B03">
            <w:pPr>
              <w:keepNext/>
              <w:keepLines/>
              <w:jc w:val="center"/>
              <w:rPr>
                <w:rFonts w:ascii="Arial Narrow" w:hAnsi="Arial Narrow" w:cs="Times New Roman"/>
                <w:sz w:val="20"/>
                <w:szCs w:val="20"/>
              </w:rPr>
            </w:pPr>
            <w:r w:rsidRPr="00CA1DD5">
              <w:rPr>
                <w:rFonts w:ascii="Arial Narrow" w:hAnsi="Arial Narrow" w:cs="Times New Roman"/>
                <w:sz w:val="20"/>
                <w:szCs w:val="20"/>
              </w:rPr>
              <w:t>13 (3.8)</w:t>
            </w:r>
          </w:p>
        </w:tc>
        <w:tc>
          <w:tcPr>
            <w:tcW w:w="736" w:type="pct"/>
            <w:vAlign w:val="center"/>
          </w:tcPr>
          <w:p w14:paraId="7FEE46FA" w14:textId="77777777" w:rsidR="006471D6" w:rsidRPr="00CA1DD5" w:rsidRDefault="006471D6" w:rsidP="001A6B03">
            <w:pPr>
              <w:keepNext/>
              <w:keepLines/>
              <w:jc w:val="center"/>
              <w:rPr>
                <w:rFonts w:ascii="Arial Narrow" w:hAnsi="Arial Narrow" w:cs="Times New Roman"/>
                <w:sz w:val="20"/>
                <w:szCs w:val="20"/>
              </w:rPr>
            </w:pPr>
            <w:r w:rsidRPr="00CA1DD5">
              <w:rPr>
                <w:rFonts w:ascii="Arial Narrow" w:hAnsi="Arial Narrow" w:cs="Times New Roman"/>
                <w:sz w:val="20"/>
                <w:szCs w:val="20"/>
              </w:rPr>
              <w:t>15 (2.2)</w:t>
            </w:r>
          </w:p>
        </w:tc>
      </w:tr>
      <w:tr w:rsidR="006471D6" w:rsidRPr="00A42296" w14:paraId="55C95D54" w14:textId="77777777" w:rsidTr="00BA3F8A">
        <w:tc>
          <w:tcPr>
            <w:tcW w:w="2812" w:type="pct"/>
            <w:vAlign w:val="center"/>
          </w:tcPr>
          <w:p w14:paraId="0CAB0D24" w14:textId="77777777" w:rsidR="006471D6" w:rsidRPr="00CA1DD5" w:rsidRDefault="006471D6" w:rsidP="001A6B03">
            <w:pPr>
              <w:keepNext/>
              <w:keepLines/>
              <w:jc w:val="left"/>
              <w:rPr>
                <w:rFonts w:ascii="Arial Narrow" w:hAnsi="Arial Narrow" w:cs="CourierNewPSMT"/>
                <w:sz w:val="20"/>
                <w:szCs w:val="20"/>
              </w:rPr>
            </w:pPr>
            <w:r>
              <w:rPr>
                <w:rFonts w:ascii="Arial Narrow" w:hAnsi="Arial Narrow" w:cs="CourierNewPSMT"/>
                <w:sz w:val="20"/>
                <w:szCs w:val="20"/>
              </w:rPr>
              <w:t>Taxanes (docetaxel)</w:t>
            </w:r>
          </w:p>
        </w:tc>
        <w:tc>
          <w:tcPr>
            <w:tcW w:w="716" w:type="pct"/>
            <w:vAlign w:val="center"/>
          </w:tcPr>
          <w:p w14:paraId="1923DB26" w14:textId="77777777" w:rsidR="006471D6" w:rsidRPr="00CA1DD5" w:rsidRDefault="006471D6" w:rsidP="001A6B03">
            <w:pPr>
              <w:keepNext/>
              <w:keepLines/>
              <w:jc w:val="center"/>
              <w:rPr>
                <w:rFonts w:ascii="Arial Narrow" w:hAnsi="Arial Narrow" w:cs="Times New Roman"/>
                <w:sz w:val="20"/>
                <w:szCs w:val="20"/>
              </w:rPr>
            </w:pPr>
            <w:r>
              <w:rPr>
                <w:rFonts w:ascii="Arial Narrow" w:hAnsi="Arial Narrow" w:cs="Times New Roman"/>
                <w:sz w:val="20"/>
                <w:szCs w:val="20"/>
              </w:rPr>
              <w:t>2 (0.60</w:t>
            </w:r>
          </w:p>
        </w:tc>
        <w:tc>
          <w:tcPr>
            <w:tcW w:w="736" w:type="pct"/>
            <w:vAlign w:val="center"/>
          </w:tcPr>
          <w:p w14:paraId="0F9AF5B5" w14:textId="77777777" w:rsidR="006471D6" w:rsidRPr="00CA1DD5" w:rsidRDefault="006471D6" w:rsidP="001A6B03">
            <w:pPr>
              <w:keepNext/>
              <w:keepLines/>
              <w:jc w:val="center"/>
              <w:rPr>
                <w:rFonts w:ascii="Arial Narrow" w:hAnsi="Arial Narrow" w:cs="Times New Roman"/>
                <w:sz w:val="20"/>
                <w:szCs w:val="20"/>
              </w:rPr>
            </w:pPr>
            <w:r>
              <w:rPr>
                <w:rFonts w:ascii="Arial Narrow" w:hAnsi="Arial Narrow" w:cs="Times New Roman"/>
                <w:sz w:val="20"/>
                <w:szCs w:val="20"/>
              </w:rPr>
              <w:t>1 (0.3)</w:t>
            </w:r>
          </w:p>
        </w:tc>
        <w:tc>
          <w:tcPr>
            <w:tcW w:w="736" w:type="pct"/>
            <w:vAlign w:val="center"/>
          </w:tcPr>
          <w:p w14:paraId="46D0DD5F" w14:textId="77777777" w:rsidR="006471D6" w:rsidRPr="00CA1DD5" w:rsidRDefault="006471D6" w:rsidP="001A6B03">
            <w:pPr>
              <w:keepNext/>
              <w:keepLines/>
              <w:jc w:val="center"/>
              <w:rPr>
                <w:rFonts w:ascii="Arial Narrow" w:hAnsi="Arial Narrow" w:cs="Times New Roman"/>
                <w:sz w:val="20"/>
                <w:szCs w:val="20"/>
              </w:rPr>
            </w:pPr>
            <w:r>
              <w:rPr>
                <w:rFonts w:ascii="Arial Narrow" w:hAnsi="Arial Narrow" w:cs="Times New Roman"/>
                <w:sz w:val="20"/>
                <w:szCs w:val="20"/>
              </w:rPr>
              <w:t>3 (0.4)</w:t>
            </w:r>
          </w:p>
        </w:tc>
      </w:tr>
      <w:tr w:rsidR="006471D6" w:rsidRPr="00A42296" w14:paraId="313244DA" w14:textId="77777777" w:rsidTr="00BA3F8A">
        <w:tc>
          <w:tcPr>
            <w:tcW w:w="2812" w:type="pct"/>
            <w:vAlign w:val="center"/>
          </w:tcPr>
          <w:p w14:paraId="290E34DC" w14:textId="77777777" w:rsidR="006471D6" w:rsidRPr="00CA1DD5" w:rsidRDefault="006471D6" w:rsidP="001A6B03">
            <w:pPr>
              <w:keepNext/>
              <w:keepLines/>
              <w:jc w:val="left"/>
              <w:rPr>
                <w:rFonts w:ascii="Arial Narrow" w:hAnsi="Arial Narrow" w:cs="CourierNewPSMT"/>
                <w:sz w:val="20"/>
                <w:szCs w:val="20"/>
              </w:rPr>
            </w:pPr>
            <w:r>
              <w:rPr>
                <w:rFonts w:ascii="Arial Narrow" w:hAnsi="Arial Narrow" w:cs="CourierNewPSMT"/>
                <w:sz w:val="20"/>
                <w:szCs w:val="20"/>
              </w:rPr>
              <w:t>Uncoded</w:t>
            </w:r>
          </w:p>
        </w:tc>
        <w:tc>
          <w:tcPr>
            <w:tcW w:w="716" w:type="pct"/>
            <w:vAlign w:val="center"/>
          </w:tcPr>
          <w:p w14:paraId="210EB17E" w14:textId="77777777" w:rsidR="006471D6" w:rsidRPr="00CA1DD5" w:rsidRDefault="006471D6" w:rsidP="001A6B03">
            <w:pPr>
              <w:keepNext/>
              <w:keepLines/>
              <w:jc w:val="center"/>
              <w:rPr>
                <w:rFonts w:ascii="Arial Narrow" w:hAnsi="Arial Narrow" w:cs="Times New Roman"/>
                <w:sz w:val="20"/>
                <w:szCs w:val="20"/>
              </w:rPr>
            </w:pPr>
            <w:r>
              <w:rPr>
                <w:rFonts w:ascii="Arial Narrow" w:hAnsi="Arial Narrow" w:cs="Times New Roman"/>
                <w:sz w:val="20"/>
                <w:szCs w:val="20"/>
              </w:rPr>
              <w:t>7 (2.1)</w:t>
            </w:r>
          </w:p>
        </w:tc>
        <w:tc>
          <w:tcPr>
            <w:tcW w:w="736" w:type="pct"/>
            <w:vAlign w:val="center"/>
          </w:tcPr>
          <w:p w14:paraId="4BBBF2E2" w14:textId="77777777" w:rsidR="006471D6" w:rsidRPr="00CA1DD5" w:rsidRDefault="006471D6" w:rsidP="001A6B03">
            <w:pPr>
              <w:keepNext/>
              <w:keepLines/>
              <w:jc w:val="center"/>
              <w:rPr>
                <w:rFonts w:ascii="Arial Narrow" w:hAnsi="Arial Narrow" w:cs="Times New Roman"/>
                <w:sz w:val="20"/>
                <w:szCs w:val="20"/>
              </w:rPr>
            </w:pPr>
            <w:r>
              <w:rPr>
                <w:rFonts w:ascii="Arial Narrow" w:hAnsi="Arial Narrow" w:cs="Times New Roman"/>
                <w:sz w:val="20"/>
                <w:szCs w:val="20"/>
              </w:rPr>
              <w:t>15 (4.4)</w:t>
            </w:r>
          </w:p>
        </w:tc>
        <w:tc>
          <w:tcPr>
            <w:tcW w:w="736" w:type="pct"/>
            <w:vAlign w:val="center"/>
          </w:tcPr>
          <w:p w14:paraId="0461A637" w14:textId="77777777" w:rsidR="006471D6" w:rsidRPr="00CA1DD5" w:rsidRDefault="006471D6" w:rsidP="001A6B03">
            <w:pPr>
              <w:keepNext/>
              <w:keepLines/>
              <w:jc w:val="center"/>
              <w:rPr>
                <w:rFonts w:ascii="Arial Narrow" w:hAnsi="Arial Narrow" w:cs="Times New Roman"/>
                <w:sz w:val="20"/>
                <w:szCs w:val="20"/>
              </w:rPr>
            </w:pPr>
            <w:r>
              <w:rPr>
                <w:rFonts w:ascii="Arial Narrow" w:hAnsi="Arial Narrow" w:cs="Times New Roman"/>
                <w:sz w:val="20"/>
                <w:szCs w:val="20"/>
              </w:rPr>
              <w:t>22 (3.2)</w:t>
            </w:r>
          </w:p>
        </w:tc>
      </w:tr>
    </w:tbl>
    <w:p w14:paraId="708833DD" w14:textId="77777777" w:rsidR="006471D6" w:rsidRPr="008C09FF" w:rsidRDefault="006471D6" w:rsidP="001A6B03">
      <w:pPr>
        <w:keepNext/>
        <w:keepLines/>
        <w:rPr>
          <w:rFonts w:ascii="Arial Narrow" w:hAnsi="Arial Narrow"/>
          <w:sz w:val="18"/>
          <w:szCs w:val="18"/>
        </w:rPr>
      </w:pPr>
      <w:r w:rsidRPr="008C09FF">
        <w:rPr>
          <w:rFonts w:ascii="Arial Narrow" w:hAnsi="Arial Narrow"/>
          <w:b/>
          <w:bCs/>
          <w:sz w:val="18"/>
          <w:szCs w:val="18"/>
        </w:rPr>
        <w:t>Bold</w:t>
      </w:r>
      <w:r w:rsidRPr="008C09FF">
        <w:rPr>
          <w:rFonts w:ascii="Arial Narrow" w:hAnsi="Arial Narrow"/>
          <w:sz w:val="18"/>
          <w:szCs w:val="18"/>
        </w:rPr>
        <w:t xml:space="preserve"> type indicates the total for each category.</w:t>
      </w:r>
    </w:p>
    <w:p w14:paraId="343A88DE" w14:textId="77777777" w:rsidR="006471D6" w:rsidRPr="008C09FF" w:rsidRDefault="006471D6" w:rsidP="001A6B03">
      <w:pPr>
        <w:keepNext/>
        <w:keepLines/>
        <w:rPr>
          <w:rFonts w:ascii="Arial Narrow" w:hAnsi="Arial Narrow"/>
          <w:sz w:val="18"/>
          <w:szCs w:val="18"/>
        </w:rPr>
      </w:pPr>
      <w:r w:rsidRPr="008C09FF">
        <w:rPr>
          <w:rFonts w:ascii="Arial Narrow" w:hAnsi="Arial Narrow"/>
          <w:sz w:val="18"/>
          <w:szCs w:val="18"/>
        </w:rPr>
        <w:t>Source: Table 9, ADAURA CSR DCO3, p37 and Table 14.2.7.5, pp466-468 ADAURA CSR DCO2 Tables and Figures.</w:t>
      </w:r>
    </w:p>
    <w:p w14:paraId="44A16F8F" w14:textId="77777777" w:rsidR="006471D6" w:rsidRPr="008C09FF" w:rsidRDefault="006471D6" w:rsidP="001A6B03">
      <w:pPr>
        <w:keepNext/>
        <w:keepLines/>
        <w:rPr>
          <w:rFonts w:ascii="Arial Narrow" w:hAnsi="Arial Narrow"/>
          <w:sz w:val="18"/>
          <w:szCs w:val="18"/>
        </w:rPr>
      </w:pPr>
      <w:r w:rsidRPr="00921CDF">
        <w:rPr>
          <w:rFonts w:ascii="Arial Narrow" w:hAnsi="Arial Narrow"/>
          <w:i/>
          <w:sz w:val="18"/>
          <w:szCs w:val="18"/>
        </w:rPr>
        <w:t>EGFR</w:t>
      </w:r>
      <w:r w:rsidRPr="008C09FF">
        <w:rPr>
          <w:rFonts w:ascii="Arial Narrow" w:hAnsi="Arial Narrow"/>
          <w:sz w:val="18"/>
          <w:szCs w:val="18"/>
        </w:rPr>
        <w:t xml:space="preserve"> = epidermal growth factor receptor; PD-1 = programmed cell death protein 1; PD-L1 = programmed death-ligand 1; TKI = Tyrosine kinase inhibitor</w:t>
      </w:r>
    </w:p>
    <w:p w14:paraId="0041A2A9" w14:textId="77777777" w:rsidR="006471D6" w:rsidRPr="008C09FF" w:rsidRDefault="006471D6" w:rsidP="001A6B03">
      <w:pPr>
        <w:keepNext/>
        <w:keepLines/>
        <w:rPr>
          <w:rFonts w:ascii="Arial Narrow" w:hAnsi="Arial Narrow"/>
          <w:sz w:val="18"/>
          <w:szCs w:val="18"/>
        </w:rPr>
      </w:pPr>
      <w:r w:rsidRPr="008C09FF">
        <w:rPr>
          <w:rFonts w:ascii="Arial Narrow" w:hAnsi="Arial Narrow"/>
          <w:sz w:val="18"/>
          <w:szCs w:val="18"/>
          <w:vertAlign w:val="superscript"/>
        </w:rPr>
        <w:t>a</w:t>
      </w:r>
      <w:r w:rsidRPr="008C09FF">
        <w:rPr>
          <w:rFonts w:ascii="Arial Narrow" w:hAnsi="Arial Narrow"/>
          <w:sz w:val="18"/>
          <w:szCs w:val="18"/>
        </w:rPr>
        <w:tab/>
        <w:t>Reported in ≥2% of patients in either treatment arm</w:t>
      </w:r>
    </w:p>
    <w:p w14:paraId="7109DB79" w14:textId="77777777" w:rsidR="006471D6" w:rsidRPr="008C09FF" w:rsidRDefault="006471D6" w:rsidP="001A6B03">
      <w:pPr>
        <w:keepNext/>
        <w:keepLines/>
        <w:rPr>
          <w:rFonts w:ascii="Arial Narrow" w:eastAsia="Calibri" w:hAnsi="Arial Narrow"/>
          <w:sz w:val="18"/>
          <w:szCs w:val="18"/>
        </w:rPr>
      </w:pPr>
      <w:r w:rsidRPr="008C09FF">
        <w:rPr>
          <w:rFonts w:ascii="Arial Narrow" w:eastAsia="Calibri" w:hAnsi="Arial Narrow"/>
          <w:sz w:val="18"/>
          <w:szCs w:val="18"/>
          <w:vertAlign w:val="superscript"/>
        </w:rPr>
        <w:t>b</w:t>
      </w:r>
      <w:r w:rsidRPr="008C09FF">
        <w:rPr>
          <w:rFonts w:ascii="Arial Narrow" w:eastAsia="Calibri" w:hAnsi="Arial Narrow"/>
          <w:sz w:val="18"/>
          <w:szCs w:val="18"/>
        </w:rPr>
        <w:tab/>
        <w:t>Percentages calculated from the number of patients with a first subsequent anti-cancer therapy.</w:t>
      </w:r>
    </w:p>
    <w:p w14:paraId="2235A600" w14:textId="77777777" w:rsidR="006471D6" w:rsidRPr="008C09FF" w:rsidRDefault="006471D6" w:rsidP="001A6B03">
      <w:pPr>
        <w:keepNext/>
        <w:keepLines/>
        <w:ind w:left="165" w:hanging="165"/>
        <w:rPr>
          <w:rFonts w:ascii="Arial Narrow" w:eastAsia="Calibri" w:hAnsi="Arial Narrow"/>
          <w:sz w:val="18"/>
          <w:szCs w:val="18"/>
        </w:rPr>
      </w:pPr>
      <w:r w:rsidRPr="008C09FF">
        <w:rPr>
          <w:rFonts w:ascii="Arial Narrow" w:eastAsia="Calibri" w:hAnsi="Arial Narrow"/>
          <w:sz w:val="18"/>
          <w:szCs w:val="18"/>
          <w:vertAlign w:val="superscript"/>
        </w:rPr>
        <w:t>c</w:t>
      </w:r>
      <w:r w:rsidRPr="008C09FF">
        <w:rPr>
          <w:rFonts w:ascii="Arial Narrow" w:eastAsia="Calibri" w:hAnsi="Arial Narrow"/>
          <w:sz w:val="18"/>
          <w:szCs w:val="18"/>
        </w:rPr>
        <w:tab/>
        <w:t>First subsequent anticancer therapies were defined by medical review, and includes anticancer therapy or radiotherapy started on or after the date of discontinuation of study treatment and started before withdrawal from study.</w:t>
      </w:r>
    </w:p>
    <w:p w14:paraId="7F2E0538" w14:textId="77777777" w:rsidR="006471D6" w:rsidRPr="008C09FF" w:rsidRDefault="006471D6" w:rsidP="001A6B03">
      <w:pPr>
        <w:keepNext/>
        <w:keepLines/>
        <w:rPr>
          <w:rFonts w:ascii="Arial Narrow" w:eastAsia="Calibri" w:hAnsi="Arial Narrow"/>
          <w:sz w:val="18"/>
          <w:szCs w:val="18"/>
        </w:rPr>
      </w:pPr>
      <w:r w:rsidRPr="008C09FF">
        <w:rPr>
          <w:rFonts w:ascii="Arial Narrow" w:eastAsia="Calibri" w:hAnsi="Arial Narrow"/>
          <w:sz w:val="18"/>
          <w:szCs w:val="18"/>
          <w:vertAlign w:val="superscript"/>
        </w:rPr>
        <w:t>d</w:t>
      </w:r>
      <w:r w:rsidRPr="008C09FF">
        <w:rPr>
          <w:rFonts w:ascii="Arial Narrow" w:eastAsia="Calibri" w:hAnsi="Arial Narrow"/>
          <w:sz w:val="18"/>
          <w:szCs w:val="18"/>
        </w:rPr>
        <w:tab/>
        <w:t>Confirmed through medical review.</w:t>
      </w:r>
    </w:p>
    <w:p w14:paraId="238B3087" w14:textId="77777777" w:rsidR="006471D6" w:rsidRPr="008C09FF" w:rsidRDefault="006471D6" w:rsidP="001A6B03">
      <w:pPr>
        <w:keepNext/>
        <w:keepLines/>
        <w:rPr>
          <w:rFonts w:ascii="Arial Narrow" w:eastAsia="Calibri" w:hAnsi="Arial Narrow"/>
          <w:sz w:val="18"/>
          <w:szCs w:val="18"/>
        </w:rPr>
      </w:pPr>
      <w:r w:rsidRPr="008C09FF">
        <w:rPr>
          <w:rFonts w:ascii="Arial Narrow" w:eastAsia="Calibri" w:hAnsi="Arial Narrow"/>
          <w:sz w:val="18"/>
          <w:szCs w:val="18"/>
          <w:vertAlign w:val="superscript"/>
        </w:rPr>
        <w:t>e</w:t>
      </w:r>
      <w:r w:rsidRPr="008C09FF">
        <w:rPr>
          <w:rFonts w:ascii="Arial Narrow" w:eastAsia="Calibri" w:hAnsi="Arial Narrow"/>
          <w:sz w:val="18"/>
          <w:szCs w:val="18"/>
        </w:rPr>
        <w:tab/>
        <w:t>Second subsequent anti-cancer therapies were not reported after DCO2.</w:t>
      </w:r>
    </w:p>
    <w:p w14:paraId="2DD17633" w14:textId="77777777" w:rsidR="006471D6" w:rsidRPr="008C09FF" w:rsidRDefault="006471D6" w:rsidP="001A6B03">
      <w:pPr>
        <w:keepNext/>
        <w:keepLines/>
        <w:rPr>
          <w:rFonts w:ascii="Arial Narrow" w:eastAsia="Calibri" w:hAnsi="Arial Narrow"/>
          <w:sz w:val="18"/>
          <w:szCs w:val="18"/>
        </w:rPr>
      </w:pPr>
      <w:r w:rsidRPr="008C09FF">
        <w:rPr>
          <w:rFonts w:ascii="Arial Narrow" w:eastAsia="Calibri" w:hAnsi="Arial Narrow"/>
          <w:sz w:val="18"/>
          <w:szCs w:val="18"/>
        </w:rPr>
        <w:t>Note 1: Procedures/surgeries are not included in this table.</w:t>
      </w:r>
    </w:p>
    <w:p w14:paraId="02EDFC47" w14:textId="694EC76A" w:rsidR="006471D6" w:rsidRDefault="006471D6" w:rsidP="006471D6">
      <w:pPr>
        <w:pStyle w:val="3-BodyText"/>
        <w:rPr>
          <w:rFonts w:eastAsia="Calibri"/>
        </w:rPr>
      </w:pPr>
      <w:r w:rsidRPr="008C09FF">
        <w:rPr>
          <w:rFonts w:ascii="Arial Narrow" w:eastAsia="Calibri" w:hAnsi="Arial Narrow"/>
          <w:sz w:val="18"/>
          <w:szCs w:val="18"/>
        </w:rPr>
        <w:t>Note 2: Some patients received subsequent therapy without a disease recurrence (Table 8, p35 ADAURA CSR DCO2).</w:t>
      </w:r>
      <w:r>
        <w:rPr>
          <w:rFonts w:eastAsia="Calibri"/>
        </w:rPr>
        <w:t>Health-related quality of life (</w:t>
      </w:r>
      <w:r w:rsidRPr="005246BC">
        <w:rPr>
          <w:rFonts w:eastAsia="Calibri"/>
        </w:rPr>
        <w:t>HRQoL</w:t>
      </w:r>
      <w:r>
        <w:rPr>
          <w:rFonts w:eastAsia="Calibri"/>
        </w:rPr>
        <w:t>)</w:t>
      </w:r>
      <w:r w:rsidRPr="005246BC">
        <w:rPr>
          <w:rFonts w:eastAsia="Calibri"/>
        </w:rPr>
        <w:t xml:space="preserve"> outcomes from ADAURA are summarised in</w:t>
      </w:r>
      <w:r w:rsidR="005C6CB3">
        <w:t xml:space="preserve"> </w:t>
      </w:r>
      <w:r w:rsidR="005C6CB3">
        <w:fldChar w:fldCharType="begin" w:fldLock="1"/>
      </w:r>
      <w:r w:rsidR="005C6CB3">
        <w:instrText xml:space="preserve"> REF _Ref144755197 \h </w:instrText>
      </w:r>
      <w:r w:rsidR="005C6CB3">
        <w:fldChar w:fldCharType="separate"/>
      </w:r>
      <w:r w:rsidR="005C6CB3">
        <w:t xml:space="preserve">Figure </w:t>
      </w:r>
      <w:r w:rsidR="005C6CB3">
        <w:rPr>
          <w:noProof/>
        </w:rPr>
        <w:t>3</w:t>
      </w:r>
      <w:r w:rsidR="005C6CB3">
        <w:fldChar w:fldCharType="end"/>
      </w:r>
      <w:r>
        <w:rPr>
          <w:rFonts w:eastAsia="Calibri"/>
        </w:rPr>
        <w:t>.</w:t>
      </w:r>
      <w:r w:rsidRPr="005246BC">
        <w:rPr>
          <w:rFonts w:eastAsia="Calibri"/>
        </w:rPr>
        <w:t xml:space="preserve"> </w:t>
      </w:r>
      <w:r>
        <w:rPr>
          <w:rFonts w:eastAsia="Calibri"/>
        </w:rPr>
        <w:t xml:space="preserve">HRQoL in the primary population was a pre-specified secondary outcome in the ADAURA protocol reported up to DCO2. In the overall population HRQoL were exploratory analyses conducted post hoc at DCO1, 17 January 2020, after a median follow-up of 22.1 and 16.6 months in the osimertinib and placebo arms, respectively, and reported in Majem 2022. </w:t>
      </w:r>
    </w:p>
    <w:p w14:paraId="7EF3D4E1" w14:textId="77777777" w:rsidR="006471D6" w:rsidRDefault="006471D6" w:rsidP="006471D6">
      <w:pPr>
        <w:pStyle w:val="TableFigureHeading"/>
      </w:pPr>
      <w:bookmarkStart w:id="29" w:name="_Ref144755197"/>
      <w:r>
        <w:t xml:space="preserve">Figure </w:t>
      </w:r>
      <w:r w:rsidR="001E77BF">
        <w:fldChar w:fldCharType="begin" w:fldLock="1"/>
      </w:r>
      <w:r w:rsidR="001E77BF">
        <w:instrText xml:space="preserve"> SEQ Figure \* ARABIC </w:instrText>
      </w:r>
      <w:r w:rsidR="001E77BF">
        <w:fldChar w:fldCharType="separate"/>
      </w:r>
      <w:r>
        <w:rPr>
          <w:noProof/>
        </w:rPr>
        <w:t>3</w:t>
      </w:r>
      <w:r w:rsidR="001E77BF">
        <w:rPr>
          <w:noProof/>
        </w:rPr>
        <w:fldChar w:fldCharType="end"/>
      </w:r>
      <w:bookmarkEnd w:id="29"/>
      <w:r w:rsidRPr="0004693B">
        <w:rPr>
          <w:b w:val="0"/>
        </w:rPr>
        <w:t>:</w:t>
      </w:r>
      <w:r w:rsidRPr="0004693B">
        <w:rPr>
          <w:rStyle w:val="FootnoteReference"/>
          <w:b w:val="0"/>
        </w:rPr>
        <w:t xml:space="preserve"> </w:t>
      </w:r>
      <w:r w:rsidRPr="0004693B">
        <w:rPr>
          <w:rStyle w:val="TableheadingChar"/>
          <w:b/>
        </w:rPr>
        <w:t>Patient reported outcomes</w:t>
      </w:r>
      <w:r>
        <w:rPr>
          <w:b w:val="0"/>
          <w:vertAlign w:val="superscript"/>
        </w:rPr>
        <w:t xml:space="preserve"> </w:t>
      </w:r>
      <w:r w:rsidRPr="00EE34B4">
        <w:t>– Overall Population (Stage IB-IIIA)</w:t>
      </w:r>
      <w:r>
        <w:rPr>
          <w:b w:val="0"/>
        </w:rPr>
        <w:t xml:space="preserve"> </w:t>
      </w:r>
      <w:r w:rsidRPr="008A57E7">
        <w:t>ADAURA DCO1 (17 Jan 2020</w:t>
      </w:r>
      <w:r>
        <w:rPr>
          <w:b w:val="0"/>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8" w:type="dxa"/>
          <w:right w:w="28" w:type="dxa"/>
        </w:tblCellMar>
        <w:tblLook w:val="04A0" w:firstRow="1" w:lastRow="0" w:firstColumn="1" w:lastColumn="0" w:noHBand="0" w:noVBand="1"/>
      </w:tblPr>
      <w:tblGrid>
        <w:gridCol w:w="4508"/>
        <w:gridCol w:w="4509"/>
      </w:tblGrid>
      <w:tr w:rsidR="006471D6" w14:paraId="7296C542" w14:textId="77777777" w:rsidTr="00BA3F8A">
        <w:tc>
          <w:tcPr>
            <w:tcW w:w="9017" w:type="dxa"/>
            <w:gridSpan w:val="2"/>
          </w:tcPr>
          <w:p w14:paraId="6B3AB892" w14:textId="77777777" w:rsidR="006471D6" w:rsidRDefault="006471D6" w:rsidP="00BA3F8A">
            <w:pPr>
              <w:pStyle w:val="TableFigureHeading"/>
            </w:pPr>
          </w:p>
          <w:p w14:paraId="46C79B1F" w14:textId="77777777" w:rsidR="006471D6" w:rsidRPr="005246BC" w:rsidRDefault="006471D6" w:rsidP="00BA3F8A">
            <w:pPr>
              <w:pStyle w:val="TableFigureHeading"/>
              <w:jc w:val="center"/>
            </w:pPr>
            <w:r w:rsidRPr="005246BC">
              <w:t>Time to deterioration or death by component summary score</w:t>
            </w:r>
          </w:p>
        </w:tc>
      </w:tr>
      <w:tr w:rsidR="006471D6" w14:paraId="76649A2E" w14:textId="77777777" w:rsidTr="00BA3F8A">
        <w:tc>
          <w:tcPr>
            <w:tcW w:w="4508" w:type="dxa"/>
          </w:tcPr>
          <w:p w14:paraId="1D1A5C61" w14:textId="77777777" w:rsidR="006471D6" w:rsidRPr="00C0290C" w:rsidRDefault="006471D6" w:rsidP="00BA3F8A">
            <w:pPr>
              <w:pStyle w:val="TableFigureHeading"/>
            </w:pPr>
            <w:r w:rsidRPr="00C0290C">
              <w:t>A. PCS</w:t>
            </w:r>
          </w:p>
        </w:tc>
        <w:tc>
          <w:tcPr>
            <w:tcW w:w="4509" w:type="dxa"/>
          </w:tcPr>
          <w:p w14:paraId="1756C231" w14:textId="77777777" w:rsidR="006471D6" w:rsidRPr="00C0290C" w:rsidRDefault="006471D6" w:rsidP="00BA3F8A">
            <w:pPr>
              <w:pStyle w:val="TableFigureHeading"/>
            </w:pPr>
            <w:r w:rsidRPr="00C0290C">
              <w:t>B. MCS</w:t>
            </w:r>
          </w:p>
        </w:tc>
      </w:tr>
      <w:tr w:rsidR="006471D6" w14:paraId="73F6966D" w14:textId="77777777" w:rsidTr="00BA3F8A">
        <w:tc>
          <w:tcPr>
            <w:tcW w:w="4508" w:type="dxa"/>
          </w:tcPr>
          <w:p w14:paraId="0C7BC263" w14:textId="77777777" w:rsidR="006471D6" w:rsidRDefault="006471D6" w:rsidP="00BA3F8A">
            <w:pPr>
              <w:pStyle w:val="TableFigureHeading"/>
            </w:pPr>
            <w:r>
              <w:rPr>
                <w:noProof/>
                <w:lang w:eastAsia="zh-CN"/>
              </w:rPr>
              <mc:AlternateContent>
                <mc:Choice Requires="wps">
                  <w:drawing>
                    <wp:anchor distT="0" distB="0" distL="114300" distR="114300" simplePos="0" relativeHeight="251665408" behindDoc="0" locked="0" layoutInCell="1" allowOverlap="1" wp14:anchorId="686F64D5" wp14:editId="147C1BB2">
                      <wp:simplePos x="0" y="0"/>
                      <wp:positionH relativeFrom="column">
                        <wp:posOffset>31526</wp:posOffset>
                      </wp:positionH>
                      <wp:positionV relativeFrom="paragraph">
                        <wp:posOffset>6163</wp:posOffset>
                      </wp:positionV>
                      <wp:extent cx="107576" cy="67235"/>
                      <wp:effectExtent l="0" t="0" r="26035" b="28575"/>
                      <wp:wrapNone/>
                      <wp:docPr id="228118917" name="Rectangle 228118917"/>
                      <wp:cNvGraphicFramePr/>
                      <a:graphic xmlns:a="http://schemas.openxmlformats.org/drawingml/2006/main">
                        <a:graphicData uri="http://schemas.microsoft.com/office/word/2010/wordprocessingShape">
                          <wps:wsp>
                            <wps:cNvSpPr/>
                            <wps:spPr>
                              <a:xfrm>
                                <a:off x="0" y="0"/>
                                <a:ext cx="107576" cy="67235"/>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0511493" id="Rectangle 228118917" o:spid="_x0000_s1026" style="position:absolute;margin-left:2.5pt;margin-top:.5pt;width:8.45pt;height:5.3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" fillcolor="white [3212]" strokecolor="white [3212]" strokeweight="2pt"/>
                  </w:pict>
                </mc:Fallback>
              </mc:AlternateContent>
            </w:r>
            <w:r>
              <w:rPr>
                <w:noProof/>
                <w:lang w:eastAsia="zh-CN"/>
              </w:rPr>
              <w:drawing>
                <wp:inline distT="0" distB="0" distL="0" distR="0" wp14:anchorId="783F26BF" wp14:editId="29BE583C">
                  <wp:extent cx="2752725" cy="1276844"/>
                  <wp:effectExtent l="0" t="0" r="0" b="0"/>
                  <wp:docPr id="228118929" name="Picture 2281189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779770" cy="1289389"/>
                          </a:xfrm>
                          <a:prstGeom prst="rect">
                            <a:avLst/>
                          </a:prstGeom>
                          <a:noFill/>
                          <a:ln>
                            <a:noFill/>
                          </a:ln>
                        </pic:spPr>
                      </pic:pic>
                    </a:graphicData>
                  </a:graphic>
                </wp:inline>
              </w:drawing>
            </w:r>
          </w:p>
        </w:tc>
        <w:tc>
          <w:tcPr>
            <w:tcW w:w="4509" w:type="dxa"/>
          </w:tcPr>
          <w:p w14:paraId="02DD0432" w14:textId="77777777" w:rsidR="006471D6" w:rsidRDefault="006471D6" w:rsidP="00BA3F8A">
            <w:pPr>
              <w:pStyle w:val="TableFigureHeading"/>
            </w:pPr>
            <w:r>
              <w:rPr>
                <w:noProof/>
                <w:lang w:eastAsia="zh-CN"/>
              </w:rPr>
              <mc:AlternateContent>
                <mc:Choice Requires="wps">
                  <w:drawing>
                    <wp:anchor distT="0" distB="0" distL="114300" distR="114300" simplePos="0" relativeHeight="251666432" behindDoc="0" locked="0" layoutInCell="1" allowOverlap="1" wp14:anchorId="064BD08A" wp14:editId="258BF056">
                      <wp:simplePos x="0" y="0"/>
                      <wp:positionH relativeFrom="column">
                        <wp:posOffset>45458</wp:posOffset>
                      </wp:positionH>
                      <wp:positionV relativeFrom="paragraph">
                        <wp:posOffset>10085</wp:posOffset>
                      </wp:positionV>
                      <wp:extent cx="116542" cy="62753"/>
                      <wp:effectExtent l="0" t="0" r="17145" b="13970"/>
                      <wp:wrapNone/>
                      <wp:docPr id="8" name="Rectangle 8"/>
                      <wp:cNvGraphicFramePr/>
                      <a:graphic xmlns:a="http://schemas.openxmlformats.org/drawingml/2006/main">
                        <a:graphicData uri="http://schemas.microsoft.com/office/word/2010/wordprocessingShape">
                          <wps:wsp>
                            <wps:cNvSpPr/>
                            <wps:spPr>
                              <a:xfrm>
                                <a:off x="0" y="0"/>
                                <a:ext cx="116542" cy="62753"/>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152AA3B" id="Rectangle 8" o:spid="_x0000_s1026" style="position:absolute;margin-left:3.6pt;margin-top:.8pt;width:9.2pt;height:4.9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" fillcolor="white [3212]" strokecolor="white [3212]" strokeweight="2pt"/>
                  </w:pict>
                </mc:Fallback>
              </mc:AlternateContent>
            </w:r>
            <w:r>
              <w:rPr>
                <w:noProof/>
                <w:lang w:eastAsia="zh-CN"/>
              </w:rPr>
              <w:drawing>
                <wp:inline distT="0" distB="0" distL="0" distR="0" wp14:anchorId="048FE18C" wp14:editId="1ECC6438">
                  <wp:extent cx="2733675" cy="1275475"/>
                  <wp:effectExtent l="0" t="0" r="0" b="1270"/>
                  <wp:docPr id="228118930" name="Picture 2281189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804560" cy="1308548"/>
                          </a:xfrm>
                          <a:prstGeom prst="rect">
                            <a:avLst/>
                          </a:prstGeom>
                          <a:noFill/>
                          <a:ln>
                            <a:noFill/>
                          </a:ln>
                        </pic:spPr>
                      </pic:pic>
                    </a:graphicData>
                  </a:graphic>
                </wp:inline>
              </w:drawing>
            </w:r>
          </w:p>
        </w:tc>
      </w:tr>
    </w:tbl>
    <w:p w14:paraId="55F5D081" w14:textId="77777777" w:rsidR="006471D6" w:rsidRDefault="006471D6" w:rsidP="006471D6">
      <w:pPr>
        <w:pStyle w:val="TableFigureFooter"/>
      </w:pPr>
      <w:r>
        <w:t>Source: A Fig 4A, Majem 2022; B Fig4B, Majem 2022.</w:t>
      </w:r>
    </w:p>
    <w:p w14:paraId="524CCDD6" w14:textId="77777777" w:rsidR="006471D6" w:rsidRDefault="006471D6" w:rsidP="006471D6">
      <w:pPr>
        <w:pStyle w:val="TableFigureFooter"/>
      </w:pPr>
      <w:r>
        <w:t>CI = confidence interval; HR = hazard ratio; HRQoL = health-related quality of life; MCS = mental component summary; mo = months; n = number of events; N = overall population; PCS = physical component summary; SF-36 = Short Form-36 health survey.</w:t>
      </w:r>
    </w:p>
    <w:p w14:paraId="1FBBF747" w14:textId="065563ED" w:rsidR="00716999" w:rsidRPr="00A10C67" w:rsidRDefault="006471D6" w:rsidP="00716999">
      <w:pPr>
        <w:pStyle w:val="3-BodyText"/>
        <w:rPr>
          <w:rFonts w:eastAsia="Calibri"/>
        </w:rPr>
      </w:pPr>
      <w:r>
        <w:t xml:space="preserve">There were </w:t>
      </w:r>
      <w:proofErr w:type="gramStart"/>
      <w:r>
        <w:t>no</w:t>
      </w:r>
      <w:proofErr w:type="gramEnd"/>
      <w:r>
        <w:t xml:space="preserve"> clinically meaningful or statistically significant differences in patient-reported HRQoL outcomes between patients taking osimertinib or placebo in ADAURA</w:t>
      </w:r>
      <w:r w:rsidR="00716999">
        <w:t>.</w:t>
      </w:r>
    </w:p>
    <w:p w14:paraId="090A2980" w14:textId="77777777" w:rsidR="00716999" w:rsidRPr="00C9624D" w:rsidRDefault="00716999" w:rsidP="00716999">
      <w:pPr>
        <w:pStyle w:val="4-SubsectionHeading"/>
      </w:pPr>
      <w:bookmarkStart w:id="30" w:name="_Toc22897642"/>
      <w:bookmarkStart w:id="31" w:name="_Toc145434785"/>
      <w:r w:rsidRPr="00C9624D">
        <w:t>Comparative harms</w:t>
      </w:r>
      <w:bookmarkEnd w:id="30"/>
      <w:bookmarkEnd w:id="31"/>
    </w:p>
    <w:p w14:paraId="4D3ACFDA" w14:textId="02B471AD" w:rsidR="006471D6" w:rsidRPr="00D86231" w:rsidRDefault="006471D6" w:rsidP="006471D6">
      <w:pPr>
        <w:pStyle w:val="3-BodyText"/>
        <w:rPr>
          <w:color w:val="0066FF"/>
        </w:rPr>
      </w:pPr>
      <w:r>
        <w:t xml:space="preserve">Key adverse event (AEs) from ADAURA </w:t>
      </w:r>
      <w:proofErr w:type="gramStart"/>
      <w:r>
        <w:t>are</w:t>
      </w:r>
      <w:proofErr w:type="gramEnd"/>
      <w:r>
        <w:t xml:space="preserve"> summarised in </w:t>
      </w:r>
      <w:r w:rsidR="005C6CB3">
        <w:fldChar w:fldCharType="begin" w:fldLock="1"/>
      </w:r>
      <w:r w:rsidR="005C6CB3">
        <w:instrText xml:space="preserve"> REF _Ref144754638 \h </w:instrText>
      </w:r>
      <w:r w:rsidR="005C6CB3">
        <w:fldChar w:fldCharType="separate"/>
      </w:r>
      <w:r w:rsidR="005C6CB3">
        <w:t xml:space="preserve">Table </w:t>
      </w:r>
      <w:r w:rsidR="005C6CB3">
        <w:rPr>
          <w:noProof/>
        </w:rPr>
        <w:t>7</w:t>
      </w:r>
      <w:r w:rsidR="005C6CB3">
        <w:fldChar w:fldCharType="end"/>
      </w:r>
      <w:r>
        <w:t>.</w:t>
      </w:r>
      <w:r>
        <w:rPr>
          <w:color w:val="0066FF"/>
        </w:rPr>
        <w:t xml:space="preserve"> </w:t>
      </w:r>
    </w:p>
    <w:p w14:paraId="6444B569" w14:textId="1C0044A6" w:rsidR="006471D6" w:rsidRDefault="006471D6" w:rsidP="006471D6">
      <w:pPr>
        <w:pStyle w:val="TableFigureHeading"/>
      </w:pPr>
      <w:bookmarkStart w:id="32" w:name="_Ref144754638"/>
      <w:r>
        <w:t xml:space="preserve">Table </w:t>
      </w:r>
      <w:r w:rsidR="001E77BF">
        <w:fldChar w:fldCharType="begin" w:fldLock="1"/>
      </w:r>
      <w:r w:rsidR="001E77BF">
        <w:instrText xml:space="preserve"> SEQ Table \* ARABIC </w:instrText>
      </w:r>
      <w:r w:rsidR="001E77BF">
        <w:fldChar w:fldCharType="separate"/>
      </w:r>
      <w:r w:rsidR="00BA3F8A">
        <w:rPr>
          <w:noProof/>
        </w:rPr>
        <w:t>7</w:t>
      </w:r>
      <w:r w:rsidR="001E77BF">
        <w:rPr>
          <w:noProof/>
        </w:rPr>
        <w:fldChar w:fldCharType="end"/>
      </w:r>
      <w:bookmarkEnd w:id="32"/>
      <w:r>
        <w:t xml:space="preserve">: </w:t>
      </w:r>
      <w:r w:rsidRPr="00D86231">
        <w:rPr>
          <w:rStyle w:val="CommentReference"/>
          <w:b/>
          <w:szCs w:val="24"/>
        </w:rPr>
        <w:t xml:space="preserve">Summary of key adverse events in the </w:t>
      </w:r>
      <w:r>
        <w:rPr>
          <w:rStyle w:val="CommentReference"/>
          <w:b/>
          <w:szCs w:val="24"/>
        </w:rPr>
        <w:t xml:space="preserve">ADAURA </w:t>
      </w:r>
      <w:r w:rsidRPr="00D86231">
        <w:rPr>
          <w:rStyle w:val="CommentReference"/>
          <w:b/>
          <w:szCs w:val="24"/>
        </w:rPr>
        <w:t>trial</w:t>
      </w:r>
      <w:r>
        <w:rPr>
          <w:rStyle w:val="CommentReference"/>
          <w:b/>
          <w:szCs w:val="24"/>
        </w:rPr>
        <w:t xml:space="preserve"> (DCO2 11 April 2022)</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3539"/>
        <w:gridCol w:w="1843"/>
        <w:gridCol w:w="1843"/>
        <w:gridCol w:w="1792"/>
      </w:tblGrid>
      <w:tr w:rsidR="006471D6" w:rsidRPr="00080909" w14:paraId="7A07946E" w14:textId="77777777" w:rsidTr="00BA3F8A">
        <w:trPr>
          <w:tblHeader/>
        </w:trPr>
        <w:tc>
          <w:tcPr>
            <w:tcW w:w="3539" w:type="dxa"/>
            <w:vAlign w:val="center"/>
          </w:tcPr>
          <w:p w14:paraId="3AF06778" w14:textId="77777777" w:rsidR="006471D6" w:rsidRPr="00080909" w:rsidRDefault="006471D6" w:rsidP="00BA3F8A">
            <w:pPr>
              <w:pStyle w:val="In-tableHeading"/>
            </w:pPr>
            <w:r>
              <w:t>AE category</w:t>
            </w:r>
          </w:p>
        </w:tc>
        <w:tc>
          <w:tcPr>
            <w:tcW w:w="1843" w:type="dxa"/>
            <w:vAlign w:val="center"/>
          </w:tcPr>
          <w:p w14:paraId="33BE36C5" w14:textId="77777777" w:rsidR="006471D6" w:rsidRDefault="006471D6" w:rsidP="00BA3F8A">
            <w:pPr>
              <w:pStyle w:val="In-tableHeading"/>
              <w:jc w:val="center"/>
            </w:pPr>
            <w:r>
              <w:t>Osimertinib</w:t>
            </w:r>
          </w:p>
          <w:p w14:paraId="2347E4AE" w14:textId="77777777" w:rsidR="006471D6" w:rsidRDefault="006471D6" w:rsidP="00BA3F8A">
            <w:pPr>
              <w:pStyle w:val="In-tableHeading"/>
              <w:jc w:val="center"/>
            </w:pPr>
            <w:r>
              <w:t>N=337</w:t>
            </w:r>
          </w:p>
          <w:p w14:paraId="181CBB22" w14:textId="77777777" w:rsidR="006471D6" w:rsidRPr="00080909" w:rsidRDefault="006471D6" w:rsidP="00BA3F8A">
            <w:pPr>
              <w:pStyle w:val="In-tableHeading"/>
              <w:jc w:val="center"/>
            </w:pPr>
            <w:r>
              <w:t>n with event (%)</w:t>
            </w:r>
          </w:p>
        </w:tc>
        <w:tc>
          <w:tcPr>
            <w:tcW w:w="1843" w:type="dxa"/>
            <w:vAlign w:val="center"/>
          </w:tcPr>
          <w:p w14:paraId="2143CB9D" w14:textId="77777777" w:rsidR="006471D6" w:rsidRDefault="006471D6" w:rsidP="00BA3F8A">
            <w:pPr>
              <w:pStyle w:val="In-tableHeading"/>
              <w:jc w:val="center"/>
            </w:pPr>
            <w:r>
              <w:t>Placebo</w:t>
            </w:r>
          </w:p>
          <w:p w14:paraId="40E70BB8" w14:textId="77777777" w:rsidR="006471D6" w:rsidRDefault="006471D6" w:rsidP="00BA3F8A">
            <w:pPr>
              <w:pStyle w:val="In-tableHeading"/>
              <w:jc w:val="center"/>
            </w:pPr>
            <w:r>
              <w:t>N=343</w:t>
            </w:r>
          </w:p>
          <w:p w14:paraId="7AB968D5" w14:textId="77777777" w:rsidR="006471D6" w:rsidRPr="00080909" w:rsidRDefault="006471D6" w:rsidP="00BA3F8A">
            <w:pPr>
              <w:pStyle w:val="In-tableHeading"/>
              <w:jc w:val="center"/>
            </w:pPr>
            <w:r>
              <w:t>n with event (%)</w:t>
            </w:r>
          </w:p>
        </w:tc>
        <w:tc>
          <w:tcPr>
            <w:tcW w:w="1792" w:type="dxa"/>
            <w:vAlign w:val="center"/>
          </w:tcPr>
          <w:p w14:paraId="35F7AF29" w14:textId="77777777" w:rsidR="006471D6" w:rsidRPr="00183F67" w:rsidRDefault="006471D6" w:rsidP="00BA3F8A">
            <w:pPr>
              <w:pStyle w:val="In-tableHeading"/>
              <w:jc w:val="center"/>
              <w:rPr>
                <w:bCs/>
              </w:rPr>
            </w:pPr>
            <w:r w:rsidRPr="00183F67">
              <w:rPr>
                <w:bCs/>
              </w:rPr>
              <w:t>RD (95% CI)</w:t>
            </w:r>
          </w:p>
        </w:tc>
      </w:tr>
      <w:tr w:rsidR="006471D6" w14:paraId="6425F916" w14:textId="77777777" w:rsidTr="00BA3F8A">
        <w:tc>
          <w:tcPr>
            <w:tcW w:w="3539" w:type="dxa"/>
            <w:vAlign w:val="center"/>
          </w:tcPr>
          <w:p w14:paraId="0FD62651" w14:textId="77777777" w:rsidR="006471D6" w:rsidRDefault="006471D6" w:rsidP="00BA3F8A">
            <w:pPr>
              <w:pStyle w:val="Tabletext"/>
            </w:pPr>
            <w:r w:rsidRPr="00A459CA">
              <w:t xml:space="preserve">Any AE </w:t>
            </w:r>
          </w:p>
        </w:tc>
        <w:tc>
          <w:tcPr>
            <w:tcW w:w="1843" w:type="dxa"/>
            <w:vAlign w:val="center"/>
          </w:tcPr>
          <w:p w14:paraId="2588A9B3" w14:textId="77777777" w:rsidR="006471D6" w:rsidRDefault="006471D6" w:rsidP="00BA3F8A">
            <w:pPr>
              <w:pStyle w:val="Tabletext"/>
              <w:jc w:val="center"/>
            </w:pPr>
            <w:r w:rsidRPr="00A459CA">
              <w:t>330 (97.9)</w:t>
            </w:r>
          </w:p>
        </w:tc>
        <w:tc>
          <w:tcPr>
            <w:tcW w:w="1843" w:type="dxa"/>
            <w:vAlign w:val="center"/>
          </w:tcPr>
          <w:p w14:paraId="06E2FB51" w14:textId="77777777" w:rsidR="006471D6" w:rsidRDefault="006471D6" w:rsidP="00BA3F8A">
            <w:pPr>
              <w:pStyle w:val="Tabletext"/>
              <w:jc w:val="center"/>
            </w:pPr>
            <w:r w:rsidRPr="00A459CA">
              <w:t>309 (90.1)</w:t>
            </w:r>
          </w:p>
        </w:tc>
        <w:tc>
          <w:tcPr>
            <w:tcW w:w="1792" w:type="dxa"/>
            <w:vAlign w:val="center"/>
          </w:tcPr>
          <w:p w14:paraId="4CD00A3F" w14:textId="77777777" w:rsidR="006471D6" w:rsidRPr="00831D65" w:rsidRDefault="006471D6" w:rsidP="00BA3F8A">
            <w:pPr>
              <w:pStyle w:val="Tabletext"/>
              <w:jc w:val="center"/>
            </w:pPr>
            <w:r w:rsidRPr="00831D65">
              <w:t>0.08 (0.04, 0.11)</w:t>
            </w:r>
          </w:p>
        </w:tc>
      </w:tr>
      <w:tr w:rsidR="006471D6" w14:paraId="38A5D4C3" w14:textId="77777777" w:rsidTr="00BA3F8A">
        <w:tc>
          <w:tcPr>
            <w:tcW w:w="3539" w:type="dxa"/>
            <w:vAlign w:val="center"/>
          </w:tcPr>
          <w:p w14:paraId="1FD1B7E8" w14:textId="77777777" w:rsidR="006471D6" w:rsidRDefault="006471D6" w:rsidP="00BA3F8A">
            <w:pPr>
              <w:pStyle w:val="Tabletext"/>
            </w:pPr>
            <w:r w:rsidRPr="00A459CA">
              <w:t>Any AE causally related to treatment</w:t>
            </w:r>
          </w:p>
        </w:tc>
        <w:tc>
          <w:tcPr>
            <w:tcW w:w="1843" w:type="dxa"/>
            <w:vAlign w:val="center"/>
          </w:tcPr>
          <w:p w14:paraId="4B88FCDF" w14:textId="77777777" w:rsidR="006471D6" w:rsidRDefault="006471D6" w:rsidP="00BA3F8A">
            <w:pPr>
              <w:pStyle w:val="Tabletext"/>
              <w:jc w:val="center"/>
            </w:pPr>
            <w:r w:rsidRPr="00A459CA">
              <w:t>308 (91.4)</w:t>
            </w:r>
          </w:p>
        </w:tc>
        <w:tc>
          <w:tcPr>
            <w:tcW w:w="1843" w:type="dxa"/>
            <w:vAlign w:val="center"/>
          </w:tcPr>
          <w:p w14:paraId="6159DCB0" w14:textId="77777777" w:rsidR="006471D6" w:rsidRDefault="006471D6" w:rsidP="00BA3F8A">
            <w:pPr>
              <w:pStyle w:val="Tabletext"/>
              <w:jc w:val="center"/>
            </w:pPr>
            <w:r w:rsidRPr="00A459CA">
              <w:t>199 (58.0)</w:t>
            </w:r>
          </w:p>
        </w:tc>
        <w:tc>
          <w:tcPr>
            <w:tcW w:w="1792" w:type="dxa"/>
            <w:vAlign w:val="center"/>
          </w:tcPr>
          <w:p w14:paraId="4F74386F" w14:textId="77777777" w:rsidR="006471D6" w:rsidRPr="00831D65" w:rsidRDefault="006471D6" w:rsidP="00BA3F8A">
            <w:pPr>
              <w:pStyle w:val="Tabletext"/>
              <w:jc w:val="center"/>
            </w:pPr>
            <w:r w:rsidRPr="00831D65">
              <w:t>0.33 (0.27, 0.39)</w:t>
            </w:r>
          </w:p>
        </w:tc>
      </w:tr>
      <w:tr w:rsidR="006471D6" w14:paraId="386E4F37" w14:textId="77777777" w:rsidTr="00BA3F8A">
        <w:tc>
          <w:tcPr>
            <w:tcW w:w="3539" w:type="dxa"/>
            <w:vAlign w:val="center"/>
          </w:tcPr>
          <w:p w14:paraId="4CE01FE5" w14:textId="77777777" w:rsidR="006471D6" w:rsidRDefault="006471D6" w:rsidP="00BA3F8A">
            <w:pPr>
              <w:pStyle w:val="Tabletext"/>
            </w:pPr>
            <w:r w:rsidRPr="00A459CA">
              <w:t xml:space="preserve">Any AE of CTCAE grade 3 or higher </w:t>
            </w:r>
          </w:p>
        </w:tc>
        <w:tc>
          <w:tcPr>
            <w:tcW w:w="1843" w:type="dxa"/>
            <w:vAlign w:val="center"/>
          </w:tcPr>
          <w:p w14:paraId="4D3472FA" w14:textId="77777777" w:rsidR="006471D6" w:rsidRDefault="006471D6" w:rsidP="00BA3F8A">
            <w:pPr>
              <w:pStyle w:val="Tabletext"/>
              <w:jc w:val="center"/>
            </w:pPr>
            <w:r w:rsidRPr="00A459CA">
              <w:t>79 (23.4)</w:t>
            </w:r>
          </w:p>
        </w:tc>
        <w:tc>
          <w:tcPr>
            <w:tcW w:w="1843" w:type="dxa"/>
            <w:vAlign w:val="center"/>
          </w:tcPr>
          <w:p w14:paraId="702BB20A" w14:textId="77777777" w:rsidR="006471D6" w:rsidRDefault="006471D6" w:rsidP="00BA3F8A">
            <w:pPr>
              <w:pStyle w:val="Tabletext"/>
              <w:jc w:val="center"/>
            </w:pPr>
            <w:r w:rsidRPr="00A459CA">
              <w:t>48 (14.0)</w:t>
            </w:r>
          </w:p>
        </w:tc>
        <w:tc>
          <w:tcPr>
            <w:tcW w:w="1792" w:type="dxa"/>
            <w:vAlign w:val="center"/>
          </w:tcPr>
          <w:p w14:paraId="575A25F0" w14:textId="77777777" w:rsidR="006471D6" w:rsidRPr="00831D65" w:rsidRDefault="006471D6" w:rsidP="00BA3F8A">
            <w:pPr>
              <w:pStyle w:val="Tabletext"/>
              <w:jc w:val="center"/>
            </w:pPr>
            <w:r w:rsidRPr="00831D65">
              <w:t>0.09 (0.04, 0.15)</w:t>
            </w:r>
          </w:p>
        </w:tc>
      </w:tr>
      <w:tr w:rsidR="006471D6" w14:paraId="7042A2E8" w14:textId="77777777" w:rsidTr="00BA3F8A">
        <w:tc>
          <w:tcPr>
            <w:tcW w:w="3539" w:type="dxa"/>
            <w:vAlign w:val="center"/>
          </w:tcPr>
          <w:p w14:paraId="7AE1C173" w14:textId="77777777" w:rsidR="006471D6" w:rsidRDefault="006471D6" w:rsidP="00BA3F8A">
            <w:pPr>
              <w:pStyle w:val="Tabletext"/>
            </w:pPr>
            <w:r w:rsidRPr="00A459CA">
              <w:t xml:space="preserve">Any AE of CTCAE grade 3 or higher causally related to treatment </w:t>
            </w:r>
          </w:p>
        </w:tc>
        <w:tc>
          <w:tcPr>
            <w:tcW w:w="1843" w:type="dxa"/>
            <w:vAlign w:val="center"/>
          </w:tcPr>
          <w:p w14:paraId="41C75C20" w14:textId="77777777" w:rsidR="006471D6" w:rsidRDefault="006471D6" w:rsidP="00BA3F8A">
            <w:pPr>
              <w:pStyle w:val="Tabletext"/>
              <w:jc w:val="center"/>
            </w:pPr>
            <w:r w:rsidRPr="00A459CA">
              <w:t>36 (10.7)</w:t>
            </w:r>
          </w:p>
        </w:tc>
        <w:tc>
          <w:tcPr>
            <w:tcW w:w="1843" w:type="dxa"/>
            <w:vAlign w:val="center"/>
          </w:tcPr>
          <w:p w14:paraId="18262180" w14:textId="77777777" w:rsidR="006471D6" w:rsidRDefault="006471D6" w:rsidP="00BA3F8A">
            <w:pPr>
              <w:pStyle w:val="Tabletext"/>
              <w:jc w:val="center"/>
            </w:pPr>
            <w:r w:rsidRPr="00A459CA">
              <w:t>7 (2.0)</w:t>
            </w:r>
          </w:p>
        </w:tc>
        <w:tc>
          <w:tcPr>
            <w:tcW w:w="1792" w:type="dxa"/>
            <w:vAlign w:val="center"/>
          </w:tcPr>
          <w:p w14:paraId="09DFF83B" w14:textId="77777777" w:rsidR="006471D6" w:rsidRPr="00831D65" w:rsidRDefault="006471D6" w:rsidP="00BA3F8A">
            <w:pPr>
              <w:pStyle w:val="Tabletext"/>
              <w:jc w:val="center"/>
            </w:pPr>
            <w:r w:rsidRPr="00831D65">
              <w:t>0.09 (0.05, 0.12)</w:t>
            </w:r>
          </w:p>
        </w:tc>
      </w:tr>
      <w:tr w:rsidR="006471D6" w14:paraId="24A6831F" w14:textId="77777777" w:rsidTr="00BA3F8A">
        <w:tc>
          <w:tcPr>
            <w:tcW w:w="3539" w:type="dxa"/>
            <w:vAlign w:val="center"/>
          </w:tcPr>
          <w:p w14:paraId="47709651" w14:textId="77777777" w:rsidR="006471D6" w:rsidRDefault="006471D6" w:rsidP="00BA3F8A">
            <w:pPr>
              <w:pStyle w:val="Tabletext"/>
            </w:pPr>
            <w:r w:rsidRPr="00A459CA">
              <w:t>Death</w:t>
            </w:r>
          </w:p>
        </w:tc>
        <w:tc>
          <w:tcPr>
            <w:tcW w:w="1843" w:type="dxa"/>
            <w:vAlign w:val="center"/>
          </w:tcPr>
          <w:p w14:paraId="45437AF7" w14:textId="77777777" w:rsidR="006471D6" w:rsidRDefault="006471D6" w:rsidP="00BA3F8A">
            <w:pPr>
              <w:pStyle w:val="Tabletext"/>
              <w:jc w:val="center"/>
            </w:pPr>
            <w:r w:rsidRPr="00A459CA">
              <w:t>1 (0.3)</w:t>
            </w:r>
          </w:p>
        </w:tc>
        <w:tc>
          <w:tcPr>
            <w:tcW w:w="1843" w:type="dxa"/>
            <w:vAlign w:val="center"/>
          </w:tcPr>
          <w:p w14:paraId="48D131E4" w14:textId="77777777" w:rsidR="006471D6" w:rsidRDefault="006471D6" w:rsidP="00BA3F8A">
            <w:pPr>
              <w:pStyle w:val="Tabletext"/>
              <w:jc w:val="center"/>
            </w:pPr>
            <w:r w:rsidRPr="00A459CA">
              <w:t>2 (0.6)</w:t>
            </w:r>
          </w:p>
        </w:tc>
        <w:tc>
          <w:tcPr>
            <w:tcW w:w="1792" w:type="dxa"/>
            <w:vAlign w:val="center"/>
          </w:tcPr>
          <w:p w14:paraId="1C73E1B4" w14:textId="77777777" w:rsidR="006471D6" w:rsidRPr="00831D65" w:rsidRDefault="006471D6" w:rsidP="00BA3F8A">
            <w:pPr>
              <w:pStyle w:val="Tabletext"/>
              <w:jc w:val="center"/>
            </w:pPr>
            <w:r w:rsidRPr="00831D65">
              <w:noBreakHyphen/>
              <w:t>0.00 (</w:t>
            </w:r>
            <w:r w:rsidRPr="00831D65">
              <w:noBreakHyphen/>
              <w:t>0.01, 0.01)</w:t>
            </w:r>
          </w:p>
        </w:tc>
      </w:tr>
      <w:tr w:rsidR="006471D6" w14:paraId="22AFF2DF" w14:textId="77777777" w:rsidTr="00BA3F8A">
        <w:tc>
          <w:tcPr>
            <w:tcW w:w="3539" w:type="dxa"/>
            <w:vAlign w:val="center"/>
          </w:tcPr>
          <w:p w14:paraId="2300EFBD" w14:textId="77777777" w:rsidR="006471D6" w:rsidRDefault="006471D6" w:rsidP="00BA3F8A">
            <w:pPr>
              <w:pStyle w:val="Tabletext"/>
            </w:pPr>
            <w:r w:rsidRPr="00A459CA">
              <w:t>Death causally related to treatment</w:t>
            </w:r>
            <w:r>
              <w:rPr>
                <w:vertAlign w:val="superscript"/>
              </w:rPr>
              <w:t>a</w:t>
            </w:r>
            <w:r w:rsidRPr="00A459CA">
              <w:t xml:space="preserve"> </w:t>
            </w:r>
          </w:p>
        </w:tc>
        <w:tc>
          <w:tcPr>
            <w:tcW w:w="1843" w:type="dxa"/>
            <w:vAlign w:val="center"/>
          </w:tcPr>
          <w:p w14:paraId="75F9F754" w14:textId="77777777" w:rsidR="006471D6" w:rsidRDefault="006471D6" w:rsidP="00BA3F8A">
            <w:pPr>
              <w:pStyle w:val="Tabletext"/>
              <w:jc w:val="center"/>
            </w:pPr>
            <w:r w:rsidRPr="00A459CA">
              <w:t>0</w:t>
            </w:r>
          </w:p>
        </w:tc>
        <w:tc>
          <w:tcPr>
            <w:tcW w:w="1843" w:type="dxa"/>
            <w:vAlign w:val="center"/>
          </w:tcPr>
          <w:p w14:paraId="11925146" w14:textId="77777777" w:rsidR="006471D6" w:rsidRDefault="006471D6" w:rsidP="00BA3F8A">
            <w:pPr>
              <w:pStyle w:val="Tabletext"/>
              <w:jc w:val="center"/>
            </w:pPr>
            <w:r w:rsidRPr="00A459CA">
              <w:t>0</w:t>
            </w:r>
          </w:p>
        </w:tc>
        <w:tc>
          <w:tcPr>
            <w:tcW w:w="1792" w:type="dxa"/>
            <w:vAlign w:val="center"/>
          </w:tcPr>
          <w:p w14:paraId="3544925E" w14:textId="77777777" w:rsidR="006471D6" w:rsidRPr="00831D65" w:rsidRDefault="006471D6" w:rsidP="00BA3F8A">
            <w:pPr>
              <w:pStyle w:val="Tabletext"/>
              <w:jc w:val="center"/>
            </w:pPr>
            <w:r w:rsidRPr="00831D65">
              <w:t>0.00 (</w:t>
            </w:r>
            <w:r w:rsidRPr="00831D65">
              <w:noBreakHyphen/>
              <w:t>0.01, 0.01)</w:t>
            </w:r>
          </w:p>
        </w:tc>
      </w:tr>
      <w:tr w:rsidR="006471D6" w14:paraId="7EDF5C1D" w14:textId="77777777" w:rsidTr="00BA3F8A">
        <w:tc>
          <w:tcPr>
            <w:tcW w:w="3539" w:type="dxa"/>
            <w:vAlign w:val="center"/>
          </w:tcPr>
          <w:p w14:paraId="53051CDE" w14:textId="77777777" w:rsidR="006471D6" w:rsidRDefault="006471D6" w:rsidP="00BA3F8A">
            <w:pPr>
              <w:pStyle w:val="Tabletext"/>
            </w:pPr>
            <w:r w:rsidRPr="00A459CA">
              <w:t xml:space="preserve">Any SAE </w:t>
            </w:r>
          </w:p>
        </w:tc>
        <w:tc>
          <w:tcPr>
            <w:tcW w:w="1843" w:type="dxa"/>
            <w:vAlign w:val="center"/>
          </w:tcPr>
          <w:p w14:paraId="063151E9" w14:textId="77777777" w:rsidR="006471D6" w:rsidRDefault="006471D6" w:rsidP="00BA3F8A">
            <w:pPr>
              <w:pStyle w:val="Tabletext"/>
              <w:jc w:val="center"/>
            </w:pPr>
            <w:r w:rsidRPr="00A459CA">
              <w:t>68 (20.2)</w:t>
            </w:r>
          </w:p>
        </w:tc>
        <w:tc>
          <w:tcPr>
            <w:tcW w:w="1843" w:type="dxa"/>
            <w:vAlign w:val="center"/>
          </w:tcPr>
          <w:p w14:paraId="2D200248" w14:textId="77777777" w:rsidR="006471D6" w:rsidRDefault="006471D6" w:rsidP="00BA3F8A">
            <w:pPr>
              <w:pStyle w:val="Tabletext"/>
              <w:jc w:val="center"/>
            </w:pPr>
            <w:r w:rsidRPr="00A459CA">
              <w:t>47 (13.7)</w:t>
            </w:r>
          </w:p>
        </w:tc>
        <w:tc>
          <w:tcPr>
            <w:tcW w:w="1792" w:type="dxa"/>
            <w:vAlign w:val="center"/>
          </w:tcPr>
          <w:p w14:paraId="40044532" w14:textId="77777777" w:rsidR="006471D6" w:rsidRPr="00831D65" w:rsidRDefault="006471D6" w:rsidP="00BA3F8A">
            <w:pPr>
              <w:pStyle w:val="Tabletext"/>
              <w:jc w:val="center"/>
            </w:pPr>
            <w:r w:rsidRPr="00831D65">
              <w:t>0.06 (0.01, 0.12)</w:t>
            </w:r>
          </w:p>
        </w:tc>
      </w:tr>
      <w:tr w:rsidR="006471D6" w14:paraId="64DE936D" w14:textId="77777777" w:rsidTr="00BA3F8A">
        <w:tc>
          <w:tcPr>
            <w:tcW w:w="3539" w:type="dxa"/>
            <w:vAlign w:val="center"/>
          </w:tcPr>
          <w:p w14:paraId="59DDB347" w14:textId="77777777" w:rsidR="006471D6" w:rsidRDefault="006471D6" w:rsidP="00BA3F8A">
            <w:pPr>
              <w:pStyle w:val="Tabletext"/>
            </w:pPr>
            <w:r w:rsidRPr="00A459CA">
              <w:t>Any SAE causally related to treatment</w:t>
            </w:r>
            <w:r>
              <w:rPr>
                <w:vertAlign w:val="superscript"/>
              </w:rPr>
              <w:t>a</w:t>
            </w:r>
            <w:r w:rsidRPr="00A459CA">
              <w:t xml:space="preserve"> </w:t>
            </w:r>
          </w:p>
        </w:tc>
        <w:tc>
          <w:tcPr>
            <w:tcW w:w="1843" w:type="dxa"/>
            <w:vAlign w:val="center"/>
          </w:tcPr>
          <w:p w14:paraId="2933969E" w14:textId="77777777" w:rsidR="006471D6" w:rsidRDefault="006471D6" w:rsidP="00BA3F8A">
            <w:pPr>
              <w:pStyle w:val="Tabletext"/>
              <w:jc w:val="center"/>
            </w:pPr>
            <w:r w:rsidRPr="00A459CA">
              <w:t>10 (3.0)</w:t>
            </w:r>
          </w:p>
        </w:tc>
        <w:tc>
          <w:tcPr>
            <w:tcW w:w="1843" w:type="dxa"/>
            <w:vAlign w:val="center"/>
          </w:tcPr>
          <w:p w14:paraId="3B25ED7C" w14:textId="77777777" w:rsidR="006471D6" w:rsidRDefault="006471D6" w:rsidP="00BA3F8A">
            <w:pPr>
              <w:pStyle w:val="Tabletext"/>
              <w:jc w:val="center"/>
            </w:pPr>
            <w:r w:rsidRPr="00A459CA">
              <w:t>2 (0.6)</w:t>
            </w:r>
          </w:p>
        </w:tc>
        <w:tc>
          <w:tcPr>
            <w:tcW w:w="1792" w:type="dxa"/>
            <w:vAlign w:val="center"/>
          </w:tcPr>
          <w:p w14:paraId="39148FD4" w14:textId="77777777" w:rsidR="006471D6" w:rsidRPr="00831D65" w:rsidRDefault="006471D6" w:rsidP="00BA3F8A">
            <w:pPr>
              <w:pStyle w:val="Tabletext"/>
              <w:jc w:val="center"/>
            </w:pPr>
            <w:r w:rsidRPr="00831D65">
              <w:t>0.02 (0.00, 0.04)</w:t>
            </w:r>
          </w:p>
        </w:tc>
      </w:tr>
      <w:tr w:rsidR="006471D6" w14:paraId="60C62DBB" w14:textId="77777777" w:rsidTr="00BA3F8A">
        <w:tc>
          <w:tcPr>
            <w:tcW w:w="3539" w:type="dxa"/>
            <w:vAlign w:val="center"/>
          </w:tcPr>
          <w:p w14:paraId="49CAAD84" w14:textId="77777777" w:rsidR="006471D6" w:rsidRDefault="006471D6" w:rsidP="00BA3F8A">
            <w:pPr>
              <w:pStyle w:val="Tabletext"/>
            </w:pPr>
            <w:r w:rsidRPr="00A459CA">
              <w:t xml:space="preserve">Any AE leading to discontinuation of treatment </w:t>
            </w:r>
          </w:p>
        </w:tc>
        <w:tc>
          <w:tcPr>
            <w:tcW w:w="1843" w:type="dxa"/>
            <w:vAlign w:val="center"/>
          </w:tcPr>
          <w:p w14:paraId="7F6F7086" w14:textId="77777777" w:rsidR="006471D6" w:rsidRDefault="006471D6" w:rsidP="00BA3F8A">
            <w:pPr>
              <w:pStyle w:val="Tabletext"/>
              <w:jc w:val="center"/>
            </w:pPr>
            <w:r w:rsidRPr="00A459CA">
              <w:t>43 (12.8)</w:t>
            </w:r>
          </w:p>
        </w:tc>
        <w:tc>
          <w:tcPr>
            <w:tcW w:w="1843" w:type="dxa"/>
            <w:vAlign w:val="center"/>
          </w:tcPr>
          <w:p w14:paraId="713CC122" w14:textId="77777777" w:rsidR="006471D6" w:rsidRDefault="006471D6" w:rsidP="00BA3F8A">
            <w:pPr>
              <w:pStyle w:val="Tabletext"/>
              <w:jc w:val="center"/>
            </w:pPr>
            <w:r w:rsidRPr="00A459CA">
              <w:t>9 (2.6)</w:t>
            </w:r>
          </w:p>
        </w:tc>
        <w:tc>
          <w:tcPr>
            <w:tcW w:w="1792" w:type="dxa"/>
            <w:vAlign w:val="center"/>
          </w:tcPr>
          <w:p w14:paraId="42CA2A51" w14:textId="77777777" w:rsidR="006471D6" w:rsidRPr="00831D65" w:rsidRDefault="006471D6" w:rsidP="00BA3F8A">
            <w:pPr>
              <w:pStyle w:val="Tabletext"/>
              <w:jc w:val="center"/>
            </w:pPr>
            <w:r w:rsidRPr="00831D65">
              <w:t>0.10 (0.06, 0.14)</w:t>
            </w:r>
          </w:p>
        </w:tc>
      </w:tr>
      <w:tr w:rsidR="006471D6" w14:paraId="22194EED" w14:textId="77777777" w:rsidTr="00BA3F8A">
        <w:tc>
          <w:tcPr>
            <w:tcW w:w="3539" w:type="dxa"/>
            <w:vAlign w:val="center"/>
          </w:tcPr>
          <w:p w14:paraId="2DD543A3" w14:textId="77777777" w:rsidR="006471D6" w:rsidRDefault="006471D6" w:rsidP="00BA3F8A">
            <w:pPr>
              <w:pStyle w:val="Tabletext"/>
            </w:pPr>
            <w:r w:rsidRPr="00A459CA">
              <w:t xml:space="preserve">Any AE leading to discontinuation of treatment causally related to treatment </w:t>
            </w:r>
          </w:p>
        </w:tc>
        <w:tc>
          <w:tcPr>
            <w:tcW w:w="1843" w:type="dxa"/>
            <w:vAlign w:val="center"/>
          </w:tcPr>
          <w:p w14:paraId="6990A2D9" w14:textId="77777777" w:rsidR="006471D6" w:rsidRDefault="006471D6" w:rsidP="00BA3F8A">
            <w:pPr>
              <w:pStyle w:val="Tabletext"/>
              <w:jc w:val="center"/>
            </w:pPr>
            <w:r w:rsidRPr="00A459CA">
              <w:t>35 (10.4)</w:t>
            </w:r>
          </w:p>
        </w:tc>
        <w:tc>
          <w:tcPr>
            <w:tcW w:w="1843" w:type="dxa"/>
            <w:vAlign w:val="center"/>
          </w:tcPr>
          <w:p w14:paraId="6CC4487A" w14:textId="77777777" w:rsidR="006471D6" w:rsidRDefault="006471D6" w:rsidP="00BA3F8A">
            <w:pPr>
              <w:pStyle w:val="Tabletext"/>
              <w:jc w:val="center"/>
            </w:pPr>
            <w:r w:rsidRPr="00A459CA">
              <w:t>5 (1.5)</w:t>
            </w:r>
          </w:p>
        </w:tc>
        <w:tc>
          <w:tcPr>
            <w:tcW w:w="1792" w:type="dxa"/>
            <w:vAlign w:val="center"/>
          </w:tcPr>
          <w:p w14:paraId="411D74DE" w14:textId="77777777" w:rsidR="006471D6" w:rsidRPr="00831D65" w:rsidRDefault="006471D6" w:rsidP="00BA3F8A">
            <w:pPr>
              <w:pStyle w:val="Tabletext"/>
              <w:jc w:val="center"/>
            </w:pPr>
            <w:r w:rsidRPr="00831D65">
              <w:t>0.09 (0.05, 0.12)</w:t>
            </w:r>
          </w:p>
        </w:tc>
      </w:tr>
      <w:tr w:rsidR="006471D6" w14:paraId="5BD7B132" w14:textId="77777777" w:rsidTr="00BA3F8A">
        <w:tc>
          <w:tcPr>
            <w:tcW w:w="3539" w:type="dxa"/>
            <w:vAlign w:val="center"/>
          </w:tcPr>
          <w:p w14:paraId="3FF5B19D" w14:textId="77777777" w:rsidR="006471D6" w:rsidRDefault="006471D6" w:rsidP="00BA3F8A">
            <w:pPr>
              <w:pStyle w:val="Tabletext"/>
            </w:pPr>
            <w:r w:rsidRPr="00A459CA">
              <w:t xml:space="preserve">Any AE leading to dose modification </w:t>
            </w:r>
          </w:p>
        </w:tc>
        <w:tc>
          <w:tcPr>
            <w:tcW w:w="1843" w:type="dxa"/>
            <w:vAlign w:val="center"/>
          </w:tcPr>
          <w:p w14:paraId="4FABB3DE" w14:textId="77777777" w:rsidR="006471D6" w:rsidRDefault="006471D6" w:rsidP="00BA3F8A">
            <w:pPr>
              <w:pStyle w:val="Tabletext"/>
              <w:jc w:val="center"/>
            </w:pPr>
            <w:r w:rsidRPr="00A459CA">
              <w:t>115 (34.1)</w:t>
            </w:r>
          </w:p>
        </w:tc>
        <w:tc>
          <w:tcPr>
            <w:tcW w:w="1843" w:type="dxa"/>
            <w:vAlign w:val="center"/>
          </w:tcPr>
          <w:p w14:paraId="092031B4" w14:textId="77777777" w:rsidR="006471D6" w:rsidRDefault="006471D6" w:rsidP="00BA3F8A">
            <w:pPr>
              <w:pStyle w:val="Tabletext"/>
              <w:jc w:val="center"/>
            </w:pPr>
            <w:r w:rsidRPr="00A459CA">
              <w:t>45 (13.1)</w:t>
            </w:r>
          </w:p>
        </w:tc>
        <w:tc>
          <w:tcPr>
            <w:tcW w:w="1792" w:type="dxa"/>
            <w:vAlign w:val="center"/>
          </w:tcPr>
          <w:p w14:paraId="331F8901" w14:textId="77777777" w:rsidR="006471D6" w:rsidRPr="00831D65" w:rsidRDefault="006471D6" w:rsidP="00BA3F8A">
            <w:pPr>
              <w:pStyle w:val="Tabletext"/>
              <w:jc w:val="center"/>
            </w:pPr>
            <w:r w:rsidRPr="00831D65">
              <w:t>0.21 (0.15, 0.27)</w:t>
            </w:r>
          </w:p>
        </w:tc>
      </w:tr>
      <w:tr w:rsidR="006471D6" w14:paraId="702CC1E7" w14:textId="77777777" w:rsidTr="00BA3F8A">
        <w:tc>
          <w:tcPr>
            <w:tcW w:w="3539" w:type="dxa"/>
            <w:vAlign w:val="center"/>
          </w:tcPr>
          <w:p w14:paraId="7CB5B017" w14:textId="77777777" w:rsidR="006471D6" w:rsidRDefault="006471D6" w:rsidP="00BA3F8A">
            <w:pPr>
              <w:pStyle w:val="Tabletext"/>
            </w:pPr>
            <w:r w:rsidRPr="00A459CA">
              <w:t xml:space="preserve">Any AE leading to dose reduction </w:t>
            </w:r>
          </w:p>
        </w:tc>
        <w:tc>
          <w:tcPr>
            <w:tcW w:w="1843" w:type="dxa"/>
            <w:vAlign w:val="center"/>
          </w:tcPr>
          <w:p w14:paraId="613155E5" w14:textId="77777777" w:rsidR="006471D6" w:rsidRDefault="006471D6" w:rsidP="00BA3F8A">
            <w:pPr>
              <w:pStyle w:val="Tabletext"/>
              <w:jc w:val="center"/>
            </w:pPr>
            <w:r w:rsidRPr="00A459CA">
              <w:t>42 (12.5)</w:t>
            </w:r>
          </w:p>
        </w:tc>
        <w:tc>
          <w:tcPr>
            <w:tcW w:w="1843" w:type="dxa"/>
            <w:vAlign w:val="center"/>
          </w:tcPr>
          <w:p w14:paraId="3CB90FA1" w14:textId="77777777" w:rsidR="006471D6" w:rsidRDefault="006471D6" w:rsidP="00BA3F8A">
            <w:pPr>
              <w:pStyle w:val="Tabletext"/>
              <w:jc w:val="center"/>
            </w:pPr>
            <w:r w:rsidRPr="00A459CA">
              <w:t>3 (0.9)</w:t>
            </w:r>
          </w:p>
        </w:tc>
        <w:tc>
          <w:tcPr>
            <w:tcW w:w="1792" w:type="dxa"/>
            <w:vAlign w:val="center"/>
          </w:tcPr>
          <w:p w14:paraId="22995A5F" w14:textId="77777777" w:rsidR="006471D6" w:rsidRPr="00831D65" w:rsidRDefault="006471D6" w:rsidP="00BA3F8A">
            <w:pPr>
              <w:pStyle w:val="Tabletext"/>
              <w:jc w:val="center"/>
            </w:pPr>
            <w:r w:rsidRPr="00831D65">
              <w:t>0.12 (0.08, 0.15)</w:t>
            </w:r>
          </w:p>
        </w:tc>
      </w:tr>
      <w:tr w:rsidR="006471D6" w14:paraId="50D036D5" w14:textId="77777777" w:rsidTr="00BA3F8A">
        <w:tc>
          <w:tcPr>
            <w:tcW w:w="3539" w:type="dxa"/>
            <w:vAlign w:val="center"/>
          </w:tcPr>
          <w:p w14:paraId="0017C17E" w14:textId="77777777" w:rsidR="006471D6" w:rsidRDefault="006471D6" w:rsidP="00BA3F8A">
            <w:pPr>
              <w:pStyle w:val="Tabletext"/>
            </w:pPr>
            <w:r w:rsidRPr="00A459CA">
              <w:t xml:space="preserve">Any AE leading to dose interruption </w:t>
            </w:r>
          </w:p>
        </w:tc>
        <w:tc>
          <w:tcPr>
            <w:tcW w:w="1843" w:type="dxa"/>
            <w:vAlign w:val="center"/>
          </w:tcPr>
          <w:p w14:paraId="2A66BAF1" w14:textId="77777777" w:rsidR="006471D6" w:rsidRDefault="006471D6" w:rsidP="00BA3F8A">
            <w:pPr>
              <w:pStyle w:val="Tabletext"/>
              <w:jc w:val="center"/>
            </w:pPr>
            <w:r w:rsidRPr="00A459CA">
              <w:t>91 (27.0)</w:t>
            </w:r>
          </w:p>
        </w:tc>
        <w:tc>
          <w:tcPr>
            <w:tcW w:w="1843" w:type="dxa"/>
            <w:vAlign w:val="center"/>
          </w:tcPr>
          <w:p w14:paraId="421E83EC" w14:textId="77777777" w:rsidR="006471D6" w:rsidRDefault="006471D6" w:rsidP="00BA3F8A">
            <w:pPr>
              <w:pStyle w:val="Tabletext"/>
              <w:jc w:val="center"/>
            </w:pPr>
            <w:r w:rsidRPr="00A459CA">
              <w:t>43 (12.5)</w:t>
            </w:r>
          </w:p>
        </w:tc>
        <w:tc>
          <w:tcPr>
            <w:tcW w:w="1792" w:type="dxa"/>
            <w:vAlign w:val="center"/>
          </w:tcPr>
          <w:p w14:paraId="27B7CA14" w14:textId="77777777" w:rsidR="006471D6" w:rsidRPr="00831D65" w:rsidRDefault="006471D6" w:rsidP="00BA3F8A">
            <w:pPr>
              <w:pStyle w:val="Tabletext"/>
              <w:jc w:val="center"/>
            </w:pPr>
            <w:r w:rsidRPr="00831D65">
              <w:t>0.14 (0.09, 0.20)</w:t>
            </w:r>
          </w:p>
        </w:tc>
      </w:tr>
    </w:tbl>
    <w:p w14:paraId="5ED473DA" w14:textId="77777777" w:rsidR="006471D6" w:rsidRPr="00B1011F" w:rsidRDefault="006471D6" w:rsidP="006471D6">
      <w:pPr>
        <w:pStyle w:val="FooterTableFigure"/>
        <w:rPr>
          <w:sz w:val="20"/>
        </w:rPr>
      </w:pPr>
      <w:r>
        <w:t xml:space="preserve">Source: Table 2.5-9, p70 </w:t>
      </w:r>
      <w:r w:rsidRPr="00D13A3E">
        <w:t xml:space="preserve">of the </w:t>
      </w:r>
      <w:r>
        <w:t>submission.</w:t>
      </w:r>
    </w:p>
    <w:p w14:paraId="176D504F" w14:textId="77777777" w:rsidR="006471D6" w:rsidRDefault="006471D6" w:rsidP="006471D6">
      <w:pPr>
        <w:pStyle w:val="FooterTableFigure"/>
        <w:rPr>
          <w:rFonts w:eastAsia="Calibri"/>
        </w:rPr>
      </w:pPr>
      <w:r>
        <w:rPr>
          <w:rFonts w:eastAsia="Calibri"/>
        </w:rPr>
        <w:t xml:space="preserve">AE = adverse event; </w:t>
      </w:r>
      <w:r w:rsidRPr="00B40358">
        <w:rPr>
          <w:rFonts w:eastAsia="Calibri"/>
        </w:rPr>
        <w:t xml:space="preserve">CI = confidence interval; </w:t>
      </w:r>
      <w:r>
        <w:rPr>
          <w:rFonts w:eastAsia="Calibri"/>
        </w:rPr>
        <w:t xml:space="preserve">CTCAE = </w:t>
      </w:r>
      <w:r w:rsidRPr="00981D98">
        <w:rPr>
          <w:rFonts w:eastAsia="Calibri"/>
        </w:rPr>
        <w:t>common terminology criteria for adverse events;</w:t>
      </w:r>
      <w:r>
        <w:rPr>
          <w:rFonts w:eastAsia="Calibri"/>
        </w:rPr>
        <w:t xml:space="preserve"> </w:t>
      </w:r>
      <w:r w:rsidRPr="00B40358">
        <w:rPr>
          <w:rFonts w:eastAsia="Calibri"/>
        </w:rPr>
        <w:t>n = number of participants reporting data; N = total participants in group</w:t>
      </w:r>
      <w:r>
        <w:rPr>
          <w:rFonts w:eastAsia="Calibri"/>
        </w:rPr>
        <w:t xml:space="preserve">; RD = risk difference; SAE = </w:t>
      </w:r>
      <w:r w:rsidRPr="00981D98">
        <w:rPr>
          <w:rFonts w:eastAsia="Calibri"/>
        </w:rPr>
        <w:t>serious adverse event</w:t>
      </w:r>
      <w:r>
        <w:rPr>
          <w:rFonts w:eastAsia="Calibri"/>
        </w:rPr>
        <w:t>; SoC = standard of care.</w:t>
      </w:r>
    </w:p>
    <w:p w14:paraId="57AE9F92" w14:textId="77777777" w:rsidR="006471D6" w:rsidRDefault="006471D6" w:rsidP="006471D6">
      <w:pPr>
        <w:pStyle w:val="FooterTableFigure"/>
        <w:rPr>
          <w:rFonts w:eastAsia="Calibri"/>
        </w:rPr>
      </w:pPr>
      <w:r>
        <w:rPr>
          <w:rFonts w:eastAsia="Calibri"/>
          <w:vertAlign w:val="superscript"/>
        </w:rPr>
        <w:t>a</w:t>
      </w:r>
      <w:r>
        <w:rPr>
          <w:rFonts w:eastAsia="Calibri"/>
          <w:vertAlign w:val="superscript"/>
        </w:rPr>
        <w:tab/>
      </w:r>
      <w:r>
        <w:rPr>
          <w:rFonts w:eastAsia="Calibri"/>
        </w:rPr>
        <w:t>As assessed by investigator</w:t>
      </w:r>
    </w:p>
    <w:p w14:paraId="612C78B5" w14:textId="362C146E" w:rsidR="006471D6" w:rsidRPr="00E00858" w:rsidRDefault="006471D6" w:rsidP="006471D6">
      <w:pPr>
        <w:pStyle w:val="3-BodyText"/>
        <w:rPr>
          <w:rFonts w:eastAsia="Calibri"/>
        </w:rPr>
      </w:pPr>
      <w:r>
        <w:t xml:space="preserve">Most AEs reported in ADAURA were of mild to moderate severity (76.6% in the osimertinib arm and 86% in the placebo arm). The most common AEs of common terminology criteria for adverse events (CTCAE) ≥ Grade 3 were diarrhoea, stomatitis, pneumonia, and prolonged QT interval in the osimertinib arm; and pneumonia and hypertension in the placebo arm. Of the 36 patients (10.7%) who had CTCAE AEs ≥ Grade 3 considered by the investigator to be causally related to osimertinib treatment, including paronychia (nail fold infection) (n=3), stomatitis (inflammation of oral mucosa such as mouth ulcers) (n=5), diarrhoea (n=7), prolonged QT interval (n=4), decreased left ventricular ejection fraction (n=2), and decreased appetite (n=2) were reported as causally related in ≥ 2 patients. These AEs (except for decreased appetite and decreased ejection fraction) were consistent with the known osimertinib safety profile. </w:t>
      </w:r>
      <w:r w:rsidRPr="000853E6">
        <w:rPr>
          <w:iCs/>
        </w:rPr>
        <w:t>The PI was updated to include a special warning for changes in cardiac contractility (Section 4.4, Tagrisso PI).</w:t>
      </w:r>
      <w:r w:rsidRPr="00E00858">
        <w:rPr>
          <w:i/>
        </w:rPr>
        <w:t xml:space="preserve"> </w:t>
      </w:r>
    </w:p>
    <w:p w14:paraId="021F9B56" w14:textId="77777777" w:rsidR="006471D6" w:rsidRPr="00C9624D" w:rsidRDefault="006471D6" w:rsidP="006471D6">
      <w:pPr>
        <w:pStyle w:val="4-SubsectionHeading"/>
      </w:pPr>
      <w:bookmarkStart w:id="33" w:name="_Toc145434786"/>
      <w:r w:rsidRPr="00C9624D">
        <w:t>Benefits/harms</w:t>
      </w:r>
      <w:bookmarkEnd w:id="33"/>
    </w:p>
    <w:p w14:paraId="1196F515" w14:textId="3D480427" w:rsidR="006471D6" w:rsidRPr="00D2155B" w:rsidRDefault="006471D6" w:rsidP="006471D6">
      <w:pPr>
        <w:pStyle w:val="3-BodyText"/>
        <w:rPr>
          <w:rStyle w:val="CommentReference"/>
          <w:color w:val="0066FF"/>
        </w:rPr>
      </w:pPr>
      <w:r w:rsidRPr="00ED5BD4">
        <w:rPr>
          <w:lang w:val="en-US"/>
        </w:rPr>
        <w:t xml:space="preserve">A summary of the comparative benefits and harms for </w:t>
      </w:r>
      <w:r>
        <w:rPr>
          <w:lang w:val="en-US"/>
        </w:rPr>
        <w:t>osimertinib</w:t>
      </w:r>
      <w:r w:rsidRPr="00ED5BD4">
        <w:rPr>
          <w:lang w:val="en-US"/>
        </w:rPr>
        <w:t xml:space="preserve"> versus </w:t>
      </w:r>
      <w:r>
        <w:rPr>
          <w:lang w:val="en-US"/>
        </w:rPr>
        <w:t>placebo (for standard of care)</w:t>
      </w:r>
      <w:r w:rsidRPr="00ED5BD4">
        <w:rPr>
          <w:lang w:val="en-US"/>
        </w:rPr>
        <w:t xml:space="preserve"> is presented in</w:t>
      </w:r>
      <w:r w:rsidR="005C6CB3">
        <w:rPr>
          <w:lang w:val="en-US"/>
        </w:rPr>
        <w:t xml:space="preserve"> </w:t>
      </w:r>
      <w:r w:rsidR="005C6CB3">
        <w:rPr>
          <w:lang w:val="en-US"/>
        </w:rPr>
        <w:fldChar w:fldCharType="begin" w:fldLock="1"/>
      </w:r>
      <w:r w:rsidR="005C6CB3">
        <w:rPr>
          <w:lang w:val="en-US"/>
        </w:rPr>
        <w:instrText xml:space="preserve"> REF _Ref144754720 \h </w:instrText>
      </w:r>
      <w:r w:rsidR="005C6CB3">
        <w:rPr>
          <w:lang w:val="en-US"/>
        </w:rPr>
      </w:r>
      <w:r w:rsidR="005C6CB3">
        <w:rPr>
          <w:lang w:val="en-US"/>
        </w:rPr>
        <w:fldChar w:fldCharType="separate"/>
      </w:r>
      <w:r w:rsidR="005C6CB3">
        <w:t xml:space="preserve">Table </w:t>
      </w:r>
      <w:r w:rsidR="005C6CB3">
        <w:rPr>
          <w:noProof/>
        </w:rPr>
        <w:t>8</w:t>
      </w:r>
      <w:r w:rsidR="005C6CB3">
        <w:rPr>
          <w:lang w:val="en-US"/>
        </w:rPr>
        <w:fldChar w:fldCharType="end"/>
      </w:r>
      <w:r w:rsidRPr="00D2155B">
        <w:t>.</w:t>
      </w:r>
    </w:p>
    <w:p w14:paraId="6744DB01" w14:textId="258CA0BB" w:rsidR="006471D6" w:rsidRPr="00D2155B" w:rsidRDefault="006471D6" w:rsidP="006471D6">
      <w:pPr>
        <w:pStyle w:val="Caption"/>
        <w:rPr>
          <w:rStyle w:val="CommentReference"/>
          <w:b/>
          <w:szCs w:val="24"/>
        </w:rPr>
      </w:pPr>
      <w:bookmarkStart w:id="34" w:name="_Ref144754720"/>
      <w:r>
        <w:t xml:space="preserve">Table </w:t>
      </w:r>
      <w:r w:rsidR="001E77BF">
        <w:fldChar w:fldCharType="begin" w:fldLock="1"/>
      </w:r>
      <w:r w:rsidR="001E77BF">
        <w:instrText xml:space="preserve"> SEQ Table \</w:instrText>
      </w:r>
      <w:r w:rsidR="001E77BF">
        <w:instrText xml:space="preserve">* ARABIC </w:instrText>
      </w:r>
      <w:r w:rsidR="001E77BF">
        <w:fldChar w:fldCharType="separate"/>
      </w:r>
      <w:r w:rsidR="005C6CB3">
        <w:rPr>
          <w:noProof/>
        </w:rPr>
        <w:t>8</w:t>
      </w:r>
      <w:r w:rsidR="001E77BF">
        <w:rPr>
          <w:noProof/>
        </w:rPr>
        <w:fldChar w:fldCharType="end"/>
      </w:r>
      <w:bookmarkEnd w:id="34"/>
      <w:r>
        <w:t xml:space="preserve">: </w:t>
      </w:r>
      <w:r w:rsidRPr="00D2155B">
        <w:rPr>
          <w:rStyle w:val="CommentReference"/>
          <w:b/>
          <w:szCs w:val="24"/>
        </w:rPr>
        <w:t xml:space="preserve">Summary of comparative benefits and harms for </w:t>
      </w:r>
      <w:r>
        <w:rPr>
          <w:rStyle w:val="CommentReference"/>
          <w:b/>
          <w:szCs w:val="24"/>
        </w:rPr>
        <w:t>osimertinib and placebo from ADAURA</w:t>
      </w:r>
    </w:p>
    <w:tbl>
      <w:tblPr>
        <w:tblW w:w="5000" w:type="pct"/>
        <w:tblLayout w:type="fixed"/>
        <w:tblCellMar>
          <w:left w:w="28" w:type="dxa"/>
          <w:right w:w="28" w:type="dxa"/>
        </w:tblCellMar>
        <w:tblLook w:val="04A0" w:firstRow="1" w:lastRow="0" w:firstColumn="1" w:lastColumn="0" w:noHBand="0" w:noVBand="1"/>
      </w:tblPr>
      <w:tblGrid>
        <w:gridCol w:w="9017"/>
      </w:tblGrid>
      <w:tr w:rsidR="006471D6" w:rsidRPr="00E2771E" w14:paraId="2FCE2A0F" w14:textId="77777777" w:rsidTr="00BA3F8A">
        <w:trPr>
          <w:cantSplit/>
        </w:trPr>
        <w:tc>
          <w:tcPr>
            <w:tcW w:w="5000" w:type="pct"/>
            <w:tcBorders>
              <w:top w:val="single" w:sz="4" w:space="0" w:color="auto"/>
              <w:left w:val="single" w:sz="4" w:space="0" w:color="auto"/>
              <w:bottom w:val="double" w:sz="4" w:space="0" w:color="auto"/>
              <w:right w:val="single" w:sz="4" w:space="0" w:color="auto"/>
            </w:tcBorders>
            <w:shd w:val="clear" w:color="auto" w:fill="auto"/>
            <w:vAlign w:val="center"/>
          </w:tcPr>
          <w:p w14:paraId="5792A4EE" w14:textId="77777777" w:rsidR="006471D6" w:rsidRPr="00E2771E" w:rsidRDefault="006471D6" w:rsidP="00BA3F8A">
            <w:pPr>
              <w:pStyle w:val="In-tableHeading"/>
            </w:pPr>
            <w:r w:rsidRPr="00E2771E">
              <w:t>Benefits</w:t>
            </w:r>
          </w:p>
        </w:tc>
      </w:tr>
    </w:tbl>
    <w:tbl>
      <w:tblPr>
        <w:tblStyle w:val="TableGrid"/>
        <w:tblW w:w="5000" w:type="pct"/>
        <w:tblLayout w:type="fixed"/>
        <w:tblCellMar>
          <w:left w:w="28" w:type="dxa"/>
          <w:right w:w="28" w:type="dxa"/>
        </w:tblCellMar>
        <w:tblLook w:val="04A0" w:firstRow="1" w:lastRow="0" w:firstColumn="1" w:lastColumn="0" w:noHBand="0" w:noVBand="1"/>
      </w:tblPr>
      <w:tblGrid>
        <w:gridCol w:w="2693"/>
        <w:gridCol w:w="1556"/>
        <w:gridCol w:w="1558"/>
        <w:gridCol w:w="1628"/>
        <w:gridCol w:w="1582"/>
      </w:tblGrid>
      <w:tr w:rsidR="006471D6" w:rsidRPr="00712C73" w14:paraId="4039826B" w14:textId="77777777" w:rsidTr="00BA3F8A">
        <w:trPr>
          <w:trHeight w:val="20"/>
        </w:trPr>
        <w:tc>
          <w:tcPr>
            <w:tcW w:w="5000" w:type="pct"/>
            <w:gridSpan w:val="5"/>
            <w:shd w:val="clear" w:color="auto" w:fill="auto"/>
            <w:vAlign w:val="center"/>
          </w:tcPr>
          <w:p w14:paraId="133054FF" w14:textId="77777777" w:rsidR="006471D6" w:rsidRPr="00330DAA" w:rsidRDefault="006471D6" w:rsidP="00BA3F8A">
            <w:pPr>
              <w:pStyle w:val="In-tableHeading"/>
            </w:pPr>
            <w:r>
              <w:t>Disease-</w:t>
            </w:r>
            <w:r w:rsidRPr="00330DAA">
              <w:t>free survival (</w:t>
            </w:r>
            <w:r>
              <w:t>DCO2 11 April 2022</w:t>
            </w:r>
            <w:r>
              <w:rPr>
                <w:vertAlign w:val="superscript"/>
              </w:rPr>
              <w:t>a</w:t>
            </w:r>
            <w:r w:rsidRPr="00330DAA">
              <w:t>)</w:t>
            </w:r>
          </w:p>
        </w:tc>
      </w:tr>
      <w:tr w:rsidR="006471D6" w:rsidRPr="00511320" w14:paraId="36EEC2F0" w14:textId="77777777" w:rsidTr="00BA3F8A">
        <w:trPr>
          <w:trHeight w:val="20"/>
        </w:trPr>
        <w:tc>
          <w:tcPr>
            <w:tcW w:w="1493" w:type="pct"/>
            <w:tcBorders>
              <w:bottom w:val="single" w:sz="4" w:space="0" w:color="auto"/>
            </w:tcBorders>
            <w:shd w:val="clear" w:color="auto" w:fill="auto"/>
            <w:vAlign w:val="center"/>
          </w:tcPr>
          <w:p w14:paraId="794D1D28" w14:textId="77777777" w:rsidR="006471D6" w:rsidRPr="00330DAA" w:rsidRDefault="006471D6" w:rsidP="00BA3F8A">
            <w:pPr>
              <w:pStyle w:val="In-tableHeading"/>
            </w:pPr>
            <w:r w:rsidRPr="00330DAA">
              <w:t>Event</w:t>
            </w:r>
          </w:p>
        </w:tc>
        <w:tc>
          <w:tcPr>
            <w:tcW w:w="863" w:type="pct"/>
            <w:tcBorders>
              <w:bottom w:val="single" w:sz="4" w:space="0" w:color="auto"/>
            </w:tcBorders>
            <w:shd w:val="clear" w:color="auto" w:fill="auto"/>
            <w:vAlign w:val="center"/>
          </w:tcPr>
          <w:p w14:paraId="1E648304" w14:textId="77777777" w:rsidR="006471D6" w:rsidRPr="00330DAA" w:rsidRDefault="006471D6" w:rsidP="00BA3F8A">
            <w:pPr>
              <w:pStyle w:val="In-tableHeading"/>
              <w:jc w:val="center"/>
            </w:pPr>
            <w:r>
              <w:t>Osimertinib</w:t>
            </w:r>
          </w:p>
        </w:tc>
        <w:tc>
          <w:tcPr>
            <w:tcW w:w="864" w:type="pct"/>
            <w:tcBorders>
              <w:bottom w:val="single" w:sz="4" w:space="0" w:color="auto"/>
            </w:tcBorders>
            <w:shd w:val="clear" w:color="auto" w:fill="auto"/>
            <w:vAlign w:val="center"/>
          </w:tcPr>
          <w:p w14:paraId="1102F11F" w14:textId="77777777" w:rsidR="006471D6" w:rsidRPr="00330DAA" w:rsidRDefault="006471D6" w:rsidP="00BA3F8A">
            <w:pPr>
              <w:pStyle w:val="In-tableHeading"/>
              <w:jc w:val="center"/>
            </w:pPr>
            <w:r>
              <w:t>Placebo</w:t>
            </w:r>
          </w:p>
        </w:tc>
        <w:tc>
          <w:tcPr>
            <w:tcW w:w="903" w:type="pct"/>
            <w:tcBorders>
              <w:bottom w:val="single" w:sz="4" w:space="0" w:color="auto"/>
            </w:tcBorders>
            <w:shd w:val="clear" w:color="auto" w:fill="auto"/>
            <w:vAlign w:val="center"/>
          </w:tcPr>
          <w:p w14:paraId="38E8DC5F" w14:textId="77777777" w:rsidR="006471D6" w:rsidRPr="00330DAA" w:rsidRDefault="006471D6" w:rsidP="00BA3F8A">
            <w:pPr>
              <w:pStyle w:val="In-tableHeading"/>
              <w:jc w:val="center"/>
              <w:rPr>
                <w:rFonts w:asciiTheme="minorHAnsi" w:hAnsiTheme="minorHAnsi"/>
              </w:rPr>
            </w:pPr>
            <w:r w:rsidRPr="00330DAA">
              <w:t>Absolute Difference</w:t>
            </w:r>
          </w:p>
        </w:tc>
        <w:tc>
          <w:tcPr>
            <w:tcW w:w="877" w:type="pct"/>
            <w:tcBorders>
              <w:bottom w:val="single" w:sz="4" w:space="0" w:color="auto"/>
            </w:tcBorders>
            <w:shd w:val="clear" w:color="auto" w:fill="auto"/>
            <w:vAlign w:val="center"/>
          </w:tcPr>
          <w:p w14:paraId="585B057F" w14:textId="77777777" w:rsidR="006471D6" w:rsidRPr="00511320" w:rsidRDefault="006471D6" w:rsidP="00BA3F8A">
            <w:pPr>
              <w:pStyle w:val="In-tableHeading"/>
              <w:jc w:val="center"/>
            </w:pPr>
            <w:r w:rsidRPr="00511320">
              <w:t>HR (95% CI)</w:t>
            </w:r>
          </w:p>
        </w:tc>
      </w:tr>
      <w:tr w:rsidR="006471D6" w:rsidRPr="00C67006" w14:paraId="7EC8CCD4" w14:textId="77777777" w:rsidTr="00BA3F8A">
        <w:trPr>
          <w:trHeight w:val="20"/>
        </w:trPr>
        <w:tc>
          <w:tcPr>
            <w:tcW w:w="1493" w:type="pct"/>
            <w:tcBorders>
              <w:bottom w:val="single" w:sz="4" w:space="0" w:color="auto"/>
              <w:right w:val="single" w:sz="4" w:space="0" w:color="auto"/>
            </w:tcBorders>
            <w:shd w:val="clear" w:color="auto" w:fill="auto"/>
            <w:vAlign w:val="center"/>
          </w:tcPr>
          <w:p w14:paraId="00B936F3" w14:textId="77777777" w:rsidR="006471D6" w:rsidRPr="003C429D" w:rsidRDefault="006471D6" w:rsidP="00BA3F8A">
            <w:pPr>
              <w:pStyle w:val="TableText0"/>
            </w:pPr>
            <w:r w:rsidRPr="003C429D">
              <w:t>Disease recurrence or death, n (%)</w:t>
            </w:r>
          </w:p>
        </w:tc>
        <w:tc>
          <w:tcPr>
            <w:tcW w:w="863" w:type="pct"/>
            <w:tcBorders>
              <w:left w:val="single" w:sz="4" w:space="0" w:color="auto"/>
              <w:bottom w:val="single" w:sz="4" w:space="0" w:color="auto"/>
              <w:right w:val="single" w:sz="4" w:space="0" w:color="auto"/>
            </w:tcBorders>
            <w:shd w:val="clear" w:color="auto" w:fill="auto"/>
            <w:vAlign w:val="center"/>
          </w:tcPr>
          <w:p w14:paraId="5C7DBFDF" w14:textId="77777777" w:rsidR="006471D6" w:rsidRPr="003C429D" w:rsidRDefault="006471D6" w:rsidP="00BA3F8A">
            <w:pPr>
              <w:pStyle w:val="TableText0"/>
              <w:jc w:val="center"/>
            </w:pPr>
            <w:r w:rsidRPr="003C429D">
              <w:t>94/339 (27.7)</w:t>
            </w:r>
          </w:p>
        </w:tc>
        <w:tc>
          <w:tcPr>
            <w:tcW w:w="864" w:type="pct"/>
            <w:tcBorders>
              <w:left w:val="single" w:sz="4" w:space="0" w:color="auto"/>
              <w:bottom w:val="single" w:sz="4" w:space="0" w:color="auto"/>
              <w:right w:val="single" w:sz="4" w:space="0" w:color="auto"/>
            </w:tcBorders>
            <w:shd w:val="clear" w:color="auto" w:fill="auto"/>
            <w:vAlign w:val="center"/>
          </w:tcPr>
          <w:p w14:paraId="5F36C5AC" w14:textId="77777777" w:rsidR="006471D6" w:rsidRPr="003C429D" w:rsidRDefault="006471D6" w:rsidP="00BA3F8A">
            <w:pPr>
              <w:pStyle w:val="TableText0"/>
              <w:jc w:val="center"/>
            </w:pPr>
            <w:r w:rsidRPr="003C429D">
              <w:t>211/343 (61.5)</w:t>
            </w:r>
          </w:p>
        </w:tc>
        <w:tc>
          <w:tcPr>
            <w:tcW w:w="903" w:type="pct"/>
            <w:tcBorders>
              <w:left w:val="single" w:sz="4" w:space="0" w:color="auto"/>
              <w:bottom w:val="single" w:sz="4" w:space="0" w:color="auto"/>
              <w:right w:val="single" w:sz="4" w:space="0" w:color="auto"/>
            </w:tcBorders>
            <w:shd w:val="clear" w:color="auto" w:fill="auto"/>
            <w:vAlign w:val="center"/>
          </w:tcPr>
          <w:p w14:paraId="534A3FDC" w14:textId="77777777" w:rsidR="006471D6" w:rsidRPr="003C429D" w:rsidRDefault="006471D6" w:rsidP="00BA3F8A">
            <w:pPr>
              <w:pStyle w:val="TableText0"/>
              <w:jc w:val="center"/>
            </w:pPr>
            <w:r w:rsidRPr="003C429D">
              <w:t>-</w:t>
            </w:r>
          </w:p>
        </w:tc>
        <w:tc>
          <w:tcPr>
            <w:tcW w:w="877" w:type="pct"/>
            <w:vMerge w:val="restart"/>
            <w:tcBorders>
              <w:left w:val="single" w:sz="4" w:space="0" w:color="auto"/>
            </w:tcBorders>
            <w:shd w:val="clear" w:color="auto" w:fill="auto"/>
            <w:vAlign w:val="center"/>
          </w:tcPr>
          <w:p w14:paraId="6280B5BC" w14:textId="77777777" w:rsidR="006471D6" w:rsidRPr="003C429D" w:rsidRDefault="006471D6" w:rsidP="00BA3F8A">
            <w:pPr>
              <w:pStyle w:val="TableText0"/>
              <w:jc w:val="center"/>
            </w:pPr>
            <w:r w:rsidRPr="003C429D">
              <w:rPr>
                <w:b/>
              </w:rPr>
              <w:t>0.27 (0.21, 0.34)</w:t>
            </w:r>
          </w:p>
        </w:tc>
      </w:tr>
      <w:tr w:rsidR="006471D6" w:rsidRPr="00C67006" w14:paraId="2326B529" w14:textId="77777777" w:rsidTr="00BA3F8A">
        <w:trPr>
          <w:trHeight w:val="20"/>
        </w:trPr>
        <w:tc>
          <w:tcPr>
            <w:tcW w:w="1493" w:type="pct"/>
            <w:tcBorders>
              <w:bottom w:val="single" w:sz="4" w:space="0" w:color="auto"/>
              <w:right w:val="single" w:sz="4" w:space="0" w:color="auto"/>
            </w:tcBorders>
            <w:shd w:val="clear" w:color="auto" w:fill="auto"/>
            <w:vAlign w:val="center"/>
          </w:tcPr>
          <w:p w14:paraId="7866D18E" w14:textId="77777777" w:rsidR="006471D6" w:rsidRPr="003C429D" w:rsidRDefault="006471D6" w:rsidP="00BA3F8A">
            <w:pPr>
              <w:pStyle w:val="TableText0"/>
            </w:pPr>
            <w:r w:rsidRPr="003C429D">
              <w:t>Median DFS, months (95% CI)</w:t>
            </w:r>
          </w:p>
        </w:tc>
        <w:tc>
          <w:tcPr>
            <w:tcW w:w="863" w:type="pct"/>
            <w:tcBorders>
              <w:left w:val="single" w:sz="4" w:space="0" w:color="auto"/>
              <w:bottom w:val="single" w:sz="4" w:space="0" w:color="auto"/>
              <w:right w:val="single" w:sz="4" w:space="0" w:color="auto"/>
            </w:tcBorders>
            <w:shd w:val="clear" w:color="auto" w:fill="auto"/>
            <w:vAlign w:val="center"/>
          </w:tcPr>
          <w:p w14:paraId="1B822E32" w14:textId="77777777" w:rsidR="006471D6" w:rsidRPr="003C429D" w:rsidRDefault="006471D6" w:rsidP="00BA3F8A">
            <w:pPr>
              <w:pStyle w:val="TableText0"/>
              <w:jc w:val="center"/>
            </w:pPr>
            <w:r w:rsidRPr="003C429D">
              <w:t>65.8 (61.7, NC)</w:t>
            </w:r>
          </w:p>
        </w:tc>
        <w:tc>
          <w:tcPr>
            <w:tcW w:w="864" w:type="pct"/>
            <w:tcBorders>
              <w:left w:val="single" w:sz="4" w:space="0" w:color="auto"/>
              <w:bottom w:val="single" w:sz="4" w:space="0" w:color="auto"/>
              <w:right w:val="single" w:sz="4" w:space="0" w:color="auto"/>
            </w:tcBorders>
            <w:shd w:val="clear" w:color="auto" w:fill="auto"/>
            <w:vAlign w:val="center"/>
          </w:tcPr>
          <w:p w14:paraId="6C330682" w14:textId="77777777" w:rsidR="006471D6" w:rsidRPr="003C429D" w:rsidRDefault="006471D6" w:rsidP="00BA3F8A">
            <w:pPr>
              <w:pStyle w:val="TableText0"/>
              <w:jc w:val="center"/>
            </w:pPr>
            <w:r w:rsidRPr="003C429D">
              <w:t>28.1 (22.1, 35.0)</w:t>
            </w:r>
          </w:p>
        </w:tc>
        <w:tc>
          <w:tcPr>
            <w:tcW w:w="903" w:type="pct"/>
            <w:tcBorders>
              <w:left w:val="single" w:sz="4" w:space="0" w:color="auto"/>
              <w:bottom w:val="single" w:sz="4" w:space="0" w:color="auto"/>
              <w:right w:val="single" w:sz="4" w:space="0" w:color="auto"/>
            </w:tcBorders>
            <w:shd w:val="clear" w:color="auto" w:fill="auto"/>
            <w:vAlign w:val="center"/>
          </w:tcPr>
          <w:p w14:paraId="7C8D9AF7" w14:textId="7AB195FA" w:rsidR="006471D6" w:rsidRPr="003C429D" w:rsidRDefault="00A81EC2" w:rsidP="00BA3F8A">
            <w:pPr>
              <w:pStyle w:val="TableText0"/>
              <w:jc w:val="center"/>
            </w:pPr>
            <w:r w:rsidRPr="0004693B">
              <w:t>37.7</w:t>
            </w:r>
            <w:r w:rsidR="0004693B">
              <w:rPr>
                <w:i/>
              </w:rPr>
              <w:t xml:space="preserve"> </w:t>
            </w:r>
            <w:r w:rsidR="0004693B" w:rsidRPr="004367F2">
              <w:rPr>
                <w:iCs/>
              </w:rPr>
              <w:t>months</w:t>
            </w:r>
          </w:p>
        </w:tc>
        <w:tc>
          <w:tcPr>
            <w:tcW w:w="877" w:type="pct"/>
            <w:vMerge/>
            <w:tcBorders>
              <w:left w:val="single" w:sz="4" w:space="0" w:color="auto"/>
            </w:tcBorders>
            <w:shd w:val="clear" w:color="auto" w:fill="auto"/>
            <w:vAlign w:val="center"/>
          </w:tcPr>
          <w:p w14:paraId="5F7EEBBE" w14:textId="77777777" w:rsidR="006471D6" w:rsidRPr="003C429D" w:rsidRDefault="006471D6" w:rsidP="00BA3F8A">
            <w:pPr>
              <w:pStyle w:val="TableText0"/>
              <w:jc w:val="center"/>
            </w:pPr>
          </w:p>
        </w:tc>
      </w:tr>
      <w:tr w:rsidR="006471D6" w:rsidRPr="00C67006" w14:paraId="367FFDA0" w14:textId="77777777" w:rsidTr="00BA3F8A">
        <w:trPr>
          <w:trHeight w:val="20"/>
        </w:trPr>
        <w:tc>
          <w:tcPr>
            <w:tcW w:w="1493" w:type="pct"/>
            <w:tcBorders>
              <w:top w:val="single" w:sz="4" w:space="0" w:color="auto"/>
              <w:bottom w:val="single" w:sz="4" w:space="0" w:color="auto"/>
              <w:right w:val="single" w:sz="4" w:space="0" w:color="auto"/>
            </w:tcBorders>
            <w:shd w:val="clear" w:color="auto" w:fill="auto"/>
            <w:vAlign w:val="center"/>
          </w:tcPr>
          <w:p w14:paraId="1F00B745" w14:textId="77777777" w:rsidR="006471D6" w:rsidRPr="003C429D" w:rsidRDefault="006471D6" w:rsidP="00BA3F8A">
            <w:pPr>
              <w:pStyle w:val="TableText0"/>
            </w:pPr>
            <w:r w:rsidRPr="003C429D">
              <w:t xml:space="preserve">% </w:t>
            </w:r>
            <w:r>
              <w:t>disease-free</w:t>
            </w:r>
            <w:r w:rsidRPr="003C429D">
              <w:t xml:space="preserve"> at </w:t>
            </w:r>
            <w:r>
              <w:t>3 years</w:t>
            </w:r>
            <w:r w:rsidRPr="003C429D">
              <w:t xml:space="preserve"> (95% CI)</w:t>
            </w:r>
          </w:p>
        </w:tc>
        <w:tc>
          <w:tcPr>
            <w:tcW w:w="863" w:type="pct"/>
            <w:tcBorders>
              <w:top w:val="single" w:sz="4" w:space="0" w:color="auto"/>
              <w:left w:val="single" w:sz="4" w:space="0" w:color="auto"/>
              <w:bottom w:val="single" w:sz="4" w:space="0" w:color="auto"/>
              <w:right w:val="single" w:sz="4" w:space="0" w:color="auto"/>
            </w:tcBorders>
            <w:shd w:val="clear" w:color="auto" w:fill="auto"/>
            <w:vAlign w:val="center"/>
          </w:tcPr>
          <w:p w14:paraId="79838F94" w14:textId="77777777" w:rsidR="006471D6" w:rsidRPr="003C429D" w:rsidRDefault="006471D6" w:rsidP="00BA3F8A">
            <w:pPr>
              <w:pStyle w:val="TableText0"/>
              <w:jc w:val="center"/>
            </w:pPr>
            <w:r w:rsidRPr="003C429D">
              <w:t>84.5 (79.9, 88.1)</w:t>
            </w:r>
          </w:p>
        </w:tc>
        <w:tc>
          <w:tcPr>
            <w:tcW w:w="864" w:type="pct"/>
            <w:tcBorders>
              <w:top w:val="single" w:sz="4" w:space="0" w:color="auto"/>
              <w:left w:val="single" w:sz="4" w:space="0" w:color="auto"/>
              <w:bottom w:val="single" w:sz="4" w:space="0" w:color="auto"/>
              <w:right w:val="single" w:sz="4" w:space="0" w:color="auto"/>
            </w:tcBorders>
            <w:shd w:val="clear" w:color="auto" w:fill="auto"/>
            <w:vAlign w:val="center"/>
          </w:tcPr>
          <w:p w14:paraId="472825D7" w14:textId="77777777" w:rsidR="006471D6" w:rsidRPr="003C429D" w:rsidRDefault="006471D6" w:rsidP="00BA3F8A">
            <w:pPr>
              <w:pStyle w:val="TableText0"/>
              <w:jc w:val="center"/>
            </w:pPr>
            <w:r w:rsidRPr="003C429D">
              <w:t>44.4 (39.0, 49.7)</w:t>
            </w:r>
          </w:p>
        </w:tc>
        <w:tc>
          <w:tcPr>
            <w:tcW w:w="903" w:type="pct"/>
            <w:tcBorders>
              <w:top w:val="single" w:sz="4" w:space="0" w:color="auto"/>
              <w:left w:val="single" w:sz="4" w:space="0" w:color="auto"/>
              <w:bottom w:val="single" w:sz="4" w:space="0" w:color="auto"/>
              <w:right w:val="single" w:sz="4" w:space="0" w:color="auto"/>
            </w:tcBorders>
            <w:shd w:val="clear" w:color="auto" w:fill="auto"/>
            <w:vAlign w:val="center"/>
          </w:tcPr>
          <w:p w14:paraId="6A40735B" w14:textId="77777777" w:rsidR="006471D6" w:rsidRPr="00280F28" w:rsidRDefault="006471D6" w:rsidP="00BA3F8A">
            <w:pPr>
              <w:pStyle w:val="TableText0"/>
              <w:jc w:val="center"/>
              <w:rPr>
                <w:iCs/>
              </w:rPr>
            </w:pPr>
            <w:r w:rsidRPr="00280F28">
              <w:rPr>
                <w:iCs/>
              </w:rPr>
              <w:t>40.1%</w:t>
            </w:r>
          </w:p>
        </w:tc>
        <w:tc>
          <w:tcPr>
            <w:tcW w:w="877" w:type="pct"/>
            <w:vMerge/>
            <w:tcBorders>
              <w:left w:val="single" w:sz="4" w:space="0" w:color="auto"/>
            </w:tcBorders>
            <w:shd w:val="clear" w:color="auto" w:fill="auto"/>
            <w:vAlign w:val="center"/>
          </w:tcPr>
          <w:p w14:paraId="45966A7C" w14:textId="77777777" w:rsidR="006471D6" w:rsidRPr="003C429D" w:rsidRDefault="006471D6" w:rsidP="00BA3F8A">
            <w:pPr>
              <w:pStyle w:val="TableText0"/>
              <w:jc w:val="center"/>
            </w:pPr>
          </w:p>
        </w:tc>
      </w:tr>
      <w:tr w:rsidR="006471D6" w:rsidRPr="00511320" w14:paraId="144D6C75" w14:textId="77777777" w:rsidTr="00BA3F8A">
        <w:trPr>
          <w:trHeight w:val="20"/>
        </w:trPr>
        <w:tc>
          <w:tcPr>
            <w:tcW w:w="1493" w:type="pct"/>
            <w:tcBorders>
              <w:top w:val="single" w:sz="4" w:space="0" w:color="auto"/>
              <w:bottom w:val="single" w:sz="4" w:space="0" w:color="auto"/>
              <w:right w:val="single" w:sz="4" w:space="0" w:color="auto"/>
            </w:tcBorders>
            <w:shd w:val="clear" w:color="auto" w:fill="auto"/>
            <w:vAlign w:val="center"/>
          </w:tcPr>
          <w:p w14:paraId="6731B026" w14:textId="77777777" w:rsidR="006471D6" w:rsidRPr="003C429D" w:rsidRDefault="006471D6" w:rsidP="00BA3F8A">
            <w:pPr>
              <w:pStyle w:val="TableText0"/>
            </w:pPr>
            <w:r w:rsidRPr="003C429D">
              <w:t xml:space="preserve">% </w:t>
            </w:r>
            <w:r>
              <w:t>disease-free</w:t>
            </w:r>
            <w:r w:rsidRPr="003C429D">
              <w:t xml:space="preserve"> at </w:t>
            </w:r>
            <w:r>
              <w:t>5 years</w:t>
            </w:r>
            <w:r w:rsidRPr="003C429D">
              <w:t xml:space="preserve"> (95% CI)</w:t>
            </w:r>
          </w:p>
        </w:tc>
        <w:tc>
          <w:tcPr>
            <w:tcW w:w="863" w:type="pct"/>
            <w:tcBorders>
              <w:top w:val="single" w:sz="4" w:space="0" w:color="auto"/>
              <w:left w:val="single" w:sz="4" w:space="0" w:color="auto"/>
              <w:bottom w:val="single" w:sz="4" w:space="0" w:color="auto"/>
              <w:right w:val="single" w:sz="4" w:space="0" w:color="auto"/>
            </w:tcBorders>
            <w:shd w:val="clear" w:color="auto" w:fill="auto"/>
            <w:vAlign w:val="center"/>
          </w:tcPr>
          <w:p w14:paraId="783F9784" w14:textId="77777777" w:rsidR="006471D6" w:rsidRPr="003C429D" w:rsidRDefault="006471D6" w:rsidP="00BA3F8A">
            <w:pPr>
              <w:pStyle w:val="TableText0"/>
              <w:jc w:val="center"/>
            </w:pPr>
            <w:r w:rsidRPr="003C429D">
              <w:t>60.9 (53.1, 67.8)</w:t>
            </w:r>
          </w:p>
        </w:tc>
        <w:tc>
          <w:tcPr>
            <w:tcW w:w="864" w:type="pct"/>
            <w:tcBorders>
              <w:top w:val="single" w:sz="4" w:space="0" w:color="auto"/>
              <w:left w:val="single" w:sz="4" w:space="0" w:color="auto"/>
              <w:bottom w:val="single" w:sz="4" w:space="0" w:color="auto"/>
              <w:right w:val="single" w:sz="4" w:space="0" w:color="auto"/>
            </w:tcBorders>
            <w:shd w:val="clear" w:color="auto" w:fill="auto"/>
            <w:vAlign w:val="center"/>
          </w:tcPr>
          <w:p w14:paraId="3AA48A81" w14:textId="77777777" w:rsidR="006471D6" w:rsidRPr="003C429D" w:rsidRDefault="006471D6" w:rsidP="00BA3F8A">
            <w:pPr>
              <w:pStyle w:val="TableText0"/>
              <w:jc w:val="center"/>
            </w:pPr>
            <w:r w:rsidRPr="003C429D">
              <w:t>33.6 (28.0, 39.2)</w:t>
            </w:r>
          </w:p>
        </w:tc>
        <w:tc>
          <w:tcPr>
            <w:tcW w:w="903" w:type="pct"/>
            <w:tcBorders>
              <w:top w:val="single" w:sz="4" w:space="0" w:color="auto"/>
              <w:left w:val="single" w:sz="4" w:space="0" w:color="auto"/>
              <w:bottom w:val="single" w:sz="4" w:space="0" w:color="auto"/>
              <w:right w:val="single" w:sz="4" w:space="0" w:color="auto"/>
            </w:tcBorders>
            <w:shd w:val="clear" w:color="auto" w:fill="auto"/>
            <w:vAlign w:val="center"/>
          </w:tcPr>
          <w:p w14:paraId="556251E6" w14:textId="77777777" w:rsidR="006471D6" w:rsidRPr="00280F28" w:rsidRDefault="006471D6" w:rsidP="00BA3F8A">
            <w:pPr>
              <w:pStyle w:val="TableText0"/>
              <w:jc w:val="center"/>
              <w:rPr>
                <w:iCs/>
              </w:rPr>
            </w:pPr>
            <w:r w:rsidRPr="005D24B0">
              <w:rPr>
                <w:iCs/>
              </w:rPr>
              <w:t>27.3%</w:t>
            </w:r>
          </w:p>
        </w:tc>
        <w:tc>
          <w:tcPr>
            <w:tcW w:w="877" w:type="pct"/>
            <w:vMerge/>
            <w:tcBorders>
              <w:left w:val="single" w:sz="4" w:space="0" w:color="auto"/>
              <w:bottom w:val="single" w:sz="4" w:space="0" w:color="auto"/>
            </w:tcBorders>
            <w:shd w:val="clear" w:color="auto" w:fill="auto"/>
            <w:vAlign w:val="center"/>
          </w:tcPr>
          <w:p w14:paraId="37ECD8FE" w14:textId="77777777" w:rsidR="006471D6" w:rsidRPr="003C429D" w:rsidRDefault="006471D6" w:rsidP="00BA3F8A">
            <w:pPr>
              <w:pStyle w:val="TableText0"/>
              <w:jc w:val="center"/>
            </w:pPr>
          </w:p>
        </w:tc>
      </w:tr>
      <w:tr w:rsidR="006471D6" w:rsidRPr="00511320" w14:paraId="1E9E138F" w14:textId="77777777" w:rsidTr="00BA3F8A">
        <w:trPr>
          <w:trHeight w:val="20"/>
        </w:trPr>
        <w:tc>
          <w:tcPr>
            <w:tcW w:w="5000" w:type="pct"/>
            <w:gridSpan w:val="5"/>
            <w:tcBorders>
              <w:top w:val="single" w:sz="4" w:space="0" w:color="auto"/>
              <w:left w:val="single" w:sz="4" w:space="0" w:color="auto"/>
              <w:bottom w:val="single" w:sz="4" w:space="0" w:color="auto"/>
              <w:right w:val="single" w:sz="4" w:space="0" w:color="auto"/>
            </w:tcBorders>
            <w:shd w:val="clear" w:color="auto" w:fill="auto"/>
            <w:vAlign w:val="center"/>
          </w:tcPr>
          <w:p w14:paraId="7946725B" w14:textId="77777777" w:rsidR="006471D6" w:rsidRPr="00330DAA" w:rsidRDefault="006471D6" w:rsidP="00BA3F8A">
            <w:pPr>
              <w:pStyle w:val="In-tableHeading"/>
            </w:pPr>
            <w:r w:rsidRPr="00330DAA">
              <w:t>Overall survival (</w:t>
            </w:r>
            <w:r>
              <w:t>DCO3 27 January 2023</w:t>
            </w:r>
            <w:r>
              <w:rPr>
                <w:vertAlign w:val="superscript"/>
              </w:rPr>
              <w:t>b</w:t>
            </w:r>
            <w:r w:rsidRPr="00330DAA">
              <w:t>)</w:t>
            </w:r>
          </w:p>
        </w:tc>
      </w:tr>
      <w:tr w:rsidR="006471D6" w:rsidRPr="00511320" w14:paraId="75565D81" w14:textId="77777777" w:rsidTr="00BA3F8A">
        <w:trPr>
          <w:trHeight w:val="20"/>
        </w:trPr>
        <w:tc>
          <w:tcPr>
            <w:tcW w:w="1493" w:type="pct"/>
            <w:tcBorders>
              <w:top w:val="single" w:sz="4" w:space="0" w:color="auto"/>
              <w:left w:val="single" w:sz="4" w:space="0" w:color="auto"/>
              <w:bottom w:val="single" w:sz="4" w:space="0" w:color="auto"/>
              <w:right w:val="single" w:sz="4" w:space="0" w:color="auto"/>
            </w:tcBorders>
            <w:shd w:val="clear" w:color="auto" w:fill="auto"/>
            <w:vAlign w:val="center"/>
          </w:tcPr>
          <w:p w14:paraId="31610A39" w14:textId="77777777" w:rsidR="006471D6" w:rsidRPr="003C429D" w:rsidRDefault="006471D6" w:rsidP="00BA3F8A">
            <w:pPr>
              <w:pStyle w:val="TableText0"/>
            </w:pPr>
            <w:r w:rsidRPr="003C429D">
              <w:t xml:space="preserve">Deaths, n/N (%) </w:t>
            </w:r>
          </w:p>
        </w:tc>
        <w:tc>
          <w:tcPr>
            <w:tcW w:w="863" w:type="pct"/>
            <w:tcBorders>
              <w:top w:val="single" w:sz="4" w:space="0" w:color="auto"/>
              <w:left w:val="single" w:sz="4" w:space="0" w:color="auto"/>
              <w:bottom w:val="single" w:sz="4" w:space="0" w:color="auto"/>
              <w:right w:val="single" w:sz="4" w:space="0" w:color="auto"/>
            </w:tcBorders>
            <w:shd w:val="clear" w:color="auto" w:fill="auto"/>
            <w:vAlign w:val="center"/>
          </w:tcPr>
          <w:p w14:paraId="72D20C2A" w14:textId="77777777" w:rsidR="006471D6" w:rsidRPr="003C429D" w:rsidRDefault="006471D6" w:rsidP="00BA3F8A">
            <w:pPr>
              <w:pStyle w:val="TableText0"/>
              <w:jc w:val="center"/>
            </w:pPr>
            <w:r w:rsidRPr="003C429D">
              <w:t>42/339 (12.4)</w:t>
            </w:r>
          </w:p>
        </w:tc>
        <w:tc>
          <w:tcPr>
            <w:tcW w:w="864" w:type="pct"/>
            <w:tcBorders>
              <w:top w:val="single" w:sz="4" w:space="0" w:color="auto"/>
              <w:left w:val="single" w:sz="4" w:space="0" w:color="auto"/>
              <w:bottom w:val="single" w:sz="4" w:space="0" w:color="auto"/>
              <w:right w:val="single" w:sz="4" w:space="0" w:color="auto"/>
            </w:tcBorders>
            <w:shd w:val="clear" w:color="auto" w:fill="auto"/>
            <w:vAlign w:val="center"/>
          </w:tcPr>
          <w:p w14:paraId="7F2990D4" w14:textId="77777777" w:rsidR="006471D6" w:rsidRPr="003C429D" w:rsidRDefault="006471D6" w:rsidP="00BA3F8A">
            <w:pPr>
              <w:pStyle w:val="TableText0"/>
              <w:jc w:val="center"/>
            </w:pPr>
            <w:r w:rsidRPr="003C429D">
              <w:t>82/343 (23.9)</w:t>
            </w:r>
          </w:p>
        </w:tc>
        <w:tc>
          <w:tcPr>
            <w:tcW w:w="903" w:type="pct"/>
            <w:tcBorders>
              <w:top w:val="single" w:sz="4" w:space="0" w:color="auto"/>
              <w:left w:val="single" w:sz="4" w:space="0" w:color="auto"/>
              <w:bottom w:val="single" w:sz="4" w:space="0" w:color="auto"/>
              <w:right w:val="single" w:sz="4" w:space="0" w:color="auto"/>
            </w:tcBorders>
            <w:shd w:val="clear" w:color="auto" w:fill="auto"/>
            <w:vAlign w:val="center"/>
          </w:tcPr>
          <w:p w14:paraId="78A612AB" w14:textId="77777777" w:rsidR="006471D6" w:rsidRPr="003C429D" w:rsidRDefault="006471D6" w:rsidP="00BA3F8A">
            <w:pPr>
              <w:pStyle w:val="TableText0"/>
              <w:jc w:val="center"/>
            </w:pPr>
            <w:r w:rsidRPr="003C429D">
              <w:t>-</w:t>
            </w:r>
          </w:p>
        </w:tc>
        <w:tc>
          <w:tcPr>
            <w:tcW w:w="877" w:type="pct"/>
            <w:vMerge w:val="restart"/>
            <w:tcBorders>
              <w:top w:val="single" w:sz="4" w:space="0" w:color="auto"/>
              <w:left w:val="single" w:sz="4" w:space="0" w:color="auto"/>
              <w:right w:val="single" w:sz="4" w:space="0" w:color="auto"/>
            </w:tcBorders>
            <w:shd w:val="clear" w:color="auto" w:fill="auto"/>
            <w:vAlign w:val="center"/>
          </w:tcPr>
          <w:p w14:paraId="16271B7E" w14:textId="77777777" w:rsidR="006471D6" w:rsidRPr="003C429D" w:rsidRDefault="006471D6" w:rsidP="00BA3F8A">
            <w:pPr>
              <w:pStyle w:val="TableText0"/>
              <w:jc w:val="center"/>
            </w:pPr>
            <w:r w:rsidRPr="003C429D">
              <w:rPr>
                <w:b/>
              </w:rPr>
              <w:t>0.49 (0.34, 0.70)</w:t>
            </w:r>
          </w:p>
        </w:tc>
      </w:tr>
      <w:tr w:rsidR="006471D6" w:rsidRPr="00C67006" w14:paraId="22AB4499" w14:textId="77777777" w:rsidTr="00BA3F8A">
        <w:trPr>
          <w:trHeight w:val="20"/>
        </w:trPr>
        <w:tc>
          <w:tcPr>
            <w:tcW w:w="1493" w:type="pct"/>
            <w:tcBorders>
              <w:top w:val="single" w:sz="4" w:space="0" w:color="auto"/>
              <w:left w:val="single" w:sz="4" w:space="0" w:color="auto"/>
              <w:bottom w:val="single" w:sz="4" w:space="0" w:color="auto"/>
              <w:right w:val="single" w:sz="4" w:space="0" w:color="auto"/>
            </w:tcBorders>
            <w:shd w:val="clear" w:color="auto" w:fill="auto"/>
            <w:vAlign w:val="center"/>
          </w:tcPr>
          <w:p w14:paraId="0D4E0891" w14:textId="77777777" w:rsidR="006471D6" w:rsidRPr="003C429D" w:rsidRDefault="006471D6" w:rsidP="00BA3F8A">
            <w:pPr>
              <w:pStyle w:val="TableText0"/>
            </w:pPr>
            <w:r w:rsidRPr="003C429D">
              <w:t>Median OS, months (95% CI)</w:t>
            </w:r>
          </w:p>
        </w:tc>
        <w:tc>
          <w:tcPr>
            <w:tcW w:w="863" w:type="pct"/>
            <w:tcBorders>
              <w:top w:val="single" w:sz="4" w:space="0" w:color="auto"/>
              <w:left w:val="single" w:sz="4" w:space="0" w:color="auto"/>
              <w:bottom w:val="single" w:sz="4" w:space="0" w:color="auto"/>
              <w:right w:val="single" w:sz="4" w:space="0" w:color="auto"/>
            </w:tcBorders>
            <w:shd w:val="clear" w:color="auto" w:fill="auto"/>
            <w:vAlign w:val="center"/>
          </w:tcPr>
          <w:p w14:paraId="05AB48F8" w14:textId="77777777" w:rsidR="006471D6" w:rsidRPr="003C429D" w:rsidRDefault="006471D6" w:rsidP="00BA3F8A">
            <w:pPr>
              <w:pStyle w:val="TableText0"/>
              <w:jc w:val="center"/>
            </w:pPr>
            <w:r w:rsidRPr="003C429D">
              <w:t>NC (NC, NC)</w:t>
            </w:r>
          </w:p>
        </w:tc>
        <w:tc>
          <w:tcPr>
            <w:tcW w:w="864" w:type="pct"/>
            <w:tcBorders>
              <w:top w:val="single" w:sz="4" w:space="0" w:color="auto"/>
              <w:left w:val="single" w:sz="4" w:space="0" w:color="auto"/>
              <w:bottom w:val="single" w:sz="4" w:space="0" w:color="auto"/>
              <w:right w:val="single" w:sz="4" w:space="0" w:color="auto"/>
            </w:tcBorders>
            <w:shd w:val="clear" w:color="auto" w:fill="auto"/>
            <w:vAlign w:val="center"/>
          </w:tcPr>
          <w:p w14:paraId="171AFE9B" w14:textId="77777777" w:rsidR="006471D6" w:rsidRPr="003C429D" w:rsidRDefault="006471D6" w:rsidP="00BA3F8A">
            <w:pPr>
              <w:pStyle w:val="TableText0"/>
              <w:jc w:val="center"/>
            </w:pPr>
            <w:r w:rsidRPr="003C429D">
              <w:t>NC (NC, NC)</w:t>
            </w:r>
          </w:p>
        </w:tc>
        <w:tc>
          <w:tcPr>
            <w:tcW w:w="903" w:type="pct"/>
            <w:tcBorders>
              <w:top w:val="single" w:sz="4" w:space="0" w:color="auto"/>
              <w:left w:val="single" w:sz="4" w:space="0" w:color="auto"/>
              <w:bottom w:val="single" w:sz="4" w:space="0" w:color="auto"/>
              <w:right w:val="single" w:sz="4" w:space="0" w:color="auto"/>
            </w:tcBorders>
            <w:shd w:val="clear" w:color="auto" w:fill="auto"/>
            <w:vAlign w:val="center"/>
          </w:tcPr>
          <w:p w14:paraId="01A62FBE" w14:textId="15647F24" w:rsidR="006471D6" w:rsidRPr="003C429D" w:rsidRDefault="006471D6" w:rsidP="00BA3F8A">
            <w:pPr>
              <w:pStyle w:val="TableText0"/>
              <w:jc w:val="center"/>
            </w:pPr>
          </w:p>
        </w:tc>
        <w:tc>
          <w:tcPr>
            <w:tcW w:w="877" w:type="pct"/>
            <w:vMerge/>
            <w:tcBorders>
              <w:left w:val="single" w:sz="4" w:space="0" w:color="auto"/>
              <w:right w:val="single" w:sz="4" w:space="0" w:color="auto"/>
            </w:tcBorders>
            <w:shd w:val="clear" w:color="auto" w:fill="auto"/>
            <w:vAlign w:val="center"/>
          </w:tcPr>
          <w:p w14:paraId="5F823EAC" w14:textId="77777777" w:rsidR="006471D6" w:rsidRPr="003C429D" w:rsidRDefault="006471D6" w:rsidP="00BA3F8A">
            <w:pPr>
              <w:pStyle w:val="TableText0"/>
              <w:jc w:val="center"/>
            </w:pPr>
          </w:p>
        </w:tc>
      </w:tr>
      <w:tr w:rsidR="006471D6" w:rsidRPr="00511320" w14:paraId="2CA97183" w14:textId="77777777" w:rsidTr="00BA3F8A">
        <w:trPr>
          <w:trHeight w:val="20"/>
        </w:trPr>
        <w:tc>
          <w:tcPr>
            <w:tcW w:w="1493" w:type="pct"/>
            <w:tcBorders>
              <w:top w:val="single" w:sz="4" w:space="0" w:color="auto"/>
              <w:left w:val="single" w:sz="4" w:space="0" w:color="auto"/>
              <w:bottom w:val="single" w:sz="4" w:space="0" w:color="auto"/>
              <w:right w:val="single" w:sz="4" w:space="0" w:color="auto"/>
            </w:tcBorders>
            <w:shd w:val="clear" w:color="auto" w:fill="auto"/>
            <w:vAlign w:val="center"/>
          </w:tcPr>
          <w:p w14:paraId="1F73670B" w14:textId="77777777" w:rsidR="006471D6" w:rsidRPr="003C429D" w:rsidRDefault="006471D6" w:rsidP="00BA3F8A">
            <w:pPr>
              <w:pStyle w:val="TableText0"/>
            </w:pPr>
            <w:r w:rsidRPr="003C429D">
              <w:t xml:space="preserve">% Alive at </w:t>
            </w:r>
            <w:r>
              <w:t>3 years</w:t>
            </w:r>
            <w:r w:rsidRPr="003C429D">
              <w:t xml:space="preserve"> (95% CI) </w:t>
            </w:r>
          </w:p>
        </w:tc>
        <w:tc>
          <w:tcPr>
            <w:tcW w:w="863" w:type="pct"/>
            <w:tcBorders>
              <w:top w:val="single" w:sz="4" w:space="0" w:color="auto"/>
              <w:left w:val="single" w:sz="4" w:space="0" w:color="auto"/>
              <w:bottom w:val="single" w:sz="4" w:space="0" w:color="auto"/>
              <w:right w:val="single" w:sz="4" w:space="0" w:color="auto"/>
            </w:tcBorders>
            <w:shd w:val="clear" w:color="auto" w:fill="auto"/>
            <w:vAlign w:val="center"/>
          </w:tcPr>
          <w:p w14:paraId="2944D316" w14:textId="77777777" w:rsidR="006471D6" w:rsidRPr="003C429D" w:rsidRDefault="006471D6" w:rsidP="00BA3F8A">
            <w:pPr>
              <w:pStyle w:val="TableText0"/>
              <w:jc w:val="center"/>
            </w:pPr>
            <w:r w:rsidRPr="003C429D">
              <w:t>95.3 (92.3, 97.1)</w:t>
            </w:r>
          </w:p>
        </w:tc>
        <w:tc>
          <w:tcPr>
            <w:tcW w:w="864" w:type="pct"/>
            <w:tcBorders>
              <w:top w:val="single" w:sz="4" w:space="0" w:color="auto"/>
              <w:left w:val="single" w:sz="4" w:space="0" w:color="auto"/>
              <w:bottom w:val="single" w:sz="4" w:space="0" w:color="auto"/>
              <w:right w:val="single" w:sz="4" w:space="0" w:color="auto"/>
            </w:tcBorders>
            <w:shd w:val="clear" w:color="auto" w:fill="auto"/>
            <w:vAlign w:val="center"/>
          </w:tcPr>
          <w:p w14:paraId="5062AE69" w14:textId="77777777" w:rsidR="006471D6" w:rsidRPr="003C429D" w:rsidRDefault="006471D6" w:rsidP="00BA3F8A">
            <w:pPr>
              <w:pStyle w:val="TableText0"/>
              <w:jc w:val="center"/>
            </w:pPr>
            <w:r w:rsidRPr="003C429D">
              <w:t>88.8 (84.9, 91.8)</w:t>
            </w:r>
          </w:p>
        </w:tc>
        <w:tc>
          <w:tcPr>
            <w:tcW w:w="903" w:type="pct"/>
            <w:tcBorders>
              <w:top w:val="single" w:sz="4" w:space="0" w:color="auto"/>
              <w:left w:val="single" w:sz="4" w:space="0" w:color="auto"/>
              <w:bottom w:val="single" w:sz="4" w:space="0" w:color="auto"/>
              <w:right w:val="single" w:sz="4" w:space="0" w:color="auto"/>
            </w:tcBorders>
            <w:shd w:val="clear" w:color="auto" w:fill="auto"/>
            <w:vAlign w:val="center"/>
          </w:tcPr>
          <w:p w14:paraId="74C9CD8E" w14:textId="77777777" w:rsidR="006471D6" w:rsidRPr="00280F28" w:rsidRDefault="006471D6" w:rsidP="00BA3F8A">
            <w:pPr>
              <w:pStyle w:val="TableText0"/>
              <w:jc w:val="center"/>
              <w:rPr>
                <w:iCs/>
              </w:rPr>
            </w:pPr>
            <w:r w:rsidRPr="00280F28">
              <w:rPr>
                <w:iCs/>
              </w:rPr>
              <w:t>6.5%</w:t>
            </w:r>
          </w:p>
        </w:tc>
        <w:tc>
          <w:tcPr>
            <w:tcW w:w="877" w:type="pct"/>
            <w:vMerge/>
            <w:tcBorders>
              <w:left w:val="single" w:sz="4" w:space="0" w:color="auto"/>
              <w:right w:val="single" w:sz="4" w:space="0" w:color="auto"/>
            </w:tcBorders>
            <w:shd w:val="clear" w:color="auto" w:fill="auto"/>
            <w:vAlign w:val="center"/>
          </w:tcPr>
          <w:p w14:paraId="7CDFB180" w14:textId="77777777" w:rsidR="006471D6" w:rsidRPr="003C429D" w:rsidRDefault="006471D6" w:rsidP="00BA3F8A">
            <w:pPr>
              <w:pStyle w:val="TableText0"/>
              <w:jc w:val="center"/>
            </w:pPr>
          </w:p>
        </w:tc>
      </w:tr>
      <w:tr w:rsidR="006471D6" w:rsidRPr="00511320" w14:paraId="5D5F2B34" w14:textId="77777777" w:rsidTr="00BA3F8A">
        <w:trPr>
          <w:trHeight w:val="20"/>
        </w:trPr>
        <w:tc>
          <w:tcPr>
            <w:tcW w:w="1493" w:type="pct"/>
            <w:tcBorders>
              <w:top w:val="single" w:sz="4" w:space="0" w:color="auto"/>
              <w:left w:val="single" w:sz="4" w:space="0" w:color="auto"/>
              <w:bottom w:val="double" w:sz="4" w:space="0" w:color="auto"/>
              <w:right w:val="single" w:sz="4" w:space="0" w:color="auto"/>
            </w:tcBorders>
            <w:shd w:val="clear" w:color="auto" w:fill="auto"/>
            <w:vAlign w:val="center"/>
          </w:tcPr>
          <w:p w14:paraId="7B748BB9" w14:textId="77777777" w:rsidR="006471D6" w:rsidRPr="003C429D" w:rsidRDefault="006471D6" w:rsidP="00BA3F8A">
            <w:pPr>
              <w:pStyle w:val="TableText0"/>
            </w:pPr>
            <w:r w:rsidRPr="003C429D">
              <w:t xml:space="preserve">% Alive at </w:t>
            </w:r>
            <w:r>
              <w:t>5 years</w:t>
            </w:r>
            <w:r w:rsidRPr="003C429D">
              <w:t xml:space="preserve"> (95% CI)</w:t>
            </w:r>
          </w:p>
        </w:tc>
        <w:tc>
          <w:tcPr>
            <w:tcW w:w="863" w:type="pct"/>
            <w:tcBorders>
              <w:top w:val="single" w:sz="4" w:space="0" w:color="auto"/>
              <w:left w:val="single" w:sz="4" w:space="0" w:color="auto"/>
              <w:bottom w:val="double" w:sz="4" w:space="0" w:color="auto"/>
              <w:right w:val="single" w:sz="4" w:space="0" w:color="auto"/>
            </w:tcBorders>
            <w:shd w:val="clear" w:color="auto" w:fill="auto"/>
            <w:vAlign w:val="center"/>
          </w:tcPr>
          <w:p w14:paraId="41212FF1" w14:textId="77777777" w:rsidR="006471D6" w:rsidRPr="003C429D" w:rsidRDefault="006471D6" w:rsidP="00BA3F8A">
            <w:pPr>
              <w:pStyle w:val="TableText0"/>
              <w:jc w:val="center"/>
            </w:pPr>
            <w:r w:rsidRPr="003C429D">
              <w:t>87.6 (83.3, 90.9)</w:t>
            </w:r>
          </w:p>
        </w:tc>
        <w:tc>
          <w:tcPr>
            <w:tcW w:w="864" w:type="pct"/>
            <w:tcBorders>
              <w:top w:val="single" w:sz="4" w:space="0" w:color="auto"/>
              <w:left w:val="single" w:sz="4" w:space="0" w:color="auto"/>
              <w:bottom w:val="double" w:sz="4" w:space="0" w:color="auto"/>
              <w:right w:val="single" w:sz="4" w:space="0" w:color="auto"/>
            </w:tcBorders>
            <w:shd w:val="clear" w:color="auto" w:fill="auto"/>
            <w:vAlign w:val="center"/>
          </w:tcPr>
          <w:p w14:paraId="31391495" w14:textId="77777777" w:rsidR="006471D6" w:rsidRPr="003C429D" w:rsidRDefault="006471D6" w:rsidP="00BA3F8A">
            <w:pPr>
              <w:pStyle w:val="TableText0"/>
              <w:jc w:val="center"/>
            </w:pPr>
            <w:r w:rsidRPr="003C429D">
              <w:t>77.7 (72.7, 81.9)</w:t>
            </w:r>
          </w:p>
        </w:tc>
        <w:tc>
          <w:tcPr>
            <w:tcW w:w="903" w:type="pct"/>
            <w:tcBorders>
              <w:top w:val="single" w:sz="4" w:space="0" w:color="auto"/>
              <w:left w:val="single" w:sz="4" w:space="0" w:color="auto"/>
              <w:bottom w:val="double" w:sz="4" w:space="0" w:color="auto"/>
              <w:right w:val="single" w:sz="4" w:space="0" w:color="auto"/>
            </w:tcBorders>
            <w:shd w:val="clear" w:color="auto" w:fill="auto"/>
            <w:vAlign w:val="center"/>
          </w:tcPr>
          <w:p w14:paraId="75D75E69" w14:textId="77777777" w:rsidR="006471D6" w:rsidRPr="00280F28" w:rsidRDefault="006471D6" w:rsidP="00BA3F8A">
            <w:pPr>
              <w:pStyle w:val="TableText0"/>
              <w:jc w:val="center"/>
              <w:rPr>
                <w:iCs/>
              </w:rPr>
            </w:pPr>
            <w:r w:rsidRPr="00280F28">
              <w:rPr>
                <w:iCs/>
              </w:rPr>
              <w:t>9.9%</w:t>
            </w:r>
          </w:p>
        </w:tc>
        <w:tc>
          <w:tcPr>
            <w:tcW w:w="877" w:type="pct"/>
            <w:vMerge/>
            <w:tcBorders>
              <w:left w:val="single" w:sz="4" w:space="0" w:color="auto"/>
              <w:bottom w:val="double" w:sz="4" w:space="0" w:color="auto"/>
              <w:right w:val="single" w:sz="4" w:space="0" w:color="auto"/>
            </w:tcBorders>
            <w:shd w:val="clear" w:color="auto" w:fill="auto"/>
            <w:vAlign w:val="center"/>
          </w:tcPr>
          <w:p w14:paraId="624DCA85" w14:textId="77777777" w:rsidR="006471D6" w:rsidRPr="003C429D" w:rsidRDefault="006471D6" w:rsidP="00BA3F8A">
            <w:pPr>
              <w:pStyle w:val="TableText0"/>
              <w:jc w:val="center"/>
            </w:pPr>
          </w:p>
        </w:tc>
      </w:tr>
    </w:tbl>
    <w:tbl>
      <w:tblPr>
        <w:tblW w:w="5000" w:type="pct"/>
        <w:tblLayout w:type="fixed"/>
        <w:tblCellMar>
          <w:left w:w="28" w:type="dxa"/>
          <w:right w:w="28" w:type="dxa"/>
        </w:tblCellMar>
        <w:tblLook w:val="04A0" w:firstRow="1" w:lastRow="0" w:firstColumn="1" w:lastColumn="0" w:noHBand="0" w:noVBand="1"/>
      </w:tblPr>
      <w:tblGrid>
        <w:gridCol w:w="1827"/>
        <w:gridCol w:w="1003"/>
        <w:gridCol w:w="959"/>
        <w:gridCol w:w="1538"/>
        <w:gridCol w:w="1120"/>
        <w:gridCol w:w="1021"/>
        <w:gridCol w:w="1549"/>
      </w:tblGrid>
      <w:tr w:rsidR="006471D6" w:rsidRPr="00E2771E" w14:paraId="2B5DF8C0" w14:textId="77777777" w:rsidTr="00BA3F8A">
        <w:tc>
          <w:tcPr>
            <w:tcW w:w="5000" w:type="pct"/>
            <w:gridSpan w:val="7"/>
            <w:tcBorders>
              <w:top w:val="double" w:sz="4" w:space="0" w:color="auto"/>
              <w:left w:val="single" w:sz="4" w:space="0" w:color="auto"/>
              <w:bottom w:val="single" w:sz="4" w:space="0" w:color="auto"/>
              <w:right w:val="single" w:sz="4" w:space="0" w:color="auto"/>
            </w:tcBorders>
            <w:shd w:val="clear" w:color="auto" w:fill="auto"/>
            <w:vAlign w:val="center"/>
          </w:tcPr>
          <w:p w14:paraId="27095065" w14:textId="77777777" w:rsidR="006471D6" w:rsidRPr="00E2771E" w:rsidRDefault="006471D6" w:rsidP="00BA3F8A">
            <w:pPr>
              <w:pStyle w:val="In-tableHeading"/>
            </w:pPr>
            <w:r w:rsidRPr="00E2771E">
              <w:t>Harms</w:t>
            </w:r>
            <w:r>
              <w:rPr>
                <w:vertAlign w:val="superscript"/>
              </w:rPr>
              <w:t>c</w:t>
            </w:r>
          </w:p>
        </w:tc>
      </w:tr>
      <w:tr w:rsidR="006471D6" w:rsidRPr="00E2771E" w14:paraId="52D600B9" w14:textId="77777777" w:rsidTr="00BA3F8A">
        <w:trPr>
          <w:trHeight w:val="70"/>
        </w:trPr>
        <w:tc>
          <w:tcPr>
            <w:tcW w:w="1013" w:type="pct"/>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4F1CB138" w14:textId="77777777" w:rsidR="006471D6" w:rsidRPr="00E2771E" w:rsidRDefault="006471D6" w:rsidP="00BA3F8A">
            <w:pPr>
              <w:pStyle w:val="In-tableHeading"/>
            </w:pPr>
            <w:r>
              <w:t>AE Grade ≥ 3</w:t>
            </w:r>
          </w:p>
        </w:tc>
        <w:tc>
          <w:tcPr>
            <w:tcW w:w="556" w:type="pct"/>
            <w:vMerge w:val="restart"/>
            <w:tcBorders>
              <w:top w:val="single" w:sz="4" w:space="0" w:color="auto"/>
              <w:left w:val="single" w:sz="4" w:space="0" w:color="auto"/>
              <w:bottom w:val="single" w:sz="4" w:space="0" w:color="auto"/>
              <w:right w:val="single" w:sz="4" w:space="0" w:color="auto"/>
            </w:tcBorders>
            <w:vAlign w:val="center"/>
          </w:tcPr>
          <w:p w14:paraId="1AC79886" w14:textId="77777777" w:rsidR="006471D6" w:rsidRDefault="006471D6" w:rsidP="00BA3F8A">
            <w:pPr>
              <w:pStyle w:val="In-tableHeading"/>
              <w:jc w:val="center"/>
            </w:pPr>
            <w:r>
              <w:t>Osimertinib</w:t>
            </w:r>
          </w:p>
          <w:p w14:paraId="763304B9" w14:textId="77777777" w:rsidR="006471D6" w:rsidRPr="00E2771E" w:rsidRDefault="006471D6" w:rsidP="00BA3F8A">
            <w:pPr>
              <w:pStyle w:val="In-tableHeading"/>
              <w:jc w:val="center"/>
            </w:pPr>
            <w:r>
              <w:t>N=337</w:t>
            </w:r>
          </w:p>
        </w:tc>
        <w:tc>
          <w:tcPr>
            <w:tcW w:w="532" w:type="pct"/>
            <w:vMerge w:val="restart"/>
            <w:tcBorders>
              <w:top w:val="single" w:sz="4" w:space="0" w:color="auto"/>
              <w:left w:val="single" w:sz="4" w:space="0" w:color="auto"/>
              <w:bottom w:val="single" w:sz="4" w:space="0" w:color="auto"/>
              <w:right w:val="single" w:sz="4" w:space="0" w:color="auto"/>
            </w:tcBorders>
            <w:vAlign w:val="center"/>
          </w:tcPr>
          <w:p w14:paraId="1E492851" w14:textId="77777777" w:rsidR="006471D6" w:rsidRDefault="006471D6" w:rsidP="00BA3F8A">
            <w:pPr>
              <w:pStyle w:val="In-tableHeading"/>
              <w:jc w:val="center"/>
            </w:pPr>
            <w:r>
              <w:t>Placebo</w:t>
            </w:r>
          </w:p>
          <w:p w14:paraId="779C6FAF" w14:textId="77777777" w:rsidR="006471D6" w:rsidRPr="00E2771E" w:rsidRDefault="006471D6" w:rsidP="00BA3F8A">
            <w:pPr>
              <w:pStyle w:val="In-tableHeading"/>
              <w:jc w:val="center"/>
            </w:pPr>
            <w:r>
              <w:t>N=343</w:t>
            </w:r>
          </w:p>
        </w:tc>
        <w:tc>
          <w:tcPr>
            <w:tcW w:w="853" w:type="pct"/>
            <w:vMerge w:val="restart"/>
            <w:tcBorders>
              <w:top w:val="single" w:sz="4" w:space="0" w:color="auto"/>
              <w:left w:val="single" w:sz="4" w:space="0" w:color="auto"/>
              <w:bottom w:val="single" w:sz="4" w:space="0" w:color="auto"/>
              <w:right w:val="single" w:sz="4" w:space="0" w:color="auto"/>
            </w:tcBorders>
            <w:vAlign w:val="center"/>
          </w:tcPr>
          <w:p w14:paraId="4775789F" w14:textId="77777777" w:rsidR="006471D6" w:rsidRPr="00E42830" w:rsidRDefault="006471D6" w:rsidP="00BA3F8A">
            <w:pPr>
              <w:pStyle w:val="In-tableHeading"/>
              <w:jc w:val="center"/>
              <w:rPr>
                <w:iCs/>
              </w:rPr>
            </w:pPr>
            <w:r w:rsidRPr="00E42830">
              <w:rPr>
                <w:iCs/>
              </w:rPr>
              <w:t>RR</w:t>
            </w:r>
            <w:r>
              <w:rPr>
                <w:iCs/>
              </w:rPr>
              <w:t xml:space="preserve"> </w:t>
            </w:r>
            <w:r w:rsidRPr="00E42830">
              <w:rPr>
                <w:iCs/>
              </w:rPr>
              <w:t>(95% CI)</w:t>
            </w:r>
          </w:p>
        </w:tc>
        <w:tc>
          <w:tcPr>
            <w:tcW w:w="1187" w:type="pct"/>
            <w:gridSpan w:val="2"/>
            <w:tcBorders>
              <w:top w:val="single" w:sz="4" w:space="0" w:color="auto"/>
              <w:left w:val="single" w:sz="4" w:space="0" w:color="auto"/>
              <w:bottom w:val="single" w:sz="4" w:space="0" w:color="auto"/>
              <w:right w:val="single" w:sz="4" w:space="0" w:color="auto"/>
            </w:tcBorders>
            <w:vAlign w:val="center"/>
          </w:tcPr>
          <w:p w14:paraId="00A142E8" w14:textId="77777777" w:rsidR="006471D6" w:rsidRPr="00E2771E" w:rsidRDefault="006471D6" w:rsidP="00BA3F8A">
            <w:pPr>
              <w:pStyle w:val="In-tableHeading"/>
              <w:jc w:val="center"/>
            </w:pPr>
            <w:r w:rsidRPr="00E2771E">
              <w:t>Event rate/100 patients*</w:t>
            </w:r>
          </w:p>
        </w:tc>
        <w:tc>
          <w:tcPr>
            <w:tcW w:w="859" w:type="pct"/>
            <w:vMerge w:val="restart"/>
            <w:tcBorders>
              <w:top w:val="single" w:sz="4" w:space="0" w:color="auto"/>
              <w:left w:val="single" w:sz="4" w:space="0" w:color="auto"/>
              <w:bottom w:val="single" w:sz="4" w:space="0" w:color="auto"/>
              <w:right w:val="single" w:sz="4" w:space="0" w:color="auto"/>
            </w:tcBorders>
            <w:vAlign w:val="center"/>
          </w:tcPr>
          <w:p w14:paraId="45907B46" w14:textId="77777777" w:rsidR="006471D6" w:rsidRPr="00E2771E" w:rsidRDefault="006471D6" w:rsidP="00BA3F8A">
            <w:pPr>
              <w:pStyle w:val="In-tableHeading"/>
              <w:jc w:val="center"/>
            </w:pPr>
            <w:r w:rsidRPr="00E2771E">
              <w:t>RD</w:t>
            </w:r>
            <w:r>
              <w:t xml:space="preserve"> </w:t>
            </w:r>
            <w:r w:rsidRPr="00E2771E">
              <w:t>(95% CI)</w:t>
            </w:r>
          </w:p>
        </w:tc>
      </w:tr>
      <w:tr w:rsidR="006471D6" w:rsidRPr="00E2771E" w14:paraId="766FDA03" w14:textId="77777777" w:rsidTr="00BA3F8A">
        <w:trPr>
          <w:trHeight w:val="390"/>
        </w:trPr>
        <w:tc>
          <w:tcPr>
            <w:tcW w:w="1013" w:type="pct"/>
            <w:vMerge/>
            <w:tcBorders>
              <w:top w:val="single" w:sz="4" w:space="0" w:color="auto"/>
              <w:left w:val="single" w:sz="4" w:space="0" w:color="auto"/>
              <w:bottom w:val="single" w:sz="4" w:space="0" w:color="auto"/>
              <w:right w:val="single" w:sz="4" w:space="0" w:color="auto"/>
            </w:tcBorders>
            <w:shd w:val="clear" w:color="auto" w:fill="auto"/>
            <w:vAlign w:val="center"/>
          </w:tcPr>
          <w:p w14:paraId="76E6ABC5" w14:textId="77777777" w:rsidR="006471D6" w:rsidRPr="00E2771E" w:rsidRDefault="006471D6" w:rsidP="00BA3F8A">
            <w:pPr>
              <w:pStyle w:val="In-tableHeading"/>
            </w:pPr>
          </w:p>
        </w:tc>
        <w:tc>
          <w:tcPr>
            <w:tcW w:w="556" w:type="pct"/>
            <w:vMerge/>
            <w:tcBorders>
              <w:top w:val="single" w:sz="4" w:space="0" w:color="auto"/>
              <w:left w:val="single" w:sz="4" w:space="0" w:color="auto"/>
              <w:bottom w:val="single" w:sz="4" w:space="0" w:color="auto"/>
              <w:right w:val="single" w:sz="4" w:space="0" w:color="auto"/>
            </w:tcBorders>
            <w:vAlign w:val="center"/>
          </w:tcPr>
          <w:p w14:paraId="0A589A5B" w14:textId="77777777" w:rsidR="006471D6" w:rsidRPr="00E2771E" w:rsidRDefault="006471D6" w:rsidP="00BA3F8A">
            <w:pPr>
              <w:pStyle w:val="In-tableHeading"/>
            </w:pPr>
          </w:p>
        </w:tc>
        <w:tc>
          <w:tcPr>
            <w:tcW w:w="532" w:type="pct"/>
            <w:vMerge/>
            <w:tcBorders>
              <w:top w:val="single" w:sz="4" w:space="0" w:color="auto"/>
              <w:left w:val="single" w:sz="4" w:space="0" w:color="auto"/>
              <w:bottom w:val="single" w:sz="4" w:space="0" w:color="auto"/>
              <w:right w:val="single" w:sz="4" w:space="0" w:color="auto"/>
            </w:tcBorders>
            <w:vAlign w:val="center"/>
          </w:tcPr>
          <w:p w14:paraId="04265D38" w14:textId="77777777" w:rsidR="006471D6" w:rsidRPr="00E2771E" w:rsidRDefault="006471D6" w:rsidP="00BA3F8A">
            <w:pPr>
              <w:pStyle w:val="In-tableHeading"/>
            </w:pPr>
          </w:p>
        </w:tc>
        <w:tc>
          <w:tcPr>
            <w:tcW w:w="853" w:type="pct"/>
            <w:vMerge/>
            <w:tcBorders>
              <w:top w:val="single" w:sz="4" w:space="0" w:color="auto"/>
              <w:left w:val="single" w:sz="4" w:space="0" w:color="auto"/>
              <w:bottom w:val="single" w:sz="4" w:space="0" w:color="auto"/>
              <w:right w:val="single" w:sz="4" w:space="0" w:color="auto"/>
            </w:tcBorders>
            <w:vAlign w:val="center"/>
          </w:tcPr>
          <w:p w14:paraId="4ED2DDBF" w14:textId="77777777" w:rsidR="006471D6" w:rsidRPr="00E42830" w:rsidRDefault="006471D6" w:rsidP="00BA3F8A">
            <w:pPr>
              <w:pStyle w:val="In-tableHeading"/>
              <w:rPr>
                <w:iCs/>
              </w:rPr>
            </w:pPr>
          </w:p>
        </w:tc>
        <w:tc>
          <w:tcPr>
            <w:tcW w:w="621" w:type="pct"/>
            <w:tcBorders>
              <w:top w:val="single" w:sz="4" w:space="0" w:color="auto"/>
              <w:left w:val="single" w:sz="4" w:space="0" w:color="auto"/>
              <w:bottom w:val="single" w:sz="4" w:space="0" w:color="auto"/>
              <w:right w:val="single" w:sz="4" w:space="0" w:color="auto"/>
            </w:tcBorders>
            <w:vAlign w:val="center"/>
          </w:tcPr>
          <w:p w14:paraId="0A91CF44" w14:textId="77777777" w:rsidR="006471D6" w:rsidRPr="00E2771E" w:rsidRDefault="006471D6" w:rsidP="00BA3F8A">
            <w:pPr>
              <w:pStyle w:val="In-tableHeading"/>
              <w:jc w:val="center"/>
            </w:pPr>
            <w:r>
              <w:t>Osimertinib</w:t>
            </w:r>
          </w:p>
        </w:tc>
        <w:tc>
          <w:tcPr>
            <w:tcW w:w="566" w:type="pct"/>
            <w:tcBorders>
              <w:top w:val="single" w:sz="4" w:space="0" w:color="auto"/>
              <w:left w:val="single" w:sz="4" w:space="0" w:color="auto"/>
              <w:bottom w:val="single" w:sz="4" w:space="0" w:color="auto"/>
              <w:right w:val="single" w:sz="4" w:space="0" w:color="auto"/>
            </w:tcBorders>
            <w:vAlign w:val="center"/>
          </w:tcPr>
          <w:p w14:paraId="16C9263E" w14:textId="77777777" w:rsidR="006471D6" w:rsidRPr="00E2771E" w:rsidRDefault="006471D6" w:rsidP="00BA3F8A">
            <w:pPr>
              <w:pStyle w:val="In-tableHeading"/>
              <w:jc w:val="center"/>
            </w:pPr>
            <w:r>
              <w:t>Placebo</w:t>
            </w:r>
          </w:p>
        </w:tc>
        <w:tc>
          <w:tcPr>
            <w:tcW w:w="859" w:type="pct"/>
            <w:vMerge/>
            <w:tcBorders>
              <w:top w:val="single" w:sz="4" w:space="0" w:color="auto"/>
              <w:left w:val="single" w:sz="4" w:space="0" w:color="auto"/>
              <w:bottom w:val="single" w:sz="4" w:space="0" w:color="auto"/>
              <w:right w:val="single" w:sz="4" w:space="0" w:color="auto"/>
            </w:tcBorders>
            <w:vAlign w:val="center"/>
          </w:tcPr>
          <w:p w14:paraId="3DCCD764" w14:textId="77777777" w:rsidR="006471D6" w:rsidRPr="00E2771E" w:rsidRDefault="006471D6" w:rsidP="00BA3F8A">
            <w:pPr>
              <w:pStyle w:val="In-tableHeading"/>
            </w:pPr>
          </w:p>
        </w:tc>
      </w:tr>
      <w:tr w:rsidR="006471D6" w:rsidRPr="00E2771E" w14:paraId="7DD41917" w14:textId="77777777" w:rsidTr="00BA3F8A">
        <w:tc>
          <w:tcPr>
            <w:tcW w:w="1013" w:type="pct"/>
            <w:tcBorders>
              <w:top w:val="single" w:sz="4" w:space="0" w:color="auto"/>
              <w:left w:val="single" w:sz="4" w:space="0" w:color="auto"/>
              <w:bottom w:val="single" w:sz="4" w:space="0" w:color="auto"/>
              <w:right w:val="single" w:sz="4" w:space="0" w:color="auto"/>
            </w:tcBorders>
            <w:shd w:val="clear" w:color="auto" w:fill="auto"/>
            <w:vAlign w:val="center"/>
          </w:tcPr>
          <w:p w14:paraId="3C0B9841" w14:textId="77777777" w:rsidR="006471D6" w:rsidRPr="001E2F16" w:rsidRDefault="006471D6" w:rsidP="00BA3F8A">
            <w:pPr>
              <w:pStyle w:val="TableText0"/>
            </w:pPr>
            <w:r w:rsidRPr="001E2F16">
              <w:t>Any Grade ≥3</w:t>
            </w:r>
          </w:p>
        </w:tc>
        <w:tc>
          <w:tcPr>
            <w:tcW w:w="556" w:type="pct"/>
            <w:tcBorders>
              <w:top w:val="single" w:sz="4" w:space="0" w:color="auto"/>
              <w:left w:val="single" w:sz="4" w:space="0" w:color="auto"/>
              <w:bottom w:val="single" w:sz="4" w:space="0" w:color="auto"/>
              <w:right w:val="single" w:sz="4" w:space="0" w:color="auto"/>
            </w:tcBorders>
            <w:vAlign w:val="center"/>
          </w:tcPr>
          <w:p w14:paraId="23DCD67F" w14:textId="77777777" w:rsidR="006471D6" w:rsidRPr="001E2F16" w:rsidRDefault="006471D6" w:rsidP="00BA3F8A">
            <w:pPr>
              <w:pStyle w:val="TableText0"/>
              <w:jc w:val="center"/>
            </w:pPr>
            <w:r w:rsidRPr="001E2F16">
              <w:t>79/337</w:t>
            </w:r>
          </w:p>
        </w:tc>
        <w:tc>
          <w:tcPr>
            <w:tcW w:w="532" w:type="pct"/>
            <w:tcBorders>
              <w:top w:val="single" w:sz="4" w:space="0" w:color="auto"/>
              <w:left w:val="single" w:sz="4" w:space="0" w:color="auto"/>
              <w:bottom w:val="single" w:sz="4" w:space="0" w:color="auto"/>
              <w:right w:val="single" w:sz="4" w:space="0" w:color="auto"/>
            </w:tcBorders>
            <w:vAlign w:val="center"/>
          </w:tcPr>
          <w:p w14:paraId="6A1D9AA7" w14:textId="77777777" w:rsidR="006471D6" w:rsidRPr="001E2F16" w:rsidRDefault="006471D6" w:rsidP="00BA3F8A">
            <w:pPr>
              <w:pStyle w:val="TableText0"/>
              <w:jc w:val="center"/>
            </w:pPr>
            <w:r w:rsidRPr="001E2F16">
              <w:t>48/343</w:t>
            </w:r>
          </w:p>
        </w:tc>
        <w:tc>
          <w:tcPr>
            <w:tcW w:w="853" w:type="pct"/>
            <w:tcBorders>
              <w:top w:val="single" w:sz="4" w:space="0" w:color="auto"/>
              <w:left w:val="single" w:sz="4" w:space="0" w:color="auto"/>
              <w:bottom w:val="single" w:sz="4" w:space="0" w:color="auto"/>
              <w:right w:val="single" w:sz="4" w:space="0" w:color="auto"/>
            </w:tcBorders>
            <w:vAlign w:val="center"/>
          </w:tcPr>
          <w:p w14:paraId="0CC2F4AE" w14:textId="77777777" w:rsidR="006471D6" w:rsidRPr="00E42830" w:rsidRDefault="006471D6" w:rsidP="00BA3F8A">
            <w:pPr>
              <w:pStyle w:val="TableText0"/>
              <w:jc w:val="center"/>
              <w:rPr>
                <w:b/>
                <w:iCs/>
              </w:rPr>
            </w:pPr>
            <w:r w:rsidRPr="00E42830">
              <w:rPr>
                <w:b/>
                <w:iCs/>
              </w:rPr>
              <w:t>1.66 (1.20, 2.29)</w:t>
            </w:r>
          </w:p>
        </w:tc>
        <w:tc>
          <w:tcPr>
            <w:tcW w:w="621" w:type="pct"/>
            <w:tcBorders>
              <w:top w:val="single" w:sz="4" w:space="0" w:color="auto"/>
              <w:left w:val="single" w:sz="4" w:space="0" w:color="auto"/>
              <w:bottom w:val="single" w:sz="4" w:space="0" w:color="auto"/>
              <w:right w:val="single" w:sz="4" w:space="0" w:color="auto"/>
            </w:tcBorders>
            <w:vAlign w:val="center"/>
          </w:tcPr>
          <w:p w14:paraId="2E315BED" w14:textId="77777777" w:rsidR="006471D6" w:rsidRPr="001E2F16" w:rsidRDefault="006471D6" w:rsidP="00BA3F8A">
            <w:pPr>
              <w:pStyle w:val="TableText0"/>
              <w:jc w:val="center"/>
            </w:pPr>
            <w:r>
              <w:t>23</w:t>
            </w:r>
          </w:p>
        </w:tc>
        <w:tc>
          <w:tcPr>
            <w:tcW w:w="566" w:type="pct"/>
            <w:tcBorders>
              <w:top w:val="single" w:sz="4" w:space="0" w:color="auto"/>
              <w:left w:val="single" w:sz="4" w:space="0" w:color="auto"/>
              <w:bottom w:val="single" w:sz="4" w:space="0" w:color="auto"/>
              <w:right w:val="single" w:sz="4" w:space="0" w:color="auto"/>
            </w:tcBorders>
            <w:vAlign w:val="center"/>
          </w:tcPr>
          <w:p w14:paraId="36A06D16" w14:textId="77777777" w:rsidR="006471D6" w:rsidRPr="001E2F16" w:rsidRDefault="006471D6" w:rsidP="00BA3F8A">
            <w:pPr>
              <w:pStyle w:val="TableText0"/>
              <w:jc w:val="center"/>
            </w:pPr>
            <w:r>
              <w:t>14</w:t>
            </w:r>
          </w:p>
        </w:tc>
        <w:tc>
          <w:tcPr>
            <w:tcW w:w="859" w:type="pct"/>
            <w:tcBorders>
              <w:top w:val="single" w:sz="4" w:space="0" w:color="auto"/>
              <w:left w:val="single" w:sz="4" w:space="0" w:color="auto"/>
              <w:bottom w:val="single" w:sz="4" w:space="0" w:color="auto"/>
              <w:right w:val="single" w:sz="4" w:space="0" w:color="auto"/>
            </w:tcBorders>
            <w:vAlign w:val="center"/>
          </w:tcPr>
          <w:p w14:paraId="4385C49A" w14:textId="77777777" w:rsidR="006471D6" w:rsidRPr="00280F28" w:rsidRDefault="006471D6" w:rsidP="00BA3F8A">
            <w:pPr>
              <w:pStyle w:val="TableText0"/>
              <w:jc w:val="center"/>
              <w:rPr>
                <w:b/>
                <w:bCs w:val="0"/>
              </w:rPr>
            </w:pPr>
            <w:r w:rsidRPr="00280F28">
              <w:rPr>
                <w:b/>
                <w:bCs w:val="0"/>
              </w:rPr>
              <w:t>0.09 (0.04, 0.15)</w:t>
            </w:r>
          </w:p>
        </w:tc>
      </w:tr>
      <w:tr w:rsidR="006471D6" w:rsidRPr="00E2771E" w14:paraId="0EE7FB99" w14:textId="77777777" w:rsidTr="00BA3F8A">
        <w:tc>
          <w:tcPr>
            <w:tcW w:w="1013" w:type="pct"/>
            <w:tcBorders>
              <w:top w:val="single" w:sz="4" w:space="0" w:color="auto"/>
              <w:left w:val="single" w:sz="4" w:space="0" w:color="auto"/>
              <w:bottom w:val="single" w:sz="4" w:space="0" w:color="auto"/>
              <w:right w:val="single" w:sz="4" w:space="0" w:color="auto"/>
            </w:tcBorders>
            <w:shd w:val="clear" w:color="auto" w:fill="auto"/>
            <w:vAlign w:val="center"/>
          </w:tcPr>
          <w:p w14:paraId="4CD37CB1" w14:textId="77777777" w:rsidR="006471D6" w:rsidRPr="001E2F16" w:rsidRDefault="006471D6" w:rsidP="00BA3F8A">
            <w:pPr>
              <w:pStyle w:val="TableText0"/>
            </w:pPr>
            <w:r w:rsidRPr="001E2F16">
              <w:t xml:space="preserve">Diarrhoea </w:t>
            </w:r>
          </w:p>
        </w:tc>
        <w:tc>
          <w:tcPr>
            <w:tcW w:w="556" w:type="pct"/>
            <w:tcBorders>
              <w:top w:val="single" w:sz="4" w:space="0" w:color="auto"/>
              <w:left w:val="single" w:sz="4" w:space="0" w:color="auto"/>
              <w:bottom w:val="single" w:sz="4" w:space="0" w:color="auto"/>
              <w:right w:val="single" w:sz="4" w:space="0" w:color="auto"/>
            </w:tcBorders>
            <w:vAlign w:val="center"/>
          </w:tcPr>
          <w:p w14:paraId="68637D85" w14:textId="77777777" w:rsidR="006471D6" w:rsidRPr="001E2F16" w:rsidRDefault="006471D6" w:rsidP="00BA3F8A">
            <w:pPr>
              <w:pStyle w:val="TableText0"/>
              <w:jc w:val="center"/>
            </w:pPr>
            <w:r w:rsidRPr="001E2F16">
              <w:t>9/337</w:t>
            </w:r>
          </w:p>
        </w:tc>
        <w:tc>
          <w:tcPr>
            <w:tcW w:w="532" w:type="pct"/>
            <w:tcBorders>
              <w:top w:val="single" w:sz="4" w:space="0" w:color="auto"/>
              <w:left w:val="single" w:sz="4" w:space="0" w:color="auto"/>
              <w:bottom w:val="single" w:sz="4" w:space="0" w:color="auto"/>
              <w:right w:val="single" w:sz="4" w:space="0" w:color="auto"/>
            </w:tcBorders>
            <w:vAlign w:val="center"/>
          </w:tcPr>
          <w:p w14:paraId="4BD354BF" w14:textId="77777777" w:rsidR="006471D6" w:rsidRPr="001E2F16" w:rsidRDefault="006471D6" w:rsidP="00BA3F8A">
            <w:pPr>
              <w:pStyle w:val="TableText0"/>
              <w:jc w:val="center"/>
            </w:pPr>
            <w:r w:rsidRPr="001E2F16">
              <w:t>1/343</w:t>
            </w:r>
          </w:p>
        </w:tc>
        <w:tc>
          <w:tcPr>
            <w:tcW w:w="853" w:type="pct"/>
            <w:tcBorders>
              <w:top w:val="single" w:sz="4" w:space="0" w:color="auto"/>
              <w:left w:val="single" w:sz="4" w:space="0" w:color="auto"/>
              <w:bottom w:val="single" w:sz="4" w:space="0" w:color="auto"/>
              <w:right w:val="single" w:sz="4" w:space="0" w:color="auto"/>
            </w:tcBorders>
            <w:vAlign w:val="center"/>
          </w:tcPr>
          <w:p w14:paraId="0566FFC7" w14:textId="77777777" w:rsidR="006471D6" w:rsidRPr="00E42830" w:rsidRDefault="006471D6" w:rsidP="00BA3F8A">
            <w:pPr>
              <w:pStyle w:val="TableText0"/>
              <w:jc w:val="center"/>
              <w:rPr>
                <w:b/>
                <w:iCs/>
              </w:rPr>
            </w:pPr>
            <w:r w:rsidRPr="00E42830">
              <w:rPr>
                <w:b/>
                <w:iCs/>
              </w:rPr>
              <w:t>9.16 (1.17, 72.0)</w:t>
            </w:r>
          </w:p>
        </w:tc>
        <w:tc>
          <w:tcPr>
            <w:tcW w:w="621" w:type="pct"/>
            <w:tcBorders>
              <w:top w:val="single" w:sz="4" w:space="0" w:color="auto"/>
              <w:left w:val="single" w:sz="4" w:space="0" w:color="auto"/>
              <w:bottom w:val="single" w:sz="4" w:space="0" w:color="auto"/>
              <w:right w:val="single" w:sz="4" w:space="0" w:color="auto"/>
            </w:tcBorders>
            <w:vAlign w:val="center"/>
          </w:tcPr>
          <w:p w14:paraId="5B6F2758" w14:textId="77777777" w:rsidR="006471D6" w:rsidRPr="001E2F16" w:rsidRDefault="006471D6" w:rsidP="00BA3F8A">
            <w:pPr>
              <w:pStyle w:val="TableText0"/>
              <w:jc w:val="center"/>
            </w:pPr>
            <w:r>
              <w:t>3</w:t>
            </w:r>
          </w:p>
        </w:tc>
        <w:tc>
          <w:tcPr>
            <w:tcW w:w="566" w:type="pct"/>
            <w:tcBorders>
              <w:top w:val="single" w:sz="4" w:space="0" w:color="auto"/>
              <w:left w:val="single" w:sz="4" w:space="0" w:color="auto"/>
              <w:bottom w:val="single" w:sz="4" w:space="0" w:color="auto"/>
              <w:right w:val="single" w:sz="4" w:space="0" w:color="auto"/>
            </w:tcBorders>
            <w:vAlign w:val="center"/>
          </w:tcPr>
          <w:p w14:paraId="524541B2" w14:textId="77777777" w:rsidR="006471D6" w:rsidRPr="001E2F16" w:rsidRDefault="006471D6" w:rsidP="00BA3F8A">
            <w:pPr>
              <w:pStyle w:val="TableText0"/>
              <w:jc w:val="center"/>
            </w:pPr>
            <w:r>
              <w:t>0.3</w:t>
            </w:r>
          </w:p>
        </w:tc>
        <w:tc>
          <w:tcPr>
            <w:tcW w:w="859" w:type="pct"/>
            <w:tcBorders>
              <w:top w:val="single" w:sz="4" w:space="0" w:color="auto"/>
              <w:left w:val="single" w:sz="4" w:space="0" w:color="auto"/>
              <w:bottom w:val="single" w:sz="4" w:space="0" w:color="auto"/>
              <w:right w:val="single" w:sz="4" w:space="0" w:color="auto"/>
            </w:tcBorders>
            <w:vAlign w:val="center"/>
          </w:tcPr>
          <w:p w14:paraId="45F624A1" w14:textId="77777777" w:rsidR="006471D6" w:rsidRPr="00280F28" w:rsidRDefault="006471D6" w:rsidP="00BA3F8A">
            <w:pPr>
              <w:pStyle w:val="TableText0"/>
              <w:jc w:val="center"/>
              <w:rPr>
                <w:b/>
                <w:bCs w:val="0"/>
              </w:rPr>
            </w:pPr>
            <w:r w:rsidRPr="00280F28">
              <w:rPr>
                <w:b/>
                <w:bCs w:val="0"/>
              </w:rPr>
              <w:t>0.02 (0.01, 0.04)</w:t>
            </w:r>
          </w:p>
        </w:tc>
      </w:tr>
      <w:tr w:rsidR="006471D6" w:rsidRPr="00E2771E" w14:paraId="3ADCBFEE" w14:textId="77777777" w:rsidTr="00BA3F8A">
        <w:tc>
          <w:tcPr>
            <w:tcW w:w="1013" w:type="pct"/>
            <w:tcBorders>
              <w:top w:val="single" w:sz="4" w:space="0" w:color="auto"/>
              <w:left w:val="single" w:sz="4" w:space="0" w:color="auto"/>
              <w:bottom w:val="single" w:sz="4" w:space="0" w:color="auto"/>
              <w:right w:val="single" w:sz="4" w:space="0" w:color="auto"/>
            </w:tcBorders>
            <w:shd w:val="clear" w:color="auto" w:fill="auto"/>
            <w:vAlign w:val="center"/>
          </w:tcPr>
          <w:p w14:paraId="74ABDE84" w14:textId="77777777" w:rsidR="006471D6" w:rsidRPr="001E2F16" w:rsidRDefault="006471D6" w:rsidP="00BA3F8A">
            <w:pPr>
              <w:pStyle w:val="TableText0"/>
            </w:pPr>
            <w:r w:rsidRPr="001E2F16">
              <w:t xml:space="preserve">Stomatitis </w:t>
            </w:r>
          </w:p>
        </w:tc>
        <w:tc>
          <w:tcPr>
            <w:tcW w:w="556" w:type="pct"/>
            <w:tcBorders>
              <w:top w:val="single" w:sz="4" w:space="0" w:color="auto"/>
              <w:left w:val="single" w:sz="4" w:space="0" w:color="auto"/>
              <w:bottom w:val="single" w:sz="4" w:space="0" w:color="auto"/>
              <w:right w:val="single" w:sz="4" w:space="0" w:color="auto"/>
            </w:tcBorders>
            <w:vAlign w:val="center"/>
          </w:tcPr>
          <w:p w14:paraId="0084682A" w14:textId="77777777" w:rsidR="006471D6" w:rsidRPr="001E2F16" w:rsidRDefault="006471D6" w:rsidP="00BA3F8A">
            <w:pPr>
              <w:pStyle w:val="TableText0"/>
              <w:jc w:val="center"/>
            </w:pPr>
            <w:r w:rsidRPr="001E2F16">
              <w:t>6/337</w:t>
            </w:r>
          </w:p>
        </w:tc>
        <w:tc>
          <w:tcPr>
            <w:tcW w:w="532" w:type="pct"/>
            <w:tcBorders>
              <w:top w:val="single" w:sz="4" w:space="0" w:color="auto"/>
              <w:left w:val="single" w:sz="4" w:space="0" w:color="auto"/>
              <w:bottom w:val="single" w:sz="4" w:space="0" w:color="auto"/>
              <w:right w:val="single" w:sz="4" w:space="0" w:color="auto"/>
            </w:tcBorders>
            <w:vAlign w:val="center"/>
          </w:tcPr>
          <w:p w14:paraId="729CD09F" w14:textId="77777777" w:rsidR="006471D6" w:rsidRPr="001E2F16" w:rsidRDefault="006471D6" w:rsidP="00BA3F8A">
            <w:pPr>
              <w:pStyle w:val="TableText0"/>
              <w:jc w:val="center"/>
            </w:pPr>
            <w:r w:rsidRPr="001E2F16">
              <w:t>0/343</w:t>
            </w:r>
          </w:p>
        </w:tc>
        <w:tc>
          <w:tcPr>
            <w:tcW w:w="853" w:type="pct"/>
            <w:tcBorders>
              <w:top w:val="single" w:sz="4" w:space="0" w:color="auto"/>
              <w:left w:val="single" w:sz="4" w:space="0" w:color="auto"/>
              <w:bottom w:val="single" w:sz="4" w:space="0" w:color="auto"/>
              <w:right w:val="single" w:sz="4" w:space="0" w:color="auto"/>
            </w:tcBorders>
            <w:vAlign w:val="center"/>
          </w:tcPr>
          <w:p w14:paraId="04FC5AE7" w14:textId="77777777" w:rsidR="006471D6" w:rsidRPr="00E42830" w:rsidRDefault="006471D6" w:rsidP="00BA3F8A">
            <w:pPr>
              <w:pStyle w:val="TableText0"/>
              <w:jc w:val="center"/>
              <w:rPr>
                <w:iCs/>
              </w:rPr>
            </w:pPr>
            <w:r w:rsidRPr="00E42830">
              <w:rPr>
                <w:iCs/>
              </w:rPr>
              <w:t>13.23 (0.75, 234.0)</w:t>
            </w:r>
          </w:p>
        </w:tc>
        <w:tc>
          <w:tcPr>
            <w:tcW w:w="621" w:type="pct"/>
            <w:tcBorders>
              <w:top w:val="single" w:sz="4" w:space="0" w:color="auto"/>
              <w:left w:val="single" w:sz="4" w:space="0" w:color="auto"/>
              <w:bottom w:val="single" w:sz="4" w:space="0" w:color="auto"/>
              <w:right w:val="single" w:sz="4" w:space="0" w:color="auto"/>
            </w:tcBorders>
            <w:vAlign w:val="center"/>
          </w:tcPr>
          <w:p w14:paraId="60380797" w14:textId="77777777" w:rsidR="006471D6" w:rsidRPr="001E2F16" w:rsidRDefault="006471D6" w:rsidP="00BA3F8A">
            <w:pPr>
              <w:pStyle w:val="TableText0"/>
              <w:jc w:val="center"/>
            </w:pPr>
            <w:r>
              <w:t>2</w:t>
            </w:r>
          </w:p>
        </w:tc>
        <w:tc>
          <w:tcPr>
            <w:tcW w:w="566" w:type="pct"/>
            <w:tcBorders>
              <w:top w:val="single" w:sz="4" w:space="0" w:color="auto"/>
              <w:left w:val="single" w:sz="4" w:space="0" w:color="auto"/>
              <w:bottom w:val="single" w:sz="4" w:space="0" w:color="auto"/>
              <w:right w:val="single" w:sz="4" w:space="0" w:color="auto"/>
            </w:tcBorders>
            <w:vAlign w:val="center"/>
          </w:tcPr>
          <w:p w14:paraId="6088041F" w14:textId="77777777" w:rsidR="006471D6" w:rsidRPr="001E2F16" w:rsidRDefault="006471D6" w:rsidP="00BA3F8A">
            <w:pPr>
              <w:pStyle w:val="TableText0"/>
              <w:jc w:val="center"/>
            </w:pPr>
            <w:r>
              <w:t>0</w:t>
            </w:r>
          </w:p>
        </w:tc>
        <w:tc>
          <w:tcPr>
            <w:tcW w:w="859" w:type="pct"/>
            <w:tcBorders>
              <w:top w:val="single" w:sz="4" w:space="0" w:color="auto"/>
              <w:left w:val="single" w:sz="4" w:space="0" w:color="auto"/>
              <w:bottom w:val="single" w:sz="4" w:space="0" w:color="auto"/>
              <w:right w:val="single" w:sz="4" w:space="0" w:color="auto"/>
            </w:tcBorders>
            <w:vAlign w:val="center"/>
          </w:tcPr>
          <w:p w14:paraId="5D12F20D" w14:textId="77777777" w:rsidR="006471D6" w:rsidRPr="001E2F16" w:rsidRDefault="006471D6" w:rsidP="00BA3F8A">
            <w:pPr>
              <w:pStyle w:val="TableText0"/>
              <w:jc w:val="center"/>
            </w:pPr>
            <w:r w:rsidRPr="001E2F16">
              <w:t>0.02 (0.00, 0.03)</w:t>
            </w:r>
          </w:p>
        </w:tc>
      </w:tr>
      <w:tr w:rsidR="006471D6" w:rsidRPr="00E2771E" w14:paraId="7A550987" w14:textId="77777777" w:rsidTr="00BA3F8A">
        <w:tc>
          <w:tcPr>
            <w:tcW w:w="1013" w:type="pct"/>
            <w:tcBorders>
              <w:top w:val="single" w:sz="4" w:space="0" w:color="auto"/>
              <w:left w:val="single" w:sz="4" w:space="0" w:color="auto"/>
              <w:bottom w:val="single" w:sz="4" w:space="0" w:color="auto"/>
              <w:right w:val="single" w:sz="4" w:space="0" w:color="auto"/>
            </w:tcBorders>
            <w:shd w:val="clear" w:color="auto" w:fill="auto"/>
            <w:vAlign w:val="center"/>
          </w:tcPr>
          <w:p w14:paraId="41BBD3D2" w14:textId="77777777" w:rsidR="006471D6" w:rsidRPr="001E2F16" w:rsidRDefault="006471D6" w:rsidP="00BA3F8A">
            <w:pPr>
              <w:pStyle w:val="TableText0"/>
            </w:pPr>
            <w:r w:rsidRPr="001E2F16">
              <w:t xml:space="preserve">Pneumonia </w:t>
            </w:r>
          </w:p>
        </w:tc>
        <w:tc>
          <w:tcPr>
            <w:tcW w:w="556" w:type="pct"/>
            <w:tcBorders>
              <w:top w:val="single" w:sz="4" w:space="0" w:color="auto"/>
              <w:left w:val="single" w:sz="4" w:space="0" w:color="auto"/>
              <w:bottom w:val="single" w:sz="4" w:space="0" w:color="auto"/>
              <w:right w:val="single" w:sz="4" w:space="0" w:color="auto"/>
            </w:tcBorders>
            <w:vAlign w:val="center"/>
          </w:tcPr>
          <w:p w14:paraId="5DB9E845" w14:textId="77777777" w:rsidR="006471D6" w:rsidRPr="001E2F16" w:rsidRDefault="006471D6" w:rsidP="00BA3F8A">
            <w:pPr>
              <w:pStyle w:val="TableText0"/>
              <w:jc w:val="center"/>
            </w:pPr>
            <w:r w:rsidRPr="001E2F16">
              <w:t>4/337</w:t>
            </w:r>
          </w:p>
        </w:tc>
        <w:tc>
          <w:tcPr>
            <w:tcW w:w="532" w:type="pct"/>
            <w:tcBorders>
              <w:top w:val="single" w:sz="4" w:space="0" w:color="auto"/>
              <w:left w:val="single" w:sz="4" w:space="0" w:color="auto"/>
              <w:bottom w:val="single" w:sz="4" w:space="0" w:color="auto"/>
              <w:right w:val="single" w:sz="4" w:space="0" w:color="auto"/>
            </w:tcBorders>
            <w:vAlign w:val="center"/>
          </w:tcPr>
          <w:p w14:paraId="401075C2" w14:textId="77777777" w:rsidR="006471D6" w:rsidRPr="001E2F16" w:rsidRDefault="006471D6" w:rsidP="00BA3F8A">
            <w:pPr>
              <w:pStyle w:val="TableText0"/>
              <w:jc w:val="center"/>
            </w:pPr>
            <w:r w:rsidRPr="001E2F16">
              <w:t>4/343</w:t>
            </w:r>
          </w:p>
        </w:tc>
        <w:tc>
          <w:tcPr>
            <w:tcW w:w="853" w:type="pct"/>
            <w:tcBorders>
              <w:top w:val="single" w:sz="4" w:space="0" w:color="auto"/>
              <w:left w:val="single" w:sz="4" w:space="0" w:color="auto"/>
              <w:bottom w:val="single" w:sz="4" w:space="0" w:color="auto"/>
              <w:right w:val="single" w:sz="4" w:space="0" w:color="auto"/>
            </w:tcBorders>
            <w:vAlign w:val="center"/>
          </w:tcPr>
          <w:p w14:paraId="52827362" w14:textId="77777777" w:rsidR="006471D6" w:rsidRPr="00E42830" w:rsidRDefault="006471D6" w:rsidP="00BA3F8A">
            <w:pPr>
              <w:pStyle w:val="TableText0"/>
              <w:jc w:val="center"/>
              <w:rPr>
                <w:iCs/>
              </w:rPr>
            </w:pPr>
            <w:r w:rsidRPr="00E42830">
              <w:rPr>
                <w:iCs/>
              </w:rPr>
              <w:t>1.02 (0.27, 4.04)</w:t>
            </w:r>
          </w:p>
        </w:tc>
        <w:tc>
          <w:tcPr>
            <w:tcW w:w="621" w:type="pct"/>
            <w:tcBorders>
              <w:top w:val="single" w:sz="4" w:space="0" w:color="auto"/>
              <w:left w:val="single" w:sz="4" w:space="0" w:color="auto"/>
              <w:bottom w:val="single" w:sz="4" w:space="0" w:color="auto"/>
              <w:right w:val="single" w:sz="4" w:space="0" w:color="auto"/>
            </w:tcBorders>
            <w:vAlign w:val="center"/>
          </w:tcPr>
          <w:p w14:paraId="7191639F" w14:textId="77777777" w:rsidR="006471D6" w:rsidRPr="001E2F16" w:rsidRDefault="006471D6" w:rsidP="00BA3F8A">
            <w:pPr>
              <w:pStyle w:val="TableText0"/>
              <w:jc w:val="center"/>
            </w:pPr>
            <w:r>
              <w:t>1</w:t>
            </w:r>
          </w:p>
        </w:tc>
        <w:tc>
          <w:tcPr>
            <w:tcW w:w="566" w:type="pct"/>
            <w:tcBorders>
              <w:top w:val="single" w:sz="4" w:space="0" w:color="auto"/>
              <w:left w:val="single" w:sz="4" w:space="0" w:color="auto"/>
              <w:bottom w:val="single" w:sz="4" w:space="0" w:color="auto"/>
              <w:right w:val="single" w:sz="4" w:space="0" w:color="auto"/>
            </w:tcBorders>
            <w:vAlign w:val="center"/>
          </w:tcPr>
          <w:p w14:paraId="71A7AF9D" w14:textId="77777777" w:rsidR="006471D6" w:rsidRPr="001E2F16" w:rsidRDefault="006471D6" w:rsidP="00BA3F8A">
            <w:pPr>
              <w:pStyle w:val="TableText0"/>
              <w:jc w:val="center"/>
            </w:pPr>
            <w:r>
              <w:t>1</w:t>
            </w:r>
          </w:p>
        </w:tc>
        <w:tc>
          <w:tcPr>
            <w:tcW w:w="859" w:type="pct"/>
            <w:tcBorders>
              <w:top w:val="single" w:sz="4" w:space="0" w:color="auto"/>
              <w:left w:val="single" w:sz="4" w:space="0" w:color="auto"/>
              <w:bottom w:val="single" w:sz="4" w:space="0" w:color="auto"/>
              <w:right w:val="single" w:sz="4" w:space="0" w:color="auto"/>
            </w:tcBorders>
            <w:vAlign w:val="center"/>
          </w:tcPr>
          <w:p w14:paraId="490906C2" w14:textId="77777777" w:rsidR="006471D6" w:rsidRPr="001E2F16" w:rsidRDefault="006471D6" w:rsidP="00BA3F8A">
            <w:pPr>
              <w:pStyle w:val="TableText0"/>
              <w:jc w:val="center"/>
            </w:pPr>
            <w:r w:rsidRPr="001E2F16">
              <w:t>0.00 (</w:t>
            </w:r>
            <w:r w:rsidRPr="001E2F16">
              <w:noBreakHyphen/>
              <w:t>0.02, 0.02)</w:t>
            </w:r>
          </w:p>
        </w:tc>
      </w:tr>
      <w:tr w:rsidR="006471D6" w:rsidRPr="00E2771E" w14:paraId="530FC5B3" w14:textId="77777777" w:rsidTr="00BA3F8A">
        <w:tc>
          <w:tcPr>
            <w:tcW w:w="1013" w:type="pct"/>
            <w:tcBorders>
              <w:top w:val="single" w:sz="4" w:space="0" w:color="auto"/>
              <w:left w:val="single" w:sz="4" w:space="0" w:color="auto"/>
              <w:bottom w:val="single" w:sz="4" w:space="0" w:color="auto"/>
              <w:right w:val="single" w:sz="4" w:space="0" w:color="auto"/>
            </w:tcBorders>
            <w:shd w:val="clear" w:color="auto" w:fill="auto"/>
            <w:vAlign w:val="center"/>
          </w:tcPr>
          <w:p w14:paraId="2B5B8411" w14:textId="77777777" w:rsidR="006471D6" w:rsidRPr="001E2F16" w:rsidRDefault="006471D6" w:rsidP="00BA3F8A">
            <w:pPr>
              <w:pStyle w:val="TableText0"/>
            </w:pPr>
            <w:r>
              <w:t>Prolonged</w:t>
            </w:r>
            <w:r w:rsidRPr="001E2F16">
              <w:t xml:space="preserve"> QT </w:t>
            </w:r>
            <w:r>
              <w:t>interval</w:t>
            </w:r>
          </w:p>
        </w:tc>
        <w:tc>
          <w:tcPr>
            <w:tcW w:w="556" w:type="pct"/>
            <w:tcBorders>
              <w:top w:val="single" w:sz="4" w:space="0" w:color="auto"/>
              <w:left w:val="single" w:sz="4" w:space="0" w:color="auto"/>
              <w:bottom w:val="single" w:sz="4" w:space="0" w:color="auto"/>
              <w:right w:val="single" w:sz="4" w:space="0" w:color="auto"/>
            </w:tcBorders>
            <w:vAlign w:val="center"/>
          </w:tcPr>
          <w:p w14:paraId="70E65C1C" w14:textId="77777777" w:rsidR="006471D6" w:rsidRPr="001E2F16" w:rsidRDefault="006471D6" w:rsidP="00BA3F8A">
            <w:pPr>
              <w:pStyle w:val="TableText0"/>
              <w:jc w:val="center"/>
            </w:pPr>
            <w:r w:rsidRPr="001E2F16">
              <w:t>4/337</w:t>
            </w:r>
          </w:p>
        </w:tc>
        <w:tc>
          <w:tcPr>
            <w:tcW w:w="532" w:type="pct"/>
            <w:tcBorders>
              <w:top w:val="single" w:sz="4" w:space="0" w:color="auto"/>
              <w:left w:val="single" w:sz="4" w:space="0" w:color="auto"/>
              <w:bottom w:val="single" w:sz="4" w:space="0" w:color="auto"/>
              <w:right w:val="single" w:sz="4" w:space="0" w:color="auto"/>
            </w:tcBorders>
            <w:vAlign w:val="center"/>
          </w:tcPr>
          <w:p w14:paraId="50689981" w14:textId="77777777" w:rsidR="006471D6" w:rsidRPr="001E2F16" w:rsidRDefault="006471D6" w:rsidP="00BA3F8A">
            <w:pPr>
              <w:pStyle w:val="TableText0"/>
              <w:jc w:val="center"/>
            </w:pPr>
            <w:r w:rsidRPr="001E2F16">
              <w:t>1/343</w:t>
            </w:r>
          </w:p>
        </w:tc>
        <w:tc>
          <w:tcPr>
            <w:tcW w:w="853" w:type="pct"/>
            <w:tcBorders>
              <w:top w:val="single" w:sz="4" w:space="0" w:color="auto"/>
              <w:left w:val="single" w:sz="4" w:space="0" w:color="auto"/>
              <w:bottom w:val="single" w:sz="4" w:space="0" w:color="auto"/>
              <w:right w:val="single" w:sz="4" w:space="0" w:color="auto"/>
            </w:tcBorders>
            <w:vAlign w:val="center"/>
          </w:tcPr>
          <w:p w14:paraId="57D5C31A" w14:textId="77777777" w:rsidR="006471D6" w:rsidRPr="00E42830" w:rsidRDefault="006471D6" w:rsidP="00BA3F8A">
            <w:pPr>
              <w:pStyle w:val="TableText0"/>
              <w:jc w:val="center"/>
              <w:rPr>
                <w:iCs/>
              </w:rPr>
            </w:pPr>
            <w:r w:rsidRPr="00E42830">
              <w:rPr>
                <w:iCs/>
              </w:rPr>
              <w:t>4.07 (0.46, 36.2)</w:t>
            </w:r>
          </w:p>
        </w:tc>
        <w:tc>
          <w:tcPr>
            <w:tcW w:w="621" w:type="pct"/>
            <w:tcBorders>
              <w:top w:val="single" w:sz="4" w:space="0" w:color="auto"/>
              <w:left w:val="single" w:sz="4" w:space="0" w:color="auto"/>
              <w:bottom w:val="single" w:sz="4" w:space="0" w:color="auto"/>
              <w:right w:val="single" w:sz="4" w:space="0" w:color="auto"/>
            </w:tcBorders>
            <w:vAlign w:val="center"/>
          </w:tcPr>
          <w:p w14:paraId="3EAAA319" w14:textId="77777777" w:rsidR="006471D6" w:rsidRPr="001E2F16" w:rsidRDefault="006471D6" w:rsidP="00BA3F8A">
            <w:pPr>
              <w:pStyle w:val="TableText0"/>
              <w:jc w:val="center"/>
            </w:pPr>
            <w:r>
              <w:t>1</w:t>
            </w:r>
          </w:p>
        </w:tc>
        <w:tc>
          <w:tcPr>
            <w:tcW w:w="566" w:type="pct"/>
            <w:tcBorders>
              <w:top w:val="single" w:sz="4" w:space="0" w:color="auto"/>
              <w:left w:val="single" w:sz="4" w:space="0" w:color="auto"/>
              <w:bottom w:val="single" w:sz="4" w:space="0" w:color="auto"/>
              <w:right w:val="single" w:sz="4" w:space="0" w:color="auto"/>
            </w:tcBorders>
            <w:vAlign w:val="center"/>
          </w:tcPr>
          <w:p w14:paraId="333FCA14" w14:textId="77777777" w:rsidR="006471D6" w:rsidRPr="001E2F16" w:rsidRDefault="006471D6" w:rsidP="00BA3F8A">
            <w:pPr>
              <w:pStyle w:val="TableText0"/>
              <w:jc w:val="center"/>
            </w:pPr>
            <w:r>
              <w:t>0.3</w:t>
            </w:r>
          </w:p>
        </w:tc>
        <w:tc>
          <w:tcPr>
            <w:tcW w:w="859" w:type="pct"/>
            <w:tcBorders>
              <w:top w:val="single" w:sz="4" w:space="0" w:color="auto"/>
              <w:left w:val="single" w:sz="4" w:space="0" w:color="auto"/>
              <w:bottom w:val="single" w:sz="4" w:space="0" w:color="auto"/>
              <w:right w:val="single" w:sz="4" w:space="0" w:color="auto"/>
            </w:tcBorders>
            <w:vAlign w:val="center"/>
          </w:tcPr>
          <w:p w14:paraId="31382C7F" w14:textId="77777777" w:rsidR="006471D6" w:rsidRPr="001E2F16" w:rsidRDefault="006471D6" w:rsidP="00BA3F8A">
            <w:pPr>
              <w:pStyle w:val="TableText0"/>
              <w:jc w:val="center"/>
            </w:pPr>
            <w:r w:rsidRPr="001E2F16">
              <w:t>0.01 (</w:t>
            </w:r>
            <w:r w:rsidRPr="001E2F16">
              <w:noBreakHyphen/>
              <w:t>0.00, 0.02)</w:t>
            </w:r>
          </w:p>
        </w:tc>
      </w:tr>
      <w:tr w:rsidR="006471D6" w:rsidRPr="00E2771E" w14:paraId="2AA77828" w14:textId="77777777" w:rsidTr="00BA3F8A">
        <w:tc>
          <w:tcPr>
            <w:tcW w:w="1013" w:type="pct"/>
            <w:tcBorders>
              <w:top w:val="single" w:sz="4" w:space="0" w:color="auto"/>
              <w:left w:val="single" w:sz="4" w:space="0" w:color="auto"/>
              <w:bottom w:val="single" w:sz="4" w:space="0" w:color="auto"/>
              <w:right w:val="single" w:sz="4" w:space="0" w:color="auto"/>
            </w:tcBorders>
            <w:shd w:val="clear" w:color="auto" w:fill="auto"/>
            <w:vAlign w:val="center"/>
          </w:tcPr>
          <w:p w14:paraId="1F203B65" w14:textId="77777777" w:rsidR="006471D6" w:rsidRPr="001E2F16" w:rsidRDefault="006471D6" w:rsidP="00BA3F8A">
            <w:pPr>
              <w:pStyle w:val="TableText0"/>
            </w:pPr>
            <w:r w:rsidRPr="001E2F16">
              <w:t xml:space="preserve">Hypertension </w:t>
            </w:r>
          </w:p>
        </w:tc>
        <w:tc>
          <w:tcPr>
            <w:tcW w:w="556" w:type="pct"/>
            <w:tcBorders>
              <w:top w:val="single" w:sz="4" w:space="0" w:color="auto"/>
              <w:left w:val="single" w:sz="4" w:space="0" w:color="auto"/>
              <w:bottom w:val="single" w:sz="4" w:space="0" w:color="auto"/>
              <w:right w:val="single" w:sz="4" w:space="0" w:color="auto"/>
            </w:tcBorders>
            <w:vAlign w:val="center"/>
          </w:tcPr>
          <w:p w14:paraId="32936397" w14:textId="77777777" w:rsidR="006471D6" w:rsidRPr="001E2F16" w:rsidRDefault="006471D6" w:rsidP="00BA3F8A">
            <w:pPr>
              <w:pStyle w:val="TableText0"/>
              <w:jc w:val="center"/>
            </w:pPr>
            <w:r w:rsidRPr="001E2F16">
              <w:t>3/337</w:t>
            </w:r>
          </w:p>
        </w:tc>
        <w:tc>
          <w:tcPr>
            <w:tcW w:w="532" w:type="pct"/>
            <w:tcBorders>
              <w:top w:val="single" w:sz="4" w:space="0" w:color="auto"/>
              <w:left w:val="single" w:sz="4" w:space="0" w:color="auto"/>
              <w:bottom w:val="single" w:sz="4" w:space="0" w:color="auto"/>
              <w:right w:val="single" w:sz="4" w:space="0" w:color="auto"/>
            </w:tcBorders>
            <w:vAlign w:val="center"/>
          </w:tcPr>
          <w:p w14:paraId="5B605FC9" w14:textId="77777777" w:rsidR="006471D6" w:rsidRPr="001E2F16" w:rsidRDefault="006471D6" w:rsidP="00BA3F8A">
            <w:pPr>
              <w:pStyle w:val="TableText0"/>
              <w:jc w:val="center"/>
            </w:pPr>
            <w:r w:rsidRPr="001E2F16">
              <w:t>4/343</w:t>
            </w:r>
          </w:p>
        </w:tc>
        <w:tc>
          <w:tcPr>
            <w:tcW w:w="853" w:type="pct"/>
            <w:tcBorders>
              <w:top w:val="single" w:sz="4" w:space="0" w:color="auto"/>
              <w:left w:val="single" w:sz="4" w:space="0" w:color="auto"/>
              <w:bottom w:val="single" w:sz="4" w:space="0" w:color="auto"/>
              <w:right w:val="single" w:sz="4" w:space="0" w:color="auto"/>
            </w:tcBorders>
            <w:vAlign w:val="center"/>
          </w:tcPr>
          <w:p w14:paraId="1B478A3F" w14:textId="77777777" w:rsidR="006471D6" w:rsidRPr="00E42830" w:rsidRDefault="006471D6" w:rsidP="00BA3F8A">
            <w:pPr>
              <w:pStyle w:val="TableText0"/>
              <w:jc w:val="center"/>
              <w:rPr>
                <w:iCs/>
              </w:rPr>
            </w:pPr>
            <w:r w:rsidRPr="00E42830">
              <w:rPr>
                <w:iCs/>
              </w:rPr>
              <w:t>0.76 (0.17, 3.39)</w:t>
            </w:r>
          </w:p>
        </w:tc>
        <w:tc>
          <w:tcPr>
            <w:tcW w:w="621" w:type="pct"/>
            <w:tcBorders>
              <w:top w:val="single" w:sz="4" w:space="0" w:color="auto"/>
              <w:left w:val="single" w:sz="4" w:space="0" w:color="auto"/>
              <w:bottom w:val="single" w:sz="4" w:space="0" w:color="auto"/>
              <w:right w:val="single" w:sz="4" w:space="0" w:color="auto"/>
            </w:tcBorders>
            <w:vAlign w:val="center"/>
          </w:tcPr>
          <w:p w14:paraId="228F5FC4" w14:textId="77777777" w:rsidR="006471D6" w:rsidRPr="001E2F16" w:rsidRDefault="006471D6" w:rsidP="00BA3F8A">
            <w:pPr>
              <w:pStyle w:val="TableText0"/>
              <w:jc w:val="center"/>
            </w:pPr>
            <w:r>
              <w:t>1</w:t>
            </w:r>
          </w:p>
        </w:tc>
        <w:tc>
          <w:tcPr>
            <w:tcW w:w="566" w:type="pct"/>
            <w:tcBorders>
              <w:top w:val="single" w:sz="4" w:space="0" w:color="auto"/>
              <w:left w:val="single" w:sz="4" w:space="0" w:color="auto"/>
              <w:bottom w:val="single" w:sz="4" w:space="0" w:color="auto"/>
              <w:right w:val="single" w:sz="4" w:space="0" w:color="auto"/>
            </w:tcBorders>
            <w:vAlign w:val="center"/>
          </w:tcPr>
          <w:p w14:paraId="7159A39D" w14:textId="77777777" w:rsidR="006471D6" w:rsidRPr="001E2F16" w:rsidRDefault="006471D6" w:rsidP="00BA3F8A">
            <w:pPr>
              <w:pStyle w:val="TableText0"/>
              <w:jc w:val="center"/>
            </w:pPr>
            <w:r>
              <w:t>1</w:t>
            </w:r>
          </w:p>
        </w:tc>
        <w:tc>
          <w:tcPr>
            <w:tcW w:w="859" w:type="pct"/>
            <w:tcBorders>
              <w:top w:val="single" w:sz="4" w:space="0" w:color="auto"/>
              <w:left w:val="single" w:sz="4" w:space="0" w:color="auto"/>
              <w:bottom w:val="single" w:sz="4" w:space="0" w:color="auto"/>
              <w:right w:val="single" w:sz="4" w:space="0" w:color="auto"/>
            </w:tcBorders>
            <w:vAlign w:val="center"/>
          </w:tcPr>
          <w:p w14:paraId="16E6ADD5" w14:textId="77777777" w:rsidR="006471D6" w:rsidRPr="001E2F16" w:rsidRDefault="006471D6" w:rsidP="00BA3F8A">
            <w:pPr>
              <w:pStyle w:val="TableText0"/>
              <w:jc w:val="center"/>
            </w:pPr>
            <w:r w:rsidRPr="001E2F16">
              <w:noBreakHyphen/>
              <w:t>0.00 (</w:t>
            </w:r>
            <w:r w:rsidRPr="001E2F16">
              <w:noBreakHyphen/>
              <w:t>0.02, 0.01)</w:t>
            </w:r>
          </w:p>
        </w:tc>
      </w:tr>
    </w:tbl>
    <w:p w14:paraId="75B95DB6" w14:textId="77777777" w:rsidR="006471D6" w:rsidRPr="00E932C9" w:rsidRDefault="006471D6" w:rsidP="006471D6">
      <w:pPr>
        <w:pStyle w:val="FooterTableFigure"/>
      </w:pPr>
      <w:r w:rsidRPr="00E932C9">
        <w:rPr>
          <w:rStyle w:val="CommentReference"/>
          <w:b w:val="0"/>
          <w:i/>
          <w:sz w:val="18"/>
          <w:szCs w:val="22"/>
        </w:rPr>
        <w:t>Italics</w:t>
      </w:r>
      <w:r w:rsidRPr="00E932C9">
        <w:rPr>
          <w:rStyle w:val="CommentReference"/>
          <w:b w:val="0"/>
          <w:sz w:val="18"/>
          <w:szCs w:val="22"/>
        </w:rPr>
        <w:t xml:space="preserve"> indicate results calculated during the evaluation.</w:t>
      </w:r>
      <w:r>
        <w:rPr>
          <w:rStyle w:val="CommentReference"/>
          <w:b w:val="0"/>
          <w:sz w:val="18"/>
          <w:szCs w:val="24"/>
        </w:rPr>
        <w:t xml:space="preserve"> </w:t>
      </w:r>
      <w:r w:rsidRPr="00B83739">
        <w:rPr>
          <w:rFonts w:eastAsia="Calibri"/>
          <w:b/>
          <w:bCs/>
        </w:rPr>
        <w:t>Bold</w:t>
      </w:r>
      <w:r w:rsidRPr="00B83739">
        <w:rPr>
          <w:rFonts w:eastAsia="Calibri"/>
        </w:rPr>
        <w:t xml:space="preserve"> indicates statistically significant results.</w:t>
      </w:r>
    </w:p>
    <w:p w14:paraId="634CFE62" w14:textId="77777777" w:rsidR="006471D6" w:rsidRPr="00B1011F" w:rsidRDefault="006471D6" w:rsidP="006471D6">
      <w:pPr>
        <w:pStyle w:val="FooterTableFigure"/>
        <w:rPr>
          <w:sz w:val="20"/>
        </w:rPr>
      </w:pPr>
      <w:r>
        <w:t>Source: Tables 2.5-1, p55; 2.5-2, p57, 2.5-4, p58 and Table 2.5-12, p73 of the submission.</w:t>
      </w:r>
    </w:p>
    <w:p w14:paraId="1BC7EBC4" w14:textId="77777777" w:rsidR="006471D6" w:rsidRPr="0072416F" w:rsidRDefault="006471D6" w:rsidP="006471D6">
      <w:pPr>
        <w:pStyle w:val="FooterTableFigure"/>
      </w:pPr>
      <w:r>
        <w:t xml:space="preserve">AE = adverse event; CI = confidence interval; DFS = disease-free survival; HR = hazard ratio; ILD = interstitial lung disease; </w:t>
      </w:r>
      <w:r w:rsidRPr="00143D70">
        <w:rPr>
          <w:rFonts w:eastAsia="Calibri"/>
          <w:szCs w:val="18"/>
        </w:rPr>
        <w:t>n = number of participants reporting data; N = total participants in group</w:t>
      </w:r>
      <w:r>
        <w:rPr>
          <w:rFonts w:eastAsia="Calibri"/>
          <w:szCs w:val="18"/>
        </w:rPr>
        <w:t>;</w:t>
      </w:r>
      <w:r>
        <w:t xml:space="preserve"> NC = not calculable; OS = overall survival</w:t>
      </w:r>
      <w:r w:rsidRPr="0072416F">
        <w:t>; RD = risk difference; RR = risk ratio</w:t>
      </w:r>
      <w:r>
        <w:t>; SoC = standard of care</w:t>
      </w:r>
    </w:p>
    <w:p w14:paraId="5FAC82D6" w14:textId="77777777" w:rsidR="006471D6" w:rsidRDefault="006471D6" w:rsidP="006471D6">
      <w:pPr>
        <w:pStyle w:val="FooterTableFigure"/>
      </w:pPr>
      <w:r>
        <w:rPr>
          <w:vertAlign w:val="superscript"/>
        </w:rPr>
        <w:t>a</w:t>
      </w:r>
      <w:r>
        <w:tab/>
      </w:r>
      <w:r w:rsidRPr="0072416F">
        <w:t xml:space="preserve">Median duration of </w:t>
      </w:r>
      <w:r>
        <w:t xml:space="preserve">DFS </w:t>
      </w:r>
      <w:r w:rsidRPr="0072416F">
        <w:t xml:space="preserve">follow-up: </w:t>
      </w:r>
      <w:r>
        <w:t>osimertinib 44.2 months; placebo 27.7 months</w:t>
      </w:r>
    </w:p>
    <w:p w14:paraId="78243444" w14:textId="77777777" w:rsidR="006471D6" w:rsidRDefault="006471D6" w:rsidP="006471D6">
      <w:pPr>
        <w:pStyle w:val="FooterTableFigure"/>
      </w:pPr>
      <w:r>
        <w:rPr>
          <w:vertAlign w:val="superscript"/>
        </w:rPr>
        <w:t>b</w:t>
      </w:r>
      <w:r>
        <w:rPr>
          <w:vertAlign w:val="superscript"/>
        </w:rPr>
        <w:tab/>
      </w:r>
      <w:r>
        <w:t>Median duration of OS follow-up: osimertinib 60.4 months; placebo 59.4 months</w:t>
      </w:r>
    </w:p>
    <w:p w14:paraId="688086FE" w14:textId="0C458FD5" w:rsidR="006471D6" w:rsidRDefault="006471D6" w:rsidP="006471D6">
      <w:pPr>
        <w:pStyle w:val="FooterTableFigure"/>
        <w:rPr>
          <w:color w:val="0066FF"/>
        </w:rPr>
      </w:pPr>
      <w:r>
        <w:rPr>
          <w:vertAlign w:val="superscript"/>
        </w:rPr>
        <w:t>c</w:t>
      </w:r>
      <w:r>
        <w:rPr>
          <w:vertAlign w:val="superscript"/>
        </w:rPr>
        <w:tab/>
      </w:r>
      <w:r>
        <w:t>as reported at DCO2, m</w:t>
      </w:r>
      <w:r w:rsidRPr="0072416F">
        <w:t xml:space="preserve">edian duration </w:t>
      </w:r>
      <w:r>
        <w:t>of follow up osimertinib 44.2 months; placebo 27.7 months</w:t>
      </w:r>
    </w:p>
    <w:p w14:paraId="25C7A873" w14:textId="4606F483" w:rsidR="006471D6" w:rsidRPr="009B14B0" w:rsidRDefault="006471D6" w:rsidP="006471D6">
      <w:pPr>
        <w:pStyle w:val="3-BodyText"/>
      </w:pPr>
      <w:r w:rsidRPr="009B14B0">
        <w:t>On the basis of direct evidence from the ADAURA trial, presented by the submission, for every 100 patients treated with osimertinib</w:t>
      </w:r>
      <w:r w:rsidR="005658F4" w:rsidRPr="009B14B0">
        <w:t xml:space="preserve"> for up to three years</w:t>
      </w:r>
      <w:r w:rsidRPr="009B14B0">
        <w:t xml:space="preserve"> in comparison with placebo (for standard of care):</w:t>
      </w:r>
    </w:p>
    <w:p w14:paraId="77960603" w14:textId="77777777" w:rsidR="006471D6" w:rsidRPr="009B14B0" w:rsidRDefault="006471D6" w:rsidP="006471D6">
      <w:pPr>
        <w:pStyle w:val="ListParagraph"/>
        <w:ind w:left="1134"/>
      </w:pPr>
      <w:r w:rsidRPr="009B14B0">
        <w:t>Approximately 27 more patients will remain disease-free after 5 years;</w:t>
      </w:r>
    </w:p>
    <w:p w14:paraId="517190CF" w14:textId="77777777" w:rsidR="006471D6" w:rsidRPr="009B14B0" w:rsidRDefault="006471D6" w:rsidP="006471D6">
      <w:pPr>
        <w:pStyle w:val="ListParagraph"/>
        <w:ind w:left="1134"/>
      </w:pPr>
      <w:r w:rsidRPr="009B14B0">
        <w:t>Approximately</w:t>
      </w:r>
      <w:r w:rsidRPr="009B14B0" w:rsidDel="008701A7">
        <w:t xml:space="preserve"> </w:t>
      </w:r>
      <w:r w:rsidRPr="009B14B0">
        <w:t>10 more patients would remain alive after 5 years;</w:t>
      </w:r>
    </w:p>
    <w:p w14:paraId="0CCD2873" w14:textId="77777777" w:rsidR="006471D6" w:rsidRPr="009B14B0" w:rsidRDefault="006471D6" w:rsidP="006471D6">
      <w:pPr>
        <w:pStyle w:val="ListBullet"/>
        <w:tabs>
          <w:tab w:val="clear" w:pos="360"/>
          <w:tab w:val="num" w:pos="1134"/>
        </w:tabs>
        <w:ind w:left="1134"/>
      </w:pPr>
      <w:r w:rsidRPr="009B14B0">
        <w:t xml:space="preserve">Approximately 9 more patients would experience a grade </w:t>
      </w:r>
      <w:r w:rsidRPr="009B14B0">
        <w:rPr>
          <w:rFonts w:cs="Calibri"/>
        </w:rPr>
        <w:t>≥</w:t>
      </w:r>
      <w:r w:rsidRPr="009B14B0">
        <w:t xml:space="preserve"> 3 adverse event.</w:t>
      </w:r>
    </w:p>
    <w:p w14:paraId="35956FB0" w14:textId="77777777" w:rsidR="006471D6" w:rsidRPr="009B14B0" w:rsidRDefault="006471D6" w:rsidP="006471D6">
      <w:pPr>
        <w:pStyle w:val="4-SubsectionHeading"/>
      </w:pPr>
      <w:bookmarkStart w:id="35" w:name="_Toc145434787"/>
      <w:r w:rsidRPr="009B14B0">
        <w:t>Clinical claim</w:t>
      </w:r>
      <w:bookmarkEnd w:id="35"/>
    </w:p>
    <w:p w14:paraId="7F613CD1" w14:textId="46860729" w:rsidR="005F7588" w:rsidRDefault="006471D6" w:rsidP="00716999">
      <w:pPr>
        <w:pStyle w:val="3-BodyText"/>
        <w:rPr>
          <w:rFonts w:eastAsia="Calibri"/>
          <w:iCs/>
        </w:rPr>
      </w:pPr>
      <w:r w:rsidRPr="009B14B0">
        <w:t xml:space="preserve">The submission described osimertinib as superior in terms of effectiveness, but inferior in terms of safety compared to placebo (for standard of care) with non-inferior HRQoL. </w:t>
      </w:r>
      <w:r w:rsidRPr="00A90AC1">
        <w:rPr>
          <w:iCs/>
        </w:rPr>
        <w:t xml:space="preserve">The </w:t>
      </w:r>
      <w:r w:rsidR="00313D90" w:rsidRPr="00A90AC1">
        <w:rPr>
          <w:iCs/>
        </w:rPr>
        <w:t xml:space="preserve">ESC considered the </w:t>
      </w:r>
      <w:r w:rsidRPr="00A90AC1">
        <w:rPr>
          <w:iCs/>
        </w:rPr>
        <w:t>efficacy</w:t>
      </w:r>
      <w:r w:rsidRPr="009B14B0">
        <w:rPr>
          <w:iCs/>
        </w:rPr>
        <w:t xml:space="preserve"> and safety conclusions were reasonable based on the data from ADAURA. However, the longer-term consequences </w:t>
      </w:r>
      <w:r w:rsidR="0031489E" w:rsidRPr="009B14B0">
        <w:rPr>
          <w:iCs/>
        </w:rPr>
        <w:t xml:space="preserve">of adjuvant therapy remained unknown, </w:t>
      </w:r>
      <w:r w:rsidRPr="009B14B0">
        <w:rPr>
          <w:iCs/>
        </w:rPr>
        <w:t>particularly durability of DFS and OS after ceasing adjuvant therapy</w:t>
      </w:r>
      <w:r w:rsidR="0031489E" w:rsidRPr="009B14B0">
        <w:rPr>
          <w:iCs/>
        </w:rPr>
        <w:t>, and the</w:t>
      </w:r>
      <w:r w:rsidRPr="009B14B0">
        <w:rPr>
          <w:iCs/>
        </w:rPr>
        <w:t xml:space="preserve"> potential for treatment-resistant recurrences. OS data from ADAURA was still</w:t>
      </w:r>
      <w:r w:rsidRPr="009B14B0">
        <w:rPr>
          <w:i/>
        </w:rPr>
        <w:t xml:space="preserve"> </w:t>
      </w:r>
      <w:r w:rsidRPr="009B14B0">
        <w:rPr>
          <w:iCs/>
        </w:rPr>
        <w:t xml:space="preserve">immature with only 15% of total possible death events observed in the osimertinib arm. </w:t>
      </w:r>
      <w:r w:rsidRPr="00A90AC1">
        <w:rPr>
          <w:iCs/>
        </w:rPr>
        <w:t xml:space="preserve">The </w:t>
      </w:r>
      <w:r w:rsidR="004D2CC8" w:rsidRPr="00A90AC1">
        <w:rPr>
          <w:iCs/>
        </w:rPr>
        <w:t xml:space="preserve">evaluation considered the </w:t>
      </w:r>
      <w:r w:rsidRPr="00A90AC1">
        <w:rPr>
          <w:iCs/>
        </w:rPr>
        <w:t xml:space="preserve">likely size of the OS benefit in Australian practice </w:t>
      </w:r>
      <w:r w:rsidR="004D54D3" w:rsidRPr="00A90AC1">
        <w:rPr>
          <w:iCs/>
        </w:rPr>
        <w:t xml:space="preserve">may </w:t>
      </w:r>
      <w:r w:rsidRPr="00A90AC1">
        <w:rPr>
          <w:iCs/>
        </w:rPr>
        <w:t>be smaller than those observed in ADAURA due to differences in active treatments received post progression</w:t>
      </w:r>
      <w:r w:rsidR="00CE659E">
        <w:rPr>
          <w:iCs/>
        </w:rPr>
        <w:t xml:space="preserve"> (as discussed in paragraph </w:t>
      </w:r>
      <w:r w:rsidR="00CE659E">
        <w:rPr>
          <w:iCs/>
        </w:rPr>
        <w:fldChar w:fldCharType="begin" w:fldLock="1"/>
      </w:r>
      <w:r w:rsidR="00CE659E">
        <w:rPr>
          <w:iCs/>
        </w:rPr>
        <w:instrText xml:space="preserve"> REF _Ref151584394 \r \h </w:instrText>
      </w:r>
      <w:r w:rsidR="00CE659E">
        <w:rPr>
          <w:iCs/>
        </w:rPr>
      </w:r>
      <w:r w:rsidR="00CE659E">
        <w:rPr>
          <w:iCs/>
        </w:rPr>
        <w:fldChar w:fldCharType="separate"/>
      </w:r>
      <w:r w:rsidR="00CE659E">
        <w:rPr>
          <w:iCs/>
        </w:rPr>
        <w:t>6.17</w:t>
      </w:r>
      <w:r w:rsidR="00CE659E">
        <w:rPr>
          <w:iCs/>
        </w:rPr>
        <w:fldChar w:fldCharType="end"/>
      </w:r>
      <w:r w:rsidR="00CE659E">
        <w:rPr>
          <w:iCs/>
        </w:rPr>
        <w:t>)</w:t>
      </w:r>
      <w:r w:rsidRPr="00A90AC1">
        <w:rPr>
          <w:iCs/>
        </w:rPr>
        <w:t xml:space="preserve">. </w:t>
      </w:r>
    </w:p>
    <w:p w14:paraId="2A390B50" w14:textId="1F07487C" w:rsidR="00A90AC1" w:rsidRPr="00CE42B4" w:rsidRDefault="00A90AC1" w:rsidP="00A90AC1">
      <w:pPr>
        <w:pStyle w:val="3-BodyText"/>
      </w:pPr>
      <w:bookmarkStart w:id="36" w:name="_Hlk76376200"/>
      <w:r w:rsidRPr="00CE42B4">
        <w:rPr>
          <w:iCs/>
        </w:rPr>
        <w:t>The</w:t>
      </w:r>
      <w:r w:rsidRPr="00CE42B4">
        <w:t xml:space="preserve"> PBAC considered that the claim of </w:t>
      </w:r>
      <w:r w:rsidR="00AA29D4">
        <w:t xml:space="preserve">superior </w:t>
      </w:r>
      <w:r w:rsidRPr="00CE42B4">
        <w:t xml:space="preserve">comparative effectiveness </w:t>
      </w:r>
      <w:r>
        <w:t xml:space="preserve">and inferior safety </w:t>
      </w:r>
      <w:r w:rsidRPr="00CE42B4">
        <w:t>was reasonable.</w:t>
      </w:r>
    </w:p>
    <w:p w14:paraId="74A1172E" w14:textId="128C170E" w:rsidR="00B60939" w:rsidRPr="00C9624D" w:rsidRDefault="00B60939" w:rsidP="00E9094A">
      <w:pPr>
        <w:pStyle w:val="4-SubsectionHeading"/>
      </w:pPr>
      <w:bookmarkStart w:id="37" w:name="_Toc22897645"/>
      <w:bookmarkStart w:id="38" w:name="_Toc145434788"/>
      <w:bookmarkEnd w:id="36"/>
      <w:r w:rsidRPr="00C9624D">
        <w:t>Economic analysis</w:t>
      </w:r>
      <w:bookmarkEnd w:id="37"/>
      <w:bookmarkEnd w:id="38"/>
      <w:r w:rsidR="00491B3A" w:rsidRPr="00C9624D">
        <w:t xml:space="preserve"> </w:t>
      </w:r>
    </w:p>
    <w:p w14:paraId="14C1E8F9" w14:textId="1F013EB6" w:rsidR="00275C5A" w:rsidRPr="00973DB4" w:rsidRDefault="00C63855" w:rsidP="00AF2F7A">
      <w:pPr>
        <w:pStyle w:val="3-BodyText"/>
        <w:tabs>
          <w:tab w:val="left" w:pos="4253"/>
        </w:tabs>
        <w:rPr>
          <w:rFonts w:cstheme="minorHAnsi"/>
        </w:rPr>
      </w:pPr>
      <w:bookmarkStart w:id="39" w:name="_Hlk144595115"/>
      <w:r>
        <w:t>The submission presented a stepped economic e</w:t>
      </w:r>
      <w:r w:rsidR="003A4321">
        <w:t xml:space="preserve">valuation </w:t>
      </w:r>
      <w:r w:rsidR="005E17CC">
        <w:t xml:space="preserve">comparing adjuvant osimertinib versus </w:t>
      </w:r>
      <w:r w:rsidR="00B61962">
        <w:t>standard of care</w:t>
      </w:r>
      <w:r w:rsidR="002E27BA">
        <w:t xml:space="preserve"> (placebo from herein)</w:t>
      </w:r>
      <w:r w:rsidR="00B61962">
        <w:t xml:space="preserve"> </w:t>
      </w:r>
      <w:r w:rsidR="003A4321">
        <w:t>based on</w:t>
      </w:r>
      <w:r>
        <w:t xml:space="preserve"> ADAURA</w:t>
      </w:r>
      <w:r w:rsidR="00A741FF" w:rsidRPr="00A741FF">
        <w:t xml:space="preserve"> </w:t>
      </w:r>
      <w:r w:rsidR="00A741FF">
        <w:t xml:space="preserve">and implementing a modelled evaluation </w:t>
      </w:r>
      <w:r w:rsidR="003F06F8">
        <w:t xml:space="preserve">using external data </w:t>
      </w:r>
      <w:r w:rsidR="00793A6A">
        <w:t xml:space="preserve">including </w:t>
      </w:r>
      <w:r w:rsidR="003F06F8">
        <w:t>CancerLinQ</w:t>
      </w:r>
      <w:r w:rsidR="00BA13C9">
        <w:t xml:space="preserve"> (a</w:t>
      </w:r>
      <w:r w:rsidR="00A741FF" w:rsidRPr="005A22AF">
        <w:t xml:space="preserve"> US based cancer patient registry</w:t>
      </w:r>
      <w:r w:rsidR="00A741FF">
        <w:t>)</w:t>
      </w:r>
      <w:r w:rsidR="003F06F8">
        <w:t xml:space="preserve">, and </w:t>
      </w:r>
      <w:r w:rsidR="00EF1616">
        <w:t xml:space="preserve">the </w:t>
      </w:r>
      <w:r w:rsidR="003F06F8">
        <w:t xml:space="preserve">FLAURA </w:t>
      </w:r>
      <w:r w:rsidR="00EF1616">
        <w:t xml:space="preserve">trial </w:t>
      </w:r>
      <w:r w:rsidR="003F06F8">
        <w:t>(</w:t>
      </w:r>
      <w:r w:rsidR="00A741FF">
        <w:t xml:space="preserve">comparing </w:t>
      </w:r>
      <w:r w:rsidR="003F06F8">
        <w:t xml:space="preserve">osimertinib </w:t>
      </w:r>
      <w:r w:rsidR="00793A6A">
        <w:t xml:space="preserve">to </w:t>
      </w:r>
      <w:r w:rsidR="003F06F8">
        <w:t xml:space="preserve">erlotinib or gefitinib for first-line treatment of </w:t>
      </w:r>
      <w:r w:rsidR="003F06F8" w:rsidRPr="00921CDF">
        <w:rPr>
          <w:i/>
        </w:rPr>
        <w:t>EGFR</w:t>
      </w:r>
      <w:r w:rsidR="003F06F8">
        <w:t>m-positive advanced NSCLC)</w:t>
      </w:r>
      <w:r>
        <w:t>.</w:t>
      </w:r>
      <w:r w:rsidR="00583EA7">
        <w:t xml:space="preserve"> </w:t>
      </w:r>
      <w:bookmarkEnd w:id="39"/>
      <w:r w:rsidR="003F06F8">
        <w:t>The base case included patients with Stage IB, II or IIIA NSCLC</w:t>
      </w:r>
      <w:r w:rsidR="00793A6A">
        <w:t xml:space="preserve"> as per the </w:t>
      </w:r>
      <w:r w:rsidR="003F06F8">
        <w:t>overall population of ADAURA and the requested</w:t>
      </w:r>
      <w:r w:rsidR="002E27BA">
        <w:t xml:space="preserve"> restriction</w:t>
      </w:r>
      <w:r w:rsidR="003F06F8">
        <w:t xml:space="preserve">. </w:t>
      </w:r>
      <w:r w:rsidR="00583EA7" w:rsidRPr="002856D9">
        <w:rPr>
          <w:snapToGrid/>
        </w:rPr>
        <w:t>The key components of the economic evaluation are summarised in</w:t>
      </w:r>
      <w:r w:rsidR="00AF2F7A">
        <w:rPr>
          <w:snapToGrid/>
        </w:rPr>
        <w:t xml:space="preserve"> </w:t>
      </w:r>
      <w:r w:rsidR="00AF2F7A">
        <w:rPr>
          <w:snapToGrid/>
        </w:rPr>
        <w:fldChar w:fldCharType="begin" w:fldLock="1"/>
      </w:r>
      <w:r w:rsidR="00AF2F7A">
        <w:rPr>
          <w:snapToGrid/>
        </w:rPr>
        <w:instrText xml:space="preserve"> REF _Ref144727373 \h </w:instrText>
      </w:r>
      <w:r w:rsidR="00AF2F7A">
        <w:rPr>
          <w:snapToGrid/>
        </w:rPr>
      </w:r>
      <w:r w:rsidR="00AF2F7A">
        <w:rPr>
          <w:snapToGrid/>
        </w:rPr>
        <w:fldChar w:fldCharType="separate"/>
      </w:r>
      <w:r w:rsidR="00AF2F7A">
        <w:t xml:space="preserve">Table </w:t>
      </w:r>
      <w:r w:rsidR="00AF2F7A">
        <w:rPr>
          <w:noProof/>
        </w:rPr>
        <w:t>9</w:t>
      </w:r>
      <w:r w:rsidR="00AF2F7A">
        <w:rPr>
          <w:snapToGrid/>
        </w:rPr>
        <w:fldChar w:fldCharType="end"/>
      </w:r>
      <w:r w:rsidR="00583EA7">
        <w:rPr>
          <w:snapToGrid/>
        </w:rPr>
        <w:t>.</w:t>
      </w:r>
      <w:r w:rsidR="00EF1616">
        <w:rPr>
          <w:snapToGrid/>
        </w:rPr>
        <w:t xml:space="preserve"> The model structure is presented in </w:t>
      </w:r>
      <w:r w:rsidR="00AF2F7A" w:rsidRPr="00973DB4">
        <w:rPr>
          <w:rFonts w:cstheme="minorHAnsi"/>
          <w:snapToGrid/>
        </w:rPr>
        <w:fldChar w:fldCharType="begin" w:fldLock="1"/>
      </w:r>
      <w:r w:rsidR="00AF2F7A" w:rsidRPr="00973DB4">
        <w:rPr>
          <w:rFonts w:cstheme="minorHAnsi"/>
          <w:snapToGrid/>
        </w:rPr>
        <w:instrText xml:space="preserve"> REF _Ref144727270 \h  \* MERGEFORMAT </w:instrText>
      </w:r>
      <w:r w:rsidR="00AF2F7A" w:rsidRPr="00973DB4">
        <w:rPr>
          <w:rFonts w:cstheme="minorHAnsi"/>
          <w:snapToGrid/>
        </w:rPr>
      </w:r>
      <w:r w:rsidR="00AF2F7A" w:rsidRPr="00973DB4">
        <w:rPr>
          <w:rFonts w:cstheme="minorHAnsi"/>
          <w:snapToGrid/>
        </w:rPr>
        <w:fldChar w:fldCharType="separate"/>
      </w:r>
      <w:r w:rsidR="00AF2F7A" w:rsidRPr="00973DB4">
        <w:rPr>
          <w:rFonts w:cstheme="minorHAnsi"/>
        </w:rPr>
        <w:t xml:space="preserve">Figure </w:t>
      </w:r>
      <w:r w:rsidR="00AF2F7A" w:rsidRPr="00973DB4">
        <w:rPr>
          <w:rFonts w:cstheme="minorHAnsi"/>
          <w:noProof/>
        </w:rPr>
        <w:t>4</w:t>
      </w:r>
      <w:r w:rsidR="00AF2F7A" w:rsidRPr="00973DB4">
        <w:rPr>
          <w:rFonts w:cstheme="minorHAnsi"/>
          <w:snapToGrid/>
        </w:rPr>
        <w:fldChar w:fldCharType="end"/>
      </w:r>
      <w:r w:rsidR="00EF1616" w:rsidRPr="00973DB4">
        <w:rPr>
          <w:rFonts w:cstheme="minorHAnsi"/>
          <w:snapToGrid/>
        </w:rPr>
        <w:t>.</w:t>
      </w:r>
    </w:p>
    <w:p w14:paraId="5F64B3BD" w14:textId="040F1B1B" w:rsidR="000B1EA4" w:rsidRPr="000B1EA4" w:rsidRDefault="000B1EA4" w:rsidP="000B1EA4">
      <w:pPr>
        <w:keepNext/>
        <w:keepLines/>
        <w:rPr>
          <w:rFonts w:ascii="Arial Narrow" w:hAnsi="Arial Narrow"/>
          <w:b/>
          <w:bCs/>
          <w:sz w:val="20"/>
          <w:szCs w:val="20"/>
        </w:rPr>
      </w:pPr>
      <w:bookmarkStart w:id="40" w:name="_Ref144727270"/>
      <w:r w:rsidRPr="000B1EA4">
        <w:rPr>
          <w:rFonts w:ascii="Arial Narrow" w:hAnsi="Arial Narrow"/>
          <w:b/>
          <w:bCs/>
          <w:sz w:val="20"/>
          <w:szCs w:val="20"/>
        </w:rPr>
        <w:t xml:space="preserve">Figure </w:t>
      </w:r>
      <w:r w:rsidRPr="000B1EA4">
        <w:rPr>
          <w:rFonts w:ascii="Arial Narrow" w:hAnsi="Arial Narrow"/>
          <w:b/>
          <w:bCs/>
          <w:sz w:val="20"/>
          <w:szCs w:val="20"/>
        </w:rPr>
        <w:fldChar w:fldCharType="begin" w:fldLock="1"/>
      </w:r>
      <w:r w:rsidRPr="000B1EA4">
        <w:rPr>
          <w:rFonts w:ascii="Arial Narrow" w:hAnsi="Arial Narrow"/>
          <w:b/>
          <w:bCs/>
          <w:sz w:val="20"/>
          <w:szCs w:val="20"/>
        </w:rPr>
        <w:instrText xml:space="preserve"> SEQ Figure \* ARABIC </w:instrText>
      </w:r>
      <w:r w:rsidRPr="000B1EA4">
        <w:rPr>
          <w:rFonts w:ascii="Arial Narrow" w:hAnsi="Arial Narrow"/>
          <w:b/>
          <w:bCs/>
          <w:sz w:val="20"/>
          <w:szCs w:val="20"/>
        </w:rPr>
        <w:fldChar w:fldCharType="separate"/>
      </w:r>
      <w:r w:rsidR="00071753">
        <w:rPr>
          <w:rFonts w:ascii="Arial Narrow" w:hAnsi="Arial Narrow"/>
          <w:b/>
          <w:bCs/>
          <w:noProof/>
          <w:sz w:val="20"/>
          <w:szCs w:val="20"/>
        </w:rPr>
        <w:t>4</w:t>
      </w:r>
      <w:r w:rsidRPr="000B1EA4">
        <w:rPr>
          <w:rFonts w:ascii="Arial Narrow" w:hAnsi="Arial Narrow"/>
          <w:b/>
          <w:bCs/>
          <w:sz w:val="20"/>
          <w:szCs w:val="20"/>
        </w:rPr>
        <w:fldChar w:fldCharType="end"/>
      </w:r>
      <w:bookmarkEnd w:id="40"/>
      <w:r w:rsidRPr="000B1EA4">
        <w:rPr>
          <w:rFonts w:ascii="Arial Narrow" w:hAnsi="Arial Narrow"/>
          <w:b/>
          <w:bCs/>
          <w:sz w:val="20"/>
          <w:szCs w:val="20"/>
        </w:rPr>
        <w:t>: Structure of the economic model</w:t>
      </w:r>
    </w:p>
    <w:p w14:paraId="637AE8A6" w14:textId="77777777" w:rsidR="000B1EA4" w:rsidRDefault="000B1EA4" w:rsidP="001B56B3">
      <w:pPr>
        <w:rPr>
          <w:rStyle w:val="CommentReference"/>
          <w:b w:val="0"/>
          <w:bCs/>
        </w:rPr>
      </w:pPr>
      <w:r w:rsidRPr="00516F21">
        <w:rPr>
          <w:noProof/>
          <w:lang w:eastAsia="zh-CN"/>
        </w:rPr>
        <w:drawing>
          <wp:inline distT="0" distB="0" distL="0" distR="0" wp14:anchorId="37CD6548" wp14:editId="5DB3506C">
            <wp:extent cx="5732145" cy="2342515"/>
            <wp:effectExtent l="0" t="0" r="1905" b="635"/>
            <wp:docPr id="205269235" name="Picture 205269235" descr="A diagram of a flow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269235" name="Picture 205269235" descr="A diagram of a flowchart&#10;&#10;Description automatically generated"/>
                    <pic:cNvPicPr/>
                  </pic:nvPicPr>
                  <pic:blipFill>
                    <a:blip r:embed="rId23"/>
                    <a:stretch>
                      <a:fillRect/>
                    </a:stretch>
                  </pic:blipFill>
                  <pic:spPr>
                    <a:xfrm>
                      <a:off x="0" y="0"/>
                      <a:ext cx="5732145" cy="2342515"/>
                    </a:xfrm>
                    <a:prstGeom prst="rect">
                      <a:avLst/>
                    </a:prstGeom>
                  </pic:spPr>
                </pic:pic>
              </a:graphicData>
            </a:graphic>
          </wp:inline>
        </w:drawing>
      </w:r>
    </w:p>
    <w:p w14:paraId="7D3C1A91" w14:textId="77777777" w:rsidR="000B1EA4" w:rsidRPr="000B1EA4" w:rsidRDefault="000B1EA4" w:rsidP="000B1EA4">
      <w:pPr>
        <w:keepNext/>
        <w:keepLines/>
        <w:rPr>
          <w:rFonts w:ascii="Arial Narrow" w:hAnsi="Arial Narrow"/>
          <w:sz w:val="18"/>
          <w:szCs w:val="18"/>
        </w:rPr>
      </w:pPr>
      <w:bookmarkStart w:id="41" w:name="_Hlk144596073"/>
      <w:r w:rsidRPr="000B1EA4">
        <w:rPr>
          <w:rFonts w:ascii="Arial Narrow" w:hAnsi="Arial Narrow"/>
          <w:sz w:val="18"/>
          <w:szCs w:val="18"/>
        </w:rPr>
        <w:t>Source: compiled during the evaluation based on Figure 3.2-3, p112 of the submission.</w:t>
      </w:r>
    </w:p>
    <w:bookmarkEnd w:id="41"/>
    <w:p w14:paraId="05D42CF5" w14:textId="1ADA8365" w:rsidR="003C1193" w:rsidRDefault="000B1EA4" w:rsidP="000B1EA4">
      <w:pPr>
        <w:keepNext/>
        <w:keepLines/>
        <w:rPr>
          <w:rFonts w:ascii="Arial Narrow" w:hAnsi="Arial Narrow"/>
          <w:sz w:val="18"/>
          <w:szCs w:val="18"/>
        </w:rPr>
      </w:pPr>
      <w:r w:rsidRPr="000B1EA4">
        <w:rPr>
          <w:rFonts w:ascii="Arial Narrow" w:hAnsi="Arial Narrow"/>
          <w:sz w:val="18"/>
          <w:szCs w:val="18"/>
        </w:rPr>
        <w:t>DF = disease-free; DM1 = 1st line treatment for distant metastatic NSCLC; DM2 = 2nd line treatment for distant metastatic NSCLC; LRR = local/regional recurrence.</w:t>
      </w:r>
    </w:p>
    <w:p w14:paraId="4BEF6C7E" w14:textId="63AB8903" w:rsidR="003C1193" w:rsidRDefault="003C1193">
      <w:pPr>
        <w:jc w:val="left"/>
        <w:rPr>
          <w:rFonts w:ascii="Arial Narrow" w:hAnsi="Arial Narrow"/>
          <w:sz w:val="18"/>
          <w:szCs w:val="18"/>
        </w:rPr>
      </w:pPr>
    </w:p>
    <w:p w14:paraId="15A9AFA4" w14:textId="0DECB0CD" w:rsidR="00275C5A" w:rsidRPr="00641FB3" w:rsidRDefault="00AF2F7A" w:rsidP="00AF2F7A">
      <w:pPr>
        <w:pStyle w:val="Caption"/>
        <w:rPr>
          <w:rStyle w:val="CommentReference"/>
          <w:b/>
          <w:szCs w:val="24"/>
        </w:rPr>
      </w:pPr>
      <w:bookmarkStart w:id="42" w:name="_Ref144727373"/>
      <w:bookmarkStart w:id="43" w:name="_Ref144727347"/>
      <w:r>
        <w:t xml:space="preserve">Table </w:t>
      </w:r>
      <w:r w:rsidR="001E77BF">
        <w:fldChar w:fldCharType="begin" w:fldLock="1"/>
      </w:r>
      <w:r w:rsidR="001E77BF">
        <w:instrText xml:space="preserve"> SEQ Table \* ARABIC </w:instrText>
      </w:r>
      <w:r w:rsidR="001E77BF">
        <w:fldChar w:fldCharType="separate"/>
      </w:r>
      <w:r w:rsidR="00000F78">
        <w:rPr>
          <w:noProof/>
        </w:rPr>
        <w:t>9</w:t>
      </w:r>
      <w:r w:rsidR="001E77BF">
        <w:rPr>
          <w:noProof/>
        </w:rPr>
        <w:fldChar w:fldCharType="end"/>
      </w:r>
      <w:bookmarkEnd w:id="42"/>
      <w:r w:rsidR="00E16AD8">
        <w:t>:</w:t>
      </w:r>
      <w:r w:rsidR="00275C5A" w:rsidRPr="00641FB3">
        <w:rPr>
          <w:rStyle w:val="CommentReference"/>
          <w:b/>
          <w:szCs w:val="24"/>
        </w:rPr>
        <w:t xml:space="preserve"> Summary of model structure</w:t>
      </w:r>
      <w:r w:rsidR="00184B0E" w:rsidRPr="00641FB3">
        <w:rPr>
          <w:rStyle w:val="CommentReference"/>
          <w:b/>
          <w:szCs w:val="24"/>
        </w:rPr>
        <w:t>, key inputs</w:t>
      </w:r>
      <w:r w:rsidR="00275C5A" w:rsidRPr="00641FB3">
        <w:rPr>
          <w:rStyle w:val="CommentReference"/>
          <w:b/>
          <w:szCs w:val="24"/>
        </w:rPr>
        <w:t xml:space="preserve"> and rationale</w:t>
      </w:r>
      <w:bookmarkEnd w:id="43"/>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1244"/>
        <w:gridCol w:w="7773"/>
      </w:tblGrid>
      <w:tr w:rsidR="00275C5A" w:rsidRPr="003D1DE4" w14:paraId="48BB958D" w14:textId="77777777" w:rsidTr="004A540F">
        <w:trPr>
          <w:tblHeader/>
        </w:trPr>
        <w:tc>
          <w:tcPr>
            <w:tcW w:w="690" w:type="pct"/>
            <w:shd w:val="clear" w:color="auto" w:fill="auto"/>
            <w:vAlign w:val="center"/>
          </w:tcPr>
          <w:p w14:paraId="29C3D629" w14:textId="77777777" w:rsidR="00275C5A" w:rsidRPr="00641FB3" w:rsidRDefault="00275C5A" w:rsidP="002E27BA">
            <w:pPr>
              <w:pStyle w:val="In-tableHeading"/>
              <w:keepNext w:val="0"/>
            </w:pPr>
            <w:r w:rsidRPr="00641FB3">
              <w:t>Component</w:t>
            </w:r>
          </w:p>
        </w:tc>
        <w:tc>
          <w:tcPr>
            <w:tcW w:w="4310" w:type="pct"/>
            <w:shd w:val="clear" w:color="auto" w:fill="auto"/>
            <w:vAlign w:val="center"/>
          </w:tcPr>
          <w:p w14:paraId="58FBA37B" w14:textId="77777777" w:rsidR="00275C5A" w:rsidRPr="00641FB3" w:rsidRDefault="00275C5A" w:rsidP="002E27BA">
            <w:pPr>
              <w:pStyle w:val="In-tableHeading"/>
              <w:keepNext w:val="0"/>
            </w:pPr>
            <w:r w:rsidRPr="00641FB3">
              <w:t>Summary</w:t>
            </w:r>
          </w:p>
        </w:tc>
      </w:tr>
      <w:tr w:rsidR="000A6039" w:rsidRPr="00E2771E" w14:paraId="7476B2FD" w14:textId="77777777" w:rsidTr="004A540F">
        <w:tc>
          <w:tcPr>
            <w:tcW w:w="690" w:type="pct"/>
            <w:shd w:val="clear" w:color="auto" w:fill="auto"/>
            <w:vAlign w:val="center"/>
          </w:tcPr>
          <w:p w14:paraId="5FA8442E" w14:textId="27CD0EEA" w:rsidR="000A6039" w:rsidRPr="00E2771E" w:rsidRDefault="000A6039" w:rsidP="002E27BA">
            <w:pPr>
              <w:pStyle w:val="TableText0"/>
              <w:keepNext w:val="0"/>
            </w:pPr>
            <w:r>
              <w:t>Treatments</w:t>
            </w:r>
          </w:p>
        </w:tc>
        <w:tc>
          <w:tcPr>
            <w:tcW w:w="4310" w:type="pct"/>
            <w:shd w:val="clear" w:color="auto" w:fill="auto"/>
            <w:vAlign w:val="center"/>
          </w:tcPr>
          <w:p w14:paraId="554C8AD3" w14:textId="5D3CF8C7" w:rsidR="000A6039" w:rsidRPr="00E2771E" w:rsidRDefault="00C63855" w:rsidP="002E27BA">
            <w:pPr>
              <w:pStyle w:val="TableText0"/>
              <w:keepNext w:val="0"/>
            </w:pPr>
            <w:r>
              <w:t>Adjuvant osimertinib</w:t>
            </w:r>
            <w:r w:rsidR="000A6039">
              <w:t xml:space="preserve"> vs </w:t>
            </w:r>
            <w:r>
              <w:t>placebo</w:t>
            </w:r>
          </w:p>
        </w:tc>
      </w:tr>
      <w:tr w:rsidR="00275C5A" w:rsidRPr="00E2771E" w14:paraId="6A8D84D4" w14:textId="77777777" w:rsidTr="004A540F">
        <w:tc>
          <w:tcPr>
            <w:tcW w:w="690" w:type="pct"/>
            <w:shd w:val="clear" w:color="auto" w:fill="auto"/>
            <w:vAlign w:val="center"/>
          </w:tcPr>
          <w:p w14:paraId="5F652354" w14:textId="77777777" w:rsidR="00275C5A" w:rsidRPr="00E2771E" w:rsidRDefault="00275C5A" w:rsidP="002E27BA">
            <w:pPr>
              <w:pStyle w:val="TableText0"/>
              <w:keepNext w:val="0"/>
            </w:pPr>
            <w:r w:rsidRPr="00E2771E">
              <w:t>Time horizon</w:t>
            </w:r>
          </w:p>
        </w:tc>
        <w:tc>
          <w:tcPr>
            <w:tcW w:w="4310" w:type="pct"/>
            <w:shd w:val="clear" w:color="auto" w:fill="auto"/>
            <w:vAlign w:val="center"/>
          </w:tcPr>
          <w:p w14:paraId="460936F1" w14:textId="36D14D7D" w:rsidR="00275C5A" w:rsidRPr="00E2771E" w:rsidRDefault="00583EA7" w:rsidP="002E27BA">
            <w:pPr>
              <w:pStyle w:val="TableText0"/>
              <w:keepNext w:val="0"/>
            </w:pPr>
            <w:r>
              <w:t>25</w:t>
            </w:r>
            <w:r w:rsidR="00275C5A" w:rsidRPr="00E2771E">
              <w:t xml:space="preserve"> years in the model base case versus </w:t>
            </w:r>
            <w:r>
              <w:t>5.5</w:t>
            </w:r>
            <w:r w:rsidR="00275C5A" w:rsidRPr="00E2771E">
              <w:t xml:space="preserve"> years</w:t>
            </w:r>
            <w:r>
              <w:t xml:space="preserve"> (66 months)</w:t>
            </w:r>
            <w:r w:rsidR="00275C5A" w:rsidRPr="00E2771E">
              <w:t xml:space="preserve"> in </w:t>
            </w:r>
            <w:r w:rsidR="00576E8A">
              <w:t>ADAURA DF follow up</w:t>
            </w:r>
            <w:r w:rsidR="002E27BA">
              <w:t>.</w:t>
            </w:r>
          </w:p>
        </w:tc>
      </w:tr>
      <w:tr w:rsidR="00275C5A" w:rsidRPr="00E2771E" w14:paraId="003209BF" w14:textId="77777777" w:rsidTr="004A540F">
        <w:tc>
          <w:tcPr>
            <w:tcW w:w="690" w:type="pct"/>
            <w:shd w:val="clear" w:color="auto" w:fill="auto"/>
            <w:vAlign w:val="center"/>
          </w:tcPr>
          <w:p w14:paraId="522DAB95" w14:textId="77777777" w:rsidR="00275C5A" w:rsidRPr="00E2771E" w:rsidRDefault="00275C5A" w:rsidP="002E27BA">
            <w:pPr>
              <w:pStyle w:val="TableText0"/>
              <w:keepNext w:val="0"/>
            </w:pPr>
            <w:r w:rsidRPr="00E2771E">
              <w:t>Outcomes</w:t>
            </w:r>
          </w:p>
        </w:tc>
        <w:tc>
          <w:tcPr>
            <w:tcW w:w="4310" w:type="pct"/>
            <w:shd w:val="clear" w:color="auto" w:fill="auto"/>
            <w:vAlign w:val="center"/>
          </w:tcPr>
          <w:p w14:paraId="3D1C428E" w14:textId="3D863544" w:rsidR="00275C5A" w:rsidRPr="00E2771E" w:rsidRDefault="00583EA7" w:rsidP="002E27BA">
            <w:pPr>
              <w:pStyle w:val="TableText0"/>
              <w:keepNext w:val="0"/>
            </w:pPr>
            <w:r>
              <w:t xml:space="preserve">LYs </w:t>
            </w:r>
            <w:r w:rsidRPr="00C565D2">
              <w:t>g</w:t>
            </w:r>
            <w:r>
              <w:t xml:space="preserve">ained and QALYs </w:t>
            </w:r>
            <w:r w:rsidRPr="00C565D2">
              <w:t>gained</w:t>
            </w:r>
            <w:r>
              <w:t>.</w:t>
            </w:r>
          </w:p>
        </w:tc>
      </w:tr>
      <w:tr w:rsidR="00275C5A" w:rsidRPr="00E2771E" w14:paraId="29120B3F" w14:textId="77777777" w:rsidTr="004A540F">
        <w:tc>
          <w:tcPr>
            <w:tcW w:w="690" w:type="pct"/>
            <w:shd w:val="clear" w:color="auto" w:fill="auto"/>
            <w:vAlign w:val="center"/>
          </w:tcPr>
          <w:p w14:paraId="1AAC94CB" w14:textId="77777777" w:rsidR="00275C5A" w:rsidRPr="00E2771E" w:rsidRDefault="00275C5A" w:rsidP="002E27BA">
            <w:pPr>
              <w:pStyle w:val="TableText0"/>
              <w:keepNext w:val="0"/>
            </w:pPr>
            <w:r w:rsidRPr="00E2771E">
              <w:t>Methods used to generate results</w:t>
            </w:r>
          </w:p>
        </w:tc>
        <w:tc>
          <w:tcPr>
            <w:tcW w:w="4310" w:type="pct"/>
            <w:shd w:val="clear" w:color="auto" w:fill="auto"/>
            <w:vAlign w:val="center"/>
          </w:tcPr>
          <w:p w14:paraId="69D4F042" w14:textId="3CF056D0" w:rsidR="00275C5A" w:rsidRPr="00E2771E" w:rsidRDefault="0007685A" w:rsidP="002E27BA">
            <w:pPr>
              <w:pStyle w:val="TableText0"/>
              <w:keepNext w:val="0"/>
            </w:pPr>
            <w:r>
              <w:t>Semi-Markov model with time-varying transition probabilities</w:t>
            </w:r>
            <w:r w:rsidR="002E27BA">
              <w:t>.</w:t>
            </w:r>
          </w:p>
        </w:tc>
      </w:tr>
      <w:tr w:rsidR="00275C5A" w:rsidRPr="00E2771E" w14:paraId="7F7ACECA" w14:textId="77777777" w:rsidTr="004A540F">
        <w:tc>
          <w:tcPr>
            <w:tcW w:w="690" w:type="pct"/>
            <w:shd w:val="clear" w:color="auto" w:fill="auto"/>
            <w:vAlign w:val="center"/>
          </w:tcPr>
          <w:p w14:paraId="344631D3" w14:textId="77777777" w:rsidR="00275C5A" w:rsidRPr="00E2771E" w:rsidRDefault="00275C5A" w:rsidP="002E27BA">
            <w:pPr>
              <w:pStyle w:val="TableText0"/>
              <w:keepNext w:val="0"/>
            </w:pPr>
            <w:r w:rsidRPr="00E2771E">
              <w:t>Health states</w:t>
            </w:r>
          </w:p>
        </w:tc>
        <w:tc>
          <w:tcPr>
            <w:tcW w:w="4310" w:type="pct"/>
            <w:shd w:val="clear" w:color="auto" w:fill="auto"/>
            <w:vAlign w:val="center"/>
          </w:tcPr>
          <w:p w14:paraId="03F23F80" w14:textId="45798D4B" w:rsidR="00275C5A" w:rsidRPr="00E2771E" w:rsidRDefault="0007685A" w:rsidP="002E27BA">
            <w:pPr>
              <w:pStyle w:val="TableText0"/>
              <w:keepNext w:val="0"/>
            </w:pPr>
            <w:r w:rsidRPr="0058641B">
              <w:t>Five health states: disease-free survival</w:t>
            </w:r>
            <w:r>
              <w:t xml:space="preserve"> (DF)</w:t>
            </w:r>
            <w:r w:rsidRPr="0058641B">
              <w:t>, loco</w:t>
            </w:r>
            <w:r>
              <w:t>/</w:t>
            </w:r>
            <w:r w:rsidRPr="0058641B">
              <w:t xml:space="preserve">regional recurrence (LRR), first-line </w:t>
            </w:r>
            <w:r>
              <w:t>treatment for distant metastatic NSCLC</w:t>
            </w:r>
            <w:r w:rsidRPr="0058641B">
              <w:t xml:space="preserve"> (</w:t>
            </w:r>
            <w:r>
              <w:t>DM1</w:t>
            </w:r>
            <w:r w:rsidRPr="0058641B">
              <w:t xml:space="preserve">), </w:t>
            </w:r>
            <w:r>
              <w:t>second</w:t>
            </w:r>
            <w:r w:rsidRPr="0058641B">
              <w:t xml:space="preserve">-line </w:t>
            </w:r>
            <w:r>
              <w:t>treatment for distant metastatic NSCLC</w:t>
            </w:r>
            <w:r w:rsidRPr="0058641B">
              <w:t xml:space="preserve"> (</w:t>
            </w:r>
            <w:r>
              <w:t>DM2</w:t>
            </w:r>
            <w:r w:rsidRPr="0058641B">
              <w:t xml:space="preserve">), and </w:t>
            </w:r>
            <w:r>
              <w:t>D</w:t>
            </w:r>
            <w:r w:rsidRPr="0058641B">
              <w:t>eath</w:t>
            </w:r>
            <w:r>
              <w:t>.</w:t>
            </w:r>
          </w:p>
        </w:tc>
      </w:tr>
      <w:tr w:rsidR="00275C5A" w:rsidRPr="00E2771E" w14:paraId="7F944EEA" w14:textId="77777777" w:rsidTr="004A540F">
        <w:tc>
          <w:tcPr>
            <w:tcW w:w="690" w:type="pct"/>
            <w:shd w:val="clear" w:color="auto" w:fill="auto"/>
            <w:vAlign w:val="center"/>
          </w:tcPr>
          <w:p w14:paraId="255C0B8D" w14:textId="77777777" w:rsidR="00275C5A" w:rsidRPr="00E2771E" w:rsidRDefault="00275C5A" w:rsidP="002E27BA">
            <w:pPr>
              <w:pStyle w:val="TableText0"/>
              <w:keepNext w:val="0"/>
            </w:pPr>
            <w:r w:rsidRPr="00E2771E">
              <w:t>Cycle length</w:t>
            </w:r>
          </w:p>
        </w:tc>
        <w:tc>
          <w:tcPr>
            <w:tcW w:w="4310" w:type="pct"/>
            <w:shd w:val="clear" w:color="auto" w:fill="auto"/>
            <w:vAlign w:val="center"/>
          </w:tcPr>
          <w:p w14:paraId="5733F6EA" w14:textId="7608383A" w:rsidR="00275C5A" w:rsidRPr="00E2771E" w:rsidRDefault="0007685A" w:rsidP="002E27BA">
            <w:pPr>
              <w:pStyle w:val="TableText0"/>
              <w:keepNext w:val="0"/>
            </w:pPr>
            <w:r>
              <w:t>30.4</w:t>
            </w:r>
            <w:r w:rsidR="00275C5A" w:rsidRPr="00E2771E">
              <w:t xml:space="preserve"> </w:t>
            </w:r>
            <w:r w:rsidR="00275C5A">
              <w:t>days</w:t>
            </w:r>
            <w:r>
              <w:t xml:space="preserve"> (</w:t>
            </w:r>
            <w:r w:rsidR="00BC5BEC">
              <w:t>monthly</w:t>
            </w:r>
            <w:r>
              <w:t>)</w:t>
            </w:r>
          </w:p>
        </w:tc>
      </w:tr>
      <w:tr w:rsidR="00AC273F" w:rsidRPr="00E2771E" w14:paraId="6EFF7035" w14:textId="77777777" w:rsidTr="004A540F">
        <w:tc>
          <w:tcPr>
            <w:tcW w:w="690" w:type="pct"/>
            <w:shd w:val="clear" w:color="auto" w:fill="auto"/>
            <w:vAlign w:val="center"/>
          </w:tcPr>
          <w:p w14:paraId="77A45407" w14:textId="4090EF7C" w:rsidR="00AC273F" w:rsidRPr="00E2771E" w:rsidRDefault="00AC273F" w:rsidP="002E27BA">
            <w:pPr>
              <w:pStyle w:val="TableText0"/>
              <w:keepNext w:val="0"/>
            </w:pPr>
            <w:r w:rsidRPr="00E2771E">
              <w:t>Transition probabilities</w:t>
            </w:r>
          </w:p>
        </w:tc>
        <w:tc>
          <w:tcPr>
            <w:tcW w:w="4310" w:type="pct"/>
            <w:tcBorders>
              <w:bottom w:val="single" w:sz="4" w:space="0" w:color="auto"/>
            </w:tcBorders>
            <w:shd w:val="clear" w:color="auto" w:fill="auto"/>
            <w:vAlign w:val="center"/>
          </w:tcPr>
          <w:p w14:paraId="35F39FE8" w14:textId="564C6CC8" w:rsidR="00874325" w:rsidRPr="00973DB4" w:rsidRDefault="00874325" w:rsidP="000853E6">
            <w:pPr>
              <w:pStyle w:val="TableText0"/>
              <w:keepNext w:val="0"/>
              <w:numPr>
                <w:ilvl w:val="0"/>
                <w:numId w:val="8"/>
              </w:numPr>
              <w:ind w:left="110" w:hanging="110"/>
            </w:pPr>
            <w:r w:rsidRPr="00973DB4">
              <w:t>DF to LRR (TP1)</w:t>
            </w:r>
            <w:r w:rsidR="002806B8" w:rsidRPr="00973DB4">
              <w:t xml:space="preserve"> &amp;</w:t>
            </w:r>
            <w:r w:rsidRPr="00973DB4">
              <w:t xml:space="preserve"> DF to DM1(TP2)</w:t>
            </w:r>
            <w:r w:rsidR="00DF7063" w:rsidRPr="00973DB4">
              <w:t xml:space="preserve">: </w:t>
            </w:r>
            <w:r w:rsidRPr="00973DB4">
              <w:t xml:space="preserve"> based on ADAURA</w:t>
            </w:r>
            <w:r w:rsidR="004A540F" w:rsidRPr="00973DB4">
              <w:t xml:space="preserve"> DFS </w:t>
            </w:r>
            <w:r w:rsidR="002E27BA" w:rsidRPr="00973DB4">
              <w:t xml:space="preserve">data </w:t>
            </w:r>
            <w:r w:rsidR="004A540F" w:rsidRPr="00973DB4">
              <w:t>for osimertinib and placebo.</w:t>
            </w:r>
          </w:p>
          <w:p w14:paraId="4D3B256C" w14:textId="2247120E" w:rsidR="00874325" w:rsidRPr="00973DB4" w:rsidRDefault="00874325" w:rsidP="000853E6">
            <w:pPr>
              <w:pStyle w:val="TableText0"/>
              <w:keepNext w:val="0"/>
              <w:numPr>
                <w:ilvl w:val="0"/>
                <w:numId w:val="8"/>
              </w:numPr>
              <w:ind w:left="110" w:hanging="110"/>
            </w:pPr>
            <w:r w:rsidRPr="00973DB4">
              <w:t>LRR to DM1 (TP4): CancerLinQ registry data used</w:t>
            </w:r>
            <w:r w:rsidR="00DF7063" w:rsidRPr="00973DB4">
              <w:t xml:space="preserve"> </w:t>
            </w:r>
            <w:r w:rsidRPr="00973DB4">
              <w:t xml:space="preserve">due to a paucity of data from ADAURA, same </w:t>
            </w:r>
            <w:r w:rsidR="00DF7063" w:rsidRPr="00973DB4">
              <w:t xml:space="preserve">data </w:t>
            </w:r>
            <w:r w:rsidRPr="00973DB4">
              <w:t xml:space="preserve">applied in both </w:t>
            </w:r>
            <w:r w:rsidR="00DF7063" w:rsidRPr="00973DB4">
              <w:t xml:space="preserve">model </w:t>
            </w:r>
            <w:r w:rsidRPr="00973DB4">
              <w:t xml:space="preserve">arms </w:t>
            </w:r>
            <w:r w:rsidR="00DF7063" w:rsidRPr="00973DB4">
              <w:t xml:space="preserve">(with adjustment, see below). </w:t>
            </w:r>
          </w:p>
          <w:p w14:paraId="6B0DEDB2" w14:textId="1B5E091C" w:rsidR="00874325" w:rsidRPr="00973DB4" w:rsidRDefault="00874325" w:rsidP="000853E6">
            <w:pPr>
              <w:pStyle w:val="TableText0"/>
              <w:keepNext w:val="0"/>
              <w:numPr>
                <w:ilvl w:val="0"/>
                <w:numId w:val="8"/>
              </w:numPr>
              <w:ind w:left="110" w:hanging="110"/>
            </w:pPr>
            <w:r w:rsidRPr="00973DB4">
              <w:t xml:space="preserve">DM1 to DM2 (TP6): </w:t>
            </w:r>
            <w:r w:rsidR="002806B8" w:rsidRPr="00973DB4">
              <w:t xml:space="preserve">based on </w:t>
            </w:r>
            <w:r w:rsidRPr="00973DB4">
              <w:t>FLAURA</w:t>
            </w:r>
            <w:r w:rsidR="002806B8" w:rsidRPr="00973DB4">
              <w:t xml:space="preserve"> (</w:t>
            </w:r>
            <w:r w:rsidRPr="00973DB4">
              <w:t xml:space="preserve">osimertinib data used in the placebo arm and </w:t>
            </w:r>
            <w:r w:rsidR="00DF7063" w:rsidRPr="00973DB4">
              <w:t>SoC data used in the osimertinib arm</w:t>
            </w:r>
            <w:r w:rsidR="002806B8" w:rsidRPr="00973DB4">
              <w:t xml:space="preserve">, </w:t>
            </w:r>
            <w:r w:rsidR="00DF7063" w:rsidRPr="00973DB4">
              <w:t>with adjustment, see below</w:t>
            </w:r>
            <w:r w:rsidR="004A540F" w:rsidRPr="00973DB4">
              <w:t>)</w:t>
            </w:r>
            <w:r w:rsidR="00DF7063" w:rsidRPr="00973DB4">
              <w:t>.</w:t>
            </w:r>
          </w:p>
          <w:p w14:paraId="7ECED290" w14:textId="640536B7" w:rsidR="00AC273F" w:rsidRPr="00973DB4" w:rsidRDefault="00DF7063" w:rsidP="000853E6">
            <w:pPr>
              <w:pStyle w:val="TableText0"/>
              <w:keepNext w:val="0"/>
              <w:numPr>
                <w:ilvl w:val="0"/>
                <w:numId w:val="8"/>
              </w:numPr>
              <w:ind w:left="110" w:hanging="110"/>
            </w:pPr>
            <w:r w:rsidRPr="00973DB4">
              <w:t xml:space="preserve">DM1 to Death (TP7): </w:t>
            </w:r>
            <w:r w:rsidR="00874325" w:rsidRPr="00973DB4">
              <w:t>pooled FLAURA data</w:t>
            </w:r>
            <w:r w:rsidRPr="00973DB4">
              <w:t>/ABS life tables</w:t>
            </w:r>
            <w:r w:rsidRPr="00973DB4">
              <w:rPr>
                <w:vertAlign w:val="superscript"/>
              </w:rPr>
              <w:t>a</w:t>
            </w:r>
            <w:r w:rsidR="002806B8" w:rsidRPr="00973DB4">
              <w:t xml:space="preserve"> used</w:t>
            </w:r>
            <w:r w:rsidRPr="00973DB4">
              <w:t>, same data applied</w:t>
            </w:r>
            <w:r w:rsidRPr="00973DB4">
              <w:rPr>
                <w:vertAlign w:val="superscript"/>
              </w:rPr>
              <w:t xml:space="preserve"> </w:t>
            </w:r>
            <w:r w:rsidR="00874325" w:rsidRPr="00973DB4">
              <w:t>in both model arms.</w:t>
            </w:r>
          </w:p>
          <w:p w14:paraId="55402278" w14:textId="783CDBD1" w:rsidR="00DF7063" w:rsidRPr="00973DB4" w:rsidRDefault="00DF7063" w:rsidP="000853E6">
            <w:pPr>
              <w:pStyle w:val="TableText0"/>
              <w:keepNext w:val="0"/>
              <w:numPr>
                <w:ilvl w:val="0"/>
                <w:numId w:val="8"/>
              </w:numPr>
              <w:ind w:left="110" w:hanging="110"/>
            </w:pPr>
            <w:r w:rsidRPr="00973DB4">
              <w:t>DM2 to Death (TP8): based on post progression survival from FLAURA</w:t>
            </w:r>
            <w:r w:rsidR="002806B8" w:rsidRPr="00973DB4">
              <w:t xml:space="preserve"> (</w:t>
            </w:r>
            <w:r w:rsidRPr="00973DB4">
              <w:t>osimertinib data used in the placebo arm and SoC data used in the osimertinib arm</w:t>
            </w:r>
            <w:r w:rsidR="002806B8" w:rsidRPr="00973DB4">
              <w:t xml:space="preserve">, </w:t>
            </w:r>
            <w:r w:rsidRPr="00973DB4">
              <w:t>with adjustment, see below).</w:t>
            </w:r>
          </w:p>
          <w:p w14:paraId="76387578" w14:textId="46EA457A" w:rsidR="00AC273F" w:rsidRPr="00973DB4" w:rsidRDefault="00DF7063" w:rsidP="000853E6">
            <w:pPr>
              <w:pStyle w:val="TableText0"/>
              <w:keepNext w:val="0"/>
              <w:numPr>
                <w:ilvl w:val="0"/>
                <w:numId w:val="8"/>
              </w:numPr>
              <w:ind w:left="110" w:hanging="110"/>
            </w:pPr>
            <w:r w:rsidRPr="00973DB4">
              <w:t>B</w:t>
            </w:r>
            <w:r w:rsidR="00AC273F" w:rsidRPr="00973DB4">
              <w:t>ackground mortality from DF (TP3) and LRR (TP5)</w:t>
            </w:r>
            <w:r w:rsidRPr="00973DB4">
              <w:t>: ABS life tables.</w:t>
            </w:r>
          </w:p>
        </w:tc>
      </w:tr>
      <w:tr w:rsidR="00A24019" w:rsidRPr="00E2771E" w14:paraId="0E3861CE" w14:textId="77777777" w:rsidTr="004A540F">
        <w:tc>
          <w:tcPr>
            <w:tcW w:w="690" w:type="pct"/>
            <w:vMerge w:val="restart"/>
            <w:tcBorders>
              <w:right w:val="single" w:sz="4" w:space="0" w:color="auto"/>
            </w:tcBorders>
            <w:shd w:val="clear" w:color="auto" w:fill="auto"/>
            <w:vAlign w:val="center"/>
          </w:tcPr>
          <w:p w14:paraId="12EED280" w14:textId="210DDBDF" w:rsidR="00A24019" w:rsidRPr="00A24019" w:rsidRDefault="00A24019" w:rsidP="002E27BA">
            <w:pPr>
              <w:pStyle w:val="TableText0"/>
              <w:keepNext w:val="0"/>
              <w:rPr>
                <w:szCs w:val="20"/>
                <w:highlight w:val="yellow"/>
              </w:rPr>
            </w:pPr>
            <w:r w:rsidRPr="00293D92">
              <w:rPr>
                <w:szCs w:val="20"/>
              </w:rPr>
              <w:t>Adjustments made to transition probabilities</w:t>
            </w:r>
          </w:p>
        </w:tc>
        <w:tc>
          <w:tcPr>
            <w:tcW w:w="4310" w:type="pct"/>
            <w:tcBorders>
              <w:top w:val="single" w:sz="4" w:space="0" w:color="auto"/>
              <w:left w:val="single" w:sz="4" w:space="0" w:color="auto"/>
              <w:bottom w:val="nil"/>
              <w:right w:val="single" w:sz="4" w:space="0" w:color="auto"/>
            </w:tcBorders>
            <w:shd w:val="clear" w:color="auto" w:fill="auto"/>
            <w:vAlign w:val="center"/>
          </w:tcPr>
          <w:p w14:paraId="6F0E2F45" w14:textId="1819DA54" w:rsidR="00A24019" w:rsidRPr="000853E6" w:rsidRDefault="00A24019" w:rsidP="000853E6">
            <w:pPr>
              <w:pStyle w:val="TableText0"/>
              <w:keepNext w:val="0"/>
              <w:numPr>
                <w:ilvl w:val="0"/>
                <w:numId w:val="8"/>
              </w:numPr>
              <w:ind w:left="110" w:hanging="110"/>
              <w:rPr>
                <w:szCs w:val="20"/>
              </w:rPr>
            </w:pPr>
            <w:r w:rsidRPr="000853E6">
              <w:rPr>
                <w:szCs w:val="20"/>
              </w:rPr>
              <w:t xml:space="preserve">TP4: LRR </w:t>
            </w:r>
            <w:r w:rsidRPr="000853E6">
              <w:rPr>
                <w:szCs w:val="20"/>
              </w:rPr>
              <w:sym w:font="Symbol" w:char="F0AE"/>
            </w:r>
            <w:r w:rsidRPr="000853E6">
              <w:rPr>
                <w:szCs w:val="20"/>
              </w:rPr>
              <w:t>DM1: A</w:t>
            </w:r>
            <w:r w:rsidR="00EF1616" w:rsidRPr="000853E6">
              <w:rPr>
                <w:szCs w:val="20"/>
              </w:rPr>
              <w:t xml:space="preserve">pplied </w:t>
            </w:r>
            <w:r w:rsidRPr="000853E6">
              <w:rPr>
                <w:szCs w:val="20"/>
              </w:rPr>
              <w:t>HR of 0.75</w:t>
            </w:r>
            <w:r w:rsidR="00EF1616" w:rsidRPr="000853E6">
              <w:rPr>
                <w:szCs w:val="20"/>
              </w:rPr>
              <w:t xml:space="preserve"> to </w:t>
            </w:r>
            <w:r w:rsidR="002806B8" w:rsidRPr="000853E6">
              <w:rPr>
                <w:szCs w:val="20"/>
              </w:rPr>
              <w:t>KM</w:t>
            </w:r>
            <w:r w:rsidR="00EF1616" w:rsidRPr="000853E6">
              <w:rPr>
                <w:szCs w:val="20"/>
              </w:rPr>
              <w:t xml:space="preserve"> CancerLinQ data</w:t>
            </w:r>
            <w:r w:rsidRPr="000853E6">
              <w:rPr>
                <w:szCs w:val="20"/>
              </w:rPr>
              <w:t xml:space="preserve">. </w:t>
            </w:r>
            <w:r w:rsidR="004A540F" w:rsidRPr="000853E6">
              <w:rPr>
                <w:szCs w:val="20"/>
              </w:rPr>
              <w:t xml:space="preserve">Applied </w:t>
            </w:r>
            <w:r w:rsidRPr="000853E6">
              <w:rPr>
                <w:szCs w:val="20"/>
              </w:rPr>
              <w:t xml:space="preserve">to </w:t>
            </w:r>
            <w:r w:rsidR="00EF1616" w:rsidRPr="000853E6">
              <w:rPr>
                <w:szCs w:val="20"/>
              </w:rPr>
              <w:t xml:space="preserve">slow progression from LRR to DM1 </w:t>
            </w:r>
            <w:r w:rsidR="004A540F" w:rsidRPr="000853E6">
              <w:rPr>
                <w:szCs w:val="20"/>
              </w:rPr>
              <w:t xml:space="preserve">to match progression </w:t>
            </w:r>
            <w:r w:rsidR="00EF1616" w:rsidRPr="000853E6">
              <w:rPr>
                <w:szCs w:val="20"/>
              </w:rPr>
              <w:t xml:space="preserve">in </w:t>
            </w:r>
            <w:r w:rsidRPr="000853E6">
              <w:rPr>
                <w:szCs w:val="20"/>
              </w:rPr>
              <w:t>ADAURA.</w:t>
            </w:r>
            <w:r w:rsidR="00EF1616" w:rsidRPr="000853E6">
              <w:rPr>
                <w:szCs w:val="20"/>
              </w:rPr>
              <w:t xml:space="preserve"> </w:t>
            </w:r>
            <w:r w:rsidR="00DC5DC3" w:rsidRPr="000853E6">
              <w:rPr>
                <w:szCs w:val="20"/>
              </w:rPr>
              <w:t>W</w:t>
            </w:r>
            <w:r w:rsidR="00EF1616" w:rsidRPr="000853E6">
              <w:rPr>
                <w:szCs w:val="20"/>
              </w:rPr>
              <w:t xml:space="preserve">ithout adjustment, </w:t>
            </w:r>
            <w:r w:rsidR="00DC5DC3" w:rsidRPr="000853E6">
              <w:rPr>
                <w:szCs w:val="20"/>
              </w:rPr>
              <w:t xml:space="preserve">the </w:t>
            </w:r>
            <w:r w:rsidR="00EF1616" w:rsidRPr="000853E6">
              <w:rPr>
                <w:szCs w:val="20"/>
              </w:rPr>
              <w:t>model over predicts progression in ADAURA</w:t>
            </w:r>
            <w:r w:rsidR="00156462" w:rsidRPr="000853E6">
              <w:rPr>
                <w:szCs w:val="20"/>
              </w:rPr>
              <w:t>. H</w:t>
            </w:r>
            <w:r w:rsidR="00EF1616" w:rsidRPr="000853E6">
              <w:rPr>
                <w:szCs w:val="20"/>
              </w:rPr>
              <w:t>owever</w:t>
            </w:r>
            <w:r w:rsidR="00156462" w:rsidRPr="000853E6">
              <w:rPr>
                <w:szCs w:val="20"/>
              </w:rPr>
              <w:t>,</w:t>
            </w:r>
            <w:r w:rsidR="00EF1616" w:rsidRPr="000853E6">
              <w:rPr>
                <w:szCs w:val="20"/>
              </w:rPr>
              <w:t xml:space="preserve"> with adjustment</w:t>
            </w:r>
            <w:r w:rsidR="00156462" w:rsidRPr="000853E6">
              <w:rPr>
                <w:szCs w:val="20"/>
              </w:rPr>
              <w:t>,</w:t>
            </w:r>
            <w:r w:rsidR="00EF1616" w:rsidRPr="000853E6">
              <w:rPr>
                <w:szCs w:val="20"/>
              </w:rPr>
              <w:t xml:space="preserve"> progression </w:t>
            </w:r>
            <w:r w:rsidR="00DC5DC3" w:rsidRPr="000853E6">
              <w:rPr>
                <w:szCs w:val="20"/>
              </w:rPr>
              <w:t xml:space="preserve">in the model (42%) </w:t>
            </w:r>
            <w:r w:rsidR="00EF1616" w:rsidRPr="000853E6">
              <w:rPr>
                <w:szCs w:val="20"/>
              </w:rPr>
              <w:t xml:space="preserve">still </w:t>
            </w:r>
            <w:r w:rsidR="00156462" w:rsidRPr="000853E6">
              <w:rPr>
                <w:szCs w:val="20"/>
              </w:rPr>
              <w:t xml:space="preserve">exceeded ADAURA </w:t>
            </w:r>
            <w:r w:rsidR="00EF1616" w:rsidRPr="000853E6">
              <w:rPr>
                <w:szCs w:val="20"/>
              </w:rPr>
              <w:t>(37%).</w:t>
            </w:r>
            <w:r w:rsidR="00156462" w:rsidRPr="000853E6">
              <w:rPr>
                <w:szCs w:val="20"/>
              </w:rPr>
              <w:t xml:space="preserve"> </w:t>
            </w:r>
          </w:p>
        </w:tc>
      </w:tr>
      <w:tr w:rsidR="00A24019" w:rsidRPr="00E2771E" w14:paraId="2E1DC4EB" w14:textId="77777777" w:rsidTr="004A540F">
        <w:tc>
          <w:tcPr>
            <w:tcW w:w="690" w:type="pct"/>
            <w:vMerge/>
            <w:tcBorders>
              <w:right w:val="single" w:sz="4" w:space="0" w:color="auto"/>
            </w:tcBorders>
            <w:shd w:val="clear" w:color="auto" w:fill="auto"/>
            <w:vAlign w:val="center"/>
          </w:tcPr>
          <w:p w14:paraId="28D586BA" w14:textId="77777777" w:rsidR="00A24019" w:rsidRPr="00A24019" w:rsidRDefault="00A24019" w:rsidP="002E27BA">
            <w:pPr>
              <w:pStyle w:val="TableText0"/>
              <w:keepNext w:val="0"/>
              <w:rPr>
                <w:szCs w:val="20"/>
                <w:highlight w:val="yellow"/>
              </w:rPr>
            </w:pPr>
          </w:p>
        </w:tc>
        <w:tc>
          <w:tcPr>
            <w:tcW w:w="4310" w:type="pct"/>
            <w:tcBorders>
              <w:top w:val="nil"/>
              <w:left w:val="single" w:sz="4" w:space="0" w:color="auto"/>
              <w:bottom w:val="nil"/>
              <w:right w:val="single" w:sz="4" w:space="0" w:color="auto"/>
            </w:tcBorders>
            <w:shd w:val="clear" w:color="auto" w:fill="auto"/>
            <w:vAlign w:val="center"/>
          </w:tcPr>
          <w:p w14:paraId="229E4DDC" w14:textId="0A877485" w:rsidR="00A24019" w:rsidRPr="000853E6" w:rsidRDefault="00A24019" w:rsidP="000853E6">
            <w:pPr>
              <w:pStyle w:val="TableText0"/>
              <w:keepNext w:val="0"/>
              <w:numPr>
                <w:ilvl w:val="0"/>
                <w:numId w:val="8"/>
              </w:numPr>
              <w:ind w:left="110" w:hanging="110"/>
              <w:rPr>
                <w:szCs w:val="20"/>
              </w:rPr>
            </w:pPr>
            <w:r w:rsidRPr="000853E6">
              <w:rPr>
                <w:szCs w:val="20"/>
              </w:rPr>
              <w:t xml:space="preserve">TP6: DM1 </w:t>
            </w:r>
            <w:r w:rsidRPr="000853E6">
              <w:rPr>
                <w:szCs w:val="20"/>
              </w:rPr>
              <w:sym w:font="Symbol" w:char="F0AE"/>
            </w:r>
            <w:r w:rsidRPr="000853E6">
              <w:rPr>
                <w:szCs w:val="20"/>
              </w:rPr>
              <w:t xml:space="preserve"> DM2: </w:t>
            </w:r>
            <w:r w:rsidR="002E4363" w:rsidRPr="000853E6">
              <w:rPr>
                <w:szCs w:val="20"/>
              </w:rPr>
              <w:t>D</w:t>
            </w:r>
            <w:r w:rsidR="00694EA4" w:rsidRPr="000853E6">
              <w:rPr>
                <w:szCs w:val="20"/>
              </w:rPr>
              <w:t xml:space="preserve">ata from </w:t>
            </w:r>
            <w:r w:rsidRPr="000853E6">
              <w:rPr>
                <w:szCs w:val="20"/>
              </w:rPr>
              <w:t>FLAURA</w:t>
            </w:r>
            <w:r w:rsidR="00E10BE0" w:rsidRPr="000853E6">
              <w:rPr>
                <w:szCs w:val="20"/>
              </w:rPr>
              <w:t xml:space="preserve"> </w:t>
            </w:r>
            <w:r w:rsidR="00694EA4" w:rsidRPr="000853E6">
              <w:rPr>
                <w:szCs w:val="20"/>
              </w:rPr>
              <w:t>was used to estimate progression from DM1to DM2</w:t>
            </w:r>
            <w:r w:rsidR="00E10BE0" w:rsidRPr="000853E6">
              <w:rPr>
                <w:szCs w:val="20"/>
              </w:rPr>
              <w:t xml:space="preserve">. </w:t>
            </w:r>
            <w:r w:rsidR="00694EA4" w:rsidRPr="000853E6">
              <w:rPr>
                <w:szCs w:val="20"/>
              </w:rPr>
              <w:t>However</w:t>
            </w:r>
            <w:r w:rsidR="002E4363" w:rsidRPr="000853E6">
              <w:rPr>
                <w:szCs w:val="20"/>
              </w:rPr>
              <w:t>,</w:t>
            </w:r>
            <w:r w:rsidR="00694EA4" w:rsidRPr="000853E6">
              <w:rPr>
                <w:szCs w:val="20"/>
              </w:rPr>
              <w:t xml:space="preserve"> </w:t>
            </w:r>
            <w:r w:rsidR="00E10BE0" w:rsidRPr="000853E6">
              <w:rPr>
                <w:szCs w:val="20"/>
              </w:rPr>
              <w:t xml:space="preserve">as </w:t>
            </w:r>
            <w:r w:rsidR="002E4363" w:rsidRPr="000853E6">
              <w:rPr>
                <w:szCs w:val="20"/>
              </w:rPr>
              <w:t xml:space="preserve">SoC in </w:t>
            </w:r>
            <w:r w:rsidR="00694EA4" w:rsidRPr="000853E6">
              <w:rPr>
                <w:szCs w:val="20"/>
              </w:rPr>
              <w:t xml:space="preserve">FLAURA </w:t>
            </w:r>
            <w:r w:rsidR="002E4363" w:rsidRPr="000853E6">
              <w:rPr>
                <w:szCs w:val="20"/>
              </w:rPr>
              <w:t xml:space="preserve">consisted of </w:t>
            </w:r>
            <w:r w:rsidRPr="000853E6">
              <w:rPr>
                <w:szCs w:val="20"/>
              </w:rPr>
              <w:t>first generation TKIs</w:t>
            </w:r>
            <w:r w:rsidR="00694EA4" w:rsidRPr="000853E6">
              <w:rPr>
                <w:szCs w:val="20"/>
              </w:rPr>
              <w:t xml:space="preserve"> (gefitinib or erlotinib)</w:t>
            </w:r>
            <w:r w:rsidR="00156462" w:rsidRPr="000853E6">
              <w:rPr>
                <w:szCs w:val="20"/>
              </w:rPr>
              <w:t>,</w:t>
            </w:r>
            <w:r w:rsidRPr="000853E6">
              <w:rPr>
                <w:szCs w:val="20"/>
              </w:rPr>
              <w:t xml:space="preserve"> </w:t>
            </w:r>
            <w:r w:rsidR="00E10BE0" w:rsidRPr="000853E6">
              <w:rPr>
                <w:szCs w:val="20"/>
              </w:rPr>
              <w:t>this differ</w:t>
            </w:r>
            <w:r w:rsidR="002E4363" w:rsidRPr="000853E6">
              <w:rPr>
                <w:szCs w:val="20"/>
              </w:rPr>
              <w:t>ed</w:t>
            </w:r>
            <w:r w:rsidR="00E10BE0" w:rsidRPr="000853E6">
              <w:rPr>
                <w:szCs w:val="20"/>
              </w:rPr>
              <w:t xml:space="preserve"> to treatment assigned to</w:t>
            </w:r>
            <w:r w:rsidRPr="000853E6">
              <w:rPr>
                <w:szCs w:val="20"/>
              </w:rPr>
              <w:t xml:space="preserve"> patients in </w:t>
            </w:r>
            <w:r w:rsidR="002E4363" w:rsidRPr="000853E6">
              <w:rPr>
                <w:szCs w:val="20"/>
              </w:rPr>
              <w:t xml:space="preserve">DM1 in </w:t>
            </w:r>
            <w:r w:rsidRPr="000853E6">
              <w:rPr>
                <w:szCs w:val="20"/>
              </w:rPr>
              <w:t>the osimertinib arm where only chemotherapy was administered</w:t>
            </w:r>
            <w:r w:rsidR="00694EA4" w:rsidRPr="000853E6">
              <w:rPr>
                <w:szCs w:val="20"/>
              </w:rPr>
              <w:t>.</w:t>
            </w:r>
            <w:r w:rsidR="002E4363" w:rsidRPr="000853E6">
              <w:rPr>
                <w:szCs w:val="20"/>
              </w:rPr>
              <w:t xml:space="preserve"> The submission cited </w:t>
            </w:r>
            <w:r w:rsidR="00874325" w:rsidRPr="000853E6">
              <w:rPr>
                <w:szCs w:val="20"/>
              </w:rPr>
              <w:t>r</w:t>
            </w:r>
            <w:r w:rsidR="002E4363" w:rsidRPr="000853E6">
              <w:rPr>
                <w:szCs w:val="20"/>
              </w:rPr>
              <w:t>esult</w:t>
            </w:r>
            <w:r w:rsidR="00CA0584" w:rsidRPr="000853E6">
              <w:rPr>
                <w:szCs w:val="20"/>
              </w:rPr>
              <w:t>s</w:t>
            </w:r>
            <w:r w:rsidR="002E4363" w:rsidRPr="000853E6">
              <w:rPr>
                <w:szCs w:val="20"/>
              </w:rPr>
              <w:t xml:space="preserve"> of a </w:t>
            </w:r>
            <w:r w:rsidR="00E10BE0" w:rsidRPr="000853E6">
              <w:rPr>
                <w:szCs w:val="20"/>
              </w:rPr>
              <w:t xml:space="preserve">NMA </w:t>
            </w:r>
            <w:r w:rsidR="002E4363" w:rsidRPr="000853E6">
              <w:rPr>
                <w:szCs w:val="20"/>
              </w:rPr>
              <w:t xml:space="preserve">of </w:t>
            </w:r>
            <w:r w:rsidR="00E10BE0" w:rsidRPr="000853E6">
              <w:rPr>
                <w:szCs w:val="20"/>
              </w:rPr>
              <w:t xml:space="preserve">13 trials </w:t>
            </w:r>
            <w:r w:rsidR="00874325" w:rsidRPr="000853E6">
              <w:rPr>
                <w:szCs w:val="20"/>
              </w:rPr>
              <w:t>(</w:t>
            </w:r>
            <w:r w:rsidR="00694EA4" w:rsidRPr="000853E6">
              <w:rPr>
                <w:szCs w:val="20"/>
              </w:rPr>
              <w:t>Holle</w:t>
            </w:r>
            <w:r w:rsidR="00E10BE0" w:rsidRPr="000853E6">
              <w:rPr>
                <w:szCs w:val="20"/>
              </w:rPr>
              <w:t>man</w:t>
            </w:r>
            <w:r w:rsidR="00694EA4" w:rsidRPr="000853E6">
              <w:rPr>
                <w:szCs w:val="20"/>
              </w:rPr>
              <w:t xml:space="preserve"> et al 2019</w:t>
            </w:r>
            <w:r w:rsidR="00874325" w:rsidRPr="000853E6">
              <w:rPr>
                <w:szCs w:val="20"/>
              </w:rPr>
              <w:t xml:space="preserve">) that reported </w:t>
            </w:r>
            <w:r w:rsidR="00694EA4" w:rsidRPr="000853E6">
              <w:rPr>
                <w:szCs w:val="20"/>
              </w:rPr>
              <w:t xml:space="preserve">a HR </w:t>
            </w:r>
            <w:r w:rsidR="00E10BE0" w:rsidRPr="000853E6">
              <w:rPr>
                <w:szCs w:val="20"/>
              </w:rPr>
              <w:t xml:space="preserve">on PFS </w:t>
            </w:r>
            <w:r w:rsidR="002E4363" w:rsidRPr="000853E6">
              <w:rPr>
                <w:szCs w:val="20"/>
              </w:rPr>
              <w:t>for gefitinib versus chemotherapy of 0.43 (95% Cr: 0.37, 0.49)</w:t>
            </w:r>
            <w:r w:rsidR="00E10BE0" w:rsidRPr="000853E6">
              <w:rPr>
                <w:szCs w:val="20"/>
              </w:rPr>
              <w:t>,</w:t>
            </w:r>
            <w:r w:rsidR="002E4363" w:rsidRPr="000853E6">
              <w:rPr>
                <w:szCs w:val="20"/>
              </w:rPr>
              <w:t xml:space="preserve"> an adjustment of </w:t>
            </w:r>
            <w:r w:rsidR="00E10BE0" w:rsidRPr="000853E6">
              <w:rPr>
                <w:szCs w:val="20"/>
              </w:rPr>
              <w:t xml:space="preserve">0.43 </w:t>
            </w:r>
            <w:r w:rsidR="00FA5BDE" w:rsidRPr="000853E6">
              <w:rPr>
                <w:szCs w:val="20"/>
              </w:rPr>
              <w:t xml:space="preserve">for gefitinib versus chemotherapy </w:t>
            </w:r>
            <w:r w:rsidRPr="000853E6">
              <w:rPr>
                <w:szCs w:val="20"/>
              </w:rPr>
              <w:t xml:space="preserve">was applied </w:t>
            </w:r>
            <w:r w:rsidR="00BA7A00" w:rsidRPr="000853E6">
              <w:rPr>
                <w:szCs w:val="20"/>
              </w:rPr>
              <w:t>(applying 1/0.43</w:t>
            </w:r>
            <w:r w:rsidR="002E4363" w:rsidRPr="000853E6">
              <w:rPr>
                <w:szCs w:val="20"/>
              </w:rPr>
              <w:t xml:space="preserve"> </w:t>
            </w:r>
            <w:r w:rsidR="00E10BE0" w:rsidRPr="000853E6">
              <w:rPr>
                <w:szCs w:val="20"/>
              </w:rPr>
              <w:t xml:space="preserve">to </w:t>
            </w:r>
            <w:r w:rsidR="002E4363" w:rsidRPr="000853E6">
              <w:rPr>
                <w:szCs w:val="20"/>
              </w:rPr>
              <w:t xml:space="preserve">FLAURA SoC data in </w:t>
            </w:r>
            <w:r w:rsidRPr="000853E6">
              <w:rPr>
                <w:szCs w:val="20"/>
              </w:rPr>
              <w:t xml:space="preserve">DM1 </w:t>
            </w:r>
            <w:r w:rsidR="002E4363" w:rsidRPr="000853E6">
              <w:rPr>
                <w:szCs w:val="20"/>
              </w:rPr>
              <w:t xml:space="preserve">of the </w:t>
            </w:r>
            <w:r w:rsidRPr="000853E6">
              <w:rPr>
                <w:szCs w:val="20"/>
              </w:rPr>
              <w:t>osimertinib arm</w:t>
            </w:r>
            <w:r w:rsidR="00BA7A00" w:rsidRPr="000853E6">
              <w:rPr>
                <w:szCs w:val="20"/>
              </w:rPr>
              <w:t>)</w:t>
            </w:r>
            <w:r w:rsidR="002E4363" w:rsidRPr="000853E6">
              <w:rPr>
                <w:szCs w:val="20"/>
              </w:rPr>
              <w:t xml:space="preserve"> to approximate progression on chemotherapy.</w:t>
            </w:r>
            <w:r w:rsidR="00874325" w:rsidRPr="000853E6">
              <w:rPr>
                <w:szCs w:val="20"/>
              </w:rPr>
              <w:t xml:space="preserve"> T </w:t>
            </w:r>
          </w:p>
        </w:tc>
      </w:tr>
      <w:tr w:rsidR="00A24019" w:rsidRPr="00E2771E" w14:paraId="147FF861" w14:textId="77777777" w:rsidTr="004A540F">
        <w:tc>
          <w:tcPr>
            <w:tcW w:w="690" w:type="pct"/>
            <w:vMerge/>
            <w:tcBorders>
              <w:right w:val="single" w:sz="4" w:space="0" w:color="auto"/>
            </w:tcBorders>
            <w:shd w:val="clear" w:color="auto" w:fill="auto"/>
            <w:vAlign w:val="center"/>
          </w:tcPr>
          <w:p w14:paraId="7F918955" w14:textId="77777777" w:rsidR="00A24019" w:rsidRPr="00A24019" w:rsidRDefault="00A24019" w:rsidP="002E27BA">
            <w:pPr>
              <w:pStyle w:val="TableText0"/>
              <w:keepNext w:val="0"/>
              <w:rPr>
                <w:szCs w:val="20"/>
                <w:highlight w:val="yellow"/>
              </w:rPr>
            </w:pPr>
          </w:p>
        </w:tc>
        <w:tc>
          <w:tcPr>
            <w:tcW w:w="4310" w:type="pct"/>
            <w:tcBorders>
              <w:top w:val="nil"/>
              <w:left w:val="single" w:sz="4" w:space="0" w:color="auto"/>
              <w:bottom w:val="single" w:sz="4" w:space="0" w:color="auto"/>
              <w:right w:val="single" w:sz="4" w:space="0" w:color="auto"/>
            </w:tcBorders>
            <w:shd w:val="clear" w:color="auto" w:fill="auto"/>
            <w:vAlign w:val="center"/>
          </w:tcPr>
          <w:p w14:paraId="0D4E6B88" w14:textId="0DAD5AB0" w:rsidR="00A24019" w:rsidRPr="00A24019" w:rsidRDefault="00A24019" w:rsidP="000853E6">
            <w:pPr>
              <w:pStyle w:val="TableText0"/>
              <w:keepNext w:val="0"/>
              <w:numPr>
                <w:ilvl w:val="0"/>
                <w:numId w:val="8"/>
              </w:numPr>
              <w:ind w:left="110" w:hanging="110"/>
              <w:rPr>
                <w:szCs w:val="20"/>
              </w:rPr>
            </w:pPr>
            <w:r w:rsidRPr="00A24019">
              <w:rPr>
                <w:szCs w:val="20"/>
              </w:rPr>
              <w:t xml:space="preserve">TP8: DM2 </w:t>
            </w:r>
            <w:r w:rsidRPr="00A24019">
              <w:rPr>
                <w:szCs w:val="20"/>
              </w:rPr>
              <w:sym w:font="Symbol" w:char="F0AE"/>
            </w:r>
            <w:r w:rsidRPr="00A24019">
              <w:rPr>
                <w:szCs w:val="20"/>
              </w:rPr>
              <w:t xml:space="preserve"> Death: </w:t>
            </w:r>
            <w:bookmarkStart w:id="44" w:name="_Hlk144680883"/>
            <w:r w:rsidR="001B56B3">
              <w:rPr>
                <w:szCs w:val="20"/>
              </w:rPr>
              <w:t>Due to the adjustment for TP6, time to death from onset of metastatic disease based on FLAURA (sum of time in DM1 and DM2) is shorten</w:t>
            </w:r>
            <w:r w:rsidR="00545228">
              <w:rPr>
                <w:szCs w:val="20"/>
              </w:rPr>
              <w:t>ed</w:t>
            </w:r>
            <w:r w:rsidR="001B56B3">
              <w:rPr>
                <w:szCs w:val="20"/>
              </w:rPr>
              <w:t xml:space="preserve"> in the osimertinib arm. </w:t>
            </w:r>
            <w:r w:rsidR="001B56B3" w:rsidRPr="00A24019">
              <w:rPr>
                <w:szCs w:val="20"/>
              </w:rPr>
              <w:t xml:space="preserve">The </w:t>
            </w:r>
            <w:r w:rsidR="001B56B3">
              <w:rPr>
                <w:szCs w:val="20"/>
              </w:rPr>
              <w:t xml:space="preserve">submission stated given that the </w:t>
            </w:r>
            <w:r w:rsidR="001B56B3" w:rsidRPr="00A24019">
              <w:rPr>
                <w:szCs w:val="20"/>
              </w:rPr>
              <w:t xml:space="preserve">literature </w:t>
            </w:r>
            <w:r w:rsidR="001B56B3">
              <w:rPr>
                <w:szCs w:val="20"/>
              </w:rPr>
              <w:t xml:space="preserve">suggests no difference for OS for treatment with </w:t>
            </w:r>
            <w:r w:rsidR="001B56B3" w:rsidRPr="00A24019">
              <w:rPr>
                <w:szCs w:val="20"/>
              </w:rPr>
              <w:t>TKI</w:t>
            </w:r>
            <w:r w:rsidR="001B56B3">
              <w:rPr>
                <w:szCs w:val="20"/>
              </w:rPr>
              <w:t xml:space="preserve"> and</w:t>
            </w:r>
            <w:r w:rsidR="001B56B3" w:rsidRPr="00A24019">
              <w:rPr>
                <w:szCs w:val="20"/>
              </w:rPr>
              <w:t xml:space="preserve"> chemotherapy</w:t>
            </w:r>
            <w:r w:rsidR="001B56B3">
              <w:rPr>
                <w:szCs w:val="20"/>
              </w:rPr>
              <w:t xml:space="preserve"> in advanced NSCLC, it is appropriate to apply a</w:t>
            </w:r>
            <w:r w:rsidR="009D15F2">
              <w:rPr>
                <w:szCs w:val="20"/>
              </w:rPr>
              <w:t>n additional adjustment</w:t>
            </w:r>
            <w:r w:rsidR="001B56B3">
              <w:rPr>
                <w:szCs w:val="20"/>
              </w:rPr>
              <w:t xml:space="preserve"> </w:t>
            </w:r>
            <w:r w:rsidR="009D15F2">
              <w:rPr>
                <w:szCs w:val="20"/>
              </w:rPr>
              <w:t>(</w:t>
            </w:r>
            <w:r w:rsidRPr="00A24019">
              <w:rPr>
                <w:szCs w:val="20"/>
              </w:rPr>
              <w:t>HR of 2</w:t>
            </w:r>
            <w:r w:rsidR="00D62721">
              <w:rPr>
                <w:szCs w:val="20"/>
              </w:rPr>
              <w:t xml:space="preserve"> </w:t>
            </w:r>
            <w:r w:rsidR="00CA0584">
              <w:rPr>
                <w:szCs w:val="20"/>
              </w:rPr>
              <w:t xml:space="preserve">for </w:t>
            </w:r>
            <w:r w:rsidR="00D62721">
              <w:rPr>
                <w:szCs w:val="20"/>
              </w:rPr>
              <w:t>gefitinib versus chemotherapy</w:t>
            </w:r>
            <w:r w:rsidR="00BA7A00">
              <w:rPr>
                <w:szCs w:val="20"/>
              </w:rPr>
              <w:t>; applied as the inverse 0.5</w:t>
            </w:r>
            <w:r w:rsidR="009D15F2">
              <w:rPr>
                <w:szCs w:val="20"/>
              </w:rPr>
              <w:t>)</w:t>
            </w:r>
            <w:r w:rsidRPr="00A24019">
              <w:rPr>
                <w:szCs w:val="20"/>
              </w:rPr>
              <w:t xml:space="preserve"> to the TP8 parametric curve in the osimertinib arm of the model to ensure that time to death has not been unnecessarily shortened.</w:t>
            </w:r>
            <w:r w:rsidR="004A540F">
              <w:rPr>
                <w:szCs w:val="20"/>
              </w:rPr>
              <w:t xml:space="preserve"> </w:t>
            </w:r>
            <w:bookmarkStart w:id="45" w:name="_Hlk144680816"/>
            <w:bookmarkEnd w:id="44"/>
            <w:r w:rsidR="004A540F" w:rsidRPr="000853E6">
              <w:rPr>
                <w:szCs w:val="20"/>
              </w:rPr>
              <w:t>The model was not very sensitive to this adjustment,</w:t>
            </w:r>
            <w:r w:rsidR="004A540F" w:rsidRPr="00DC5DC3">
              <w:rPr>
                <w:i/>
                <w:iCs/>
                <w:szCs w:val="20"/>
              </w:rPr>
              <w:t xml:space="preserve"> </w:t>
            </w:r>
            <w:r w:rsidR="004A540F" w:rsidRPr="00BA3F8A">
              <w:rPr>
                <w:iCs/>
                <w:szCs w:val="20"/>
              </w:rPr>
              <w:t>removing the adjustment</w:t>
            </w:r>
            <w:r w:rsidR="006117EF" w:rsidRPr="00BA3F8A">
              <w:rPr>
                <w:iCs/>
                <w:szCs w:val="20"/>
              </w:rPr>
              <w:t xml:space="preserve">s for DM1 to DM2 and DM2 to Death </w:t>
            </w:r>
            <w:r w:rsidR="00920C9A" w:rsidRPr="00BA3F8A">
              <w:rPr>
                <w:iCs/>
                <w:szCs w:val="20"/>
              </w:rPr>
              <w:t xml:space="preserve">increased </w:t>
            </w:r>
            <w:r w:rsidR="004A540F" w:rsidRPr="00BA3F8A">
              <w:rPr>
                <w:iCs/>
                <w:szCs w:val="20"/>
              </w:rPr>
              <w:t xml:space="preserve">the ICER to </w:t>
            </w:r>
            <w:r w:rsidR="00E927A0" w:rsidRPr="00E927A0">
              <w:rPr>
                <w:iCs/>
                <w:color w:val="000000"/>
                <w:spacing w:val="122"/>
                <w:szCs w:val="20"/>
                <w:shd w:val="solid" w:color="000000" w:fill="000000"/>
                <w:fitText w:val="208" w:id="-1032092668"/>
                <w14:textFill>
                  <w14:solidFill>
                    <w14:srgbClr w14:val="000000">
                      <w14:alpha w14:val="100000"/>
                    </w14:srgbClr>
                  </w14:solidFill>
                </w14:textFill>
              </w:rPr>
              <w:t>|</w:t>
            </w:r>
            <w:r w:rsidR="00E927A0" w:rsidRPr="00E927A0">
              <w:rPr>
                <w:iCs/>
                <w:color w:val="000000"/>
                <w:spacing w:val="1"/>
                <w:szCs w:val="20"/>
                <w:shd w:val="solid" w:color="000000" w:fill="000000"/>
                <w:fitText w:val="208" w:id="-1032092668"/>
                <w14:textFill>
                  <w14:solidFill>
                    <w14:srgbClr w14:val="000000">
                      <w14:alpha w14:val="100000"/>
                    </w14:srgbClr>
                  </w14:solidFill>
                </w14:textFill>
              </w:rPr>
              <w:t>|</w:t>
            </w:r>
            <w:r w:rsidR="00373DF1" w:rsidRPr="00373DF1">
              <w:rPr>
                <w:iCs/>
                <w:szCs w:val="20"/>
                <w:vertAlign w:val="superscript"/>
              </w:rPr>
              <w:t>1</w:t>
            </w:r>
            <w:r w:rsidR="004A540F" w:rsidRPr="00BA3F8A">
              <w:rPr>
                <w:iCs/>
                <w:szCs w:val="20"/>
              </w:rPr>
              <w:t xml:space="preserve">/QALY gained from a base case of </w:t>
            </w:r>
            <w:r w:rsidR="00E927A0" w:rsidRPr="00E927A0">
              <w:rPr>
                <w:iCs/>
                <w:color w:val="000000"/>
                <w:spacing w:val="47"/>
                <w:szCs w:val="20"/>
                <w:shd w:val="solid" w:color="000000" w:fill="000000"/>
                <w:fitText w:val="222" w:id="-1032092667"/>
                <w14:textFill>
                  <w14:solidFill>
                    <w14:srgbClr w14:val="000000">
                      <w14:alpha w14:val="100000"/>
                    </w14:srgbClr>
                  </w14:solidFill>
                </w14:textFill>
              </w:rPr>
              <w:t>||</w:t>
            </w:r>
            <w:r w:rsidR="00E927A0" w:rsidRPr="00E927A0">
              <w:rPr>
                <w:iCs/>
                <w:color w:val="000000"/>
                <w:spacing w:val="1"/>
                <w:szCs w:val="20"/>
                <w:shd w:val="solid" w:color="000000" w:fill="000000"/>
                <w:fitText w:val="222" w:id="-1032092667"/>
                <w14:textFill>
                  <w14:solidFill>
                    <w14:srgbClr w14:val="000000">
                      <w14:alpha w14:val="100000"/>
                    </w14:srgbClr>
                  </w14:solidFill>
                </w14:textFill>
              </w:rPr>
              <w:t>|</w:t>
            </w:r>
            <w:r w:rsidR="00373DF1" w:rsidRPr="00373DF1">
              <w:rPr>
                <w:iCs/>
                <w:szCs w:val="20"/>
                <w:vertAlign w:val="superscript"/>
              </w:rPr>
              <w:t>1</w:t>
            </w:r>
            <w:r w:rsidR="004A540F" w:rsidRPr="00BA3F8A">
              <w:rPr>
                <w:iCs/>
                <w:szCs w:val="20"/>
              </w:rPr>
              <w:t>.</w:t>
            </w:r>
            <w:bookmarkEnd w:id="45"/>
          </w:p>
        </w:tc>
      </w:tr>
      <w:tr w:rsidR="00AC273F" w:rsidRPr="00E2771E" w14:paraId="0BC5FD61" w14:textId="77777777" w:rsidTr="004A540F">
        <w:tc>
          <w:tcPr>
            <w:tcW w:w="690" w:type="pct"/>
            <w:shd w:val="clear" w:color="auto" w:fill="auto"/>
            <w:vAlign w:val="center"/>
          </w:tcPr>
          <w:p w14:paraId="3EE19BE5" w14:textId="7EE5FF57" w:rsidR="00AC273F" w:rsidRPr="00E2771E" w:rsidRDefault="00AC273F" w:rsidP="002E27BA">
            <w:pPr>
              <w:pStyle w:val="TableText0"/>
              <w:keepNext w:val="0"/>
            </w:pPr>
            <w:r>
              <w:t>Extrapolation method</w:t>
            </w:r>
          </w:p>
        </w:tc>
        <w:tc>
          <w:tcPr>
            <w:tcW w:w="4310" w:type="pct"/>
            <w:tcBorders>
              <w:top w:val="single" w:sz="4" w:space="0" w:color="auto"/>
            </w:tcBorders>
            <w:shd w:val="clear" w:color="auto" w:fill="auto"/>
            <w:vAlign w:val="center"/>
          </w:tcPr>
          <w:p w14:paraId="7026638D" w14:textId="6FC27346" w:rsidR="003C32FC" w:rsidRPr="00E2771E" w:rsidRDefault="00DC5DC3" w:rsidP="002E27BA">
            <w:pPr>
              <w:pStyle w:val="TableText0"/>
              <w:keepNext w:val="0"/>
            </w:pPr>
            <w:r>
              <w:t xml:space="preserve">Proportional hazard was tested and in base case independent parametric survival models were fitted to both treatment arms. Model selection was made on statistical </w:t>
            </w:r>
            <w:r w:rsidR="00AC273F">
              <w:t>fit</w:t>
            </w:r>
            <w:r>
              <w:t xml:space="preserve"> (AIC/BIC)</w:t>
            </w:r>
            <w:r w:rsidR="00AC273F">
              <w:t>,</w:t>
            </w:r>
            <w:r>
              <w:t xml:space="preserve"> visual inspection and clinical plausibility. In the base case, the g</w:t>
            </w:r>
            <w:r w:rsidR="00AC273F">
              <w:t xml:space="preserve">eneralised gamma </w:t>
            </w:r>
            <w:r>
              <w:t xml:space="preserve">model was </w:t>
            </w:r>
            <w:r w:rsidR="00AC273F">
              <w:t>selected for TP1 (DF to LRR) and TP2 (DF to DM1), lognormal for TP4 (LRR to DM1), Weibull for TP6 (DM1 to DM2) and exp</w:t>
            </w:r>
            <w:r w:rsidR="009E7751">
              <w:t>onential for TP8 (DM2 to Death).</w:t>
            </w:r>
            <w:r>
              <w:t xml:space="preserve"> </w:t>
            </w:r>
            <w:r w:rsidR="00AC273F" w:rsidRPr="000853E6">
              <w:t>55% and 47% of QALYs (and 15% and 28%</w:t>
            </w:r>
            <w:r w:rsidR="00725BD4" w:rsidRPr="000853E6">
              <w:t xml:space="preserve"> </w:t>
            </w:r>
            <w:r w:rsidR="00AC273F" w:rsidRPr="000853E6">
              <w:t>of costs) in the osimertinib and placebo arms, respectively</w:t>
            </w:r>
            <w:r w:rsidRPr="000853E6">
              <w:t xml:space="preserve"> were accrued</w:t>
            </w:r>
            <w:r w:rsidR="00AC273F" w:rsidRPr="000853E6">
              <w:t xml:space="preserve"> in the extrapolated period.</w:t>
            </w:r>
            <w:r w:rsidR="00770A70" w:rsidRPr="000853E6">
              <w:t xml:space="preserve"> In the model, KM data were used</w:t>
            </w:r>
            <w:r w:rsidR="00770A70">
              <w:rPr>
                <w:i/>
                <w:iCs/>
              </w:rPr>
              <w:t xml:space="preserve"> </w:t>
            </w:r>
            <w:r w:rsidR="003C32FC" w:rsidRPr="002E27C1">
              <w:t>until</w:t>
            </w:r>
            <w:r w:rsidR="00770A70">
              <w:t xml:space="preserve"> </w:t>
            </w:r>
            <w:r w:rsidR="003C32FC" w:rsidRPr="002E27C1">
              <w:t>15% of patients remained at risk</w:t>
            </w:r>
            <w:r w:rsidR="00770A70">
              <w:t>, beyond this point, extrapolated data were used.</w:t>
            </w:r>
          </w:p>
        </w:tc>
      </w:tr>
      <w:tr w:rsidR="00AC273F" w:rsidRPr="00E2771E" w14:paraId="07C0A709" w14:textId="77777777" w:rsidTr="004A540F">
        <w:tc>
          <w:tcPr>
            <w:tcW w:w="690" w:type="pct"/>
            <w:shd w:val="clear" w:color="auto" w:fill="auto"/>
            <w:vAlign w:val="center"/>
          </w:tcPr>
          <w:p w14:paraId="33B632EB" w14:textId="4B6D1EE3" w:rsidR="00AC273F" w:rsidRPr="001F4081" w:rsidRDefault="00AC273F" w:rsidP="002E27BA">
            <w:pPr>
              <w:pStyle w:val="TableText0"/>
              <w:keepNext w:val="0"/>
            </w:pPr>
            <w:r>
              <w:t>Health related quality of life</w:t>
            </w:r>
          </w:p>
        </w:tc>
        <w:tc>
          <w:tcPr>
            <w:tcW w:w="4310" w:type="pct"/>
            <w:shd w:val="clear" w:color="auto" w:fill="auto"/>
          </w:tcPr>
          <w:p w14:paraId="279E3669" w14:textId="5E5334AB" w:rsidR="00AC273F" w:rsidRDefault="00AC273F" w:rsidP="000853E6">
            <w:pPr>
              <w:pStyle w:val="TableText0"/>
              <w:keepNext w:val="0"/>
              <w:numPr>
                <w:ilvl w:val="0"/>
                <w:numId w:val="8"/>
              </w:numPr>
              <w:ind w:left="110" w:hanging="110"/>
            </w:pPr>
            <w:r>
              <w:t xml:space="preserve">DF 0.825 </w:t>
            </w:r>
            <w:r w:rsidR="002E27BA">
              <w:t xml:space="preserve">based on ADAURA </w:t>
            </w:r>
            <w:r>
              <w:t xml:space="preserve">(SF-36 </w:t>
            </w:r>
            <w:r w:rsidR="002E27BA">
              <w:t xml:space="preserve">responses </w:t>
            </w:r>
            <w:r>
              <w:t>mapped to EQ-5D-3L)</w:t>
            </w:r>
          </w:p>
          <w:p w14:paraId="7B9A1D94" w14:textId="78933DD9" w:rsidR="00AC273F" w:rsidRDefault="00AC273F" w:rsidP="000853E6">
            <w:pPr>
              <w:pStyle w:val="TableText0"/>
              <w:keepNext w:val="0"/>
              <w:numPr>
                <w:ilvl w:val="0"/>
                <w:numId w:val="8"/>
              </w:numPr>
              <w:ind w:left="110" w:hanging="110"/>
            </w:pPr>
            <w:r>
              <w:t>DM1</w:t>
            </w:r>
            <w:r w:rsidR="00DC5DC3">
              <w:t>:</w:t>
            </w:r>
            <w:r>
              <w:t xml:space="preserve"> 0.794</w:t>
            </w:r>
            <w:r w:rsidR="002E27BA">
              <w:t xml:space="preserve"> based on the FLAURA trial</w:t>
            </w:r>
          </w:p>
          <w:p w14:paraId="040AC268" w14:textId="608A35C3" w:rsidR="00AC273F" w:rsidRDefault="002E27BA" w:rsidP="000853E6">
            <w:pPr>
              <w:pStyle w:val="TableText0"/>
              <w:keepNext w:val="0"/>
              <w:numPr>
                <w:ilvl w:val="0"/>
                <w:numId w:val="8"/>
              </w:numPr>
              <w:ind w:left="110" w:hanging="110"/>
            </w:pPr>
            <w:r>
              <w:t xml:space="preserve">DM2: 0.64 from </w:t>
            </w:r>
            <w:r w:rsidR="00AC273F">
              <w:t>Labbe et al 2017</w:t>
            </w:r>
            <w:r>
              <w:t xml:space="preserve"> (EQ-5D-3L utilities in 475 Canadian </w:t>
            </w:r>
            <w:r w:rsidRPr="00921CDF">
              <w:rPr>
                <w:i/>
                <w:sz w:val="18"/>
                <w:szCs w:val="18"/>
              </w:rPr>
              <w:t>EGFR</w:t>
            </w:r>
            <w:r w:rsidRPr="009D5480">
              <w:rPr>
                <w:sz w:val="18"/>
                <w:szCs w:val="18"/>
              </w:rPr>
              <w:t>m NSCLC Canadian patients who experienced disease progression</w:t>
            </w:r>
            <w:r w:rsidRPr="009D5480">
              <w:rPr>
                <w:i/>
                <w:iCs/>
                <w:sz w:val="18"/>
                <w:szCs w:val="18"/>
              </w:rPr>
              <w:t>)</w:t>
            </w:r>
          </w:p>
          <w:p w14:paraId="6FCC32AA" w14:textId="4C85BADF" w:rsidR="00AC273F" w:rsidRPr="00E2771E" w:rsidRDefault="002E27BA" w:rsidP="000853E6">
            <w:pPr>
              <w:pStyle w:val="TableText0"/>
              <w:keepNext w:val="0"/>
              <w:numPr>
                <w:ilvl w:val="0"/>
                <w:numId w:val="8"/>
              </w:numPr>
              <w:ind w:left="110" w:hanging="110"/>
            </w:pPr>
            <w:r>
              <w:t>LRR: 0.8095, an a</w:t>
            </w:r>
            <w:r w:rsidR="00AC273F">
              <w:t>ssumption</w:t>
            </w:r>
            <w:r>
              <w:t xml:space="preserve"> </w:t>
            </w:r>
            <w:r w:rsidR="00AC273F">
              <w:t>(</w:t>
            </w:r>
            <w:r>
              <w:t xml:space="preserve">being </w:t>
            </w:r>
            <w:r w:rsidR="00AC273F">
              <w:t>mid-way between DF and DM1)</w:t>
            </w:r>
          </w:p>
        </w:tc>
      </w:tr>
      <w:tr w:rsidR="00AC273F" w:rsidRPr="00E2771E" w14:paraId="6093DA19" w14:textId="77777777" w:rsidTr="004A540F">
        <w:tc>
          <w:tcPr>
            <w:tcW w:w="690" w:type="pct"/>
            <w:vAlign w:val="center"/>
          </w:tcPr>
          <w:p w14:paraId="63E46A80" w14:textId="59930925" w:rsidR="00AC273F" w:rsidRPr="00E2771E" w:rsidRDefault="00AC273F" w:rsidP="002E27BA">
            <w:pPr>
              <w:pStyle w:val="TableText0"/>
              <w:keepNext w:val="0"/>
            </w:pPr>
            <w:r>
              <w:t>Cure assumptions – DF health state</w:t>
            </w:r>
          </w:p>
        </w:tc>
        <w:tc>
          <w:tcPr>
            <w:tcW w:w="4310" w:type="pct"/>
            <w:vAlign w:val="center"/>
          </w:tcPr>
          <w:p w14:paraId="45261A77" w14:textId="6B50208D" w:rsidR="00AC273F" w:rsidRDefault="002E27BA" w:rsidP="002E27BA">
            <w:pPr>
              <w:pStyle w:val="TableText0"/>
              <w:keepNext w:val="0"/>
            </w:pPr>
            <w:r>
              <w:t xml:space="preserve">From Year 4 increasing </w:t>
            </w:r>
            <w:r w:rsidR="00AC273F">
              <w:t>linearly</w:t>
            </w:r>
            <w:r>
              <w:t xml:space="preserve"> (from 0%)</w:t>
            </w:r>
            <w:r w:rsidR="00AC273F">
              <w:t xml:space="preserve"> </w:t>
            </w:r>
            <w:r w:rsidR="00AC273F" w:rsidRPr="0058641B">
              <w:t xml:space="preserve">to a maximum </w:t>
            </w:r>
            <w:r>
              <w:t>cure rate of</w:t>
            </w:r>
            <w:r w:rsidR="00AC273F">
              <w:t xml:space="preserve"> </w:t>
            </w:r>
            <w:r w:rsidR="00AC273F" w:rsidRPr="0058641B">
              <w:t>9</w:t>
            </w:r>
            <w:r w:rsidR="00AC273F">
              <w:t>2</w:t>
            </w:r>
            <w:r w:rsidR="00AC273F" w:rsidRPr="0058641B">
              <w:t xml:space="preserve">% </w:t>
            </w:r>
            <w:r>
              <w:t>by</w:t>
            </w:r>
            <w:r w:rsidR="00AC273F" w:rsidRPr="0058641B">
              <w:t xml:space="preserve"> Year 5</w:t>
            </w:r>
            <w:r w:rsidR="00303E18">
              <w:t xml:space="preserve"> (i.e., transition to cure period = 1 year).</w:t>
            </w:r>
          </w:p>
          <w:p w14:paraId="4CD69EB8" w14:textId="0461ACAA" w:rsidR="005D77B5" w:rsidRPr="000853E6" w:rsidRDefault="00AC273F" w:rsidP="002E27BA">
            <w:pPr>
              <w:pStyle w:val="TableText0"/>
              <w:keepNext w:val="0"/>
            </w:pPr>
            <w:r w:rsidRPr="000853E6">
              <w:t>Same assumptions for both arms of the model.</w:t>
            </w:r>
          </w:p>
        </w:tc>
      </w:tr>
      <w:tr w:rsidR="00AC273F" w:rsidRPr="00E2771E" w14:paraId="29279345" w14:textId="77777777" w:rsidTr="00303E18">
        <w:tc>
          <w:tcPr>
            <w:tcW w:w="690" w:type="pct"/>
            <w:vAlign w:val="center"/>
          </w:tcPr>
          <w:p w14:paraId="4D3A198C" w14:textId="662B60B4" w:rsidR="00AC273F" w:rsidRDefault="00AC273F" w:rsidP="002E27BA">
            <w:pPr>
              <w:pStyle w:val="TableText0"/>
              <w:keepNext w:val="0"/>
            </w:pPr>
            <w:r>
              <w:t>Cure assumptions – LRR health state</w:t>
            </w:r>
          </w:p>
        </w:tc>
        <w:tc>
          <w:tcPr>
            <w:tcW w:w="4310" w:type="pct"/>
            <w:vAlign w:val="center"/>
          </w:tcPr>
          <w:p w14:paraId="2929B94D" w14:textId="7BFDA181" w:rsidR="00AC273F" w:rsidRPr="000853E6" w:rsidRDefault="00AC273F" w:rsidP="00303E18">
            <w:pPr>
              <w:pStyle w:val="TableText0"/>
              <w:keepNext w:val="0"/>
            </w:pPr>
            <w:r w:rsidRPr="000853E6">
              <w:t>25% at 5 years after entering the health state</w:t>
            </w:r>
            <w:r w:rsidR="00303E18" w:rsidRPr="000853E6">
              <w:t>. Note no transition to cure period was assumed.</w:t>
            </w:r>
          </w:p>
          <w:p w14:paraId="48F2E427" w14:textId="40B685A1" w:rsidR="00AC273F" w:rsidRDefault="00AC273F" w:rsidP="00303E18">
            <w:pPr>
              <w:pStyle w:val="TableText0"/>
              <w:keepNext w:val="0"/>
            </w:pPr>
            <w:r w:rsidRPr="000853E6">
              <w:t>Same assumptions for both arms of the model.</w:t>
            </w:r>
          </w:p>
        </w:tc>
      </w:tr>
    </w:tbl>
    <w:p w14:paraId="7F9A11DE" w14:textId="77777777" w:rsidR="00AC273F" w:rsidRDefault="00AC273F" w:rsidP="00566D26">
      <w:pPr>
        <w:pStyle w:val="TableFigureFooter"/>
        <w:spacing w:after="0"/>
      </w:pPr>
      <w:bookmarkStart w:id="46" w:name="_Ref81773889"/>
      <w:r>
        <w:t xml:space="preserve">Source: Table 3.1-1; Table 3.2-8, pp.88, 120 </w:t>
      </w:r>
      <w:r w:rsidRPr="00D13A3E">
        <w:t xml:space="preserve">of the </w:t>
      </w:r>
      <w:r>
        <w:t>submission.</w:t>
      </w:r>
    </w:p>
    <w:p w14:paraId="14E80825" w14:textId="4342095D" w:rsidR="00576E8A" w:rsidRDefault="002806B8" w:rsidP="002806B8">
      <w:pPr>
        <w:pStyle w:val="TableText0"/>
        <w:jc w:val="both"/>
      </w:pPr>
      <w:r>
        <w:t xml:space="preserve">AIC/BIC= </w:t>
      </w:r>
      <w:r w:rsidRPr="005C78CB">
        <w:t>Akaike</w:t>
      </w:r>
      <w:r>
        <w:t>/Baysian</w:t>
      </w:r>
      <w:r w:rsidRPr="005C78CB">
        <w:t xml:space="preserve"> information criterion</w:t>
      </w:r>
      <w:r>
        <w:t>,</w:t>
      </w:r>
      <w:r w:rsidRPr="000445F7">
        <w:t xml:space="preserve"> </w:t>
      </w:r>
      <w:r w:rsidR="00920C9A">
        <w:t xml:space="preserve">Cr=credible interval, </w:t>
      </w:r>
      <w:r w:rsidR="00AC273F" w:rsidRPr="000445F7">
        <w:t>DF</w:t>
      </w:r>
      <w:r w:rsidR="00AC273F">
        <w:t xml:space="preserve"> </w:t>
      </w:r>
      <w:r w:rsidR="00AC273F" w:rsidRPr="000445F7">
        <w:t>=</w:t>
      </w:r>
      <w:r w:rsidR="00AC273F">
        <w:t xml:space="preserve"> disease-free</w:t>
      </w:r>
      <w:r w:rsidR="00AC273F" w:rsidRPr="000445F7">
        <w:t>; DM1 = first-line treatment for distant metastatic NSCLC; DM2 = second-line treatment for distant metastatic</w:t>
      </w:r>
      <w:r>
        <w:t xml:space="preserve">, </w:t>
      </w:r>
      <w:r w:rsidRPr="00921CDF">
        <w:rPr>
          <w:i/>
        </w:rPr>
        <w:t>EGFR</w:t>
      </w:r>
      <w:r>
        <w:t xml:space="preserve">m= </w:t>
      </w:r>
      <w:r w:rsidRPr="00A459CA">
        <w:t>epidermal growth factor receptor</w:t>
      </w:r>
      <w:r>
        <w:t xml:space="preserve"> mutation, EQ-5D-xL= </w:t>
      </w:r>
      <w:r w:rsidRPr="00A459CA">
        <w:t>EuroQoL 5 Dimensions</w:t>
      </w:r>
      <w:r>
        <w:t xml:space="preserve"> (number) of levels, ICER=incremental cost effectiveness ratio, KM=Kaplan Meier, </w:t>
      </w:r>
      <w:r w:rsidR="00AC273F" w:rsidRPr="000445F7">
        <w:t xml:space="preserve">NSCLC; LRR = loco/regional recurrence; </w:t>
      </w:r>
      <w:r>
        <w:t xml:space="preserve">Lys=life years, </w:t>
      </w:r>
      <w:r w:rsidR="00AC273F" w:rsidRPr="000445F7">
        <w:t>NSCLC=non=small cell lung carcinoma</w:t>
      </w:r>
      <w:r w:rsidR="00AC273F">
        <w:t xml:space="preserve">; </w:t>
      </w:r>
      <w:r w:rsidR="00AC273F" w:rsidRPr="00B621C6">
        <w:rPr>
          <w:i/>
          <w:iCs/>
        </w:rPr>
        <w:t>PD-L1</w:t>
      </w:r>
      <w:r w:rsidR="00AC273F">
        <w:rPr>
          <w:i/>
          <w:iCs/>
        </w:rPr>
        <w:t>=</w:t>
      </w:r>
      <w:r w:rsidR="00AC273F" w:rsidRPr="00B621C6">
        <w:rPr>
          <w:iCs/>
        </w:rPr>
        <w:t>programmed cell death Ligand-1</w:t>
      </w:r>
      <w:r w:rsidR="00AC273F">
        <w:rPr>
          <w:iCs/>
        </w:rPr>
        <w:t>;</w:t>
      </w:r>
      <w:r>
        <w:rPr>
          <w:iCs/>
        </w:rPr>
        <w:t xml:space="preserve"> QALY=quality adjusted life years,</w:t>
      </w:r>
      <w:r w:rsidR="00AC273F" w:rsidRPr="00B621C6">
        <w:rPr>
          <w:i/>
          <w:iCs/>
        </w:rPr>
        <w:t xml:space="preserve"> </w:t>
      </w:r>
      <w:r>
        <w:t>SF-36 = Short Form-36 health survey</w:t>
      </w:r>
      <w:r>
        <w:rPr>
          <w:i/>
          <w:iCs/>
        </w:rPr>
        <w:t xml:space="preserve">, </w:t>
      </w:r>
      <w:r w:rsidRPr="00DB025C">
        <w:t>SoC=Standard of care,</w:t>
      </w:r>
      <w:r w:rsidR="00DA20B0" w:rsidRPr="00DB025C">
        <w:t xml:space="preserve"> </w:t>
      </w:r>
      <w:r w:rsidRPr="00DB025C">
        <w:t>TKI=tyrosine kinase</w:t>
      </w:r>
      <w:r>
        <w:rPr>
          <w:i/>
          <w:iCs/>
        </w:rPr>
        <w:t xml:space="preserve"> </w:t>
      </w:r>
      <w:r w:rsidRPr="00DB025C">
        <w:t>inhibitor</w:t>
      </w:r>
      <w:r w:rsidR="00DB025C">
        <w:t>;</w:t>
      </w:r>
      <w:r w:rsidRPr="00DB025C">
        <w:t xml:space="preserve"> </w:t>
      </w:r>
      <w:r w:rsidR="00AC273F">
        <w:t>TP = transition probability.</w:t>
      </w:r>
    </w:p>
    <w:p w14:paraId="54AC7BBE" w14:textId="0A707D81" w:rsidR="00AC273F" w:rsidRDefault="00576E8A" w:rsidP="00576E8A">
      <w:pPr>
        <w:pStyle w:val="TableFigureFooter"/>
        <w:ind w:left="165" w:hanging="165"/>
      </w:pPr>
      <w:r w:rsidRPr="00576E8A">
        <w:rPr>
          <w:vertAlign w:val="superscript"/>
        </w:rPr>
        <w:t>a</w:t>
      </w:r>
      <w:r w:rsidRPr="00576E8A">
        <w:tab/>
      </w:r>
      <w:r w:rsidR="000B1EA4">
        <w:t>constrained so it cannot fall below background mortality.</w:t>
      </w:r>
    </w:p>
    <w:p w14:paraId="188B7AA2" w14:textId="7B641364" w:rsidR="000366E9" w:rsidRPr="000366E9" w:rsidRDefault="000366E9" w:rsidP="00576E8A">
      <w:pPr>
        <w:pStyle w:val="TableFigureFooter"/>
        <w:ind w:left="165" w:hanging="165"/>
        <w:rPr>
          <w:i/>
          <w:iCs/>
        </w:rPr>
      </w:pPr>
      <w:r w:rsidRPr="000366E9">
        <w:rPr>
          <w:i/>
          <w:iCs/>
        </w:rPr>
        <w:t>The redacted values correspond to the following ranges</w:t>
      </w:r>
    </w:p>
    <w:p w14:paraId="3C8F268A" w14:textId="71EEB55C" w:rsidR="000366E9" w:rsidRPr="000366E9" w:rsidRDefault="000366E9" w:rsidP="00576E8A">
      <w:pPr>
        <w:pStyle w:val="TableFigureFooter"/>
        <w:ind w:left="165" w:hanging="165"/>
        <w:rPr>
          <w:i/>
          <w:iCs/>
        </w:rPr>
      </w:pPr>
      <w:r w:rsidRPr="000366E9">
        <w:rPr>
          <w:i/>
          <w:iCs/>
          <w:vertAlign w:val="superscript"/>
        </w:rPr>
        <w:t>1</w:t>
      </w:r>
      <w:r w:rsidRPr="000366E9">
        <w:rPr>
          <w:i/>
          <w:iCs/>
        </w:rPr>
        <w:t xml:space="preserve"> 35,000 to &lt; $45,000</w:t>
      </w:r>
    </w:p>
    <w:bookmarkEnd w:id="46"/>
    <w:p w14:paraId="7551EAD6" w14:textId="1E157D50" w:rsidR="00215F9E" w:rsidRPr="00215F9E" w:rsidRDefault="00215F9E" w:rsidP="00215F9E">
      <w:pPr>
        <w:pStyle w:val="3-BodyText"/>
        <w:rPr>
          <w:i/>
          <w:iCs/>
        </w:rPr>
      </w:pPr>
      <w:r w:rsidRPr="00BA766A">
        <w:t xml:space="preserve">The model was a </w:t>
      </w:r>
      <w:r>
        <w:t>semi-Markov cohort model with 5</w:t>
      </w:r>
      <w:r w:rsidRPr="00BA766A">
        <w:t xml:space="preserve"> heal</w:t>
      </w:r>
      <w:r>
        <w:t>th states: disease-free (DF), local/regional recurrence (LRR), DM1 (1</w:t>
      </w:r>
      <w:r w:rsidRPr="00215F9E">
        <w:rPr>
          <w:vertAlign w:val="superscript"/>
        </w:rPr>
        <w:t>st</w:t>
      </w:r>
      <w:r>
        <w:t xml:space="preserve"> line treatment for metastatic NSCLC), DM2 (2</w:t>
      </w:r>
      <w:r w:rsidRPr="00215F9E">
        <w:rPr>
          <w:vertAlign w:val="superscript"/>
        </w:rPr>
        <w:t>nd</w:t>
      </w:r>
      <w:r>
        <w:t xml:space="preserve"> line treatment for distant metastatic NSCLC), and Death. </w:t>
      </w:r>
      <w:r w:rsidR="00293D92">
        <w:t>T</w:t>
      </w:r>
      <w:r w:rsidR="00BC5BEC">
        <w:t xml:space="preserve">ransition probabilities were allowed to vary based on the time since entering each health state. </w:t>
      </w:r>
      <w:r w:rsidRPr="005A22AF">
        <w:t xml:space="preserve">The submission argued </w:t>
      </w:r>
      <w:r w:rsidR="00BC5BEC">
        <w:t xml:space="preserve">this </w:t>
      </w:r>
      <w:r w:rsidRPr="005A22AF">
        <w:t xml:space="preserve">was preferred over a partitioned survival approach given </w:t>
      </w:r>
      <w:r w:rsidRPr="005A22AF">
        <w:rPr>
          <w:iCs/>
        </w:rPr>
        <w:t xml:space="preserve">OS data from ADAURA </w:t>
      </w:r>
      <w:r w:rsidR="00793A6A">
        <w:rPr>
          <w:iCs/>
        </w:rPr>
        <w:t xml:space="preserve">was immature </w:t>
      </w:r>
      <w:r w:rsidR="00BC5BEC">
        <w:rPr>
          <w:iCs/>
        </w:rPr>
        <w:t xml:space="preserve">and </w:t>
      </w:r>
      <w:r w:rsidR="00793A6A">
        <w:rPr>
          <w:iCs/>
        </w:rPr>
        <w:t xml:space="preserve">any </w:t>
      </w:r>
      <w:r w:rsidRPr="005A22AF">
        <w:rPr>
          <w:iCs/>
        </w:rPr>
        <w:t>extrapolat</w:t>
      </w:r>
      <w:r w:rsidR="00793A6A">
        <w:rPr>
          <w:iCs/>
        </w:rPr>
        <w:t>ed OS would be uncertain</w:t>
      </w:r>
      <w:r w:rsidRPr="005A22AF">
        <w:rPr>
          <w:iCs/>
        </w:rPr>
        <w:t xml:space="preserve">. </w:t>
      </w:r>
      <w:r w:rsidR="00793A6A" w:rsidRPr="000853E6">
        <w:rPr>
          <w:iCs/>
        </w:rPr>
        <w:t>Overall, the model structure was reasonable.</w:t>
      </w:r>
      <w:r w:rsidR="00793A6A">
        <w:rPr>
          <w:iCs/>
        </w:rPr>
        <w:t xml:space="preserve"> </w:t>
      </w:r>
    </w:p>
    <w:p w14:paraId="6BDC69D0" w14:textId="2706DD8E" w:rsidR="008414B0" w:rsidRPr="000853E6" w:rsidRDefault="00B866C6" w:rsidP="00071753">
      <w:pPr>
        <w:pStyle w:val="3-BodyText"/>
      </w:pPr>
      <w:r w:rsidRPr="00094EA0">
        <w:t>The economic model assumed a 25-year time horizon</w:t>
      </w:r>
      <w:r w:rsidR="00793A6A">
        <w:t xml:space="preserve"> in the base case.</w:t>
      </w:r>
      <w:r w:rsidRPr="00094EA0">
        <w:t xml:space="preserve"> </w:t>
      </w:r>
      <w:r w:rsidRPr="000853E6">
        <w:t>The PBAC had previously considered atezolizumab for a similar place in therapy as osimertinib for resected Stage II-IIIA NSCLC</w:t>
      </w:r>
      <w:r w:rsidR="00793A6A" w:rsidRPr="000853E6">
        <w:t xml:space="preserve">. </w:t>
      </w:r>
      <w:r w:rsidRPr="000853E6">
        <w:t>In this population, the PBAC had recommended 15 years to be the more appropriate time horizon (paragraph 6.37, atezolizumab PSD, July 2022).</w:t>
      </w:r>
      <w:r w:rsidR="00BE6D62" w:rsidRPr="000853E6">
        <w:t xml:space="preserve"> A shorter model horizon would be more conservative, this is important given </w:t>
      </w:r>
      <w:bookmarkStart w:id="47" w:name="_Hlk143675253"/>
      <w:r w:rsidRPr="000853E6">
        <w:t xml:space="preserve">83% of the incremental QALYs </w:t>
      </w:r>
      <w:r w:rsidR="00BE6D62" w:rsidRPr="000853E6">
        <w:t xml:space="preserve">for </w:t>
      </w:r>
      <w:r w:rsidR="00793A6A" w:rsidRPr="000853E6">
        <w:t xml:space="preserve">osimertinib </w:t>
      </w:r>
      <w:r w:rsidR="00BE6D62" w:rsidRPr="000853E6">
        <w:t xml:space="preserve">versus </w:t>
      </w:r>
      <w:r w:rsidR="00793A6A" w:rsidRPr="000853E6">
        <w:t xml:space="preserve">placebo </w:t>
      </w:r>
      <w:r w:rsidR="00BE6D62" w:rsidRPr="000853E6">
        <w:t xml:space="preserve">were </w:t>
      </w:r>
      <w:r w:rsidRPr="000853E6">
        <w:t>acc</w:t>
      </w:r>
      <w:r w:rsidR="00BE6D62" w:rsidRPr="000853E6">
        <w:t>rued</w:t>
      </w:r>
      <w:r w:rsidRPr="000853E6">
        <w:t xml:space="preserve"> during the extrapolat</w:t>
      </w:r>
      <w:r w:rsidR="00BE6D62" w:rsidRPr="000853E6">
        <w:t>ed</w:t>
      </w:r>
      <w:r w:rsidRPr="000853E6">
        <w:t xml:space="preserve"> period</w:t>
      </w:r>
      <w:r w:rsidR="00BE6D62" w:rsidRPr="000853E6">
        <w:t xml:space="preserve"> of the model</w:t>
      </w:r>
      <w:r w:rsidRPr="000853E6">
        <w:t>.</w:t>
      </w:r>
      <w:r w:rsidR="008414B0" w:rsidRPr="000853E6">
        <w:t xml:space="preserve"> </w:t>
      </w:r>
      <w:r w:rsidR="00071753" w:rsidRPr="000853E6">
        <w:fldChar w:fldCharType="begin" w:fldLock="1"/>
      </w:r>
      <w:r w:rsidR="00071753" w:rsidRPr="000853E6">
        <w:instrText xml:space="preserve"> REF _Ref143181203 \h  \* MERGEFORMAT </w:instrText>
      </w:r>
      <w:r w:rsidR="00071753" w:rsidRPr="000853E6">
        <w:fldChar w:fldCharType="separate"/>
      </w:r>
      <w:r w:rsidR="00071753" w:rsidRPr="000853E6">
        <w:t xml:space="preserve">Figure </w:t>
      </w:r>
      <w:r w:rsidR="00071753" w:rsidRPr="000853E6">
        <w:rPr>
          <w:noProof/>
        </w:rPr>
        <w:t>5</w:t>
      </w:r>
      <w:r w:rsidR="00071753" w:rsidRPr="000853E6">
        <w:fldChar w:fldCharType="end"/>
      </w:r>
      <w:r w:rsidR="00A02309" w:rsidRPr="000853E6">
        <w:t xml:space="preserve"> </w:t>
      </w:r>
      <w:r w:rsidR="00793A6A" w:rsidRPr="000853E6">
        <w:t xml:space="preserve">illustrates </w:t>
      </w:r>
      <w:r w:rsidR="00BE6D62" w:rsidRPr="000853E6">
        <w:t xml:space="preserve">the variation in </w:t>
      </w:r>
      <w:r w:rsidR="008414B0" w:rsidRPr="000853E6">
        <w:t xml:space="preserve">ICER </w:t>
      </w:r>
      <w:r w:rsidR="00793A6A" w:rsidRPr="000853E6">
        <w:t xml:space="preserve">by time horizon. </w:t>
      </w:r>
      <w:r w:rsidR="00BE6D62" w:rsidRPr="000853E6">
        <w:t>The model was very sensitive to the assumed time horizon, r</w:t>
      </w:r>
      <w:r w:rsidR="00793A6A" w:rsidRPr="000853E6">
        <w:t xml:space="preserve">educing the ICER from </w:t>
      </w:r>
      <w:r w:rsidR="00465BF6" w:rsidRPr="000853E6">
        <w:t>2</w:t>
      </w:r>
      <w:r w:rsidR="008414B0" w:rsidRPr="000853E6">
        <w:t xml:space="preserve">5 years in the base case to </w:t>
      </w:r>
      <w:r w:rsidR="00793A6A" w:rsidRPr="000853E6">
        <w:t>15 years w</w:t>
      </w:r>
      <w:r w:rsidR="00BE6D62" w:rsidRPr="000853E6">
        <w:t>ould</w:t>
      </w:r>
      <w:r w:rsidR="00793A6A" w:rsidRPr="000853E6">
        <w:t xml:space="preserve"> increase the ICER to $</w:t>
      </w:r>
      <w:r w:rsidR="00CD3943" w:rsidRPr="00CD3943">
        <w:t>45,000</w:t>
      </w:r>
      <w:r w:rsidR="007B595C">
        <w:t> </w:t>
      </w:r>
      <w:r w:rsidR="00CD3943" w:rsidRPr="00CD3943">
        <w:t>to</w:t>
      </w:r>
      <w:r w:rsidR="007B595C">
        <w:t> </w:t>
      </w:r>
      <w:r w:rsidR="00CD3943" w:rsidRPr="00CD3943">
        <w:t>&lt;</w:t>
      </w:r>
      <w:r w:rsidR="00566D26">
        <w:t> </w:t>
      </w:r>
      <w:r w:rsidR="00CD3943" w:rsidRPr="00CD3943">
        <w:t>$55,000</w:t>
      </w:r>
      <w:r w:rsidR="00793A6A" w:rsidRPr="000853E6">
        <w:t xml:space="preserve"> per QALY gained from a base case of $</w:t>
      </w:r>
      <w:r w:rsidR="00CD3943" w:rsidRPr="00CD3943">
        <w:t>35,000</w:t>
      </w:r>
      <w:r w:rsidR="007B595C">
        <w:t> </w:t>
      </w:r>
      <w:r w:rsidR="00CD3943" w:rsidRPr="00CD3943">
        <w:t>to</w:t>
      </w:r>
      <w:r w:rsidR="007B595C">
        <w:t> </w:t>
      </w:r>
      <w:r w:rsidR="00CD3943" w:rsidRPr="00CD3943">
        <w:t>&lt;</w:t>
      </w:r>
      <w:r w:rsidR="007B595C">
        <w:t> </w:t>
      </w:r>
      <w:r w:rsidR="00CD3943" w:rsidRPr="00CD3943">
        <w:t>$45,000</w:t>
      </w:r>
      <w:r w:rsidR="00793A6A" w:rsidRPr="000853E6">
        <w:t>.</w:t>
      </w:r>
      <w:r w:rsidR="00D33CD0">
        <w:t xml:space="preserve"> The pre-PBAC response noted the median follow-up for the atezolizumab trial was 29.5 months compared to 60 months for the osimertinib trial which supported a longer time horizon than 15</w:t>
      </w:r>
      <w:r w:rsidR="00BC74C6">
        <w:t xml:space="preserve"> </w:t>
      </w:r>
      <w:r w:rsidR="00D33CD0">
        <w:t xml:space="preserve">years. The pre-PBAC response stated that, despite this, to facilitate resolution, a revised base case incorporating a 15 year time horizon was proposed (see paragraph </w:t>
      </w:r>
      <w:r w:rsidR="00D33CD0">
        <w:fldChar w:fldCharType="begin" w:fldLock="1"/>
      </w:r>
      <w:r w:rsidR="00D33CD0">
        <w:instrText xml:space="preserve"> REF _Ref151455879 \r \h </w:instrText>
      </w:r>
      <w:r w:rsidR="00D33CD0">
        <w:fldChar w:fldCharType="separate"/>
      </w:r>
      <w:r w:rsidR="00D33CD0">
        <w:t>6.45</w:t>
      </w:r>
      <w:r w:rsidR="00D33CD0">
        <w:fldChar w:fldCharType="end"/>
      </w:r>
      <w:r w:rsidR="00D33CD0">
        <w:t xml:space="preserve">). </w:t>
      </w:r>
    </w:p>
    <w:p w14:paraId="0B25B7E6" w14:textId="5661823D" w:rsidR="009E52AE" w:rsidRDefault="009E52AE" w:rsidP="009E52AE">
      <w:pPr>
        <w:pStyle w:val="Caption"/>
      </w:pPr>
      <w:bookmarkStart w:id="48" w:name="_Ref143181203"/>
      <w:r>
        <w:t xml:space="preserve">Figure </w:t>
      </w:r>
      <w:r w:rsidR="001E77BF">
        <w:fldChar w:fldCharType="begin" w:fldLock="1"/>
      </w:r>
      <w:r w:rsidR="001E77BF">
        <w:instrText xml:space="preserve"> SEQ Figure \* ARABIC </w:instrText>
      </w:r>
      <w:r w:rsidR="001E77BF">
        <w:fldChar w:fldCharType="separate"/>
      </w:r>
      <w:r w:rsidR="00071753">
        <w:rPr>
          <w:noProof/>
        </w:rPr>
        <w:t>5</w:t>
      </w:r>
      <w:r w:rsidR="001E77BF">
        <w:rPr>
          <w:noProof/>
        </w:rPr>
        <w:fldChar w:fldCharType="end"/>
      </w:r>
      <w:bookmarkEnd w:id="48"/>
      <w:r>
        <w:t>: ICER changes over modelled time horizon (years)</w:t>
      </w:r>
    </w:p>
    <w:p w14:paraId="5B4D5F38" w14:textId="701D3266" w:rsidR="001E0803" w:rsidRDefault="00B1749F" w:rsidP="001E0803">
      <w:r>
        <w:rPr>
          <w:noProof/>
        </w:rPr>
        <w:drawing>
          <wp:inline distT="0" distB="0" distL="0" distR="0" wp14:anchorId="2B23567C" wp14:editId="315723FA">
            <wp:extent cx="5732145" cy="3147695"/>
            <wp:effectExtent l="0" t="0" r="190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5732145" cy="3147695"/>
                    </a:xfrm>
                    <a:prstGeom prst="rect">
                      <a:avLst/>
                    </a:prstGeom>
                  </pic:spPr>
                </pic:pic>
              </a:graphicData>
            </a:graphic>
          </wp:inline>
        </w:drawing>
      </w:r>
    </w:p>
    <w:p w14:paraId="1C7E3BC3" w14:textId="77777777" w:rsidR="009E52AE" w:rsidRPr="00DB025C" w:rsidRDefault="009E52AE" w:rsidP="009E52AE">
      <w:pPr>
        <w:contextualSpacing/>
        <w:jc w:val="left"/>
        <w:rPr>
          <w:rFonts w:ascii="Arial Narrow" w:hAnsi="Arial Narrow"/>
          <w:snapToGrid w:val="0"/>
          <w:sz w:val="18"/>
          <w:szCs w:val="22"/>
        </w:rPr>
      </w:pPr>
      <w:bookmarkStart w:id="49" w:name="_Hlk144593810"/>
      <w:r w:rsidRPr="00DB025C">
        <w:rPr>
          <w:rFonts w:ascii="Arial Narrow" w:hAnsi="Arial Narrow"/>
          <w:snapToGrid w:val="0"/>
          <w:sz w:val="18"/>
          <w:szCs w:val="22"/>
        </w:rPr>
        <w:t>Source: Compiled during the evaluation</w:t>
      </w:r>
    </w:p>
    <w:p w14:paraId="08BEEAEB" w14:textId="4D6E4E07" w:rsidR="008F14E1" w:rsidRDefault="009E52AE" w:rsidP="00215F9E">
      <w:pPr>
        <w:tabs>
          <w:tab w:val="left" w:pos="3119"/>
        </w:tabs>
        <w:contextualSpacing/>
        <w:jc w:val="left"/>
        <w:rPr>
          <w:rFonts w:ascii="Arial Narrow" w:hAnsi="Arial Narrow"/>
          <w:snapToGrid w:val="0"/>
          <w:sz w:val="18"/>
          <w:szCs w:val="22"/>
        </w:rPr>
      </w:pPr>
      <w:r w:rsidRPr="007A30C9">
        <w:rPr>
          <w:rFonts w:ascii="Arial Narrow" w:hAnsi="Arial Narrow"/>
          <w:snapToGrid w:val="0"/>
          <w:sz w:val="18"/>
          <w:szCs w:val="22"/>
        </w:rPr>
        <w:t>ICER=incremental cost-effectiveness ratio</w:t>
      </w:r>
      <w:r w:rsidR="00215F9E">
        <w:rPr>
          <w:rFonts w:ascii="Arial Narrow" w:hAnsi="Arial Narrow"/>
          <w:snapToGrid w:val="0"/>
          <w:sz w:val="18"/>
          <w:szCs w:val="22"/>
        </w:rPr>
        <w:t>.</w:t>
      </w:r>
    </w:p>
    <w:p w14:paraId="6E90E8B0" w14:textId="77777777" w:rsidR="00215F9E" w:rsidRPr="00215F9E" w:rsidRDefault="00215F9E" w:rsidP="00215F9E">
      <w:pPr>
        <w:tabs>
          <w:tab w:val="left" w:pos="3119"/>
        </w:tabs>
        <w:contextualSpacing/>
        <w:jc w:val="left"/>
        <w:rPr>
          <w:rFonts w:ascii="Arial Narrow" w:hAnsi="Arial Narrow"/>
          <w:snapToGrid w:val="0"/>
          <w:sz w:val="18"/>
          <w:szCs w:val="22"/>
        </w:rPr>
      </w:pPr>
    </w:p>
    <w:bookmarkEnd w:id="49"/>
    <w:p w14:paraId="22828A62" w14:textId="05E40F86" w:rsidR="006D747A" w:rsidRPr="000853E6" w:rsidRDefault="00C1018E" w:rsidP="006D747A">
      <w:pPr>
        <w:pStyle w:val="3-BodyText"/>
      </w:pPr>
      <w:r w:rsidRPr="005A22AF">
        <w:t xml:space="preserve">Transition probabilities in the DF health state were </w:t>
      </w:r>
      <w:r w:rsidR="00BE6D62">
        <w:t xml:space="preserve">based on </w:t>
      </w:r>
      <w:r w:rsidRPr="005A22AF">
        <w:t>ADAURA</w:t>
      </w:r>
      <w:r w:rsidR="00BE6D62">
        <w:t xml:space="preserve"> DFS data</w:t>
      </w:r>
      <w:r w:rsidR="00594D2B">
        <w:t xml:space="preserve">, </w:t>
      </w:r>
      <w:r w:rsidR="00793A6A">
        <w:t xml:space="preserve">separated by transitions to </w:t>
      </w:r>
      <w:r w:rsidR="00127466">
        <w:t>LRR (TP1) and DM1 (TP2)</w:t>
      </w:r>
      <w:r w:rsidR="00594D2B">
        <w:t xml:space="preserve"> and incorporating background mortality (TP3</w:t>
      </w:r>
      <w:r w:rsidR="00127466">
        <w:t>)</w:t>
      </w:r>
      <w:r w:rsidRPr="005A22AF">
        <w:t xml:space="preserve">. </w:t>
      </w:r>
      <w:r w:rsidR="00127466">
        <w:t xml:space="preserve">Due to </w:t>
      </w:r>
      <w:r w:rsidRPr="005A22AF">
        <w:t xml:space="preserve">limited post-recurrence follow-up data in ADAURA, transitions from the LRR health state </w:t>
      </w:r>
      <w:r w:rsidR="00127466">
        <w:t xml:space="preserve">(TP4) </w:t>
      </w:r>
      <w:r w:rsidRPr="005A22AF">
        <w:t>were based on</w:t>
      </w:r>
      <w:r w:rsidR="00594D2B">
        <w:t xml:space="preserve"> external data from</w:t>
      </w:r>
      <w:r w:rsidRPr="005A22AF">
        <w:t xml:space="preserve"> CancerLinQ </w:t>
      </w:r>
      <w:r w:rsidR="00127466">
        <w:t>(</w:t>
      </w:r>
      <w:r w:rsidRPr="005A22AF">
        <w:t>a US based cancer patient registry</w:t>
      </w:r>
      <w:r w:rsidR="00127466">
        <w:t>)</w:t>
      </w:r>
      <w:r w:rsidR="00594D2B">
        <w:t xml:space="preserve"> </w:t>
      </w:r>
      <w:r w:rsidR="00B26C18" w:rsidRPr="00293D92">
        <w:t>and background mortality</w:t>
      </w:r>
      <w:r w:rsidR="00FF45D3" w:rsidRPr="00293D92">
        <w:t xml:space="preserve"> (TP5)</w:t>
      </w:r>
      <w:r w:rsidR="00B26C18" w:rsidRPr="00293D92">
        <w:t xml:space="preserve">, </w:t>
      </w:r>
      <w:r w:rsidR="00594D2B" w:rsidRPr="00293D92">
        <w:t>an</w:t>
      </w:r>
      <w:r w:rsidR="00594D2B">
        <w:t>d t</w:t>
      </w:r>
      <w:r w:rsidRPr="005A22AF">
        <w:t>ransition probabilities from DM1</w:t>
      </w:r>
      <w:r w:rsidR="00127466">
        <w:t xml:space="preserve"> (TP6, TP7)</w:t>
      </w:r>
      <w:r w:rsidRPr="005A22AF">
        <w:t xml:space="preserve"> and DM2 </w:t>
      </w:r>
      <w:r w:rsidR="00127466">
        <w:t xml:space="preserve">(TP8) </w:t>
      </w:r>
      <w:r w:rsidRPr="005A22AF">
        <w:t>health states were sourced from the FLAURA trial (</w:t>
      </w:r>
      <w:r w:rsidR="00594D2B">
        <w:t xml:space="preserve">which is a randomised controlled trial </w:t>
      </w:r>
      <w:r w:rsidRPr="005A22AF">
        <w:t xml:space="preserve">comparing osimertinib to standard </w:t>
      </w:r>
      <w:r w:rsidRPr="00921CDF">
        <w:rPr>
          <w:i/>
        </w:rPr>
        <w:t>EGFR</w:t>
      </w:r>
      <w:r w:rsidRPr="005A22AF">
        <w:t xml:space="preserve">-TKIs (erlotinib or gefitinib) in </w:t>
      </w:r>
      <w:r w:rsidR="00BE6D62">
        <w:t xml:space="preserve">previously </w:t>
      </w:r>
      <w:r w:rsidRPr="005A22AF">
        <w:t xml:space="preserve">untreated advanced NSCLC </w:t>
      </w:r>
      <w:r w:rsidR="00BE6D62">
        <w:t xml:space="preserve">with a </w:t>
      </w:r>
      <w:r w:rsidRPr="00921CDF">
        <w:rPr>
          <w:i/>
        </w:rPr>
        <w:t>EGFR</w:t>
      </w:r>
      <w:r w:rsidRPr="005A22AF">
        <w:t xml:space="preserve"> pathogenic variant).</w:t>
      </w:r>
      <w:r w:rsidR="00594D2B">
        <w:t xml:space="preserve"> </w:t>
      </w:r>
      <w:r w:rsidR="00594D2B" w:rsidRPr="000853E6">
        <w:t xml:space="preserve">The </w:t>
      </w:r>
      <w:r w:rsidR="00BE6D62" w:rsidRPr="000853E6">
        <w:t xml:space="preserve">data sources </w:t>
      </w:r>
      <w:r w:rsidR="00594D2B" w:rsidRPr="000853E6">
        <w:t xml:space="preserve">were </w:t>
      </w:r>
      <w:r w:rsidR="00BE6D62" w:rsidRPr="000853E6">
        <w:t xml:space="preserve">generally </w:t>
      </w:r>
      <w:r w:rsidR="00594D2B" w:rsidRPr="000853E6">
        <w:t>reasonable</w:t>
      </w:r>
      <w:r w:rsidR="00EA2C24" w:rsidRPr="000853E6">
        <w:t xml:space="preserve">, however </w:t>
      </w:r>
      <w:r w:rsidR="00BE6D62" w:rsidRPr="000853E6">
        <w:t>as only DFS data</w:t>
      </w:r>
      <w:r w:rsidR="00EA2C24" w:rsidRPr="000853E6">
        <w:t xml:space="preserve"> </w:t>
      </w:r>
      <w:r w:rsidR="00E4680B" w:rsidRPr="000853E6">
        <w:t xml:space="preserve">from </w:t>
      </w:r>
      <w:r w:rsidR="00EA2C24" w:rsidRPr="000853E6">
        <w:t xml:space="preserve">ADAURA was </w:t>
      </w:r>
      <w:r w:rsidR="00BE6D62" w:rsidRPr="000853E6">
        <w:t xml:space="preserve">used, </w:t>
      </w:r>
      <w:r w:rsidR="00EA2C24" w:rsidRPr="000853E6">
        <w:t xml:space="preserve">a large proportion of the model </w:t>
      </w:r>
      <w:r w:rsidR="00BE6D62" w:rsidRPr="000853E6">
        <w:t xml:space="preserve">transitions were </w:t>
      </w:r>
      <w:r w:rsidR="00EA2C24" w:rsidRPr="000853E6">
        <w:t xml:space="preserve">informed by </w:t>
      </w:r>
      <w:r w:rsidR="00BE6D62" w:rsidRPr="000853E6">
        <w:t xml:space="preserve">data </w:t>
      </w:r>
      <w:r w:rsidR="00EA2C24" w:rsidRPr="000853E6">
        <w:t xml:space="preserve">external to ADAURA. </w:t>
      </w:r>
    </w:p>
    <w:p w14:paraId="3A902B32" w14:textId="33532626" w:rsidR="006D747A" w:rsidRPr="00EA2C24" w:rsidRDefault="003B7B55" w:rsidP="006D747A">
      <w:pPr>
        <w:pStyle w:val="3-BodyText"/>
        <w:rPr>
          <w:i/>
          <w:iCs/>
        </w:rPr>
      </w:pPr>
      <w:r>
        <w:t>T</w:t>
      </w:r>
      <w:r w:rsidR="00EA2C24">
        <w:t>o derive time dependent transition probabilities</w:t>
      </w:r>
      <w:r w:rsidR="00DD0957">
        <w:t xml:space="preserve"> for TP1, TP2, TP4, TP6 and TP8</w:t>
      </w:r>
      <w:r w:rsidR="00EA2C24">
        <w:t>, t</w:t>
      </w:r>
      <w:r>
        <w:t xml:space="preserve">he submission fitted six parametric curves (lognormal, loglogistic, exponential, generalised gamma, Gompertz and Weibull) </w:t>
      </w:r>
      <w:r w:rsidR="00EA2C24">
        <w:t xml:space="preserve">to each </w:t>
      </w:r>
      <w:r w:rsidR="00DD0957">
        <w:t xml:space="preserve">set </w:t>
      </w:r>
      <w:r w:rsidR="00071753">
        <w:t xml:space="preserve">of </w:t>
      </w:r>
      <w:r w:rsidR="00EA2C24">
        <w:t>KM curve</w:t>
      </w:r>
      <w:r w:rsidR="00DD0957">
        <w:t xml:space="preserve">s. In the base case, models were fitted independently for each treatment arm as some were found to violate the proportional hazards assumption. The best </w:t>
      </w:r>
      <w:r w:rsidR="00EA2C24">
        <w:t xml:space="preserve">fitting </w:t>
      </w:r>
      <w:r>
        <w:t xml:space="preserve">function </w:t>
      </w:r>
      <w:r w:rsidR="00DD0957">
        <w:t xml:space="preserve">was selected based on </w:t>
      </w:r>
      <w:r w:rsidR="00EA2C24">
        <w:t xml:space="preserve">statistical fit </w:t>
      </w:r>
      <w:r>
        <w:t>(</w:t>
      </w:r>
      <w:r w:rsidR="00DD0957">
        <w:t xml:space="preserve">both </w:t>
      </w:r>
      <w:r>
        <w:t>the Akaike (AIC) and Bayesian information criteri</w:t>
      </w:r>
      <w:r w:rsidR="00DD0957">
        <w:t>a</w:t>
      </w:r>
      <w:r>
        <w:t xml:space="preserve"> (BIC))</w:t>
      </w:r>
      <w:r w:rsidR="00EA2C24">
        <w:t>, visual</w:t>
      </w:r>
      <w:r w:rsidR="00447197">
        <w:t xml:space="preserve"> inspection </w:t>
      </w:r>
      <w:r>
        <w:t xml:space="preserve">and clinical plausibility. </w:t>
      </w:r>
      <w:r w:rsidR="00DD0957" w:rsidRPr="000853E6">
        <w:t>T</w:t>
      </w:r>
      <w:r w:rsidR="006D747A" w:rsidRPr="000853E6">
        <w:t>he parametric function</w:t>
      </w:r>
      <w:r w:rsidR="00EA2C24" w:rsidRPr="000853E6">
        <w:t>s</w:t>
      </w:r>
      <w:r w:rsidR="006D747A" w:rsidRPr="000853E6">
        <w:t xml:space="preserve"> chosen by the submission </w:t>
      </w:r>
      <w:r w:rsidR="00EA2C24" w:rsidRPr="000853E6">
        <w:t xml:space="preserve">did not </w:t>
      </w:r>
      <w:r w:rsidR="006D747A" w:rsidRPr="000853E6">
        <w:t xml:space="preserve">always </w:t>
      </w:r>
      <w:r w:rsidR="00EA2C24" w:rsidRPr="000853E6">
        <w:t xml:space="preserve">have the </w:t>
      </w:r>
      <w:r w:rsidR="006D747A" w:rsidRPr="000853E6">
        <w:t>best fit</w:t>
      </w:r>
      <w:r w:rsidR="00EA2C24" w:rsidRPr="000853E6">
        <w:t xml:space="preserve"> statistics</w:t>
      </w:r>
      <w:r w:rsidR="006D747A" w:rsidRPr="000853E6">
        <w:t xml:space="preserve"> (</w:t>
      </w:r>
      <w:r w:rsidR="00EA2C24" w:rsidRPr="000853E6">
        <w:t xml:space="preserve">e.g., </w:t>
      </w:r>
      <w:r w:rsidR="006D747A" w:rsidRPr="000853E6">
        <w:t>for TP1 the Log normal function fitting osimertinib data had a better fit on AIC and BIC versus the chosen</w:t>
      </w:r>
      <w:r w:rsidR="006D747A" w:rsidRPr="00447197">
        <w:rPr>
          <w:i/>
          <w:iCs/>
        </w:rPr>
        <w:t xml:space="preserve"> </w:t>
      </w:r>
      <w:r w:rsidR="006D747A" w:rsidRPr="000853E6">
        <w:t>generalised gamma function)</w:t>
      </w:r>
      <w:r w:rsidR="00EA2C24" w:rsidRPr="000853E6">
        <w:t xml:space="preserve">. However, the </w:t>
      </w:r>
      <w:r w:rsidR="006D747A" w:rsidRPr="000853E6">
        <w:t xml:space="preserve">ICER was </w:t>
      </w:r>
      <w:r w:rsidR="00447197" w:rsidRPr="000853E6">
        <w:t xml:space="preserve">generally </w:t>
      </w:r>
      <w:r w:rsidR="006D747A" w:rsidRPr="000853E6">
        <w:t xml:space="preserve">not sensitive to the </w:t>
      </w:r>
      <w:r w:rsidR="00E663B9" w:rsidRPr="000853E6">
        <w:t xml:space="preserve">selection of parametric </w:t>
      </w:r>
      <w:r w:rsidR="006D747A" w:rsidRPr="000853E6">
        <w:t>function for extrapolation.</w:t>
      </w:r>
      <w:r w:rsidR="006D747A" w:rsidRPr="00EA2C24">
        <w:rPr>
          <w:i/>
          <w:iCs/>
        </w:rPr>
        <w:t xml:space="preserve"> </w:t>
      </w:r>
    </w:p>
    <w:p w14:paraId="44EEB216" w14:textId="5F4B30AD" w:rsidR="001B614C" w:rsidRPr="005A22AF" w:rsidRDefault="001B614C" w:rsidP="001B614C">
      <w:pPr>
        <w:pStyle w:val="3-BodyText"/>
      </w:pPr>
      <w:r w:rsidRPr="005A22AF">
        <w:t>The following treatments were assigned</w:t>
      </w:r>
      <w:r w:rsidR="002B08E0">
        <w:t xml:space="preserve"> </w:t>
      </w:r>
      <w:r w:rsidR="00DD0957">
        <w:t xml:space="preserve">in the </w:t>
      </w:r>
      <w:r w:rsidR="002B08E0">
        <w:t>progressed</w:t>
      </w:r>
      <w:r w:rsidRPr="005A22AF">
        <w:t xml:space="preserve"> </w:t>
      </w:r>
      <w:r w:rsidR="00DD0957">
        <w:t>health states model base case</w:t>
      </w:r>
      <w:r w:rsidRPr="005A22AF">
        <w:t>:</w:t>
      </w:r>
    </w:p>
    <w:p w14:paraId="1432DE5F" w14:textId="3FBC999E" w:rsidR="001B614C" w:rsidRPr="005A22AF" w:rsidRDefault="001B614C" w:rsidP="000853E6">
      <w:pPr>
        <w:pStyle w:val="ListParagraph"/>
        <w:numPr>
          <w:ilvl w:val="0"/>
          <w:numId w:val="9"/>
        </w:numPr>
        <w:ind w:left="1134"/>
      </w:pPr>
      <w:r w:rsidRPr="005A22AF">
        <w:t>LRR health state: all patients assumed to receive chemoradiotherapy.</w:t>
      </w:r>
    </w:p>
    <w:p w14:paraId="7E8996F5" w14:textId="6FF66F9C" w:rsidR="001B614C" w:rsidRDefault="001B614C" w:rsidP="000853E6">
      <w:pPr>
        <w:pStyle w:val="ListParagraph"/>
        <w:numPr>
          <w:ilvl w:val="0"/>
          <w:numId w:val="9"/>
        </w:numPr>
        <w:ind w:left="1134"/>
      </w:pPr>
      <w:r>
        <w:t xml:space="preserve">DM1 health state: </w:t>
      </w:r>
      <w:r w:rsidRPr="00293D92">
        <w:t>osimertinib arm:</w:t>
      </w:r>
      <w:r>
        <w:t xml:space="preserve"> chemotherapy (pemetrexed + cisplatin); </w:t>
      </w:r>
      <w:r w:rsidRPr="00293D92">
        <w:t xml:space="preserve">placebo arm: </w:t>
      </w:r>
      <w:r>
        <w:t>100% receive osimertinib</w:t>
      </w:r>
      <w:r w:rsidR="00447197">
        <w:t>.</w:t>
      </w:r>
      <w:r w:rsidR="00EE598D">
        <w:t xml:space="preserve"> </w:t>
      </w:r>
    </w:p>
    <w:p w14:paraId="7F713AE6" w14:textId="77777777" w:rsidR="001B614C" w:rsidRDefault="001B614C" w:rsidP="000853E6">
      <w:pPr>
        <w:pStyle w:val="ListParagraph"/>
        <w:numPr>
          <w:ilvl w:val="0"/>
          <w:numId w:val="9"/>
        </w:numPr>
        <w:ind w:left="1134"/>
      </w:pPr>
      <w:r>
        <w:t>DM2 health state: all patients assumed to receive pemetrexed monotherapy.</w:t>
      </w:r>
    </w:p>
    <w:p w14:paraId="1FF39102" w14:textId="76705A3E" w:rsidR="00792ABD" w:rsidRPr="000853E6" w:rsidRDefault="00792ABD" w:rsidP="002B08E0">
      <w:pPr>
        <w:pStyle w:val="3-BodyText"/>
        <w:rPr>
          <w:rFonts w:ascii="Calibri" w:hAnsi="Calibri" w:cs="Calibri"/>
          <w:iCs/>
        </w:rPr>
      </w:pPr>
      <w:r w:rsidRPr="00A124ED">
        <w:rPr>
          <w:rFonts w:ascii="Calibri" w:hAnsi="Calibri" w:cs="Calibri"/>
        </w:rPr>
        <w:t xml:space="preserve">The submission presented a sensitivity analysis where 50% of LRR patients in the placebo arm used osimertinib </w:t>
      </w:r>
      <w:r w:rsidR="0070226D">
        <w:rPr>
          <w:rFonts w:ascii="Calibri" w:hAnsi="Calibri" w:cs="Calibri"/>
        </w:rPr>
        <w:t xml:space="preserve">and </w:t>
      </w:r>
      <w:r w:rsidR="00293D92">
        <w:rPr>
          <w:rFonts w:ascii="Calibri" w:hAnsi="Calibri" w:cs="Calibri"/>
        </w:rPr>
        <w:t>show</w:t>
      </w:r>
      <w:r w:rsidR="00D32E8F">
        <w:rPr>
          <w:rFonts w:ascii="Calibri" w:hAnsi="Calibri" w:cs="Calibri"/>
        </w:rPr>
        <w:t xml:space="preserve">ed </w:t>
      </w:r>
      <w:r w:rsidR="00293D92">
        <w:rPr>
          <w:rFonts w:ascii="Calibri" w:hAnsi="Calibri" w:cs="Calibri"/>
        </w:rPr>
        <w:t>minimal impact o</w:t>
      </w:r>
      <w:r w:rsidR="00D32E8F">
        <w:rPr>
          <w:rFonts w:ascii="Calibri" w:hAnsi="Calibri" w:cs="Calibri"/>
        </w:rPr>
        <w:t>f the assumption o</w:t>
      </w:r>
      <w:r w:rsidR="00293D92">
        <w:rPr>
          <w:rFonts w:ascii="Calibri" w:hAnsi="Calibri" w:cs="Calibri"/>
        </w:rPr>
        <w:t>n ICER ($</w:t>
      </w:r>
      <w:r w:rsidR="00CD3943" w:rsidRPr="00CD3943">
        <w:rPr>
          <w:rFonts w:ascii="Calibri" w:hAnsi="Calibri" w:cs="Calibri"/>
        </w:rPr>
        <w:t>35,000</w:t>
      </w:r>
      <w:r w:rsidR="007B595C">
        <w:rPr>
          <w:rFonts w:ascii="Calibri" w:hAnsi="Calibri" w:cs="Calibri"/>
        </w:rPr>
        <w:t> </w:t>
      </w:r>
      <w:r w:rsidR="00CD3943" w:rsidRPr="00CD3943">
        <w:rPr>
          <w:rFonts w:ascii="Calibri" w:hAnsi="Calibri" w:cs="Calibri"/>
        </w:rPr>
        <w:t>to</w:t>
      </w:r>
      <w:r w:rsidR="007B595C">
        <w:rPr>
          <w:rFonts w:ascii="Calibri" w:hAnsi="Calibri" w:cs="Calibri"/>
        </w:rPr>
        <w:t> </w:t>
      </w:r>
      <w:r w:rsidR="00CD3943" w:rsidRPr="00CD3943">
        <w:rPr>
          <w:rFonts w:ascii="Calibri" w:hAnsi="Calibri" w:cs="Calibri"/>
        </w:rPr>
        <w:t>&lt;</w:t>
      </w:r>
      <w:r w:rsidR="007B595C">
        <w:rPr>
          <w:rFonts w:ascii="Calibri" w:hAnsi="Calibri" w:cs="Calibri"/>
        </w:rPr>
        <w:t> </w:t>
      </w:r>
      <w:r w:rsidR="00CD3943" w:rsidRPr="00CD3943">
        <w:rPr>
          <w:rFonts w:ascii="Calibri" w:hAnsi="Calibri" w:cs="Calibri"/>
        </w:rPr>
        <w:t>$45,000</w:t>
      </w:r>
      <w:r w:rsidR="00CD3943">
        <w:rPr>
          <w:rFonts w:ascii="Calibri" w:hAnsi="Calibri" w:cs="Calibri"/>
        </w:rPr>
        <w:t xml:space="preserve"> </w:t>
      </w:r>
      <w:r w:rsidR="00293D92">
        <w:rPr>
          <w:rFonts w:ascii="Calibri" w:hAnsi="Calibri" w:cs="Calibri"/>
        </w:rPr>
        <w:t xml:space="preserve"> per QALY gained).</w:t>
      </w:r>
      <w:r w:rsidRPr="00A124ED">
        <w:rPr>
          <w:rFonts w:ascii="Calibri" w:hAnsi="Calibri" w:cs="Calibri"/>
        </w:rPr>
        <w:t xml:space="preserve"> </w:t>
      </w:r>
      <w:r w:rsidR="0070226D" w:rsidRPr="00A124ED">
        <w:rPr>
          <w:rFonts w:ascii="Calibri" w:hAnsi="Calibri" w:cs="Calibri"/>
        </w:rPr>
        <w:t xml:space="preserve">The submission noted that durvalumab and TKIs (erlotinib, gefitinib and osimertinib) are </w:t>
      </w:r>
      <w:r w:rsidR="0070226D">
        <w:rPr>
          <w:rFonts w:ascii="Calibri" w:hAnsi="Calibri" w:cs="Calibri"/>
        </w:rPr>
        <w:t xml:space="preserve">also PBS </w:t>
      </w:r>
      <w:r w:rsidR="0070226D" w:rsidRPr="00A124ED">
        <w:rPr>
          <w:rFonts w:ascii="Calibri" w:hAnsi="Calibri" w:cs="Calibri"/>
        </w:rPr>
        <w:t xml:space="preserve">listed for Stage III NSCLC, </w:t>
      </w:r>
      <w:r w:rsidR="0070226D">
        <w:rPr>
          <w:rFonts w:ascii="Calibri" w:hAnsi="Calibri" w:cs="Calibri"/>
        </w:rPr>
        <w:t xml:space="preserve">but </w:t>
      </w:r>
      <w:r w:rsidR="0070226D" w:rsidRPr="00A124ED">
        <w:rPr>
          <w:rFonts w:ascii="Calibri" w:hAnsi="Calibri" w:cs="Calibri"/>
        </w:rPr>
        <w:t>due to complexity and uncertainty with staging distribution</w:t>
      </w:r>
      <w:r w:rsidR="0070226D">
        <w:rPr>
          <w:rFonts w:ascii="Calibri" w:hAnsi="Calibri" w:cs="Calibri"/>
        </w:rPr>
        <w:t xml:space="preserve"> these were excluded as treatment options in LRR. </w:t>
      </w:r>
      <w:r w:rsidR="0070226D" w:rsidRPr="000853E6">
        <w:rPr>
          <w:rFonts w:ascii="Calibri" w:hAnsi="Calibri" w:cs="Calibri"/>
          <w:iCs/>
        </w:rPr>
        <w:t>Durvalumab can be accessed via PBS after platinum based chemoradiation as a sole treatment provided the condition has not progressed. Cost and benefits of added durvalumab in LRR was not explored in the submission, but as durvalumab can be used in both treatment arms, it would have minimal effect on the ICER.</w:t>
      </w:r>
      <w:r w:rsidR="00EE598D" w:rsidRPr="000853E6">
        <w:rPr>
          <w:rFonts w:ascii="Calibri" w:hAnsi="Calibri" w:cs="Calibri"/>
          <w:iCs/>
        </w:rPr>
        <w:t xml:space="preserve">  A sensitivity analysis was conducted during the evaluation assuming that 83.7% of patients in the placebo arm will receive osimertinib</w:t>
      </w:r>
      <w:r w:rsidR="00B35C28">
        <w:rPr>
          <w:rFonts w:ascii="Calibri" w:hAnsi="Calibri" w:cs="Calibri"/>
          <w:iCs/>
        </w:rPr>
        <w:t xml:space="preserve"> </w:t>
      </w:r>
      <w:r w:rsidR="00B35C28" w:rsidRPr="005E397B">
        <w:rPr>
          <w:rFonts w:ascii="Calibri" w:hAnsi="Calibri" w:cs="Calibri"/>
          <w:iCs/>
        </w:rPr>
        <w:t>in DM1 (rather than 100% in the base case)</w:t>
      </w:r>
      <w:r w:rsidR="00EE598D" w:rsidRPr="005E397B">
        <w:rPr>
          <w:rFonts w:ascii="Calibri" w:hAnsi="Calibri" w:cs="Calibri"/>
          <w:iCs/>
        </w:rPr>
        <w:t xml:space="preserve"> </w:t>
      </w:r>
      <w:r w:rsidR="00EE598D" w:rsidRPr="000853E6">
        <w:rPr>
          <w:rFonts w:ascii="Calibri" w:hAnsi="Calibri" w:cs="Calibri"/>
          <w:iCs/>
        </w:rPr>
        <w:t xml:space="preserve">(matching proportion that received a TKI on disease progression in ADAURA), the ICER was </w:t>
      </w:r>
      <w:r w:rsidR="006F30CB" w:rsidRPr="000853E6">
        <w:rPr>
          <w:rFonts w:ascii="Calibri" w:hAnsi="Calibri" w:cs="Calibri"/>
          <w:iCs/>
        </w:rPr>
        <w:t>$</w:t>
      </w:r>
      <w:r w:rsidR="00CD3943">
        <w:rPr>
          <w:rFonts w:ascii="Arial" w:hAnsi="Arial"/>
          <w:color w:val="333333"/>
          <w:sz w:val="21"/>
          <w:szCs w:val="21"/>
        </w:rPr>
        <w:t>35,000 to &lt; $4</w:t>
      </w:r>
      <w:r w:rsidR="00CD3943" w:rsidRPr="00462FBB">
        <w:rPr>
          <w:rFonts w:ascii="Arial" w:hAnsi="Arial"/>
          <w:color w:val="333333"/>
          <w:sz w:val="21"/>
          <w:szCs w:val="21"/>
        </w:rPr>
        <w:t>5,000</w:t>
      </w:r>
      <w:r w:rsidR="00CD3943">
        <w:rPr>
          <w:rFonts w:ascii="Arial" w:hAnsi="Arial"/>
          <w:color w:val="333333"/>
          <w:sz w:val="21"/>
          <w:szCs w:val="21"/>
        </w:rPr>
        <w:t xml:space="preserve"> </w:t>
      </w:r>
      <w:r w:rsidR="006F30CB" w:rsidRPr="000853E6">
        <w:rPr>
          <w:iCs/>
        </w:rPr>
        <w:t xml:space="preserve"> per QALY</w:t>
      </w:r>
      <w:r w:rsidR="00EE598D" w:rsidRPr="000853E6">
        <w:rPr>
          <w:rFonts w:ascii="Calibri" w:hAnsi="Calibri" w:cs="Calibri"/>
          <w:iCs/>
        </w:rPr>
        <w:t>.</w:t>
      </w:r>
    </w:p>
    <w:p w14:paraId="6D747469" w14:textId="56E20714" w:rsidR="002B08E0" w:rsidRPr="00DB025C" w:rsidRDefault="002B08E0" w:rsidP="008E2470">
      <w:pPr>
        <w:pStyle w:val="3-BodyText"/>
        <w:rPr>
          <w:rFonts w:ascii="Calibri" w:hAnsi="Calibri" w:cs="Calibri"/>
          <w:i/>
          <w:iCs/>
        </w:rPr>
      </w:pPr>
      <w:r w:rsidRPr="000853E6">
        <w:rPr>
          <w:rFonts w:ascii="Calibri" w:hAnsi="Calibri" w:cs="Calibri"/>
        </w:rPr>
        <w:t xml:space="preserve">No other targeted therapies were included in the model </w:t>
      </w:r>
      <w:r w:rsidR="0070226D" w:rsidRPr="000853E6">
        <w:rPr>
          <w:rFonts w:ascii="Calibri" w:hAnsi="Calibri" w:cs="Calibri"/>
        </w:rPr>
        <w:t>for treatment in DM1</w:t>
      </w:r>
      <w:r w:rsidRPr="000853E6">
        <w:rPr>
          <w:rFonts w:ascii="Calibri" w:hAnsi="Calibri" w:cs="Calibri"/>
        </w:rPr>
        <w:t xml:space="preserve">. </w:t>
      </w:r>
      <w:r w:rsidR="00DB025C" w:rsidRPr="005E397B">
        <w:rPr>
          <w:rFonts w:ascii="Calibri" w:hAnsi="Calibri" w:cs="Calibri"/>
        </w:rPr>
        <w:t>The evaluation considered</w:t>
      </w:r>
      <w:r w:rsidR="00DB025C">
        <w:rPr>
          <w:rFonts w:ascii="Calibri" w:hAnsi="Calibri" w:cs="Calibri"/>
        </w:rPr>
        <w:t xml:space="preserve"> t</w:t>
      </w:r>
      <w:r w:rsidRPr="000853E6">
        <w:rPr>
          <w:rFonts w:ascii="Calibri" w:hAnsi="Calibri" w:cs="Calibri"/>
        </w:rPr>
        <w:t>his was not appropriate and favoured osimertinib.</w:t>
      </w:r>
      <w:r w:rsidR="0070226D" w:rsidRPr="000853E6">
        <w:rPr>
          <w:rFonts w:ascii="Calibri" w:hAnsi="Calibri" w:cs="Calibri"/>
        </w:rPr>
        <w:t xml:space="preserve"> </w:t>
      </w:r>
      <w:r w:rsidR="00D32E8F" w:rsidRPr="000853E6">
        <w:rPr>
          <w:rFonts w:ascii="Calibri" w:hAnsi="Calibri" w:cs="Calibri"/>
        </w:rPr>
        <w:t>A</w:t>
      </w:r>
      <w:r w:rsidRPr="000853E6">
        <w:rPr>
          <w:rFonts w:ascii="Calibri" w:hAnsi="Calibri" w:cs="Calibri"/>
        </w:rPr>
        <w:t>tezolizumab</w:t>
      </w:r>
      <w:r w:rsidR="00BC74C6">
        <w:rPr>
          <w:rFonts w:ascii="Calibri" w:hAnsi="Calibri" w:cs="Calibri"/>
        </w:rPr>
        <w:t xml:space="preserve"> and </w:t>
      </w:r>
      <w:r w:rsidRPr="000853E6">
        <w:rPr>
          <w:rFonts w:ascii="Calibri" w:hAnsi="Calibri" w:cs="Calibri"/>
        </w:rPr>
        <w:t>bevacizumab in combination with platinum doublet chemotherapy (ABDC) is PBS listed for Stage IV NSCLC following progression with an EGFR TKI and thus would be available to some patient</w:t>
      </w:r>
      <w:r w:rsidR="00071753" w:rsidRPr="000853E6">
        <w:rPr>
          <w:rFonts w:ascii="Calibri" w:hAnsi="Calibri" w:cs="Calibri"/>
        </w:rPr>
        <w:t>s</w:t>
      </w:r>
      <w:r w:rsidRPr="000853E6">
        <w:rPr>
          <w:rFonts w:ascii="Calibri" w:hAnsi="Calibri" w:cs="Calibri"/>
        </w:rPr>
        <w:t xml:space="preserve"> who have failed adjuvant osimertinib</w:t>
      </w:r>
      <w:r w:rsidR="00EA6566" w:rsidRPr="000853E6">
        <w:rPr>
          <w:rFonts w:ascii="Calibri" w:hAnsi="Calibri" w:cs="Calibri"/>
        </w:rPr>
        <w:t xml:space="preserve"> (need to have had prior platinum doublet chemotherapy either post resection or in LRR)</w:t>
      </w:r>
      <w:r w:rsidRPr="000853E6">
        <w:rPr>
          <w:rFonts w:ascii="Calibri" w:hAnsi="Calibri" w:cs="Calibri"/>
        </w:rPr>
        <w:t xml:space="preserve">. Use of ABDC is expected to be greater in the osimertinib arm versus placebo since PBS eligibility requires patients to have </w:t>
      </w:r>
      <w:r w:rsidR="00DD3129" w:rsidRPr="000853E6">
        <w:rPr>
          <w:rFonts w:ascii="Calibri" w:hAnsi="Calibri" w:cs="Calibri"/>
        </w:rPr>
        <w:t xml:space="preserve">previously </w:t>
      </w:r>
      <w:r w:rsidR="005F54BD" w:rsidRPr="000853E6">
        <w:rPr>
          <w:rFonts w:ascii="Calibri" w:hAnsi="Calibri" w:cs="Calibri"/>
        </w:rPr>
        <w:t>failed</w:t>
      </w:r>
      <w:r w:rsidR="00DD3129" w:rsidRPr="000853E6">
        <w:rPr>
          <w:rFonts w:ascii="Calibri" w:hAnsi="Calibri" w:cs="Calibri"/>
        </w:rPr>
        <w:t xml:space="preserve"> an EGFR TKI</w:t>
      </w:r>
      <w:r w:rsidRPr="000853E6">
        <w:rPr>
          <w:rFonts w:ascii="Calibri" w:hAnsi="Calibri" w:cs="Calibri"/>
        </w:rPr>
        <w:t xml:space="preserve">. Assuming </w:t>
      </w:r>
      <w:r w:rsidR="002D3A6B" w:rsidRPr="000853E6">
        <w:rPr>
          <w:rFonts w:ascii="Calibri" w:hAnsi="Calibri" w:cs="Calibri"/>
        </w:rPr>
        <w:t>100</w:t>
      </w:r>
      <w:r w:rsidRPr="000853E6">
        <w:rPr>
          <w:rFonts w:ascii="Calibri" w:hAnsi="Calibri" w:cs="Calibri"/>
        </w:rPr>
        <w:t>% use of ABDC in the osimertinib arm in DM1</w:t>
      </w:r>
      <w:r w:rsidR="006D3290" w:rsidRPr="000853E6">
        <w:rPr>
          <w:rFonts w:ascii="Calibri" w:hAnsi="Calibri" w:cs="Calibri"/>
        </w:rPr>
        <w:t xml:space="preserve"> </w:t>
      </w:r>
      <w:r w:rsidR="005E397B">
        <w:rPr>
          <w:rFonts w:ascii="Calibri" w:hAnsi="Calibri" w:cs="Calibri"/>
        </w:rPr>
        <w:t xml:space="preserve">(cost only) </w:t>
      </w:r>
      <w:r w:rsidRPr="000853E6">
        <w:rPr>
          <w:rFonts w:ascii="Calibri" w:hAnsi="Calibri" w:cs="Calibri"/>
        </w:rPr>
        <w:t>increased the ICER to $</w:t>
      </w:r>
      <w:r w:rsidR="00CD3943" w:rsidRPr="00CD3943">
        <w:rPr>
          <w:rFonts w:ascii="Calibri" w:hAnsi="Calibri" w:cs="Calibri"/>
        </w:rPr>
        <w:t>45,000</w:t>
      </w:r>
      <w:r w:rsidR="007B595C">
        <w:rPr>
          <w:rFonts w:ascii="Calibri" w:hAnsi="Calibri" w:cs="Calibri"/>
        </w:rPr>
        <w:t> </w:t>
      </w:r>
      <w:r w:rsidR="00CD3943" w:rsidRPr="00CD3943">
        <w:rPr>
          <w:rFonts w:ascii="Calibri" w:hAnsi="Calibri" w:cs="Calibri"/>
        </w:rPr>
        <w:t>to</w:t>
      </w:r>
      <w:r w:rsidR="007B595C">
        <w:rPr>
          <w:rFonts w:ascii="Calibri" w:hAnsi="Calibri" w:cs="Calibri"/>
        </w:rPr>
        <w:t> </w:t>
      </w:r>
      <w:r w:rsidR="00CD3943" w:rsidRPr="00CD3943">
        <w:rPr>
          <w:rFonts w:ascii="Calibri" w:hAnsi="Calibri" w:cs="Calibri"/>
        </w:rPr>
        <w:t>&lt;</w:t>
      </w:r>
      <w:r w:rsidR="009025CC">
        <w:rPr>
          <w:rFonts w:ascii="Calibri" w:hAnsi="Calibri" w:cs="Calibri"/>
        </w:rPr>
        <w:t> </w:t>
      </w:r>
      <w:r w:rsidR="00CD3943" w:rsidRPr="00CD3943">
        <w:rPr>
          <w:rFonts w:ascii="Calibri" w:hAnsi="Calibri" w:cs="Calibri"/>
        </w:rPr>
        <w:t>$55,000</w:t>
      </w:r>
      <w:r w:rsidR="00CD3943">
        <w:rPr>
          <w:rFonts w:ascii="Calibri" w:hAnsi="Calibri" w:cs="Calibri"/>
        </w:rPr>
        <w:t xml:space="preserve"> </w:t>
      </w:r>
      <w:r w:rsidRPr="000853E6">
        <w:rPr>
          <w:rFonts w:ascii="Calibri" w:hAnsi="Calibri" w:cs="Calibri"/>
        </w:rPr>
        <w:t xml:space="preserve"> per QALY gained from a base case of $</w:t>
      </w:r>
      <w:bookmarkStart w:id="50" w:name="_Hlk155942262"/>
      <w:r w:rsidR="00CD3943" w:rsidRPr="00CD3943">
        <w:rPr>
          <w:rFonts w:ascii="Calibri" w:hAnsi="Calibri" w:cs="Calibri"/>
        </w:rPr>
        <w:t>35,000</w:t>
      </w:r>
      <w:r w:rsidR="007B595C">
        <w:rPr>
          <w:rFonts w:ascii="Calibri" w:hAnsi="Calibri" w:cs="Calibri"/>
        </w:rPr>
        <w:t> </w:t>
      </w:r>
      <w:r w:rsidR="00CD3943" w:rsidRPr="00CD3943">
        <w:rPr>
          <w:rFonts w:ascii="Calibri" w:hAnsi="Calibri" w:cs="Calibri"/>
        </w:rPr>
        <w:t>to</w:t>
      </w:r>
      <w:r w:rsidR="007B595C">
        <w:rPr>
          <w:rFonts w:ascii="Calibri" w:hAnsi="Calibri" w:cs="Calibri"/>
        </w:rPr>
        <w:t> </w:t>
      </w:r>
      <w:r w:rsidR="00CD3943" w:rsidRPr="00CD3943">
        <w:rPr>
          <w:rFonts w:ascii="Calibri" w:hAnsi="Calibri" w:cs="Calibri"/>
        </w:rPr>
        <w:t>&lt;</w:t>
      </w:r>
      <w:r w:rsidR="007B595C">
        <w:rPr>
          <w:rFonts w:ascii="Calibri" w:hAnsi="Calibri" w:cs="Calibri"/>
        </w:rPr>
        <w:t> </w:t>
      </w:r>
      <w:r w:rsidR="00CD3943" w:rsidRPr="00CD3943">
        <w:rPr>
          <w:rFonts w:ascii="Calibri" w:hAnsi="Calibri" w:cs="Calibri"/>
        </w:rPr>
        <w:t>$45,000</w:t>
      </w:r>
      <w:bookmarkEnd w:id="50"/>
      <w:r w:rsidR="00DB025C" w:rsidRPr="005E397B">
        <w:rPr>
          <w:rFonts w:ascii="Calibri" w:hAnsi="Calibri" w:cs="Calibri"/>
        </w:rPr>
        <w:t xml:space="preserve"> The</w:t>
      </w:r>
      <w:r w:rsidR="0035602E" w:rsidRPr="0035602E">
        <w:rPr>
          <w:rFonts w:ascii="Times New Roman" w:eastAsiaTheme="minorHAnsi" w:hAnsi="Times New Roman" w:cstheme="minorBidi"/>
          <w:snapToGrid/>
          <w:szCs w:val="22"/>
          <w:lang w:eastAsia="en-US"/>
        </w:rPr>
        <w:t xml:space="preserve"> </w:t>
      </w:r>
      <w:r w:rsidR="0035602E" w:rsidRPr="0035602E">
        <w:rPr>
          <w:rFonts w:ascii="Calibri" w:hAnsi="Calibri" w:cs="Calibri"/>
        </w:rPr>
        <w:t>Pre-Sub-Committee Response</w:t>
      </w:r>
      <w:r w:rsidR="00DB025C" w:rsidRPr="005E397B">
        <w:rPr>
          <w:rFonts w:ascii="Calibri" w:hAnsi="Calibri" w:cs="Calibri"/>
        </w:rPr>
        <w:t xml:space="preserve"> </w:t>
      </w:r>
      <w:r w:rsidR="0035602E">
        <w:rPr>
          <w:rFonts w:ascii="Calibri" w:hAnsi="Calibri" w:cs="Calibri"/>
        </w:rPr>
        <w:t>(</w:t>
      </w:r>
      <w:r w:rsidR="00DB025C" w:rsidRPr="005E397B">
        <w:rPr>
          <w:rFonts w:ascii="Calibri" w:hAnsi="Calibri" w:cs="Calibri"/>
        </w:rPr>
        <w:t>PSCR</w:t>
      </w:r>
      <w:r w:rsidR="0035602E">
        <w:rPr>
          <w:rFonts w:ascii="Calibri" w:hAnsi="Calibri" w:cs="Calibri"/>
        </w:rPr>
        <w:t>)</w:t>
      </w:r>
      <w:r w:rsidR="00DB025C" w:rsidRPr="005E397B">
        <w:rPr>
          <w:rFonts w:ascii="Calibri" w:hAnsi="Calibri" w:cs="Calibri"/>
        </w:rPr>
        <w:t xml:space="preserve"> noted ABDC would be available for patients in both the adjuvant osimertinib arm (in the DM1 heath state) and the placebo arm (in the DM2 health state after osimertinib in DM1). The PSCR presented a sensitivity analysis assuming 25% of patients in both treatment arms receive ABDC (based on </w:t>
      </w:r>
      <w:r w:rsidR="008B5700" w:rsidRPr="005E397B">
        <w:rPr>
          <w:rFonts w:ascii="Calibri" w:hAnsi="Calibri" w:cs="Calibri"/>
        </w:rPr>
        <w:t xml:space="preserve">PBS prescription </w:t>
      </w:r>
      <w:r w:rsidR="00DB025C" w:rsidRPr="005E397B">
        <w:rPr>
          <w:rFonts w:ascii="Calibri" w:hAnsi="Calibri" w:cs="Calibri"/>
        </w:rPr>
        <w:t>utilisation estimates) which resulted in an ICER of $</w:t>
      </w:r>
      <w:r w:rsidR="00CD3943" w:rsidRPr="00CD3943">
        <w:rPr>
          <w:rFonts w:ascii="Calibri" w:hAnsi="Calibri" w:cs="Calibri"/>
        </w:rPr>
        <w:t>35,000</w:t>
      </w:r>
      <w:r w:rsidR="007B595C">
        <w:rPr>
          <w:rFonts w:ascii="Calibri" w:hAnsi="Calibri" w:cs="Calibri"/>
        </w:rPr>
        <w:t> </w:t>
      </w:r>
      <w:r w:rsidR="00CD3943" w:rsidRPr="00CD3943">
        <w:rPr>
          <w:rFonts w:ascii="Calibri" w:hAnsi="Calibri" w:cs="Calibri"/>
        </w:rPr>
        <w:t>to</w:t>
      </w:r>
      <w:r w:rsidR="007B595C">
        <w:rPr>
          <w:rFonts w:ascii="Calibri" w:hAnsi="Calibri" w:cs="Calibri"/>
        </w:rPr>
        <w:t> </w:t>
      </w:r>
      <w:r w:rsidR="00CD3943" w:rsidRPr="00CD3943">
        <w:rPr>
          <w:rFonts w:ascii="Calibri" w:hAnsi="Calibri" w:cs="Calibri"/>
        </w:rPr>
        <w:t>&lt;</w:t>
      </w:r>
      <w:r w:rsidR="009025CC">
        <w:rPr>
          <w:rFonts w:ascii="Calibri" w:hAnsi="Calibri" w:cs="Calibri"/>
        </w:rPr>
        <w:t> </w:t>
      </w:r>
      <w:r w:rsidR="00CD3943" w:rsidRPr="00CD3943">
        <w:rPr>
          <w:rFonts w:ascii="Calibri" w:hAnsi="Calibri" w:cs="Calibri"/>
        </w:rPr>
        <w:t>$45,000</w:t>
      </w:r>
      <w:r w:rsidR="00DB025C" w:rsidRPr="005E397B">
        <w:rPr>
          <w:rFonts w:ascii="Calibri" w:hAnsi="Calibri" w:cs="Calibri"/>
        </w:rPr>
        <w:t xml:space="preserve"> per QALY</w:t>
      </w:r>
      <w:r w:rsidR="00DB025C">
        <w:rPr>
          <w:rFonts w:ascii="Calibri" w:hAnsi="Calibri" w:cs="Calibri"/>
          <w:i/>
          <w:iCs/>
        </w:rPr>
        <w:t>.</w:t>
      </w:r>
      <w:r w:rsidR="008B5700">
        <w:rPr>
          <w:rFonts w:ascii="Calibri" w:hAnsi="Calibri" w:cs="Calibri"/>
          <w:i/>
          <w:iCs/>
        </w:rPr>
        <w:t xml:space="preserve"> </w:t>
      </w:r>
      <w:r w:rsidR="004C2426" w:rsidRPr="00EB1DCF">
        <w:rPr>
          <w:rFonts w:ascii="Calibri" w:hAnsi="Calibri" w:cs="Calibri"/>
        </w:rPr>
        <w:t xml:space="preserve">The ESC agreed with the PSCR that ABCD would likely be used in both treatment </w:t>
      </w:r>
      <w:proofErr w:type="gramStart"/>
      <w:r w:rsidR="004C2426" w:rsidRPr="00EB1DCF">
        <w:rPr>
          <w:rFonts w:ascii="Calibri" w:hAnsi="Calibri" w:cs="Calibri"/>
        </w:rPr>
        <w:t>arms</w:t>
      </w:r>
      <w:proofErr w:type="gramEnd"/>
      <w:r w:rsidR="004C2426" w:rsidRPr="00EB1DCF">
        <w:rPr>
          <w:rFonts w:ascii="Calibri" w:hAnsi="Calibri" w:cs="Calibri"/>
        </w:rPr>
        <w:t xml:space="preserve"> and it was unlikely 100% of patients in the osimertinib arm would be treated with ABDC in DM1; however, it considered 25% was an underestimate.  The ESC noted assuming 60% of osimertinib patients </w:t>
      </w:r>
      <w:r w:rsidR="00EB1DCF" w:rsidRPr="00EB1DCF">
        <w:rPr>
          <w:rFonts w:ascii="Calibri" w:hAnsi="Calibri" w:cs="Calibri"/>
        </w:rPr>
        <w:t>and 25% of plac</w:t>
      </w:r>
      <w:r w:rsidR="005D24B0">
        <w:rPr>
          <w:rFonts w:ascii="Calibri" w:hAnsi="Calibri" w:cs="Calibri"/>
        </w:rPr>
        <w:t>ebo patients</w:t>
      </w:r>
      <w:r w:rsidR="00EB1DCF" w:rsidRPr="00EB1DCF">
        <w:rPr>
          <w:rFonts w:ascii="Calibri" w:hAnsi="Calibri" w:cs="Calibri"/>
        </w:rPr>
        <w:t xml:space="preserve"> </w:t>
      </w:r>
      <w:r w:rsidR="004C2426" w:rsidRPr="00EB1DCF">
        <w:rPr>
          <w:rFonts w:ascii="Calibri" w:hAnsi="Calibri" w:cs="Calibri"/>
        </w:rPr>
        <w:t>would receive ABDC in DM1 increased the ICER to $</w:t>
      </w:r>
      <w:r w:rsidR="00CD3943" w:rsidRPr="00CD3943">
        <w:rPr>
          <w:rFonts w:ascii="Calibri" w:hAnsi="Calibri" w:cs="Calibri"/>
        </w:rPr>
        <w:t>35,000</w:t>
      </w:r>
      <w:r w:rsidR="007B595C">
        <w:rPr>
          <w:rFonts w:ascii="Calibri" w:hAnsi="Calibri" w:cs="Calibri"/>
        </w:rPr>
        <w:t> </w:t>
      </w:r>
      <w:r w:rsidR="00CD3943" w:rsidRPr="00CD3943">
        <w:rPr>
          <w:rFonts w:ascii="Calibri" w:hAnsi="Calibri" w:cs="Calibri"/>
        </w:rPr>
        <w:t>to</w:t>
      </w:r>
      <w:r w:rsidR="007B595C">
        <w:rPr>
          <w:rFonts w:ascii="Calibri" w:hAnsi="Calibri" w:cs="Calibri"/>
        </w:rPr>
        <w:t> </w:t>
      </w:r>
      <w:r w:rsidR="00CD3943" w:rsidRPr="00CD3943">
        <w:rPr>
          <w:rFonts w:ascii="Calibri" w:hAnsi="Calibri" w:cs="Calibri"/>
        </w:rPr>
        <w:t>&lt;</w:t>
      </w:r>
      <w:r w:rsidR="009025CC">
        <w:rPr>
          <w:rFonts w:ascii="Calibri" w:hAnsi="Calibri" w:cs="Calibri"/>
        </w:rPr>
        <w:t> </w:t>
      </w:r>
      <w:r w:rsidR="00CD3943" w:rsidRPr="00CD3943">
        <w:rPr>
          <w:rFonts w:ascii="Calibri" w:hAnsi="Calibri" w:cs="Calibri"/>
        </w:rPr>
        <w:t>$45,000</w:t>
      </w:r>
      <w:r w:rsidR="00CD3943">
        <w:rPr>
          <w:rFonts w:ascii="Calibri" w:hAnsi="Calibri" w:cs="Calibri"/>
        </w:rPr>
        <w:t xml:space="preserve"> </w:t>
      </w:r>
      <w:r w:rsidR="004C2426" w:rsidRPr="00EB1DCF">
        <w:rPr>
          <w:rFonts w:ascii="Calibri" w:hAnsi="Calibri" w:cs="Calibri"/>
        </w:rPr>
        <w:t xml:space="preserve"> per QALY.</w:t>
      </w:r>
      <w:r w:rsidR="004C2426">
        <w:rPr>
          <w:rFonts w:ascii="Calibri" w:hAnsi="Calibri" w:cs="Calibri"/>
          <w:i/>
          <w:iCs/>
        </w:rPr>
        <w:t xml:space="preserve"> </w:t>
      </w:r>
    </w:p>
    <w:p w14:paraId="14071215" w14:textId="38365D36" w:rsidR="007F671B" w:rsidRDefault="00EA6566" w:rsidP="00792ABD">
      <w:pPr>
        <w:pStyle w:val="3-BodyText"/>
      </w:pPr>
      <w:r>
        <w:rPr>
          <w:rFonts w:ascii="Calibri" w:hAnsi="Calibri" w:cs="Calibri"/>
        </w:rPr>
        <w:t xml:space="preserve">An important assumption in the model was the assumption that </w:t>
      </w:r>
      <w:r w:rsidR="00792ABD">
        <w:rPr>
          <w:rFonts w:ascii="Calibri" w:hAnsi="Calibri" w:cs="Calibri"/>
        </w:rPr>
        <w:t xml:space="preserve">patients in </w:t>
      </w:r>
      <w:r w:rsidR="00792ABD">
        <w:t xml:space="preserve">the </w:t>
      </w:r>
      <w:r w:rsidR="00F24AD8" w:rsidRPr="005D77B5">
        <w:t>DF and LRR health states</w:t>
      </w:r>
      <w:r w:rsidR="00792ABD">
        <w:t xml:space="preserve"> </w:t>
      </w:r>
      <w:r>
        <w:t xml:space="preserve">can </w:t>
      </w:r>
      <w:r w:rsidR="00792ABD">
        <w:t>be cured from NSCLC</w:t>
      </w:r>
      <w:r w:rsidR="00F24AD8" w:rsidRPr="005D77B5">
        <w:t xml:space="preserve">. </w:t>
      </w:r>
      <w:r w:rsidR="00792ABD">
        <w:t xml:space="preserve">In the </w:t>
      </w:r>
      <w:r w:rsidR="00097FE7">
        <w:t>DF</w:t>
      </w:r>
      <w:r w:rsidR="005A4BEA" w:rsidRPr="005D77B5">
        <w:t xml:space="preserve"> health state </w:t>
      </w:r>
      <w:r w:rsidR="00792ABD">
        <w:t xml:space="preserve">patients </w:t>
      </w:r>
      <w:r>
        <w:t xml:space="preserve">can be cured from </w:t>
      </w:r>
      <w:r w:rsidRPr="00DB025C">
        <w:t xml:space="preserve">Year 4, increasing </w:t>
      </w:r>
      <w:r w:rsidR="005A4BEA" w:rsidRPr="00DB025C">
        <w:t xml:space="preserve">linearly </w:t>
      </w:r>
      <w:r w:rsidR="00792ABD" w:rsidRPr="00DB025C">
        <w:t xml:space="preserve">each monthly cycle </w:t>
      </w:r>
      <w:r w:rsidR="005A4BEA" w:rsidRPr="00DB025C">
        <w:t xml:space="preserve">starting from </w:t>
      </w:r>
      <w:r w:rsidR="00792ABD" w:rsidRPr="00DB025C">
        <w:t xml:space="preserve">0% at </w:t>
      </w:r>
      <w:r w:rsidR="005A4BEA" w:rsidRPr="00DB025C">
        <w:t>48</w:t>
      </w:r>
      <w:r w:rsidR="009025CC">
        <w:t> </w:t>
      </w:r>
      <w:r w:rsidR="005A4BEA" w:rsidRPr="00DB025C">
        <w:t>months to a maximum of 92% at Year 5</w:t>
      </w:r>
      <w:r w:rsidR="00412305" w:rsidRPr="00DB025C">
        <w:t xml:space="preserve"> (i.e.</w:t>
      </w:r>
      <w:r w:rsidRPr="00DB025C">
        <w:t>,</w:t>
      </w:r>
      <w:r w:rsidR="00EE598D" w:rsidRPr="00DB025C">
        <w:t xml:space="preserve"> transition to cure period</w:t>
      </w:r>
      <w:r w:rsidR="00412305" w:rsidRPr="00DB025C">
        <w:t>)</w:t>
      </w:r>
      <w:r w:rsidR="005A4BEA" w:rsidRPr="00DB025C">
        <w:t xml:space="preserve">. The same </w:t>
      </w:r>
      <w:r w:rsidR="00412305" w:rsidRPr="00DB025C">
        <w:t xml:space="preserve">cure </w:t>
      </w:r>
      <w:r w:rsidRPr="00DB025C">
        <w:t>assumption</w:t>
      </w:r>
      <w:r w:rsidR="00412305" w:rsidRPr="00DB025C">
        <w:t xml:space="preserve"> </w:t>
      </w:r>
      <w:r w:rsidRPr="00DB025C">
        <w:t xml:space="preserve">was </w:t>
      </w:r>
      <w:r w:rsidR="005A4BEA" w:rsidRPr="00DB025C">
        <w:t xml:space="preserve">applied in </w:t>
      </w:r>
      <w:r w:rsidRPr="00DB025C">
        <w:t xml:space="preserve">both </w:t>
      </w:r>
      <w:r w:rsidR="005A4BEA" w:rsidRPr="00DB025C">
        <w:t>model</w:t>
      </w:r>
      <w:r w:rsidRPr="00DB025C">
        <w:t xml:space="preserve"> arms</w:t>
      </w:r>
      <w:r w:rsidR="005A4BEA" w:rsidRPr="00DB025C">
        <w:t>.</w:t>
      </w:r>
      <w:r w:rsidR="007F671B" w:rsidRPr="00DB025C">
        <w:t xml:space="preserve"> </w:t>
      </w:r>
      <w:r w:rsidR="005A4BEA" w:rsidRPr="00DB025C">
        <w:t>Disease management costs</w:t>
      </w:r>
      <w:r w:rsidR="00412305" w:rsidRPr="00DB025C">
        <w:t xml:space="preserve"> </w:t>
      </w:r>
      <w:r w:rsidRPr="00DB025C">
        <w:t xml:space="preserve">were also </w:t>
      </w:r>
      <w:r w:rsidR="00412305" w:rsidRPr="00DB025C">
        <w:t xml:space="preserve">assumed to stop at </w:t>
      </w:r>
      <w:r w:rsidRPr="00DB025C">
        <w:t>Year 4</w:t>
      </w:r>
      <w:r w:rsidR="005A4BEA" w:rsidRPr="00DB025C">
        <w:t xml:space="preserve"> in the model i.e., </w:t>
      </w:r>
      <w:r w:rsidR="00412305" w:rsidRPr="00DB025C">
        <w:t xml:space="preserve">at the </w:t>
      </w:r>
      <w:r w:rsidR="005A4BEA" w:rsidRPr="00DB025C">
        <w:t xml:space="preserve">start of </w:t>
      </w:r>
      <w:r w:rsidR="007F671B" w:rsidRPr="00DB025C">
        <w:t>the transition-to-cure period</w:t>
      </w:r>
      <w:r w:rsidR="005A4BEA" w:rsidRPr="00DB025C">
        <w:t>.</w:t>
      </w:r>
    </w:p>
    <w:p w14:paraId="422CA2CF" w14:textId="4F48DB49" w:rsidR="00097FE7" w:rsidRPr="000853E6" w:rsidRDefault="00097FE7" w:rsidP="00097FE7">
      <w:pPr>
        <w:pStyle w:val="3-BodyText"/>
      </w:pPr>
      <w:r w:rsidRPr="000853E6">
        <w:t>Patients</w:t>
      </w:r>
      <w:r w:rsidR="00412305" w:rsidRPr="000853E6">
        <w:t xml:space="preserve"> who were</w:t>
      </w:r>
      <w:r w:rsidRPr="000853E6">
        <w:t xml:space="preserve"> cured remained in the DF health state and were assumed to no longer </w:t>
      </w:r>
      <w:r w:rsidR="00EA6566" w:rsidRPr="000853E6">
        <w:t xml:space="preserve">be </w:t>
      </w:r>
      <w:r w:rsidRPr="000853E6">
        <w:t>at risk of transitioning from DF to LRR or DM1 and follow</w:t>
      </w:r>
      <w:r w:rsidR="00E25ACA" w:rsidRPr="000853E6">
        <w:t>ed</w:t>
      </w:r>
      <w:r w:rsidRPr="000853E6">
        <w:t xml:space="preserve"> general population mortality</w:t>
      </w:r>
      <w:r w:rsidR="00412305" w:rsidRPr="000853E6">
        <w:t xml:space="preserve"> for the remainder of the model duration</w:t>
      </w:r>
      <w:r w:rsidRPr="000853E6">
        <w:t xml:space="preserve">. </w:t>
      </w:r>
      <w:r w:rsidR="00C30CFA" w:rsidRPr="000853E6">
        <w:t>47</w:t>
      </w:r>
      <w:r w:rsidRPr="000853E6">
        <w:t>% of the model’s estimated QALY</w:t>
      </w:r>
      <w:r w:rsidR="00EA6566" w:rsidRPr="000853E6">
        <w:t xml:space="preserve"> gain</w:t>
      </w:r>
      <w:r w:rsidRPr="000853E6">
        <w:t xml:space="preserve"> were the result of this cure assumption </w:t>
      </w:r>
      <w:r w:rsidR="009B5B77" w:rsidRPr="000853E6">
        <w:t xml:space="preserve">and </w:t>
      </w:r>
      <w:r w:rsidRPr="000853E6">
        <w:t>when removed the total discounted QALY gained reduced from 1.956 to 1.035</w:t>
      </w:r>
      <w:r w:rsidR="00B718ED" w:rsidRPr="000853E6">
        <w:t xml:space="preserve">. The </w:t>
      </w:r>
      <w:r w:rsidR="00C30CFA" w:rsidRPr="000853E6">
        <w:t xml:space="preserve">total </w:t>
      </w:r>
      <w:r w:rsidR="00442C7A" w:rsidRPr="000853E6">
        <w:t xml:space="preserve">discounted </w:t>
      </w:r>
      <w:r w:rsidR="00C30CFA" w:rsidRPr="000853E6">
        <w:t>life</w:t>
      </w:r>
      <w:r w:rsidR="0070226D" w:rsidRPr="000853E6">
        <w:t xml:space="preserve"> </w:t>
      </w:r>
      <w:r w:rsidR="00C30CFA" w:rsidRPr="000853E6">
        <w:t xml:space="preserve">years </w:t>
      </w:r>
      <w:r w:rsidR="0070226D" w:rsidRPr="000853E6">
        <w:t xml:space="preserve">(LYs) </w:t>
      </w:r>
      <w:r w:rsidR="00C30CFA" w:rsidRPr="000853E6">
        <w:t>gained reduced from 2.30 to 1.32</w:t>
      </w:r>
      <w:r w:rsidR="00B718ED" w:rsidRPr="000853E6">
        <w:t xml:space="preserve"> (43% reduction)</w:t>
      </w:r>
      <w:r w:rsidRPr="000853E6">
        <w:t>.</w:t>
      </w:r>
    </w:p>
    <w:p w14:paraId="2BB3C6A2" w14:textId="36772617" w:rsidR="00D0420A" w:rsidRPr="00802EE4" w:rsidRDefault="00097FE7" w:rsidP="00D0420A">
      <w:pPr>
        <w:pStyle w:val="3-BodyText"/>
      </w:pPr>
      <w:r w:rsidRPr="00EC3DB3">
        <w:t xml:space="preserve">The </w:t>
      </w:r>
      <w:r w:rsidR="00E25ACA" w:rsidRPr="00EC3DB3">
        <w:t xml:space="preserve">submission did not discuss the source of the estimated maximum cure proportion, however noted that a </w:t>
      </w:r>
      <w:r w:rsidRPr="00EC3DB3">
        <w:t xml:space="preserve">maximum cure proportion </w:t>
      </w:r>
      <w:r w:rsidR="00E25ACA" w:rsidRPr="00EC3DB3">
        <w:t xml:space="preserve">of 91.5% was applied in the </w:t>
      </w:r>
      <w:r w:rsidRPr="00EC3DB3">
        <w:t xml:space="preserve">atezolizumab submission for adjuvant treatment in resected NSCLC (Paragraph 6.42, atezolizumab PSD, July 2022 PBAC meeting). </w:t>
      </w:r>
      <w:r w:rsidR="00EA6566" w:rsidRPr="00EC3DB3">
        <w:t xml:space="preserve">The 91.5% cure </w:t>
      </w:r>
      <w:r w:rsidRPr="00EC3DB3">
        <w:t>was based on clinical studies where the majority of the participants had Stage I NSCLC before resection (78% in Maeda 2010</w:t>
      </w:r>
      <w:r w:rsidR="006F5BBF" w:rsidRPr="00EC3DB3">
        <w:rPr>
          <w:rStyle w:val="FootnoteReference"/>
        </w:rPr>
        <w:footnoteReference w:id="20"/>
      </w:r>
      <w:r w:rsidRPr="00EC3DB3">
        <w:t xml:space="preserve"> and 53% in Sonoda 2019</w:t>
      </w:r>
      <w:r w:rsidR="006F5BBF" w:rsidRPr="00EC3DB3">
        <w:rPr>
          <w:rStyle w:val="FootnoteReference"/>
        </w:rPr>
        <w:footnoteReference w:id="21"/>
      </w:r>
      <w:r w:rsidRPr="00EC3DB3">
        <w:t>)</w:t>
      </w:r>
      <w:r w:rsidR="00E25ACA" w:rsidRPr="00EC3DB3">
        <w:t xml:space="preserve">. </w:t>
      </w:r>
      <w:r w:rsidR="00EA6566" w:rsidRPr="00EC3DB3">
        <w:t xml:space="preserve">As with the atezolizumab submission, </w:t>
      </w:r>
      <w:r w:rsidR="002A36F2" w:rsidRPr="00EC3DB3">
        <w:t xml:space="preserve">in </w:t>
      </w:r>
      <w:r w:rsidR="00E25ACA" w:rsidRPr="00802EE4">
        <w:t xml:space="preserve">the requested population </w:t>
      </w:r>
      <w:r w:rsidR="00EA6566" w:rsidRPr="00802EE4">
        <w:t xml:space="preserve">for osimertinib </w:t>
      </w:r>
      <w:r w:rsidR="002A36F2" w:rsidRPr="00802EE4">
        <w:t xml:space="preserve">only a minority of patients are expected to be Stage I </w:t>
      </w:r>
      <w:r w:rsidRPr="00802EE4">
        <w:t>(</w:t>
      </w:r>
      <w:r w:rsidR="002A36F2" w:rsidRPr="00802EE4">
        <w:t xml:space="preserve">approx. </w:t>
      </w:r>
      <w:r w:rsidRPr="00802EE4">
        <w:t>19% Stage IB at diagnosis</w:t>
      </w:r>
      <w:r w:rsidR="002A36F2" w:rsidRPr="00802EE4">
        <w:t>)</w:t>
      </w:r>
      <w:r w:rsidRPr="00802EE4">
        <w:t xml:space="preserve">. </w:t>
      </w:r>
      <w:r w:rsidR="002A36F2" w:rsidRPr="00802EE4">
        <w:t>For the atezolizumab submission, the PBAC considered the assumptions regarding the proportion of patients achieving sustained DFS (i.e., ‘cured’) were not well justified in the submission (paragraph 7.7, atezolizumab PSD, July 2022 PBAC meeting)</w:t>
      </w:r>
      <w:r w:rsidR="002A36F2" w:rsidRPr="00802EE4">
        <w:rPr>
          <w:sz w:val="23"/>
          <w:szCs w:val="23"/>
        </w:rPr>
        <w:t xml:space="preserve">. </w:t>
      </w:r>
    </w:p>
    <w:p w14:paraId="2AEF1DDB" w14:textId="5EA1C9CF" w:rsidR="005E397B" w:rsidRPr="00802EE4" w:rsidRDefault="00D0420A" w:rsidP="00802EE4">
      <w:pPr>
        <w:pStyle w:val="3-BodyText"/>
      </w:pPr>
      <w:bookmarkStart w:id="51" w:name="_Ref151120555"/>
      <w:r w:rsidRPr="00802EE4">
        <w:t xml:space="preserve">It was also noted that the osimertinib submissions to CADTH, NICE and SMC had also included a </w:t>
      </w:r>
      <w:r w:rsidR="00E25ACA" w:rsidRPr="00802EE4">
        <w:t>cure</w:t>
      </w:r>
      <w:r w:rsidRPr="00802EE4">
        <w:t xml:space="preserve"> assumption (maximum 95%) but the assumed transition to cure time frame for osimertinib and placebo varied. In the CADTH submission, </w:t>
      </w:r>
      <w:r w:rsidR="00E25ACA" w:rsidRPr="00802EE4">
        <w:t xml:space="preserve">different </w:t>
      </w:r>
      <w:r w:rsidR="00D14AB7" w:rsidRPr="00802EE4">
        <w:t xml:space="preserve">transition to cure </w:t>
      </w:r>
      <w:r w:rsidRPr="00802EE4">
        <w:t>period</w:t>
      </w:r>
      <w:r w:rsidR="002A36F2" w:rsidRPr="00802EE4">
        <w:t xml:space="preserve">s </w:t>
      </w:r>
      <w:r w:rsidRPr="00802EE4">
        <w:t>of 5 years for osimertinib and</w:t>
      </w:r>
      <w:r w:rsidR="00E25ACA" w:rsidRPr="00802EE4">
        <w:t xml:space="preserve"> 2 years for </w:t>
      </w:r>
      <w:r w:rsidRPr="00802EE4">
        <w:t xml:space="preserve">placebo </w:t>
      </w:r>
      <w:r w:rsidR="002A36F2" w:rsidRPr="00802EE4">
        <w:t xml:space="preserve">treatment </w:t>
      </w:r>
      <w:r w:rsidRPr="00802EE4">
        <w:t>were assumed. The justification for the longer transition</w:t>
      </w:r>
      <w:r w:rsidR="002A36F2" w:rsidRPr="00802EE4">
        <w:t xml:space="preserve"> </w:t>
      </w:r>
      <w:r w:rsidRPr="00802EE4">
        <w:t>to</w:t>
      </w:r>
      <w:r w:rsidR="002A36F2" w:rsidRPr="00802EE4">
        <w:t xml:space="preserve"> </w:t>
      </w:r>
      <w:r w:rsidRPr="00802EE4">
        <w:t xml:space="preserve">cure period for osimertinib was to account for the 3 years patients would be receiving active treatment in the osimertinib arm, whereas in the placebo arm, patients were not taking any active treatments. The NICE </w:t>
      </w:r>
      <w:r w:rsidRPr="00802EE4">
        <w:rPr>
          <w:rFonts w:cs="Calibri"/>
        </w:rPr>
        <w:t xml:space="preserve">pessimistic </w:t>
      </w:r>
      <w:r w:rsidR="00D14AB7" w:rsidRPr="00802EE4">
        <w:rPr>
          <w:rFonts w:cs="Calibri"/>
        </w:rPr>
        <w:t xml:space="preserve">sensitivity </w:t>
      </w:r>
      <w:r w:rsidRPr="00802EE4">
        <w:rPr>
          <w:rFonts w:cs="Calibri"/>
        </w:rPr>
        <w:t xml:space="preserve">analysis also assumed a declaration of cure to only be possible after 5 years of no active treatment, this </w:t>
      </w:r>
      <w:r w:rsidR="00E25ACA" w:rsidRPr="00802EE4">
        <w:rPr>
          <w:rFonts w:cs="Calibri"/>
        </w:rPr>
        <w:t xml:space="preserve">translated to </w:t>
      </w:r>
      <w:r w:rsidRPr="00802EE4">
        <w:rPr>
          <w:rFonts w:cs="Calibri"/>
        </w:rPr>
        <w:t xml:space="preserve">after 8 years for osimertinib and 5 years for active monitoring. </w:t>
      </w:r>
      <w:r w:rsidRPr="00802EE4">
        <w:t xml:space="preserve">The model was very sensitive to the cure assumption </w:t>
      </w:r>
      <w:r w:rsidR="002A36F2" w:rsidRPr="00802EE4">
        <w:t xml:space="preserve">in the </w:t>
      </w:r>
      <w:r w:rsidRPr="00802EE4">
        <w:t xml:space="preserve">DF health state. </w:t>
      </w:r>
      <w:bookmarkEnd w:id="47"/>
      <w:r w:rsidR="00B7688F" w:rsidRPr="00802EE4">
        <w:t xml:space="preserve">Assuming a later declaration of cure for those </w:t>
      </w:r>
      <w:r w:rsidR="002A36F2" w:rsidRPr="00802EE4">
        <w:t xml:space="preserve">treated with adjuvant </w:t>
      </w:r>
      <w:r w:rsidR="00B7688F" w:rsidRPr="00802EE4">
        <w:t>osimertinib</w:t>
      </w:r>
      <w:r w:rsidR="002A36F2" w:rsidRPr="00802EE4">
        <w:t xml:space="preserve"> </w:t>
      </w:r>
      <w:r w:rsidR="00B7688F" w:rsidRPr="00802EE4">
        <w:t xml:space="preserve">(from Year 7 </w:t>
      </w:r>
      <w:r w:rsidR="0070226D" w:rsidRPr="00802EE4">
        <w:t>allowing a one</w:t>
      </w:r>
      <w:r w:rsidR="002A36F2" w:rsidRPr="00802EE4">
        <w:t xml:space="preserve"> year transition to a maximum of </w:t>
      </w:r>
      <w:r w:rsidR="0070226D" w:rsidRPr="00802EE4">
        <w:t xml:space="preserve">cure of </w:t>
      </w:r>
      <w:r w:rsidR="002A36F2" w:rsidRPr="00802EE4">
        <w:t xml:space="preserve">92% in Year 8 to allow for some </w:t>
      </w:r>
      <w:r w:rsidR="00B718ED" w:rsidRPr="00802EE4">
        <w:t>inter-</w:t>
      </w:r>
      <w:r w:rsidR="002A36F2" w:rsidRPr="00802EE4">
        <w:t>clinician variation</w:t>
      </w:r>
      <w:r w:rsidR="00B7688F" w:rsidRPr="00802EE4">
        <w:t>) and maintaining the base case assumption</w:t>
      </w:r>
      <w:r w:rsidR="002A36F2" w:rsidRPr="00802EE4">
        <w:t>s</w:t>
      </w:r>
      <w:r w:rsidR="00B7688F" w:rsidRPr="00802EE4">
        <w:t xml:space="preserve"> for the placebo arm, increased the ICER to $</w:t>
      </w:r>
      <w:r w:rsidR="00CD3943" w:rsidRPr="00CD3943">
        <w:t>115,000</w:t>
      </w:r>
      <w:r w:rsidR="007B595C">
        <w:t> </w:t>
      </w:r>
      <w:r w:rsidR="00CD3943" w:rsidRPr="00CD3943">
        <w:t>to</w:t>
      </w:r>
      <w:r w:rsidR="007B595C">
        <w:t> </w:t>
      </w:r>
      <w:r w:rsidR="00CD3943" w:rsidRPr="00CD3943">
        <w:t>&lt;</w:t>
      </w:r>
      <w:r w:rsidR="007B595C">
        <w:t> </w:t>
      </w:r>
      <w:r w:rsidR="00CD3943" w:rsidRPr="00CD3943">
        <w:t>$135,000</w:t>
      </w:r>
      <w:r w:rsidR="00CD3943">
        <w:t xml:space="preserve"> </w:t>
      </w:r>
      <w:r w:rsidR="00B7688F" w:rsidRPr="00802EE4">
        <w:t xml:space="preserve"> per QALY gained from a base case of $</w:t>
      </w:r>
      <w:r w:rsidR="00CD3943" w:rsidRPr="00CD3943">
        <w:t>35,000</w:t>
      </w:r>
      <w:r w:rsidR="007B595C">
        <w:t> </w:t>
      </w:r>
      <w:r w:rsidR="00CD3943" w:rsidRPr="00CD3943">
        <w:t>to</w:t>
      </w:r>
      <w:r w:rsidR="007B595C">
        <w:t> </w:t>
      </w:r>
      <w:r w:rsidR="00CD3943" w:rsidRPr="00CD3943">
        <w:t>&lt;</w:t>
      </w:r>
      <w:r w:rsidR="009025CC">
        <w:t> </w:t>
      </w:r>
      <w:r w:rsidR="00CD3943" w:rsidRPr="00CD3943">
        <w:t>$45,000</w:t>
      </w:r>
      <w:r w:rsidR="00CD3943">
        <w:t xml:space="preserve"> </w:t>
      </w:r>
      <w:r w:rsidR="00B7688F" w:rsidRPr="00802EE4">
        <w:t>.</w:t>
      </w:r>
      <w:r w:rsidR="002A36F2" w:rsidRPr="00802EE4">
        <w:t xml:space="preserve"> </w:t>
      </w:r>
      <w:r w:rsidR="0070226D" w:rsidRPr="00802EE4">
        <w:t xml:space="preserve"> </w:t>
      </w:r>
      <w:r w:rsidR="000514B4" w:rsidRPr="00802EE4">
        <w:t xml:space="preserve">The PSCR did not consider this analysis appropriate because </w:t>
      </w:r>
      <w:r w:rsidR="00446B33" w:rsidRPr="00802EE4">
        <w:t>it included a conservative extrapolation of DFS in which the curve for osimertinib drops below DFS for placebo and results in a higher proportion of osimertinib patients (61.8%) entering the DM1 health state compared to placebo (61.5%) which implies adjuvant treatment with osimertinib is worse than having no adjuvant treatment</w:t>
      </w:r>
      <w:r w:rsidR="000514B4" w:rsidRPr="00802EE4">
        <w:t xml:space="preserve">. </w:t>
      </w:r>
      <w:r w:rsidR="008B5700" w:rsidRPr="00802EE4">
        <w:t xml:space="preserve">The ESC considered it was reasonable to </w:t>
      </w:r>
      <w:r w:rsidR="000514B4" w:rsidRPr="00802EE4">
        <w:t xml:space="preserve">only start to </w:t>
      </w:r>
      <w:r w:rsidR="008B5700" w:rsidRPr="00802EE4">
        <w:t xml:space="preserve">consider someone ‘cured’ if they were disease-free 5 years after </w:t>
      </w:r>
      <w:r w:rsidR="00F962E7" w:rsidRPr="00802EE4">
        <w:t xml:space="preserve">cessation of </w:t>
      </w:r>
      <w:r w:rsidR="008B5700" w:rsidRPr="00802EE4">
        <w:t xml:space="preserve">their most recent active treatment i.e., Year 8 for osimertinib and Year 5 for the placebo arm. </w:t>
      </w:r>
      <w:r w:rsidR="000514B4" w:rsidRPr="00802EE4">
        <w:t xml:space="preserve">The ESC considered that adjuvant osimertinib may be controlling undetectable, low grade disease, and once therapy is ceased, that disease is then able to grow, which will take time to be detectable. </w:t>
      </w:r>
      <w:r w:rsidR="00DB025C" w:rsidRPr="00802EE4">
        <w:t>The ESC noted assuming a cure from Year 8 for osimertinib and from Year 5 for the placebo arm with no transition period resulted in an ICER of $</w:t>
      </w:r>
      <w:r w:rsidR="00CD3943" w:rsidRPr="00CD3943">
        <w:t>95,000</w:t>
      </w:r>
      <w:r w:rsidR="007B595C">
        <w:t> </w:t>
      </w:r>
      <w:r w:rsidR="00CD3943" w:rsidRPr="00CD3943">
        <w:t>to</w:t>
      </w:r>
      <w:r w:rsidR="007B595C">
        <w:t> </w:t>
      </w:r>
      <w:r w:rsidR="00CD3943" w:rsidRPr="00CD3943">
        <w:t>&lt;</w:t>
      </w:r>
      <w:r w:rsidR="009025CC">
        <w:t> </w:t>
      </w:r>
      <w:r w:rsidR="00CD3943" w:rsidRPr="00CD3943">
        <w:t xml:space="preserve">$115,000 </w:t>
      </w:r>
      <w:r w:rsidR="00DB025C" w:rsidRPr="00802EE4">
        <w:t xml:space="preserve"> per QALY</w:t>
      </w:r>
      <w:r w:rsidR="008B5700" w:rsidRPr="00802EE4">
        <w:t xml:space="preserve"> and allowing a one year transition period from Year 8 </w:t>
      </w:r>
      <w:r w:rsidR="000514B4" w:rsidRPr="00802EE4">
        <w:t xml:space="preserve">for osimertinib </w:t>
      </w:r>
      <w:r w:rsidR="008B5700" w:rsidRPr="00802EE4">
        <w:t xml:space="preserve">and Year 5 </w:t>
      </w:r>
      <w:r w:rsidR="000514B4" w:rsidRPr="00802EE4">
        <w:t xml:space="preserve">for placebo </w:t>
      </w:r>
      <w:r w:rsidR="008B5700" w:rsidRPr="00802EE4">
        <w:t>resulted in an ICER of $</w:t>
      </w:r>
      <w:r w:rsidR="00CD3943" w:rsidRPr="00CD3943">
        <w:t>95,000</w:t>
      </w:r>
      <w:r w:rsidR="007B595C">
        <w:t> </w:t>
      </w:r>
      <w:r w:rsidR="00CD3943" w:rsidRPr="00CD3943">
        <w:t>to</w:t>
      </w:r>
      <w:r w:rsidR="007B595C">
        <w:t> </w:t>
      </w:r>
      <w:r w:rsidR="00CD3943" w:rsidRPr="00CD3943">
        <w:t>&lt;</w:t>
      </w:r>
      <w:r w:rsidR="007B595C">
        <w:t> </w:t>
      </w:r>
      <w:r w:rsidR="00CD3943" w:rsidRPr="00CD3943">
        <w:t xml:space="preserve">$115,000 </w:t>
      </w:r>
      <w:r w:rsidR="008B5700" w:rsidRPr="00802EE4">
        <w:t xml:space="preserve"> per QALY</w:t>
      </w:r>
      <w:r w:rsidR="005E397B" w:rsidRPr="00802EE4">
        <w:t xml:space="preserve">. The pre-PBAC response noted applying the cure assumptions used by the ESC resulted in 63.8% of patients in the osimertinib arm entering the DM1 health state, compared to 64.5% in the placebo arm, a difference of 0.7%. The pre-PBAC response noted this should be considered pessimistic given the large magnitude of DFS benefit observed in ADAURA.  </w:t>
      </w:r>
      <w:bookmarkEnd w:id="51"/>
      <w:r w:rsidR="00641CB6" w:rsidRPr="00802EE4">
        <w:t xml:space="preserve"> </w:t>
      </w:r>
    </w:p>
    <w:p w14:paraId="01506397" w14:textId="1D93A3B7" w:rsidR="00B7688F" w:rsidRPr="00AA29D4" w:rsidRDefault="00B7688F" w:rsidP="00955FCA">
      <w:pPr>
        <w:pStyle w:val="3-BodyText"/>
      </w:pPr>
      <w:r w:rsidRPr="00802EE4">
        <w:t xml:space="preserve">25% of patients in the LRR health state were also assumed to be cured 5 years after entering the health state (with no </w:t>
      </w:r>
      <w:r w:rsidR="00D14AB7" w:rsidRPr="00802EE4">
        <w:t>transition to cure</w:t>
      </w:r>
      <w:r w:rsidRPr="00802EE4">
        <w:t xml:space="preserve"> period). The model assumed</w:t>
      </w:r>
      <w:r w:rsidRPr="00BA3F8A">
        <w:t xml:space="preserve"> patients in the DM1 and DM2 health states cannot be cured.</w:t>
      </w:r>
      <w:r w:rsidR="002A36F2" w:rsidRPr="00BA3F8A">
        <w:rPr>
          <w:i/>
          <w:iCs/>
        </w:rPr>
        <w:t xml:space="preserve"> </w:t>
      </w:r>
      <w:r w:rsidR="002A36F2" w:rsidRPr="000853E6">
        <w:t>The cure assumption in the LRR health state had minimal impact on the ICER.</w:t>
      </w:r>
      <w:r w:rsidR="00DB025C">
        <w:t xml:space="preserve"> </w:t>
      </w:r>
      <w:r w:rsidR="00DB025C" w:rsidRPr="00AA29D4">
        <w:t>The ESC considered an assumption of cure in the LRR health state was not well justified.</w:t>
      </w:r>
      <w:r w:rsidR="005E397B" w:rsidRPr="00AA29D4">
        <w:t xml:space="preserve"> </w:t>
      </w:r>
    </w:p>
    <w:p w14:paraId="1C2E88F8" w14:textId="194AC900" w:rsidR="00013F21" w:rsidRPr="00013F21" w:rsidRDefault="00FC63D4" w:rsidP="008E2470">
      <w:pPr>
        <w:pStyle w:val="3-BodyText"/>
        <w:rPr>
          <w:i/>
          <w:iCs/>
        </w:rPr>
      </w:pPr>
      <w:r w:rsidRPr="000853E6">
        <w:t xml:space="preserve">Model </w:t>
      </w:r>
      <w:r w:rsidR="002B07AB" w:rsidRPr="000853E6">
        <w:t>Markov</w:t>
      </w:r>
      <w:r w:rsidRPr="000853E6">
        <w:t xml:space="preserve"> trace</w:t>
      </w:r>
      <w:r w:rsidR="007D0011" w:rsidRPr="000853E6">
        <w:t>s</w:t>
      </w:r>
      <w:r w:rsidRPr="000853E6">
        <w:t xml:space="preserve"> </w:t>
      </w:r>
      <w:r w:rsidR="007D0011" w:rsidRPr="000853E6">
        <w:t>are</w:t>
      </w:r>
      <w:r w:rsidRPr="000853E6">
        <w:t xml:space="preserve"> presented in</w:t>
      </w:r>
      <w:r w:rsidR="002B07AB" w:rsidRPr="000853E6">
        <w:t xml:space="preserve"> </w:t>
      </w:r>
      <w:r w:rsidR="00071753" w:rsidRPr="000853E6">
        <w:fldChar w:fldCharType="begin" w:fldLock="1"/>
      </w:r>
      <w:r w:rsidR="00071753" w:rsidRPr="000853E6">
        <w:instrText xml:space="preserve"> REF _Ref144728063 \h  \* MERGEFORMAT </w:instrText>
      </w:r>
      <w:r w:rsidR="00071753" w:rsidRPr="000853E6">
        <w:fldChar w:fldCharType="separate"/>
      </w:r>
      <w:r w:rsidR="00071753" w:rsidRPr="000853E6">
        <w:t xml:space="preserve">Figure </w:t>
      </w:r>
      <w:r w:rsidR="00071753" w:rsidRPr="000853E6">
        <w:rPr>
          <w:noProof/>
        </w:rPr>
        <w:t>6</w:t>
      </w:r>
      <w:r w:rsidR="00071753" w:rsidRPr="000853E6">
        <w:fldChar w:fldCharType="end"/>
      </w:r>
      <w:r w:rsidR="00071753" w:rsidRPr="000853E6">
        <w:t xml:space="preserve"> for the base case</w:t>
      </w:r>
      <w:r w:rsidR="00751318" w:rsidRPr="000853E6">
        <w:t xml:space="preserve"> and </w:t>
      </w:r>
      <w:r w:rsidR="002B4557" w:rsidRPr="000853E6">
        <w:t xml:space="preserve">for the scenario where the cure assumption was removed from </w:t>
      </w:r>
      <w:r w:rsidR="00751318" w:rsidRPr="000853E6">
        <w:t>the DF health state.</w:t>
      </w:r>
      <w:r w:rsidR="002B07AB" w:rsidRPr="000853E6">
        <w:t xml:space="preserve"> </w:t>
      </w:r>
      <w:r w:rsidR="00955FCA" w:rsidRPr="000853E6">
        <w:rPr>
          <w:rFonts w:cs="Times New Roman"/>
          <w:lang w:eastAsia="en-US"/>
        </w:rPr>
        <w:t>The model trace</w:t>
      </w:r>
      <w:r w:rsidR="007D0011" w:rsidRPr="000853E6">
        <w:rPr>
          <w:rFonts w:cs="Times New Roman"/>
          <w:lang w:eastAsia="en-US"/>
        </w:rPr>
        <w:t>s</w:t>
      </w:r>
      <w:r w:rsidRPr="000853E6">
        <w:rPr>
          <w:rFonts w:cs="Times New Roman"/>
          <w:lang w:eastAsia="en-US"/>
        </w:rPr>
        <w:t xml:space="preserve"> </w:t>
      </w:r>
      <w:r w:rsidR="00955FCA" w:rsidRPr="000853E6">
        <w:rPr>
          <w:rFonts w:cs="Times New Roman"/>
          <w:lang w:eastAsia="en-US"/>
        </w:rPr>
        <w:t>illustrate</w:t>
      </w:r>
      <w:r w:rsidRPr="000853E6">
        <w:rPr>
          <w:rFonts w:cs="Times New Roman"/>
          <w:lang w:eastAsia="en-US"/>
        </w:rPr>
        <w:t xml:space="preserve"> </w:t>
      </w:r>
      <w:r w:rsidR="007D0011" w:rsidRPr="000853E6">
        <w:rPr>
          <w:rFonts w:cs="Times New Roman"/>
          <w:lang w:eastAsia="en-US"/>
        </w:rPr>
        <w:t xml:space="preserve">a large benefit for osimertinib versus placebo with respect to </w:t>
      </w:r>
      <w:r w:rsidRPr="000853E6">
        <w:rPr>
          <w:rFonts w:cs="Times New Roman"/>
          <w:lang w:eastAsia="en-US"/>
        </w:rPr>
        <w:t xml:space="preserve">DFS and OS. </w:t>
      </w:r>
      <w:r w:rsidR="007D0011" w:rsidRPr="000853E6">
        <w:rPr>
          <w:rFonts w:cs="Times New Roman"/>
          <w:lang w:eastAsia="en-US"/>
        </w:rPr>
        <w:t xml:space="preserve">A </w:t>
      </w:r>
      <w:r w:rsidR="00955FCA" w:rsidRPr="000853E6">
        <w:rPr>
          <w:rFonts w:cs="Times New Roman"/>
          <w:lang w:eastAsia="en-US"/>
        </w:rPr>
        <w:t>large</w:t>
      </w:r>
      <w:r w:rsidR="007D0011" w:rsidRPr="000853E6">
        <w:rPr>
          <w:rFonts w:cs="Times New Roman"/>
          <w:lang w:eastAsia="en-US"/>
        </w:rPr>
        <w:t>r</w:t>
      </w:r>
      <w:r w:rsidR="00955FCA" w:rsidRPr="000853E6">
        <w:rPr>
          <w:rFonts w:cs="Times New Roman"/>
          <w:lang w:eastAsia="en-US"/>
        </w:rPr>
        <w:t xml:space="preserve"> proportion of patients </w:t>
      </w:r>
      <w:r w:rsidR="007D0011" w:rsidRPr="000853E6">
        <w:rPr>
          <w:rFonts w:cs="Times New Roman"/>
          <w:lang w:eastAsia="en-US"/>
        </w:rPr>
        <w:t xml:space="preserve">treated with adjuvant osimertinib in the model </w:t>
      </w:r>
      <w:r w:rsidR="00955FCA" w:rsidRPr="000853E6">
        <w:rPr>
          <w:rFonts w:cs="Times New Roman"/>
          <w:lang w:eastAsia="en-US"/>
        </w:rPr>
        <w:t>remai</w:t>
      </w:r>
      <w:r w:rsidRPr="000853E6">
        <w:rPr>
          <w:rFonts w:cs="Times New Roman"/>
          <w:lang w:eastAsia="en-US"/>
        </w:rPr>
        <w:t>n</w:t>
      </w:r>
      <w:r w:rsidR="007D0011" w:rsidRPr="000853E6">
        <w:rPr>
          <w:rFonts w:cs="Times New Roman"/>
          <w:lang w:eastAsia="en-US"/>
        </w:rPr>
        <w:t>ed</w:t>
      </w:r>
      <w:r w:rsidRPr="000853E6">
        <w:rPr>
          <w:rFonts w:cs="Times New Roman"/>
          <w:lang w:eastAsia="en-US"/>
        </w:rPr>
        <w:t xml:space="preserve"> </w:t>
      </w:r>
      <w:r w:rsidR="002B4557" w:rsidRPr="000853E6">
        <w:rPr>
          <w:rFonts w:cs="Times New Roman"/>
          <w:lang w:eastAsia="en-US"/>
        </w:rPr>
        <w:t xml:space="preserve">in </w:t>
      </w:r>
      <w:r w:rsidR="00955FCA" w:rsidRPr="000853E6">
        <w:rPr>
          <w:rFonts w:cs="Times New Roman"/>
          <w:lang w:eastAsia="en-US"/>
        </w:rPr>
        <w:t>DF compared to placeb</w:t>
      </w:r>
      <w:r w:rsidRPr="000853E6">
        <w:rPr>
          <w:rFonts w:cs="Times New Roman"/>
          <w:lang w:eastAsia="en-US"/>
        </w:rPr>
        <w:t>o</w:t>
      </w:r>
      <w:r w:rsidR="007D0011" w:rsidRPr="000853E6">
        <w:rPr>
          <w:rFonts w:cs="Times New Roman"/>
          <w:lang w:eastAsia="en-US"/>
        </w:rPr>
        <w:t>, with the separation between the two arms widening at Year 4 (with the onset of the cure assumption)</w:t>
      </w:r>
      <w:r w:rsidRPr="000853E6">
        <w:rPr>
          <w:rFonts w:cs="Times New Roman"/>
          <w:lang w:eastAsia="en-US"/>
        </w:rPr>
        <w:t xml:space="preserve">. This </w:t>
      </w:r>
      <w:r w:rsidR="007D0011" w:rsidRPr="000853E6">
        <w:rPr>
          <w:rFonts w:cs="Times New Roman"/>
          <w:lang w:eastAsia="en-US"/>
        </w:rPr>
        <w:t xml:space="preserve">translated to </w:t>
      </w:r>
      <w:r w:rsidRPr="000853E6">
        <w:rPr>
          <w:rFonts w:cs="Times New Roman"/>
          <w:lang w:eastAsia="en-US"/>
        </w:rPr>
        <w:t>fewer patients transi</w:t>
      </w:r>
      <w:r w:rsidR="007D0011" w:rsidRPr="000853E6">
        <w:rPr>
          <w:rFonts w:cs="Times New Roman"/>
          <w:lang w:eastAsia="en-US"/>
        </w:rPr>
        <w:t xml:space="preserve">ting </w:t>
      </w:r>
      <w:r w:rsidR="00955FCA" w:rsidRPr="000853E6">
        <w:rPr>
          <w:rFonts w:cs="Times New Roman"/>
          <w:lang w:eastAsia="en-US"/>
        </w:rPr>
        <w:t xml:space="preserve">to the DM1 </w:t>
      </w:r>
      <w:r w:rsidRPr="000853E6">
        <w:rPr>
          <w:rFonts w:cs="Times New Roman"/>
          <w:lang w:eastAsia="en-US"/>
        </w:rPr>
        <w:t>and f</w:t>
      </w:r>
      <w:r w:rsidR="00955FCA" w:rsidRPr="000853E6">
        <w:rPr>
          <w:rFonts w:cs="Times New Roman"/>
          <w:lang w:eastAsia="en-US"/>
        </w:rPr>
        <w:t>ewer deaths in the osimertinib arm compared to placebo.</w:t>
      </w:r>
      <w:r w:rsidR="007D0011" w:rsidRPr="000853E6">
        <w:rPr>
          <w:rFonts w:cs="Times New Roman"/>
          <w:lang w:eastAsia="en-US"/>
        </w:rPr>
        <w:t xml:space="preserve"> Smaller differences between the two treatment arms were observed for LRR and DM2 comparatively. </w:t>
      </w:r>
      <w:r w:rsidR="002B4557" w:rsidRPr="000853E6">
        <w:rPr>
          <w:rFonts w:cs="Times New Roman"/>
          <w:lang w:eastAsia="en-US"/>
        </w:rPr>
        <w:t xml:space="preserve">Without the cure assumption small differences </w:t>
      </w:r>
      <w:r w:rsidR="00013F21" w:rsidRPr="000853E6">
        <w:rPr>
          <w:rFonts w:cs="Times New Roman"/>
          <w:lang w:eastAsia="en-US"/>
        </w:rPr>
        <w:t xml:space="preserve">in time spent in DF health state and in numbers of deaths were </w:t>
      </w:r>
      <w:r w:rsidR="002B4557" w:rsidRPr="000853E6">
        <w:rPr>
          <w:rFonts w:cs="Times New Roman"/>
          <w:lang w:eastAsia="en-US"/>
        </w:rPr>
        <w:t xml:space="preserve">noted between osimertinib and </w:t>
      </w:r>
      <w:r w:rsidR="00013F21" w:rsidRPr="000853E6">
        <w:rPr>
          <w:rFonts w:cs="Times New Roman"/>
          <w:lang w:eastAsia="en-US"/>
        </w:rPr>
        <w:t xml:space="preserve">placebo </w:t>
      </w:r>
      <w:r w:rsidR="00013F21" w:rsidRPr="000853E6">
        <w:t>and a greater number of patients in osimertinib in DM2 compared to those in the placebo arm of the model beyond Year 5.</w:t>
      </w:r>
    </w:p>
    <w:p w14:paraId="4AB7586C" w14:textId="6374CCCB" w:rsidR="00BA3F8A" w:rsidRPr="00013F21" w:rsidRDefault="00071753" w:rsidP="00013F21">
      <w:pPr>
        <w:pStyle w:val="3-BodyText"/>
        <w:keepNext/>
        <w:keepLines/>
        <w:numPr>
          <w:ilvl w:val="0"/>
          <w:numId w:val="0"/>
        </w:numPr>
        <w:rPr>
          <w:rFonts w:ascii="Arial Narrow" w:hAnsi="Arial Narrow"/>
          <w:b/>
          <w:sz w:val="20"/>
          <w:szCs w:val="20"/>
          <w:lang w:eastAsia="en-US"/>
        </w:rPr>
      </w:pPr>
      <w:bookmarkStart w:id="52" w:name="_Ref144728063"/>
      <w:r w:rsidRPr="00013F21">
        <w:rPr>
          <w:rFonts w:ascii="Arial Narrow" w:hAnsi="Arial Narrow"/>
          <w:b/>
          <w:sz w:val="20"/>
          <w:szCs w:val="20"/>
        </w:rPr>
        <w:t xml:space="preserve">Figure </w:t>
      </w:r>
      <w:r w:rsidR="00BD2730" w:rsidRPr="00013F21">
        <w:rPr>
          <w:rFonts w:ascii="Arial Narrow" w:hAnsi="Arial Narrow"/>
          <w:b/>
          <w:sz w:val="20"/>
          <w:szCs w:val="20"/>
        </w:rPr>
        <w:fldChar w:fldCharType="begin" w:fldLock="1"/>
      </w:r>
      <w:r w:rsidR="00BD2730" w:rsidRPr="00013F21">
        <w:rPr>
          <w:rFonts w:ascii="Arial Narrow" w:hAnsi="Arial Narrow"/>
          <w:b/>
          <w:sz w:val="20"/>
          <w:szCs w:val="20"/>
        </w:rPr>
        <w:instrText xml:space="preserve"> SEQ Figure \* ARABIC </w:instrText>
      </w:r>
      <w:r w:rsidR="00BD2730" w:rsidRPr="00013F21">
        <w:rPr>
          <w:rFonts w:ascii="Arial Narrow" w:hAnsi="Arial Narrow"/>
          <w:b/>
          <w:sz w:val="20"/>
          <w:szCs w:val="20"/>
        </w:rPr>
        <w:fldChar w:fldCharType="separate"/>
      </w:r>
      <w:r w:rsidRPr="00013F21">
        <w:rPr>
          <w:rFonts w:ascii="Arial Narrow" w:hAnsi="Arial Narrow"/>
          <w:b/>
          <w:noProof/>
          <w:sz w:val="20"/>
          <w:szCs w:val="20"/>
        </w:rPr>
        <w:t>6</w:t>
      </w:r>
      <w:r w:rsidR="00BD2730" w:rsidRPr="00013F21">
        <w:rPr>
          <w:rFonts w:ascii="Arial Narrow" w:hAnsi="Arial Narrow"/>
          <w:b/>
          <w:noProof/>
          <w:sz w:val="20"/>
          <w:szCs w:val="20"/>
        </w:rPr>
        <w:fldChar w:fldCharType="end"/>
      </w:r>
      <w:bookmarkEnd w:id="52"/>
      <w:r w:rsidR="00841DF3" w:rsidRPr="00013F21">
        <w:rPr>
          <w:rFonts w:ascii="Arial Narrow" w:hAnsi="Arial Narrow"/>
          <w:b/>
          <w:sz w:val="20"/>
          <w:szCs w:val="20"/>
          <w:lang w:eastAsia="en-US"/>
        </w:rPr>
        <w:t>: Markov trace</w:t>
      </w:r>
      <w:r w:rsidR="00BA3F8A">
        <w:rPr>
          <w:rFonts w:ascii="Arial Narrow" w:hAnsi="Arial Narrow"/>
          <w:b/>
          <w:sz w:val="20"/>
          <w:szCs w:val="20"/>
          <w:lang w:eastAsia="en-US"/>
        </w:rPr>
        <w:t>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4508"/>
        <w:gridCol w:w="4509"/>
      </w:tblGrid>
      <w:tr w:rsidR="002B4557" w:rsidRPr="002B4557" w14:paraId="5476CCA3" w14:textId="77777777" w:rsidTr="002B4557">
        <w:tc>
          <w:tcPr>
            <w:tcW w:w="4508" w:type="dxa"/>
          </w:tcPr>
          <w:p w14:paraId="1C8C5703" w14:textId="51986693" w:rsidR="002B4557" w:rsidRPr="002B4557" w:rsidRDefault="002B4557" w:rsidP="00013F21">
            <w:pPr>
              <w:keepNext/>
              <w:keepLines/>
              <w:jc w:val="center"/>
              <w:rPr>
                <w:rFonts w:ascii="Arial Narrow" w:hAnsi="Arial Narrow"/>
                <w:b/>
                <w:sz w:val="20"/>
                <w:lang w:eastAsia="en-US"/>
              </w:rPr>
            </w:pPr>
            <w:r w:rsidRPr="002B4557">
              <w:rPr>
                <w:rFonts w:ascii="Arial Narrow" w:hAnsi="Arial Narrow"/>
                <w:b/>
                <w:sz w:val="20"/>
                <w:lang w:eastAsia="en-US"/>
              </w:rPr>
              <w:t>Base case</w:t>
            </w:r>
          </w:p>
        </w:tc>
        <w:tc>
          <w:tcPr>
            <w:tcW w:w="4509" w:type="dxa"/>
          </w:tcPr>
          <w:p w14:paraId="4EF2D233" w14:textId="0F63C1EE" w:rsidR="002B4557" w:rsidRPr="002B4557" w:rsidRDefault="002B4557" w:rsidP="00013F21">
            <w:pPr>
              <w:keepNext/>
              <w:keepLines/>
              <w:jc w:val="center"/>
              <w:rPr>
                <w:rFonts w:ascii="Arial Narrow" w:hAnsi="Arial Narrow"/>
                <w:b/>
                <w:sz w:val="20"/>
                <w:lang w:eastAsia="en-US"/>
              </w:rPr>
            </w:pPr>
            <w:r w:rsidRPr="002B4557">
              <w:rPr>
                <w:rFonts w:ascii="Arial Narrow" w:hAnsi="Arial Narrow"/>
                <w:b/>
                <w:sz w:val="20"/>
                <w:lang w:eastAsia="en-US"/>
              </w:rPr>
              <w:t>Cure assumption removed</w:t>
            </w:r>
          </w:p>
        </w:tc>
      </w:tr>
      <w:tr w:rsidR="002B4557" w:rsidRPr="002B4557" w14:paraId="12807126" w14:textId="77777777" w:rsidTr="002B4557">
        <w:tc>
          <w:tcPr>
            <w:tcW w:w="4508" w:type="dxa"/>
          </w:tcPr>
          <w:p w14:paraId="6C956872" w14:textId="74614588" w:rsidR="002B4557" w:rsidRPr="002B4557" w:rsidRDefault="002B4557" w:rsidP="00013F21">
            <w:pPr>
              <w:keepNext/>
              <w:keepLines/>
              <w:rPr>
                <w:rFonts w:ascii="Arial Narrow" w:hAnsi="Arial Narrow"/>
                <w:sz w:val="20"/>
                <w:lang w:eastAsia="en-US"/>
              </w:rPr>
            </w:pPr>
            <w:r>
              <w:rPr>
                <w:rFonts w:ascii="Arial Narrow" w:hAnsi="Arial Narrow" w:cs="Times New Roman"/>
                <w:b/>
                <w:noProof/>
                <w:sz w:val="20"/>
                <w:szCs w:val="20"/>
                <w:lang w:eastAsia="zh-CN"/>
              </w:rPr>
              <w:drawing>
                <wp:inline distT="0" distB="0" distL="0" distR="0" wp14:anchorId="52B5796D" wp14:editId="1E0299F7">
                  <wp:extent cx="2885657" cy="219456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3108660" cy="2364155"/>
                          </a:xfrm>
                          <a:prstGeom prst="rect">
                            <a:avLst/>
                          </a:prstGeom>
                          <a:noFill/>
                        </pic:spPr>
                      </pic:pic>
                    </a:graphicData>
                  </a:graphic>
                </wp:inline>
              </w:drawing>
            </w:r>
          </w:p>
        </w:tc>
        <w:tc>
          <w:tcPr>
            <w:tcW w:w="4509" w:type="dxa"/>
          </w:tcPr>
          <w:p w14:paraId="3AD4D872" w14:textId="0F5E1614" w:rsidR="002B4557" w:rsidRPr="002B4557" w:rsidRDefault="002B4557" w:rsidP="00013F21">
            <w:pPr>
              <w:keepNext/>
              <w:keepLines/>
              <w:rPr>
                <w:rFonts w:ascii="Arial Narrow" w:hAnsi="Arial Narrow"/>
                <w:sz w:val="20"/>
                <w:lang w:eastAsia="en-US"/>
              </w:rPr>
            </w:pPr>
            <w:r>
              <w:rPr>
                <w:i/>
                <w:iCs/>
                <w:noProof/>
                <w:lang w:eastAsia="zh-CN"/>
              </w:rPr>
              <w:drawing>
                <wp:inline distT="0" distB="0" distL="0" distR="0" wp14:anchorId="2781A847" wp14:editId="40158BC2">
                  <wp:extent cx="2817368" cy="2150669"/>
                  <wp:effectExtent l="0" t="0" r="2540" b="254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2927021" cy="2234374"/>
                          </a:xfrm>
                          <a:prstGeom prst="rect">
                            <a:avLst/>
                          </a:prstGeom>
                          <a:noFill/>
                        </pic:spPr>
                      </pic:pic>
                    </a:graphicData>
                  </a:graphic>
                </wp:inline>
              </w:drawing>
            </w:r>
          </w:p>
        </w:tc>
      </w:tr>
    </w:tbl>
    <w:p w14:paraId="482E1612" w14:textId="77777777" w:rsidR="00841DF3" w:rsidRPr="001B21E1" w:rsidRDefault="00841DF3" w:rsidP="00013F21">
      <w:pPr>
        <w:keepNext/>
        <w:keepLines/>
        <w:rPr>
          <w:rFonts w:ascii="Arial Narrow" w:hAnsi="Arial Narrow" w:cs="Times New Roman"/>
          <w:iCs/>
          <w:sz w:val="18"/>
          <w:lang w:eastAsia="en-US"/>
        </w:rPr>
      </w:pPr>
      <w:r w:rsidRPr="001B21E1">
        <w:rPr>
          <w:rFonts w:ascii="Arial Narrow" w:hAnsi="Arial Narrow" w:cs="Times New Roman"/>
          <w:iCs/>
          <w:sz w:val="18"/>
          <w:lang w:eastAsia="en-US"/>
        </w:rPr>
        <w:t xml:space="preserve">Source: constructed using Tagrisso (osimertinib) Adjuvant CEA EXCEL file. </w:t>
      </w:r>
    </w:p>
    <w:p w14:paraId="2B1190E6" w14:textId="77777777" w:rsidR="00841DF3" w:rsidRDefault="00841DF3" w:rsidP="00013F21">
      <w:pPr>
        <w:pStyle w:val="TableFigureFooter"/>
        <w:keepNext/>
        <w:keepLines/>
      </w:pPr>
      <w:r w:rsidRPr="000445F7">
        <w:t>DF</w:t>
      </w:r>
      <w:r>
        <w:t xml:space="preserve">S </w:t>
      </w:r>
      <w:r w:rsidRPr="000445F7">
        <w:t>=</w:t>
      </w:r>
      <w:r>
        <w:t xml:space="preserve"> disease-free</w:t>
      </w:r>
      <w:r w:rsidRPr="000445F7">
        <w:t>; DM1 = first-line treatment for distant metastatic NSCLC; DM2 = second-line treatment for distant metastatic NSCLC; LRR = loco/regional recurrence; NSCLC=non=small cell lung carcinoma</w:t>
      </w:r>
      <w:r>
        <w:t>.</w:t>
      </w:r>
    </w:p>
    <w:p w14:paraId="3A333D6C" w14:textId="1EA2C55C" w:rsidR="00841DF3" w:rsidRPr="009B5ACD" w:rsidRDefault="009B5ACD" w:rsidP="00CE526A">
      <w:pPr>
        <w:pStyle w:val="3-BodyText"/>
      </w:pPr>
      <w:r w:rsidRPr="0058641B">
        <w:t>A summary of the key drivers of the model is given in</w:t>
      </w:r>
      <w:r w:rsidR="00013F21">
        <w:t xml:space="preserve"> </w:t>
      </w:r>
      <w:r w:rsidR="00013F21">
        <w:fldChar w:fldCharType="begin" w:fldLock="1"/>
      </w:r>
      <w:r w:rsidR="00013F21">
        <w:instrText xml:space="preserve"> REF _Ref104805122 \h </w:instrText>
      </w:r>
      <w:r w:rsidR="00CE526A">
        <w:instrText xml:space="preserve"> \* MERGEFORMAT </w:instrText>
      </w:r>
      <w:r w:rsidR="00013F21">
        <w:fldChar w:fldCharType="separate"/>
      </w:r>
      <w:r w:rsidR="00013F21">
        <w:t xml:space="preserve">Table </w:t>
      </w:r>
      <w:r w:rsidR="00013F21">
        <w:rPr>
          <w:noProof/>
        </w:rPr>
        <w:t>10</w:t>
      </w:r>
      <w:r w:rsidR="00013F21">
        <w:fldChar w:fldCharType="end"/>
      </w:r>
      <w:r w:rsidR="00013F21">
        <w:t>.</w:t>
      </w:r>
    </w:p>
    <w:p w14:paraId="26CE0E1D" w14:textId="089F8BE7" w:rsidR="00FA4B8D" w:rsidRPr="00BB00B3" w:rsidRDefault="00FA4B8D" w:rsidP="00FA4B8D">
      <w:pPr>
        <w:pStyle w:val="Caption"/>
        <w:jc w:val="left"/>
        <w:rPr>
          <w:rStyle w:val="CommentReference"/>
          <w:b/>
          <w:szCs w:val="24"/>
        </w:rPr>
      </w:pPr>
      <w:bookmarkStart w:id="53" w:name="_Ref104805122"/>
      <w:r>
        <w:t xml:space="preserve">Table </w:t>
      </w:r>
      <w:r w:rsidR="001E77BF">
        <w:fldChar w:fldCharType="begin" w:fldLock="1"/>
      </w:r>
      <w:r w:rsidR="001E77BF">
        <w:instrText xml:space="preserve"> SEQ Table \* ARABIC </w:instrText>
      </w:r>
      <w:r w:rsidR="001E77BF">
        <w:fldChar w:fldCharType="separate"/>
      </w:r>
      <w:r w:rsidR="00000F78">
        <w:rPr>
          <w:noProof/>
        </w:rPr>
        <w:t>10</w:t>
      </w:r>
      <w:r w:rsidR="001E77BF">
        <w:rPr>
          <w:noProof/>
        </w:rPr>
        <w:fldChar w:fldCharType="end"/>
      </w:r>
      <w:bookmarkEnd w:id="53"/>
      <w:r>
        <w:t>:</w:t>
      </w:r>
      <w:r w:rsidRPr="00BB00B3">
        <w:rPr>
          <w:rStyle w:val="CommentReference"/>
          <w:b/>
          <w:szCs w:val="24"/>
        </w:rPr>
        <w:t xml:space="preserve"> Key drivers of the model</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1127"/>
        <w:gridCol w:w="3403"/>
        <w:gridCol w:w="4487"/>
      </w:tblGrid>
      <w:tr w:rsidR="00FA4B8D" w:rsidRPr="003D1DE4" w14:paraId="06E23E10" w14:textId="77777777" w:rsidTr="00231D8D">
        <w:trPr>
          <w:tblHeader/>
        </w:trPr>
        <w:tc>
          <w:tcPr>
            <w:tcW w:w="625" w:type="pct"/>
            <w:shd w:val="clear" w:color="auto" w:fill="auto"/>
            <w:vAlign w:val="center"/>
          </w:tcPr>
          <w:p w14:paraId="4A004753" w14:textId="77777777" w:rsidR="00FA4B8D" w:rsidRPr="003D1DE4" w:rsidRDefault="00FA4B8D" w:rsidP="009E7751">
            <w:pPr>
              <w:pStyle w:val="In-tableHeading"/>
              <w:jc w:val="center"/>
            </w:pPr>
            <w:r w:rsidRPr="003D1DE4">
              <w:t>Description</w:t>
            </w:r>
          </w:p>
        </w:tc>
        <w:tc>
          <w:tcPr>
            <w:tcW w:w="1887" w:type="pct"/>
            <w:shd w:val="clear" w:color="auto" w:fill="auto"/>
            <w:vAlign w:val="center"/>
          </w:tcPr>
          <w:p w14:paraId="07BD1E5C" w14:textId="77777777" w:rsidR="00FA4B8D" w:rsidRPr="003D1DE4" w:rsidRDefault="00FA4B8D" w:rsidP="009E7751">
            <w:pPr>
              <w:pStyle w:val="In-tableHeading"/>
              <w:jc w:val="center"/>
            </w:pPr>
            <w:r w:rsidRPr="003D1DE4">
              <w:t>Method/Value</w:t>
            </w:r>
          </w:p>
        </w:tc>
        <w:tc>
          <w:tcPr>
            <w:tcW w:w="2488" w:type="pct"/>
            <w:shd w:val="clear" w:color="auto" w:fill="auto"/>
            <w:vAlign w:val="center"/>
          </w:tcPr>
          <w:p w14:paraId="7D4275C7" w14:textId="77777777" w:rsidR="00FA4B8D" w:rsidRDefault="00FA4B8D" w:rsidP="009E7751">
            <w:pPr>
              <w:pStyle w:val="In-tableHeading"/>
              <w:jc w:val="center"/>
            </w:pPr>
            <w:r w:rsidRPr="003D1DE4">
              <w:t>Impact</w:t>
            </w:r>
          </w:p>
          <w:p w14:paraId="79AD42A2" w14:textId="1D615A58" w:rsidR="00FA4B8D" w:rsidRPr="003D1DE4" w:rsidRDefault="00FA4B8D" w:rsidP="009E7751">
            <w:pPr>
              <w:pStyle w:val="In-tableHeading"/>
              <w:jc w:val="center"/>
            </w:pPr>
            <w:r w:rsidRPr="00354F64">
              <w:rPr>
                <w:rFonts w:cs="Arial"/>
                <w:szCs w:val="20"/>
              </w:rPr>
              <w:t xml:space="preserve">Base case: </w:t>
            </w:r>
            <w:r w:rsidR="00E927A0" w:rsidRPr="00E927A0">
              <w:rPr>
                <w:rFonts w:cs="Arial"/>
                <w:color w:val="000000"/>
                <w:szCs w:val="20"/>
                <w:shd w:val="solid" w:color="000000" w:fill="000000"/>
                <w14:textFill>
                  <w14:solidFill>
                    <w14:srgbClr w14:val="000000">
                      <w14:alpha w14:val="100000"/>
                    </w14:srgbClr>
                  </w14:solidFill>
                </w14:textFill>
              </w:rPr>
              <w:t>|</w:t>
            </w:r>
            <w:r w:rsidR="00CD3943" w:rsidRPr="00CD3943">
              <w:rPr>
                <w:rFonts w:cs="Arial"/>
                <w:szCs w:val="20"/>
                <w:vertAlign w:val="superscript"/>
              </w:rPr>
              <w:t>1</w:t>
            </w:r>
            <w:r w:rsidR="00CD3943">
              <w:rPr>
                <w:rFonts w:cs="Arial"/>
                <w:szCs w:val="20"/>
              </w:rPr>
              <w:t xml:space="preserve"> </w:t>
            </w:r>
            <w:r w:rsidRPr="00354F64">
              <w:rPr>
                <w:rFonts w:cs="Arial"/>
                <w:szCs w:val="20"/>
              </w:rPr>
              <w:t>/QALY gained</w:t>
            </w:r>
          </w:p>
        </w:tc>
      </w:tr>
      <w:tr w:rsidR="00FA4B8D" w:rsidRPr="00E2771E" w14:paraId="60C2DA13" w14:textId="77777777" w:rsidTr="00231D8D">
        <w:tc>
          <w:tcPr>
            <w:tcW w:w="625" w:type="pct"/>
            <w:shd w:val="clear" w:color="auto" w:fill="auto"/>
            <w:vAlign w:val="center"/>
          </w:tcPr>
          <w:p w14:paraId="30738D02" w14:textId="77777777" w:rsidR="00FA4B8D" w:rsidRPr="00231D8D" w:rsidRDefault="00FA4B8D" w:rsidP="009E7751">
            <w:pPr>
              <w:pStyle w:val="TableText0"/>
              <w:rPr>
                <w:szCs w:val="20"/>
                <w:lang w:val="en-US"/>
              </w:rPr>
            </w:pPr>
            <w:r w:rsidRPr="00231D8D">
              <w:rPr>
                <w:szCs w:val="20"/>
                <w:lang w:val="en-US"/>
              </w:rPr>
              <w:t>Time horizon</w:t>
            </w:r>
          </w:p>
        </w:tc>
        <w:tc>
          <w:tcPr>
            <w:tcW w:w="1887" w:type="pct"/>
            <w:shd w:val="clear" w:color="auto" w:fill="auto"/>
            <w:vAlign w:val="center"/>
          </w:tcPr>
          <w:p w14:paraId="5BF54B1C" w14:textId="77777777" w:rsidR="00FA4B8D" w:rsidRPr="000853E6" w:rsidRDefault="00FA4B8D" w:rsidP="009E7751">
            <w:pPr>
              <w:pStyle w:val="TableText0"/>
              <w:rPr>
                <w:szCs w:val="20"/>
                <w:lang w:val="en-US"/>
              </w:rPr>
            </w:pPr>
            <w:r w:rsidRPr="000853E6">
              <w:rPr>
                <w:szCs w:val="20"/>
              </w:rPr>
              <w:t>Model adopted a 25-year time horizon. May not be reasonable. For atezolizumab in resected Stage II-IIIA PD-L1 positive NSCLC the PBAC considered 15 years to be the more appropriate time horizon in this population (para 6.37, atezolizumab PSD, July 2022)</w:t>
            </w:r>
          </w:p>
        </w:tc>
        <w:tc>
          <w:tcPr>
            <w:tcW w:w="2488" w:type="pct"/>
            <w:shd w:val="clear" w:color="auto" w:fill="auto"/>
            <w:vAlign w:val="center"/>
          </w:tcPr>
          <w:p w14:paraId="6C4F52A7" w14:textId="18C2E9BA" w:rsidR="00FA4B8D" w:rsidRPr="000853E6" w:rsidRDefault="00FA4B8D" w:rsidP="009E7751">
            <w:pPr>
              <w:pStyle w:val="TableText0"/>
              <w:rPr>
                <w:szCs w:val="20"/>
                <w:lang w:val="en-US"/>
              </w:rPr>
            </w:pPr>
            <w:r w:rsidRPr="000853E6">
              <w:rPr>
                <w:szCs w:val="20"/>
                <w:lang w:val="en-US"/>
              </w:rPr>
              <w:t>High, favoured osimertinib.</w:t>
            </w:r>
          </w:p>
          <w:p w14:paraId="3A22B692" w14:textId="4847E954" w:rsidR="00FA4B8D" w:rsidRPr="000853E6" w:rsidRDefault="00FA4B8D" w:rsidP="009E7751">
            <w:pPr>
              <w:pStyle w:val="TableText0"/>
              <w:rPr>
                <w:szCs w:val="20"/>
                <w:lang w:val="en-US"/>
              </w:rPr>
            </w:pPr>
            <w:r w:rsidRPr="000853E6">
              <w:rPr>
                <w:szCs w:val="20"/>
                <w:lang w:val="en-US"/>
              </w:rPr>
              <w:t>Time horizon of 15 years, increased the ICER to $</w:t>
            </w:r>
            <w:r w:rsidR="00E927A0" w:rsidRPr="00E927A0">
              <w:rPr>
                <w:color w:val="000000"/>
                <w:spacing w:val="53"/>
                <w:szCs w:val="20"/>
                <w:shd w:val="solid" w:color="000000" w:fill="000000"/>
                <w:fitText w:val="332" w:id="-1032092666"/>
                <w:lang w:val="en-US"/>
                <w14:textFill>
                  <w14:solidFill>
                    <w14:srgbClr w14:val="000000">
                      <w14:alpha w14:val="100000"/>
                    </w14:srgbClr>
                  </w14:solidFill>
                </w14:textFill>
              </w:rPr>
              <w:t>|||</w:t>
            </w:r>
            <w:r w:rsidR="00E927A0" w:rsidRPr="00E927A0">
              <w:rPr>
                <w:color w:val="000000"/>
                <w:spacing w:val="3"/>
                <w:szCs w:val="20"/>
                <w:shd w:val="solid" w:color="000000" w:fill="000000"/>
                <w:fitText w:val="332" w:id="-1032092666"/>
                <w:lang w:val="en-US"/>
                <w14:textFill>
                  <w14:solidFill>
                    <w14:srgbClr w14:val="000000">
                      <w14:alpha w14:val="100000"/>
                    </w14:srgbClr>
                  </w14:solidFill>
                </w14:textFill>
              </w:rPr>
              <w:t>|</w:t>
            </w:r>
            <w:r w:rsidR="002F4310">
              <w:rPr>
                <w:szCs w:val="20"/>
                <w:vertAlign w:val="superscript"/>
                <w:lang w:val="en-US"/>
              </w:rPr>
              <w:t>4</w:t>
            </w:r>
            <w:r w:rsidRPr="000853E6">
              <w:rPr>
                <w:szCs w:val="20"/>
                <w:lang w:val="en-US"/>
              </w:rPr>
              <w:t xml:space="preserve">/QALY </w:t>
            </w:r>
            <w:r w:rsidR="00B7688F" w:rsidRPr="000853E6">
              <w:rPr>
                <w:szCs w:val="20"/>
                <w:lang w:val="en-US"/>
              </w:rPr>
              <w:t>gained.</w:t>
            </w:r>
          </w:p>
        </w:tc>
      </w:tr>
      <w:tr w:rsidR="00FA4B8D" w:rsidRPr="00E2771E" w14:paraId="1944E890" w14:textId="77777777" w:rsidTr="007D0011">
        <w:trPr>
          <w:trHeight w:val="1964"/>
        </w:trPr>
        <w:tc>
          <w:tcPr>
            <w:tcW w:w="625" w:type="pct"/>
            <w:shd w:val="clear" w:color="auto" w:fill="auto"/>
            <w:vAlign w:val="center"/>
          </w:tcPr>
          <w:p w14:paraId="2E34FF58" w14:textId="3C49B8B9" w:rsidR="00FA4B8D" w:rsidRPr="001B21E1" w:rsidRDefault="00FA4B8D" w:rsidP="009E7751">
            <w:pPr>
              <w:pStyle w:val="TableText0"/>
              <w:rPr>
                <w:szCs w:val="20"/>
                <w:lang w:val="en-US"/>
              </w:rPr>
            </w:pPr>
            <w:r w:rsidRPr="001B21E1">
              <w:rPr>
                <w:szCs w:val="20"/>
                <w:lang w:val="en-US"/>
              </w:rPr>
              <w:t>Cure assumptions</w:t>
            </w:r>
          </w:p>
        </w:tc>
        <w:tc>
          <w:tcPr>
            <w:tcW w:w="1887" w:type="pct"/>
            <w:shd w:val="clear" w:color="auto" w:fill="auto"/>
            <w:vAlign w:val="center"/>
          </w:tcPr>
          <w:p w14:paraId="423490C9" w14:textId="77777777" w:rsidR="00FA4B8D" w:rsidRPr="000853E6" w:rsidRDefault="00FA4B8D" w:rsidP="009E7751">
            <w:pPr>
              <w:rPr>
                <w:sz w:val="20"/>
                <w:szCs w:val="20"/>
                <w:lang w:val="en-US"/>
              </w:rPr>
            </w:pPr>
            <w:r w:rsidRPr="000853E6">
              <w:rPr>
                <w:rFonts w:ascii="Arial Narrow" w:hAnsi="Arial Narrow"/>
                <w:sz w:val="20"/>
                <w:szCs w:val="20"/>
              </w:rPr>
              <w:t>The model allowed a proportion of patients in the DF health state to be “cured” increasing linearly starting from 48 months to a maximum of 92% at Year 5. The same assumption was applied in both treatment arms of the model.</w:t>
            </w:r>
          </w:p>
        </w:tc>
        <w:tc>
          <w:tcPr>
            <w:tcW w:w="2488" w:type="pct"/>
            <w:shd w:val="clear" w:color="auto" w:fill="auto"/>
            <w:vAlign w:val="center"/>
          </w:tcPr>
          <w:p w14:paraId="75A3433C" w14:textId="77777777" w:rsidR="00FA4B8D" w:rsidRPr="000853E6" w:rsidRDefault="00FA4B8D" w:rsidP="009E7751">
            <w:pPr>
              <w:pStyle w:val="TableText0"/>
              <w:rPr>
                <w:szCs w:val="20"/>
                <w:lang w:val="en-US"/>
              </w:rPr>
            </w:pPr>
            <w:r w:rsidRPr="000853E6">
              <w:rPr>
                <w:szCs w:val="20"/>
                <w:lang w:val="en-US"/>
              </w:rPr>
              <w:t>High, favoured osimertinib.</w:t>
            </w:r>
          </w:p>
          <w:p w14:paraId="195627E3" w14:textId="6D393F0E" w:rsidR="00FA4B8D" w:rsidRPr="000853E6" w:rsidRDefault="00FA4B8D" w:rsidP="007D0011">
            <w:pPr>
              <w:pStyle w:val="TableText0"/>
              <w:rPr>
                <w:szCs w:val="20"/>
              </w:rPr>
            </w:pPr>
            <w:r w:rsidRPr="000853E6">
              <w:rPr>
                <w:szCs w:val="20"/>
                <w:lang w:val="en-US"/>
              </w:rPr>
              <w:t xml:space="preserve">Removing the cure assumption for the DF health state, increased the ICER to </w:t>
            </w:r>
            <w:r w:rsidR="00E927A0" w:rsidRPr="00E927A0">
              <w:rPr>
                <w:color w:val="000000"/>
                <w:spacing w:val="53"/>
                <w:szCs w:val="20"/>
                <w:shd w:val="solid" w:color="000000" w:fill="000000"/>
                <w:fitText w:val="332" w:id="-1032092665"/>
                <w:lang w:val="en-US"/>
                <w14:textFill>
                  <w14:solidFill>
                    <w14:srgbClr w14:val="000000">
                      <w14:alpha w14:val="100000"/>
                    </w14:srgbClr>
                  </w14:solidFill>
                </w14:textFill>
              </w:rPr>
              <w:t>|||</w:t>
            </w:r>
            <w:r w:rsidR="00E927A0" w:rsidRPr="00E927A0">
              <w:rPr>
                <w:color w:val="000000"/>
                <w:spacing w:val="3"/>
                <w:szCs w:val="20"/>
                <w:shd w:val="solid" w:color="000000" w:fill="000000"/>
                <w:fitText w:val="332" w:id="-1032092665"/>
                <w:lang w:val="en-US"/>
                <w14:textFill>
                  <w14:solidFill>
                    <w14:srgbClr w14:val="000000">
                      <w14:alpha w14:val="100000"/>
                    </w14:srgbClr>
                  </w14:solidFill>
                </w14:textFill>
              </w:rPr>
              <w:t>|</w:t>
            </w:r>
            <w:r w:rsidR="00C75B86" w:rsidRPr="00C75B86">
              <w:rPr>
                <w:szCs w:val="20"/>
                <w:vertAlign w:val="superscript"/>
                <w:lang w:val="en-US"/>
              </w:rPr>
              <w:t>2</w:t>
            </w:r>
            <w:r w:rsidR="00C75B86">
              <w:rPr>
                <w:szCs w:val="20"/>
                <w:lang w:val="en-US"/>
              </w:rPr>
              <w:t xml:space="preserve"> </w:t>
            </w:r>
            <w:r w:rsidRPr="000853E6">
              <w:rPr>
                <w:szCs w:val="20"/>
                <w:lang w:val="en-US"/>
              </w:rPr>
              <w:t>/QALY.</w:t>
            </w:r>
            <w:r w:rsidR="007D0011" w:rsidRPr="000853E6">
              <w:rPr>
                <w:szCs w:val="20"/>
                <w:lang w:val="en-US"/>
              </w:rPr>
              <w:t xml:space="preserve"> </w:t>
            </w:r>
            <w:r w:rsidR="00B7688F" w:rsidRPr="000853E6">
              <w:rPr>
                <w:szCs w:val="20"/>
              </w:rPr>
              <w:t>Assuming</w:t>
            </w:r>
            <w:r w:rsidR="00943DFF" w:rsidRPr="000853E6">
              <w:rPr>
                <w:szCs w:val="20"/>
              </w:rPr>
              <w:t xml:space="preserve"> cure can only be declared once patients have had been off all active treatments for 5 years (</w:t>
            </w:r>
            <w:r w:rsidR="00D14AB7" w:rsidRPr="000853E6">
              <w:rPr>
                <w:szCs w:val="20"/>
              </w:rPr>
              <w:t xml:space="preserve">and maintaining the assumed </w:t>
            </w:r>
            <w:r w:rsidR="00943DFF" w:rsidRPr="000853E6">
              <w:rPr>
                <w:szCs w:val="20"/>
              </w:rPr>
              <w:t>1 year</w:t>
            </w:r>
            <w:r w:rsidR="00D14AB7" w:rsidRPr="000853E6">
              <w:rPr>
                <w:szCs w:val="20"/>
              </w:rPr>
              <w:t xml:space="preserve"> transition to cure period</w:t>
            </w:r>
            <w:r w:rsidR="00943DFF" w:rsidRPr="000853E6">
              <w:rPr>
                <w:szCs w:val="20"/>
              </w:rPr>
              <w:t>)</w:t>
            </w:r>
            <w:r w:rsidR="00B7688F" w:rsidRPr="000853E6">
              <w:rPr>
                <w:szCs w:val="20"/>
              </w:rPr>
              <w:t xml:space="preserve"> </w:t>
            </w:r>
            <w:r w:rsidR="00943DFF" w:rsidRPr="000853E6">
              <w:rPr>
                <w:szCs w:val="20"/>
              </w:rPr>
              <w:t xml:space="preserve">therefore </w:t>
            </w:r>
            <w:r w:rsidR="00B7688F" w:rsidRPr="000853E6">
              <w:rPr>
                <w:szCs w:val="20"/>
              </w:rPr>
              <w:t>transition to cure from Year 7 up to 92%</w:t>
            </w:r>
            <w:r w:rsidR="00346AD2" w:rsidRPr="000853E6">
              <w:rPr>
                <w:szCs w:val="20"/>
              </w:rPr>
              <w:t xml:space="preserve"> </w:t>
            </w:r>
            <w:r w:rsidR="00B7688F" w:rsidRPr="000853E6">
              <w:rPr>
                <w:szCs w:val="20"/>
              </w:rPr>
              <w:t>in Year 8</w:t>
            </w:r>
            <w:r w:rsidR="00943DFF" w:rsidRPr="000853E6">
              <w:rPr>
                <w:szCs w:val="20"/>
              </w:rPr>
              <w:t xml:space="preserve"> in the osimertinib</w:t>
            </w:r>
            <w:r w:rsidR="00B7688F" w:rsidRPr="000853E6">
              <w:rPr>
                <w:szCs w:val="20"/>
              </w:rPr>
              <w:t xml:space="preserve"> </w:t>
            </w:r>
            <w:r w:rsidR="00D14AB7" w:rsidRPr="000853E6">
              <w:rPr>
                <w:szCs w:val="20"/>
              </w:rPr>
              <w:t xml:space="preserve">arm </w:t>
            </w:r>
            <w:r w:rsidR="00B7688F" w:rsidRPr="000853E6">
              <w:rPr>
                <w:szCs w:val="20"/>
              </w:rPr>
              <w:t>and maintaining the base case assumption</w:t>
            </w:r>
            <w:r w:rsidR="00D14AB7" w:rsidRPr="000853E6">
              <w:rPr>
                <w:szCs w:val="20"/>
              </w:rPr>
              <w:t>s</w:t>
            </w:r>
            <w:r w:rsidR="00B7688F" w:rsidRPr="000853E6">
              <w:rPr>
                <w:szCs w:val="20"/>
              </w:rPr>
              <w:t xml:space="preserve"> for the placebo arm, increased the ICER to </w:t>
            </w:r>
            <w:r w:rsidR="00E927A0" w:rsidRPr="00E927A0">
              <w:rPr>
                <w:color w:val="000000"/>
                <w:spacing w:val="53"/>
                <w:szCs w:val="20"/>
                <w:shd w:val="solid" w:color="000000" w:fill="000000"/>
                <w:fitText w:val="332" w:id="-1032092664"/>
                <w14:textFill>
                  <w14:solidFill>
                    <w14:srgbClr w14:val="000000">
                      <w14:alpha w14:val="100000"/>
                    </w14:srgbClr>
                  </w14:solidFill>
                </w14:textFill>
              </w:rPr>
              <w:t>|||</w:t>
            </w:r>
            <w:r w:rsidR="00E927A0" w:rsidRPr="00E927A0">
              <w:rPr>
                <w:color w:val="000000"/>
                <w:spacing w:val="3"/>
                <w:szCs w:val="20"/>
                <w:shd w:val="solid" w:color="000000" w:fill="000000"/>
                <w:fitText w:val="332" w:id="-1032092664"/>
                <w14:textFill>
                  <w14:solidFill>
                    <w14:srgbClr w14:val="000000">
                      <w14:alpha w14:val="100000"/>
                    </w14:srgbClr>
                  </w14:solidFill>
                </w14:textFill>
              </w:rPr>
              <w:t>|</w:t>
            </w:r>
            <w:r w:rsidR="00C75B86" w:rsidRPr="00C75B86">
              <w:rPr>
                <w:szCs w:val="20"/>
                <w:vertAlign w:val="superscript"/>
              </w:rPr>
              <w:t>3</w:t>
            </w:r>
            <w:r w:rsidR="00C75B86">
              <w:rPr>
                <w:szCs w:val="20"/>
              </w:rPr>
              <w:t xml:space="preserve"> </w:t>
            </w:r>
            <w:r w:rsidR="00B7688F" w:rsidRPr="000853E6">
              <w:rPr>
                <w:szCs w:val="20"/>
              </w:rPr>
              <w:t>per QALY gained.</w:t>
            </w:r>
          </w:p>
        </w:tc>
      </w:tr>
    </w:tbl>
    <w:p w14:paraId="3B8B5C91" w14:textId="77777777" w:rsidR="007948D2" w:rsidRPr="000853E6" w:rsidRDefault="00FA4B8D" w:rsidP="007948D2">
      <w:pPr>
        <w:pStyle w:val="FooterTableFigure"/>
      </w:pPr>
      <w:r w:rsidRPr="000853E6">
        <w:t>Source: compiled during the evaluation</w:t>
      </w:r>
      <w:r w:rsidR="00231D8D" w:rsidRPr="000853E6">
        <w:t>.</w:t>
      </w:r>
    </w:p>
    <w:p w14:paraId="511238C8" w14:textId="2D502733" w:rsidR="00FA4B8D" w:rsidRDefault="00FA4B8D" w:rsidP="007948D2">
      <w:pPr>
        <w:pStyle w:val="FooterTableFigure"/>
      </w:pPr>
      <w:r w:rsidRPr="000445F7">
        <w:t>DF</w:t>
      </w:r>
      <w:r>
        <w:t xml:space="preserve"> </w:t>
      </w:r>
      <w:r w:rsidRPr="000445F7">
        <w:t>=</w:t>
      </w:r>
      <w:r>
        <w:t xml:space="preserve"> disease-free</w:t>
      </w:r>
      <w:r w:rsidRPr="000445F7">
        <w:t>; DM1 = first-line treatment for distant metastatic NSCLC; DM2 = second-line treatment for distant metastatic NSCLC; LRR = loco/regional recurrence; NSCLC=non=small cell lung carcinoma</w:t>
      </w:r>
      <w:r>
        <w:t>.</w:t>
      </w:r>
    </w:p>
    <w:p w14:paraId="76FC9F5C" w14:textId="6C10CA04" w:rsidR="00CD3943" w:rsidRPr="00CD3943" w:rsidRDefault="00CD3943" w:rsidP="007948D2">
      <w:pPr>
        <w:pStyle w:val="FooterTableFigure"/>
        <w:rPr>
          <w:i/>
          <w:iCs/>
        </w:rPr>
      </w:pPr>
      <w:bookmarkStart w:id="54" w:name="_Hlk155942893"/>
      <w:r w:rsidRPr="00CD3943">
        <w:rPr>
          <w:i/>
          <w:iCs/>
        </w:rPr>
        <w:t>The redacted values correspond to the following ranges:</w:t>
      </w:r>
    </w:p>
    <w:p w14:paraId="4F0B2964" w14:textId="75B8A2F4" w:rsidR="00CD3943" w:rsidRPr="00CD3943" w:rsidRDefault="00C75B86" w:rsidP="00CD3943">
      <w:pPr>
        <w:pStyle w:val="FooterTableFigure"/>
        <w:rPr>
          <w:i/>
          <w:iCs/>
        </w:rPr>
      </w:pPr>
      <w:r w:rsidRPr="00C75B86">
        <w:rPr>
          <w:i/>
          <w:iCs/>
          <w:vertAlign w:val="superscript"/>
        </w:rPr>
        <w:t xml:space="preserve">1 </w:t>
      </w:r>
      <w:r w:rsidR="00CD3943" w:rsidRPr="00CD3943">
        <w:rPr>
          <w:i/>
          <w:iCs/>
        </w:rPr>
        <w:t>$35,000 to &lt; $45,000</w:t>
      </w:r>
    </w:p>
    <w:p w14:paraId="5B607AD9" w14:textId="14DD5000" w:rsidR="00CD3943" w:rsidRPr="00CD3943" w:rsidRDefault="00C75B86" w:rsidP="00CD3943">
      <w:pPr>
        <w:pStyle w:val="FooterTableFigure"/>
        <w:rPr>
          <w:i/>
          <w:iCs/>
        </w:rPr>
      </w:pPr>
      <w:r w:rsidRPr="00C75B86">
        <w:rPr>
          <w:i/>
          <w:iCs/>
          <w:vertAlign w:val="superscript"/>
        </w:rPr>
        <w:t xml:space="preserve">2 </w:t>
      </w:r>
      <w:r w:rsidR="00CD3943" w:rsidRPr="00CD3943">
        <w:rPr>
          <w:i/>
          <w:iCs/>
        </w:rPr>
        <w:t>$75,000 to &lt; $95,000</w:t>
      </w:r>
    </w:p>
    <w:p w14:paraId="37DFEBB5" w14:textId="2E13699A" w:rsidR="00CD3943" w:rsidRDefault="00C75B86" w:rsidP="00CD3943">
      <w:pPr>
        <w:pStyle w:val="FooterTableFigure"/>
        <w:rPr>
          <w:i/>
          <w:iCs/>
        </w:rPr>
      </w:pPr>
      <w:r w:rsidRPr="00C75B86">
        <w:rPr>
          <w:i/>
          <w:iCs/>
          <w:vertAlign w:val="superscript"/>
        </w:rPr>
        <w:t>3</w:t>
      </w:r>
      <w:r>
        <w:rPr>
          <w:i/>
          <w:iCs/>
        </w:rPr>
        <w:t xml:space="preserve"> </w:t>
      </w:r>
      <w:r w:rsidR="00CD3943" w:rsidRPr="00CD3943">
        <w:rPr>
          <w:i/>
          <w:iCs/>
        </w:rPr>
        <w:t>$115,000 to &lt; $135,000</w:t>
      </w:r>
    </w:p>
    <w:p w14:paraId="5E4EE4A3" w14:textId="173C618B" w:rsidR="00D52406" w:rsidRDefault="00D52406" w:rsidP="00CD3943">
      <w:pPr>
        <w:pStyle w:val="FooterTableFigure"/>
        <w:rPr>
          <w:i/>
          <w:iCs/>
        </w:rPr>
      </w:pPr>
      <w:r w:rsidRPr="00D52406">
        <w:rPr>
          <w:i/>
          <w:iCs/>
          <w:vertAlign w:val="superscript"/>
        </w:rPr>
        <w:t>4</w:t>
      </w:r>
      <w:r>
        <w:rPr>
          <w:i/>
          <w:iCs/>
        </w:rPr>
        <w:t xml:space="preserve"> </w:t>
      </w:r>
      <w:r w:rsidRPr="00D52406">
        <w:rPr>
          <w:i/>
          <w:iCs/>
        </w:rPr>
        <w:t>$45,000 to &lt; $55,000</w:t>
      </w:r>
    </w:p>
    <w:bookmarkEnd w:id="54"/>
    <w:p w14:paraId="2B4AF938" w14:textId="453BA1BA" w:rsidR="008C5739" w:rsidRPr="008C2657" w:rsidRDefault="00D52406" w:rsidP="00000F78">
      <w:pPr>
        <w:pStyle w:val="3-BodyText"/>
      </w:pPr>
      <w:r w:rsidRPr="00D52406">
        <w:t>The</w:t>
      </w:r>
      <w:r>
        <w:rPr>
          <w:i/>
          <w:iCs/>
          <w:vertAlign w:val="superscript"/>
        </w:rPr>
        <w:t xml:space="preserve"> </w:t>
      </w:r>
      <w:r w:rsidR="00FA4B8D">
        <w:t xml:space="preserve">results of the </w:t>
      </w:r>
      <w:r w:rsidR="00FA4B8D" w:rsidRPr="00577309">
        <w:t xml:space="preserve">stepped economic evaluation </w:t>
      </w:r>
      <w:r w:rsidR="00FA4B8D">
        <w:t xml:space="preserve">presented in the submission </w:t>
      </w:r>
      <w:r w:rsidR="00AD51FC">
        <w:t xml:space="preserve">are </w:t>
      </w:r>
      <w:r w:rsidR="00FA4B8D">
        <w:t xml:space="preserve">summarised </w:t>
      </w:r>
      <w:r w:rsidR="00FA4B8D" w:rsidRPr="00000F78">
        <w:t>in</w:t>
      </w:r>
      <w:r w:rsidR="007839B0">
        <w:t xml:space="preserve"> </w:t>
      </w:r>
      <w:r w:rsidR="007839B0">
        <w:fldChar w:fldCharType="begin" w:fldLock="1"/>
      </w:r>
      <w:r w:rsidR="007839B0">
        <w:instrText xml:space="preserve"> REF _Ref144755497 \h </w:instrText>
      </w:r>
      <w:r w:rsidR="007839B0">
        <w:fldChar w:fldCharType="separate"/>
      </w:r>
      <w:r w:rsidR="007839B0">
        <w:t xml:space="preserve">Table </w:t>
      </w:r>
      <w:r w:rsidR="007839B0">
        <w:rPr>
          <w:noProof/>
        </w:rPr>
        <w:t>11</w:t>
      </w:r>
      <w:r w:rsidR="007839B0">
        <w:fldChar w:fldCharType="end"/>
      </w:r>
      <w:r w:rsidR="00F75AED">
        <w:t>.</w:t>
      </w:r>
    </w:p>
    <w:p w14:paraId="01AA34AE" w14:textId="0CF24998" w:rsidR="004C1B77" w:rsidRPr="005478BD" w:rsidRDefault="00000F78" w:rsidP="00000F78">
      <w:pPr>
        <w:pStyle w:val="Caption"/>
        <w:jc w:val="left"/>
        <w:rPr>
          <w:rStyle w:val="CommentReference"/>
          <w:b/>
          <w:szCs w:val="24"/>
        </w:rPr>
      </w:pPr>
      <w:bookmarkStart w:id="55" w:name="_Ref144755497"/>
      <w:r>
        <w:t xml:space="preserve">Table </w:t>
      </w:r>
      <w:r w:rsidR="001E77BF">
        <w:fldChar w:fldCharType="begin" w:fldLock="1"/>
      </w:r>
      <w:r w:rsidR="001E77BF">
        <w:instrText xml:space="preserve"> SEQ Table \* ARABIC </w:instrText>
      </w:r>
      <w:r w:rsidR="001E77BF">
        <w:fldChar w:fldCharType="separate"/>
      </w:r>
      <w:r>
        <w:rPr>
          <w:noProof/>
        </w:rPr>
        <w:t>11</w:t>
      </w:r>
      <w:r w:rsidR="001E77BF">
        <w:rPr>
          <w:noProof/>
        </w:rPr>
        <w:fldChar w:fldCharType="end"/>
      </w:r>
      <w:bookmarkEnd w:id="55"/>
      <w:r w:rsidR="004C1B77" w:rsidRPr="005478BD">
        <w:rPr>
          <w:rStyle w:val="CommentReference"/>
          <w:b/>
          <w:szCs w:val="24"/>
        </w:rPr>
        <w:t>: Results of the stepped economic evaluation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2757"/>
        <w:gridCol w:w="2451"/>
        <w:gridCol w:w="2298"/>
        <w:gridCol w:w="1511"/>
      </w:tblGrid>
      <w:tr w:rsidR="004C1B77" w:rsidRPr="005E6CBC" w14:paraId="11C8DF4B" w14:textId="77777777" w:rsidTr="00CC59B3">
        <w:trPr>
          <w:tblHeader/>
        </w:trPr>
        <w:tc>
          <w:tcPr>
            <w:tcW w:w="1529" w:type="pct"/>
            <w:vAlign w:val="center"/>
          </w:tcPr>
          <w:p w14:paraId="79B3B59F" w14:textId="77777777" w:rsidR="004C1B77" w:rsidRPr="005E6CBC" w:rsidRDefault="004C1B77" w:rsidP="00CC59B3">
            <w:pPr>
              <w:pStyle w:val="In-tableHeading"/>
            </w:pPr>
            <w:r w:rsidRPr="005E6CBC">
              <w:t>Step and component</w:t>
            </w:r>
          </w:p>
        </w:tc>
        <w:tc>
          <w:tcPr>
            <w:tcW w:w="1359" w:type="pct"/>
            <w:vAlign w:val="center"/>
          </w:tcPr>
          <w:p w14:paraId="7E4BA0BA" w14:textId="77777777" w:rsidR="004C1B77" w:rsidRPr="005E6CBC" w:rsidRDefault="004C1B77" w:rsidP="00CC59B3">
            <w:pPr>
              <w:pStyle w:val="In-tableHeading"/>
              <w:jc w:val="center"/>
            </w:pPr>
            <w:r>
              <w:t>Osimertinib</w:t>
            </w:r>
          </w:p>
        </w:tc>
        <w:tc>
          <w:tcPr>
            <w:tcW w:w="1274" w:type="pct"/>
            <w:vAlign w:val="center"/>
          </w:tcPr>
          <w:p w14:paraId="3661F0A3" w14:textId="77777777" w:rsidR="004C1B77" w:rsidRPr="005E6CBC" w:rsidRDefault="004C1B77" w:rsidP="00CC59B3">
            <w:pPr>
              <w:pStyle w:val="In-tableHeading"/>
              <w:jc w:val="center"/>
            </w:pPr>
            <w:r>
              <w:t>Placebo</w:t>
            </w:r>
          </w:p>
        </w:tc>
        <w:tc>
          <w:tcPr>
            <w:tcW w:w="838" w:type="pct"/>
            <w:vAlign w:val="center"/>
          </w:tcPr>
          <w:p w14:paraId="66597ACC" w14:textId="77777777" w:rsidR="004C1B77" w:rsidRPr="005E6CBC" w:rsidRDefault="004C1B77" w:rsidP="00CC59B3">
            <w:pPr>
              <w:pStyle w:val="In-tableHeading"/>
              <w:jc w:val="center"/>
            </w:pPr>
            <w:r w:rsidRPr="005E6CBC">
              <w:t>Increment</w:t>
            </w:r>
          </w:p>
        </w:tc>
      </w:tr>
      <w:tr w:rsidR="004C1B77" w:rsidRPr="003D5C02" w14:paraId="28612903" w14:textId="77777777" w:rsidTr="00CC59B3">
        <w:tc>
          <w:tcPr>
            <w:tcW w:w="5000" w:type="pct"/>
            <w:gridSpan w:val="4"/>
            <w:vAlign w:val="center"/>
          </w:tcPr>
          <w:p w14:paraId="622B0B66" w14:textId="77777777" w:rsidR="004C1B77" w:rsidRPr="009F06D7" w:rsidRDefault="004C1B77" w:rsidP="00CC59B3">
            <w:pPr>
              <w:pStyle w:val="TableText0"/>
              <w:rPr>
                <w:b/>
                <w:bCs w:val="0"/>
              </w:rPr>
            </w:pPr>
            <w:r w:rsidRPr="009F06D7">
              <w:rPr>
                <w:b/>
                <w:bCs w:val="0"/>
              </w:rPr>
              <w:t>Step 1: Trial-based analysis</w:t>
            </w:r>
            <w:r>
              <w:rPr>
                <w:b/>
                <w:bCs w:val="0"/>
              </w:rPr>
              <w:t>:</w:t>
            </w:r>
            <w:r w:rsidRPr="009F06D7">
              <w:rPr>
                <w:b/>
                <w:bCs w:val="0"/>
              </w:rPr>
              <w:t xml:space="preserve"> incremental cost per DF year gained, time horizon of 5.5 years (66 months). </w:t>
            </w:r>
            <w:r>
              <w:rPr>
                <w:b/>
                <w:bCs w:val="0"/>
              </w:rPr>
              <w:t>Including c</w:t>
            </w:r>
            <w:r w:rsidRPr="009F06D7">
              <w:rPr>
                <w:b/>
                <w:bCs w:val="0"/>
              </w:rPr>
              <w:t>osts of osimertinib and treatment of</w:t>
            </w:r>
            <w:r>
              <w:rPr>
                <w:b/>
                <w:bCs w:val="0"/>
              </w:rPr>
              <w:t xml:space="preserve"> adverse events</w:t>
            </w:r>
          </w:p>
        </w:tc>
      </w:tr>
      <w:tr w:rsidR="004C1B77" w:rsidRPr="00E2771E" w14:paraId="20C835FE" w14:textId="77777777" w:rsidTr="00E927A0">
        <w:tc>
          <w:tcPr>
            <w:tcW w:w="1529" w:type="pct"/>
            <w:vAlign w:val="center"/>
          </w:tcPr>
          <w:p w14:paraId="326F3394" w14:textId="77777777" w:rsidR="004C1B77" w:rsidRPr="00E2771E" w:rsidRDefault="004C1B77" w:rsidP="00CC59B3">
            <w:pPr>
              <w:pStyle w:val="TableText0"/>
              <w:rPr>
                <w:rFonts w:ascii="Times" w:hAnsi="Times"/>
              </w:rPr>
            </w:pPr>
            <w:r w:rsidRPr="00E2771E">
              <w:t>Costs</w:t>
            </w:r>
            <w:r>
              <w:t xml:space="preserve"> (undiscounted)</w:t>
            </w:r>
          </w:p>
        </w:tc>
        <w:tc>
          <w:tcPr>
            <w:tcW w:w="1359" w:type="pct"/>
            <w:shd w:val="solid" w:color="000000" w:fill="000000"/>
            <w:vAlign w:val="center"/>
          </w:tcPr>
          <w:p w14:paraId="6F1A8649" w14:textId="4A9CB2E9" w:rsidR="004C1B77" w:rsidRPr="00C75B86" w:rsidRDefault="00E927A0" w:rsidP="00CC59B3">
            <w:pPr>
              <w:pStyle w:val="TableText0"/>
              <w:jc w:val="center"/>
              <w:rPr>
                <w:rFonts w:ascii="Times" w:hAnsi="Times"/>
                <w:highlight w:val="darkGray"/>
              </w:rPr>
            </w:pPr>
            <w:r w:rsidRPr="00E927A0">
              <w:rPr>
                <w:color w:val="000000"/>
                <w14:textFill>
                  <w14:solidFill>
                    <w14:srgbClr w14:val="000000">
                      <w14:alpha w14:val="100000"/>
                    </w14:srgbClr>
                  </w14:solidFill>
                </w14:textFill>
              </w:rPr>
              <w:t>|</w:t>
            </w:r>
          </w:p>
        </w:tc>
        <w:tc>
          <w:tcPr>
            <w:tcW w:w="1274" w:type="pct"/>
            <w:shd w:val="clear" w:color="auto" w:fill="auto"/>
            <w:vAlign w:val="center"/>
          </w:tcPr>
          <w:p w14:paraId="679E9055" w14:textId="77777777" w:rsidR="004C1B77" w:rsidRPr="007B595C" w:rsidRDefault="004C1B77" w:rsidP="00CC59B3">
            <w:pPr>
              <w:pStyle w:val="TableText0"/>
              <w:jc w:val="center"/>
              <w:rPr>
                <w:rFonts w:ascii="Times" w:hAnsi="Times"/>
              </w:rPr>
            </w:pPr>
            <w:r w:rsidRPr="007B595C">
              <w:t>$47</w:t>
            </w:r>
          </w:p>
        </w:tc>
        <w:tc>
          <w:tcPr>
            <w:tcW w:w="838" w:type="pct"/>
            <w:shd w:val="solid" w:color="000000" w:fill="000000"/>
            <w:vAlign w:val="center"/>
          </w:tcPr>
          <w:p w14:paraId="491409C9" w14:textId="48E238B0" w:rsidR="004C1B77" w:rsidRPr="00C75B86" w:rsidRDefault="00E927A0" w:rsidP="00CC59B3">
            <w:pPr>
              <w:pStyle w:val="TableText0"/>
              <w:jc w:val="center"/>
              <w:rPr>
                <w:rFonts w:ascii="Times" w:hAnsi="Times"/>
                <w:highlight w:val="darkGray"/>
              </w:rPr>
            </w:pPr>
            <w:r w:rsidRPr="00E927A0">
              <w:rPr>
                <w:color w:val="000000"/>
                <w14:textFill>
                  <w14:solidFill>
                    <w14:srgbClr w14:val="000000">
                      <w14:alpha w14:val="100000"/>
                    </w14:srgbClr>
                  </w14:solidFill>
                </w14:textFill>
              </w:rPr>
              <w:t>|</w:t>
            </w:r>
          </w:p>
        </w:tc>
      </w:tr>
      <w:tr w:rsidR="004C1B77" w:rsidRPr="00E2771E" w14:paraId="79C1587F" w14:textId="77777777" w:rsidTr="007B595C">
        <w:tc>
          <w:tcPr>
            <w:tcW w:w="1529" w:type="pct"/>
            <w:vAlign w:val="center"/>
          </w:tcPr>
          <w:p w14:paraId="3BCC202C" w14:textId="172EF611" w:rsidR="004C1B77" w:rsidRPr="00E2771E" w:rsidRDefault="004C1B77" w:rsidP="00CC59B3">
            <w:pPr>
              <w:pStyle w:val="TableText0"/>
              <w:rPr>
                <w:rFonts w:ascii="Times" w:hAnsi="Times"/>
              </w:rPr>
            </w:pPr>
            <w:r>
              <w:t>DF years (undiscounted)</w:t>
            </w:r>
            <w:r w:rsidR="009B14B0">
              <w:rPr>
                <w:vertAlign w:val="superscript"/>
              </w:rPr>
              <w:t>*</w:t>
            </w:r>
          </w:p>
        </w:tc>
        <w:tc>
          <w:tcPr>
            <w:tcW w:w="1359" w:type="pct"/>
            <w:vAlign w:val="center"/>
          </w:tcPr>
          <w:p w14:paraId="20FB1C17" w14:textId="77777777" w:rsidR="004C1B77" w:rsidRPr="005E6CBC" w:rsidRDefault="004C1B77" w:rsidP="00CC59B3">
            <w:pPr>
              <w:pStyle w:val="TableText0"/>
              <w:jc w:val="center"/>
              <w:rPr>
                <w:rFonts w:ascii="Times" w:hAnsi="Times"/>
              </w:rPr>
            </w:pPr>
            <w:r>
              <w:t>4.53</w:t>
            </w:r>
          </w:p>
        </w:tc>
        <w:tc>
          <w:tcPr>
            <w:tcW w:w="1274" w:type="pct"/>
            <w:shd w:val="clear" w:color="auto" w:fill="auto"/>
            <w:vAlign w:val="center"/>
          </w:tcPr>
          <w:p w14:paraId="5C716B9B" w14:textId="77777777" w:rsidR="004C1B77" w:rsidRPr="007B595C" w:rsidRDefault="004C1B77" w:rsidP="00CC59B3">
            <w:pPr>
              <w:pStyle w:val="TableText0"/>
              <w:jc w:val="center"/>
              <w:rPr>
                <w:rFonts w:ascii="Times" w:hAnsi="Times"/>
              </w:rPr>
            </w:pPr>
            <w:r w:rsidRPr="007B595C">
              <w:t>2.87</w:t>
            </w:r>
          </w:p>
        </w:tc>
        <w:tc>
          <w:tcPr>
            <w:tcW w:w="838" w:type="pct"/>
            <w:vAlign w:val="center"/>
          </w:tcPr>
          <w:p w14:paraId="0639FD91" w14:textId="77777777" w:rsidR="004C1B77" w:rsidRPr="005E6CBC" w:rsidRDefault="004C1B77" w:rsidP="00CC59B3">
            <w:pPr>
              <w:pStyle w:val="TableText0"/>
              <w:jc w:val="center"/>
            </w:pPr>
            <w:r>
              <w:t>1.66</w:t>
            </w:r>
          </w:p>
        </w:tc>
      </w:tr>
      <w:tr w:rsidR="004C1B77" w:rsidRPr="00E2771E" w14:paraId="278D0B03" w14:textId="77777777" w:rsidTr="007B595C">
        <w:tc>
          <w:tcPr>
            <w:tcW w:w="4162" w:type="pct"/>
            <w:gridSpan w:val="3"/>
            <w:shd w:val="clear" w:color="auto" w:fill="auto"/>
            <w:vAlign w:val="center"/>
          </w:tcPr>
          <w:p w14:paraId="096D0284" w14:textId="77777777" w:rsidR="004C1B77" w:rsidRPr="007B595C" w:rsidRDefault="004C1B77" w:rsidP="00CC59B3">
            <w:pPr>
              <w:pStyle w:val="TableText0"/>
              <w:jc w:val="right"/>
              <w:rPr>
                <w:rFonts w:ascii="Times" w:hAnsi="Times"/>
                <w:b/>
              </w:rPr>
            </w:pPr>
            <w:r w:rsidRPr="007B595C">
              <w:rPr>
                <w:b/>
              </w:rPr>
              <w:t>Incremental cost/extra DF year gained</w:t>
            </w:r>
          </w:p>
        </w:tc>
        <w:tc>
          <w:tcPr>
            <w:tcW w:w="838" w:type="pct"/>
            <w:vAlign w:val="center"/>
          </w:tcPr>
          <w:p w14:paraId="36063787" w14:textId="52FDC2C9" w:rsidR="004C1B77" w:rsidRPr="005E6CBC" w:rsidRDefault="00E927A0" w:rsidP="00CC59B3">
            <w:pPr>
              <w:pStyle w:val="TableText0"/>
              <w:jc w:val="center"/>
              <w:rPr>
                <w:rFonts w:ascii="Times" w:hAnsi="Times"/>
              </w:rPr>
            </w:pPr>
            <w:r w:rsidRPr="00E927A0">
              <w:rPr>
                <w:color w:val="000000"/>
                <w:shd w:val="solid" w:color="000000" w:fill="000000"/>
                <w14:textFill>
                  <w14:solidFill>
                    <w14:srgbClr w14:val="000000">
                      <w14:alpha w14:val="100000"/>
                    </w14:srgbClr>
                  </w14:solidFill>
                </w14:textFill>
              </w:rPr>
              <w:t>|</w:t>
            </w:r>
            <w:r w:rsidR="00373DF1" w:rsidRPr="00373DF1">
              <w:rPr>
                <w:vertAlign w:val="superscript"/>
              </w:rPr>
              <w:t>1</w:t>
            </w:r>
          </w:p>
        </w:tc>
      </w:tr>
      <w:tr w:rsidR="004C1B77" w:rsidRPr="003D5C02" w14:paraId="4C0CFC6D" w14:textId="77777777" w:rsidTr="007B595C">
        <w:tc>
          <w:tcPr>
            <w:tcW w:w="5000" w:type="pct"/>
            <w:gridSpan w:val="4"/>
            <w:shd w:val="clear" w:color="auto" w:fill="auto"/>
            <w:vAlign w:val="center"/>
          </w:tcPr>
          <w:p w14:paraId="68EC4B2D" w14:textId="77777777" w:rsidR="004C1B77" w:rsidRPr="007B595C" w:rsidRDefault="004C1B77" w:rsidP="00CC59B3">
            <w:pPr>
              <w:pStyle w:val="In-tableHeading"/>
            </w:pPr>
            <w:r w:rsidRPr="007B595C">
              <w:t>Step 2: Trial based analysis: as per Step 1 and estimating cost per life year gained</w:t>
            </w:r>
          </w:p>
        </w:tc>
      </w:tr>
      <w:tr w:rsidR="004C1B77" w:rsidRPr="00E2771E" w14:paraId="346E50F2" w14:textId="77777777" w:rsidTr="00E927A0">
        <w:tc>
          <w:tcPr>
            <w:tcW w:w="1529" w:type="pct"/>
            <w:vAlign w:val="center"/>
          </w:tcPr>
          <w:p w14:paraId="293CBDD6" w14:textId="77777777" w:rsidR="004C1B77" w:rsidRPr="00E2771E" w:rsidRDefault="004C1B77" w:rsidP="00CC59B3">
            <w:pPr>
              <w:pStyle w:val="TableText0"/>
              <w:rPr>
                <w:rFonts w:ascii="Times" w:hAnsi="Times"/>
              </w:rPr>
            </w:pPr>
            <w:r w:rsidRPr="00E2771E">
              <w:t>Costs</w:t>
            </w:r>
            <w:r>
              <w:t xml:space="preserve"> (undiscounted)</w:t>
            </w:r>
          </w:p>
        </w:tc>
        <w:tc>
          <w:tcPr>
            <w:tcW w:w="1359" w:type="pct"/>
            <w:shd w:val="solid" w:color="000000" w:fill="000000"/>
            <w:vAlign w:val="center"/>
          </w:tcPr>
          <w:p w14:paraId="1A4B8539" w14:textId="3D84DE20" w:rsidR="004C1B77" w:rsidRPr="00C75B86" w:rsidRDefault="00E927A0" w:rsidP="00CC59B3">
            <w:pPr>
              <w:pStyle w:val="TableText0"/>
              <w:jc w:val="center"/>
              <w:rPr>
                <w:rFonts w:ascii="Times" w:hAnsi="Times"/>
                <w:highlight w:val="darkGray"/>
              </w:rPr>
            </w:pPr>
            <w:r w:rsidRPr="00E927A0">
              <w:rPr>
                <w:color w:val="000000"/>
                <w14:textFill>
                  <w14:solidFill>
                    <w14:srgbClr w14:val="000000">
                      <w14:alpha w14:val="100000"/>
                    </w14:srgbClr>
                  </w14:solidFill>
                </w14:textFill>
              </w:rPr>
              <w:t>|</w:t>
            </w:r>
          </w:p>
        </w:tc>
        <w:tc>
          <w:tcPr>
            <w:tcW w:w="1274" w:type="pct"/>
            <w:shd w:val="clear" w:color="auto" w:fill="auto"/>
            <w:vAlign w:val="center"/>
          </w:tcPr>
          <w:p w14:paraId="5E42A450" w14:textId="77777777" w:rsidR="004C1B77" w:rsidRPr="007B595C" w:rsidRDefault="004C1B77" w:rsidP="00CC59B3">
            <w:pPr>
              <w:pStyle w:val="TableText0"/>
              <w:jc w:val="center"/>
              <w:rPr>
                <w:rFonts w:ascii="Times" w:hAnsi="Times"/>
              </w:rPr>
            </w:pPr>
            <w:r w:rsidRPr="007B595C">
              <w:t>$47</w:t>
            </w:r>
          </w:p>
        </w:tc>
        <w:tc>
          <w:tcPr>
            <w:tcW w:w="838" w:type="pct"/>
            <w:shd w:val="solid" w:color="000000" w:fill="000000"/>
            <w:vAlign w:val="center"/>
          </w:tcPr>
          <w:p w14:paraId="3DA66B47" w14:textId="6A699606" w:rsidR="004C1B77" w:rsidRPr="00C75B86" w:rsidRDefault="00E927A0" w:rsidP="00CC59B3">
            <w:pPr>
              <w:pStyle w:val="TableText0"/>
              <w:jc w:val="center"/>
              <w:rPr>
                <w:rFonts w:ascii="Times" w:hAnsi="Times"/>
                <w:highlight w:val="darkGray"/>
              </w:rPr>
            </w:pPr>
            <w:r w:rsidRPr="00E927A0">
              <w:rPr>
                <w:color w:val="000000"/>
                <w14:textFill>
                  <w14:solidFill>
                    <w14:srgbClr w14:val="000000">
                      <w14:alpha w14:val="100000"/>
                    </w14:srgbClr>
                  </w14:solidFill>
                </w14:textFill>
              </w:rPr>
              <w:t>|</w:t>
            </w:r>
          </w:p>
        </w:tc>
      </w:tr>
      <w:tr w:rsidR="004C1B77" w:rsidRPr="00E2771E" w14:paraId="6D59E993" w14:textId="77777777" w:rsidTr="007B595C">
        <w:tc>
          <w:tcPr>
            <w:tcW w:w="1529" w:type="pct"/>
            <w:vAlign w:val="center"/>
          </w:tcPr>
          <w:p w14:paraId="072418B4" w14:textId="77777777" w:rsidR="004C1B77" w:rsidRPr="00E2771E" w:rsidRDefault="004C1B77" w:rsidP="00CC59B3">
            <w:pPr>
              <w:pStyle w:val="TableText0"/>
              <w:rPr>
                <w:rFonts w:ascii="Times" w:hAnsi="Times"/>
              </w:rPr>
            </w:pPr>
            <w:r>
              <w:t>LYG (undiscounted)</w:t>
            </w:r>
            <w:r w:rsidRPr="0060586C">
              <w:rPr>
                <w:vertAlign w:val="superscript"/>
              </w:rPr>
              <w:t>a</w:t>
            </w:r>
          </w:p>
        </w:tc>
        <w:tc>
          <w:tcPr>
            <w:tcW w:w="1359" w:type="pct"/>
            <w:vAlign w:val="center"/>
          </w:tcPr>
          <w:p w14:paraId="0ED45B21" w14:textId="77777777" w:rsidR="004C1B77" w:rsidRPr="005E6CBC" w:rsidRDefault="004C1B77" w:rsidP="00CC59B3">
            <w:pPr>
              <w:pStyle w:val="TableText0"/>
              <w:jc w:val="center"/>
              <w:rPr>
                <w:rFonts w:ascii="Times" w:hAnsi="Times"/>
              </w:rPr>
            </w:pPr>
            <w:r>
              <w:t>5.20</w:t>
            </w:r>
          </w:p>
        </w:tc>
        <w:tc>
          <w:tcPr>
            <w:tcW w:w="1274" w:type="pct"/>
            <w:shd w:val="clear" w:color="auto" w:fill="auto"/>
            <w:vAlign w:val="center"/>
          </w:tcPr>
          <w:p w14:paraId="03B8BB23" w14:textId="77777777" w:rsidR="004C1B77" w:rsidRPr="007B595C" w:rsidRDefault="004C1B77" w:rsidP="00CC59B3">
            <w:pPr>
              <w:pStyle w:val="TableText0"/>
              <w:jc w:val="center"/>
              <w:rPr>
                <w:rFonts w:ascii="Times" w:hAnsi="Times"/>
              </w:rPr>
            </w:pPr>
            <w:r w:rsidRPr="007B595C">
              <w:t>4.93</w:t>
            </w:r>
          </w:p>
        </w:tc>
        <w:tc>
          <w:tcPr>
            <w:tcW w:w="838" w:type="pct"/>
            <w:vAlign w:val="center"/>
          </w:tcPr>
          <w:p w14:paraId="60EFDF64" w14:textId="77777777" w:rsidR="004C1B77" w:rsidRPr="005E6CBC" w:rsidRDefault="004C1B77" w:rsidP="00CC59B3">
            <w:pPr>
              <w:pStyle w:val="TableText0"/>
              <w:jc w:val="center"/>
            </w:pPr>
            <w:r>
              <w:t>0.27</w:t>
            </w:r>
          </w:p>
        </w:tc>
      </w:tr>
      <w:tr w:rsidR="004C1B77" w:rsidRPr="00EE64D8" w14:paraId="7F548DB7" w14:textId="77777777" w:rsidTr="007B595C">
        <w:tc>
          <w:tcPr>
            <w:tcW w:w="4162" w:type="pct"/>
            <w:gridSpan w:val="3"/>
            <w:shd w:val="clear" w:color="auto" w:fill="auto"/>
            <w:vAlign w:val="center"/>
          </w:tcPr>
          <w:p w14:paraId="2D629BF9" w14:textId="77777777" w:rsidR="004C1B77" w:rsidRPr="007B595C" w:rsidRDefault="004C1B77" w:rsidP="00CC59B3">
            <w:pPr>
              <w:pStyle w:val="TableText0"/>
              <w:jc w:val="right"/>
              <w:rPr>
                <w:rFonts w:ascii="Times" w:hAnsi="Times"/>
                <w:b/>
              </w:rPr>
            </w:pPr>
            <w:r w:rsidRPr="007B595C">
              <w:rPr>
                <w:b/>
              </w:rPr>
              <w:t>Incremental cost/extra LYG gained</w:t>
            </w:r>
          </w:p>
        </w:tc>
        <w:tc>
          <w:tcPr>
            <w:tcW w:w="838" w:type="pct"/>
            <w:vAlign w:val="center"/>
          </w:tcPr>
          <w:p w14:paraId="3B0664C4" w14:textId="43C46905" w:rsidR="004C1B77" w:rsidRPr="005E6CBC" w:rsidRDefault="00E927A0" w:rsidP="00CC59B3">
            <w:pPr>
              <w:pStyle w:val="TableText0"/>
              <w:jc w:val="center"/>
              <w:rPr>
                <w:rFonts w:ascii="Times" w:hAnsi="Times"/>
              </w:rPr>
            </w:pPr>
            <w:r w:rsidRPr="00E927A0">
              <w:rPr>
                <w:color w:val="000000"/>
                <w:shd w:val="solid" w:color="000000" w:fill="000000"/>
                <w14:textFill>
                  <w14:solidFill>
                    <w14:srgbClr w14:val="000000">
                      <w14:alpha w14:val="100000"/>
                    </w14:srgbClr>
                  </w14:solidFill>
                </w14:textFill>
              </w:rPr>
              <w:t>|</w:t>
            </w:r>
            <w:r w:rsidR="00373DF1" w:rsidRPr="00373DF1">
              <w:rPr>
                <w:vertAlign w:val="superscript"/>
              </w:rPr>
              <w:t>2</w:t>
            </w:r>
          </w:p>
        </w:tc>
      </w:tr>
      <w:tr w:rsidR="004C1B77" w:rsidRPr="00EE64D8" w14:paraId="0E07229B" w14:textId="77777777" w:rsidTr="007B595C">
        <w:tc>
          <w:tcPr>
            <w:tcW w:w="5000" w:type="pct"/>
            <w:gridSpan w:val="4"/>
            <w:shd w:val="clear" w:color="auto" w:fill="auto"/>
            <w:vAlign w:val="center"/>
          </w:tcPr>
          <w:p w14:paraId="69CD8F80" w14:textId="753F5BD6" w:rsidR="004C1B77" w:rsidRPr="007B595C" w:rsidRDefault="004C1B77" w:rsidP="00CC59B3">
            <w:pPr>
              <w:pStyle w:val="TableText0"/>
            </w:pPr>
            <w:r w:rsidRPr="007B595C">
              <w:rPr>
                <w:b/>
                <w:bCs w:val="0"/>
              </w:rPr>
              <w:t>Step 3: Modelled analysis: time horizon 25 years.  Including costs of subsequent anti-cancer therapy, administration (IV infusion</w:t>
            </w:r>
            <w:r w:rsidR="00801F55" w:rsidRPr="007B595C">
              <w:rPr>
                <w:b/>
                <w:bCs w:val="0"/>
              </w:rPr>
              <w:t xml:space="preserve"> </w:t>
            </w:r>
            <w:r w:rsidRPr="007B595C">
              <w:rPr>
                <w:b/>
                <w:bCs w:val="0"/>
              </w:rPr>
              <w:t>&amp; monitoring), disease management (including CNS), adverse events and terminal care</w:t>
            </w:r>
          </w:p>
        </w:tc>
      </w:tr>
      <w:tr w:rsidR="00820929" w:rsidRPr="00E2771E" w14:paraId="1F86E164" w14:textId="77777777" w:rsidTr="00E927A0">
        <w:tc>
          <w:tcPr>
            <w:tcW w:w="1529" w:type="pct"/>
            <w:vAlign w:val="center"/>
          </w:tcPr>
          <w:p w14:paraId="619650E0" w14:textId="34E92D16" w:rsidR="00820929" w:rsidRPr="00E2771E" w:rsidRDefault="00820929" w:rsidP="00820929">
            <w:pPr>
              <w:pStyle w:val="TableText0"/>
            </w:pPr>
            <w:r>
              <w:t>Costs (undiscounted)</w:t>
            </w:r>
          </w:p>
        </w:tc>
        <w:tc>
          <w:tcPr>
            <w:tcW w:w="1359" w:type="pct"/>
            <w:tcBorders>
              <w:bottom w:val="single" w:sz="4" w:space="0" w:color="auto"/>
            </w:tcBorders>
            <w:shd w:val="solid" w:color="000000" w:fill="000000"/>
            <w:vAlign w:val="center"/>
          </w:tcPr>
          <w:p w14:paraId="5EA98926" w14:textId="6D1640E7" w:rsidR="00820929" w:rsidRPr="00C75B86" w:rsidRDefault="00E927A0" w:rsidP="00820929">
            <w:pPr>
              <w:pStyle w:val="TableText0"/>
              <w:jc w:val="center"/>
              <w:rPr>
                <w:highlight w:val="darkGray"/>
              </w:rPr>
            </w:pPr>
            <w:r w:rsidRPr="00E927A0">
              <w:rPr>
                <w:color w:val="000000"/>
                <w14:textFill>
                  <w14:solidFill>
                    <w14:srgbClr w14:val="000000">
                      <w14:alpha w14:val="100000"/>
                    </w14:srgbClr>
                  </w14:solidFill>
                </w14:textFill>
              </w:rPr>
              <w:t>|</w:t>
            </w:r>
          </w:p>
        </w:tc>
        <w:tc>
          <w:tcPr>
            <w:tcW w:w="1274" w:type="pct"/>
            <w:shd w:val="clear" w:color="auto" w:fill="auto"/>
            <w:vAlign w:val="center"/>
          </w:tcPr>
          <w:p w14:paraId="28FF6699" w14:textId="224768BD" w:rsidR="00820929" w:rsidRPr="007B595C" w:rsidRDefault="00820929" w:rsidP="00820929">
            <w:pPr>
              <w:pStyle w:val="TableText0"/>
              <w:jc w:val="center"/>
            </w:pPr>
            <w:r w:rsidRPr="007B595C">
              <w:t>$142,322</w:t>
            </w:r>
          </w:p>
        </w:tc>
        <w:tc>
          <w:tcPr>
            <w:tcW w:w="838" w:type="pct"/>
            <w:tcBorders>
              <w:bottom w:val="single" w:sz="4" w:space="0" w:color="auto"/>
            </w:tcBorders>
            <w:shd w:val="solid" w:color="000000" w:fill="000000"/>
            <w:vAlign w:val="center"/>
          </w:tcPr>
          <w:p w14:paraId="690FD5B8" w14:textId="0EA54590" w:rsidR="00820929" w:rsidRPr="00C75B86" w:rsidRDefault="00E927A0" w:rsidP="00820929">
            <w:pPr>
              <w:pStyle w:val="TableText0"/>
              <w:jc w:val="center"/>
              <w:rPr>
                <w:highlight w:val="darkGray"/>
              </w:rPr>
            </w:pPr>
            <w:r w:rsidRPr="00E927A0">
              <w:rPr>
                <w:color w:val="000000"/>
                <w14:textFill>
                  <w14:solidFill>
                    <w14:srgbClr w14:val="000000">
                      <w14:alpha w14:val="100000"/>
                    </w14:srgbClr>
                  </w14:solidFill>
                </w14:textFill>
              </w:rPr>
              <w:t>|</w:t>
            </w:r>
          </w:p>
        </w:tc>
      </w:tr>
      <w:tr w:rsidR="004C1B77" w:rsidRPr="00E2771E" w14:paraId="17D97B86" w14:textId="77777777" w:rsidTr="00E927A0">
        <w:tc>
          <w:tcPr>
            <w:tcW w:w="1529" w:type="pct"/>
            <w:vAlign w:val="center"/>
          </w:tcPr>
          <w:p w14:paraId="42C74683" w14:textId="77777777" w:rsidR="004C1B77" w:rsidRPr="00E2771E" w:rsidRDefault="004C1B77" w:rsidP="00CC59B3">
            <w:pPr>
              <w:pStyle w:val="TableText0"/>
              <w:rPr>
                <w:rFonts w:ascii="Times" w:hAnsi="Times"/>
              </w:rPr>
            </w:pPr>
            <w:r w:rsidRPr="00E2771E">
              <w:t>Costs</w:t>
            </w:r>
            <w:r>
              <w:t xml:space="preserve"> (discounted)</w:t>
            </w:r>
          </w:p>
        </w:tc>
        <w:tc>
          <w:tcPr>
            <w:tcW w:w="1359" w:type="pct"/>
            <w:shd w:val="solid" w:color="000000" w:fill="000000"/>
            <w:vAlign w:val="center"/>
          </w:tcPr>
          <w:p w14:paraId="71E8DDE3" w14:textId="79258502" w:rsidR="004C1B77" w:rsidRPr="00C75B86" w:rsidRDefault="00E927A0" w:rsidP="00CC59B3">
            <w:pPr>
              <w:pStyle w:val="TableText0"/>
              <w:jc w:val="center"/>
              <w:rPr>
                <w:rFonts w:ascii="Times" w:hAnsi="Times"/>
                <w:highlight w:val="darkGray"/>
              </w:rPr>
            </w:pPr>
            <w:r w:rsidRPr="00E927A0">
              <w:rPr>
                <w:color w:val="000000"/>
                <w14:textFill>
                  <w14:solidFill>
                    <w14:srgbClr w14:val="000000">
                      <w14:alpha w14:val="100000"/>
                    </w14:srgbClr>
                  </w14:solidFill>
                </w14:textFill>
              </w:rPr>
              <w:t>|</w:t>
            </w:r>
          </w:p>
        </w:tc>
        <w:tc>
          <w:tcPr>
            <w:tcW w:w="1274" w:type="pct"/>
            <w:shd w:val="clear" w:color="auto" w:fill="auto"/>
            <w:vAlign w:val="center"/>
          </w:tcPr>
          <w:p w14:paraId="0D95468D" w14:textId="77777777" w:rsidR="004C1B77" w:rsidRPr="007B595C" w:rsidRDefault="004C1B77" w:rsidP="00CC59B3">
            <w:pPr>
              <w:pStyle w:val="TableText0"/>
              <w:jc w:val="center"/>
              <w:rPr>
                <w:rFonts w:ascii="Times" w:hAnsi="Times"/>
              </w:rPr>
            </w:pPr>
            <w:r w:rsidRPr="007B595C">
              <w:t>$110,471</w:t>
            </w:r>
          </w:p>
        </w:tc>
        <w:tc>
          <w:tcPr>
            <w:tcW w:w="838" w:type="pct"/>
            <w:shd w:val="solid" w:color="000000" w:fill="000000"/>
            <w:vAlign w:val="center"/>
          </w:tcPr>
          <w:p w14:paraId="32C05714" w14:textId="46D3AA0D" w:rsidR="004C1B77" w:rsidRPr="00C75B86" w:rsidRDefault="00E927A0" w:rsidP="00CC59B3">
            <w:pPr>
              <w:pStyle w:val="TableText0"/>
              <w:jc w:val="center"/>
              <w:rPr>
                <w:rFonts w:ascii="Times" w:hAnsi="Times"/>
                <w:highlight w:val="darkGray"/>
              </w:rPr>
            </w:pPr>
            <w:r w:rsidRPr="00E927A0">
              <w:rPr>
                <w:color w:val="000000"/>
                <w14:textFill>
                  <w14:solidFill>
                    <w14:srgbClr w14:val="000000">
                      <w14:alpha w14:val="100000"/>
                    </w14:srgbClr>
                  </w14:solidFill>
                </w14:textFill>
              </w:rPr>
              <w:t>|</w:t>
            </w:r>
          </w:p>
        </w:tc>
      </w:tr>
      <w:tr w:rsidR="00F75AED" w:rsidRPr="00E2771E" w14:paraId="7BB3F61F" w14:textId="77777777" w:rsidTr="007B595C">
        <w:tc>
          <w:tcPr>
            <w:tcW w:w="1529" w:type="pct"/>
            <w:vAlign w:val="center"/>
          </w:tcPr>
          <w:p w14:paraId="1DE47BE3" w14:textId="76DEEBDF" w:rsidR="00F75AED" w:rsidRPr="00F309C5" w:rsidRDefault="00F75AED" w:rsidP="00CC59B3">
            <w:pPr>
              <w:pStyle w:val="TableText0"/>
            </w:pPr>
            <w:r w:rsidRPr="00F309C5">
              <w:t>LYG (undiscounted)</w:t>
            </w:r>
          </w:p>
        </w:tc>
        <w:tc>
          <w:tcPr>
            <w:tcW w:w="1359" w:type="pct"/>
            <w:vAlign w:val="center"/>
          </w:tcPr>
          <w:p w14:paraId="61716CC9" w14:textId="57822F71" w:rsidR="00F75AED" w:rsidRPr="005E6CBC" w:rsidRDefault="00B0155D" w:rsidP="00CC59B3">
            <w:pPr>
              <w:pStyle w:val="TableText0"/>
              <w:jc w:val="center"/>
            </w:pPr>
            <w:r>
              <w:t>16.50</w:t>
            </w:r>
          </w:p>
        </w:tc>
        <w:tc>
          <w:tcPr>
            <w:tcW w:w="1274" w:type="pct"/>
            <w:shd w:val="clear" w:color="auto" w:fill="auto"/>
            <w:vAlign w:val="center"/>
          </w:tcPr>
          <w:p w14:paraId="57673322" w14:textId="1BD975C6" w:rsidR="00F75AED" w:rsidRPr="007B595C" w:rsidRDefault="00B0155D" w:rsidP="00CC59B3">
            <w:pPr>
              <w:pStyle w:val="TableText0"/>
              <w:jc w:val="center"/>
            </w:pPr>
            <w:r w:rsidRPr="007B595C">
              <w:t>12.21</w:t>
            </w:r>
          </w:p>
        </w:tc>
        <w:tc>
          <w:tcPr>
            <w:tcW w:w="838" w:type="pct"/>
            <w:vAlign w:val="center"/>
          </w:tcPr>
          <w:p w14:paraId="2D219092" w14:textId="53F5CA8F" w:rsidR="00F75AED" w:rsidRPr="005E6CBC" w:rsidRDefault="00B0155D" w:rsidP="00CC59B3">
            <w:pPr>
              <w:pStyle w:val="TableText0"/>
              <w:jc w:val="center"/>
            </w:pPr>
            <w:r>
              <w:t>4.29</w:t>
            </w:r>
          </w:p>
        </w:tc>
      </w:tr>
      <w:tr w:rsidR="004C1B77" w:rsidRPr="00E2771E" w14:paraId="67D625E3" w14:textId="77777777" w:rsidTr="007B595C">
        <w:tc>
          <w:tcPr>
            <w:tcW w:w="1529" w:type="pct"/>
            <w:vAlign w:val="center"/>
          </w:tcPr>
          <w:p w14:paraId="0D6494AE" w14:textId="77777777" w:rsidR="004C1B77" w:rsidRPr="00F309C5" w:rsidRDefault="004C1B77" w:rsidP="00CC59B3">
            <w:pPr>
              <w:pStyle w:val="TableText0"/>
              <w:rPr>
                <w:rFonts w:ascii="Times" w:hAnsi="Times"/>
              </w:rPr>
            </w:pPr>
            <w:r w:rsidRPr="00F309C5">
              <w:t>LYG (discounted)</w:t>
            </w:r>
          </w:p>
        </w:tc>
        <w:tc>
          <w:tcPr>
            <w:tcW w:w="1359" w:type="pct"/>
            <w:vAlign w:val="center"/>
          </w:tcPr>
          <w:p w14:paraId="66A8983F" w14:textId="77777777" w:rsidR="004C1B77" w:rsidRPr="005E6CBC" w:rsidRDefault="004C1B77" w:rsidP="00CC59B3">
            <w:pPr>
              <w:pStyle w:val="TableText0"/>
              <w:jc w:val="center"/>
              <w:rPr>
                <w:rFonts w:ascii="Times" w:hAnsi="Times"/>
              </w:rPr>
            </w:pPr>
            <w:r>
              <w:t>10.59</w:t>
            </w:r>
          </w:p>
        </w:tc>
        <w:tc>
          <w:tcPr>
            <w:tcW w:w="1274" w:type="pct"/>
            <w:shd w:val="clear" w:color="auto" w:fill="auto"/>
            <w:vAlign w:val="center"/>
          </w:tcPr>
          <w:p w14:paraId="6CE59C33" w14:textId="77777777" w:rsidR="004C1B77" w:rsidRPr="007B595C" w:rsidRDefault="004C1B77" w:rsidP="00CC59B3">
            <w:pPr>
              <w:pStyle w:val="TableText0"/>
              <w:jc w:val="center"/>
              <w:rPr>
                <w:rFonts w:ascii="Times" w:hAnsi="Times"/>
              </w:rPr>
            </w:pPr>
            <w:r w:rsidRPr="007B595C">
              <w:t>8.30</w:t>
            </w:r>
          </w:p>
        </w:tc>
        <w:tc>
          <w:tcPr>
            <w:tcW w:w="838" w:type="pct"/>
            <w:vAlign w:val="center"/>
          </w:tcPr>
          <w:p w14:paraId="3FA63F46" w14:textId="77777777" w:rsidR="004C1B77" w:rsidRPr="005E6CBC" w:rsidRDefault="004C1B77" w:rsidP="00CC59B3">
            <w:pPr>
              <w:pStyle w:val="TableText0"/>
              <w:jc w:val="center"/>
            </w:pPr>
            <w:r>
              <w:t>2.30</w:t>
            </w:r>
          </w:p>
        </w:tc>
      </w:tr>
      <w:tr w:rsidR="004C1B77" w:rsidRPr="00E2771E" w14:paraId="7CAC0FCB" w14:textId="77777777" w:rsidTr="007B595C">
        <w:tc>
          <w:tcPr>
            <w:tcW w:w="4162" w:type="pct"/>
            <w:gridSpan w:val="3"/>
            <w:shd w:val="clear" w:color="auto" w:fill="auto"/>
            <w:vAlign w:val="center"/>
          </w:tcPr>
          <w:p w14:paraId="1D785DEB" w14:textId="77777777" w:rsidR="004C1B77" w:rsidRPr="007B595C" w:rsidRDefault="004C1B77" w:rsidP="00F309C5">
            <w:pPr>
              <w:pStyle w:val="TableText0"/>
              <w:jc w:val="right"/>
              <w:rPr>
                <w:rFonts w:ascii="Times" w:hAnsi="Times"/>
                <w:b/>
              </w:rPr>
            </w:pPr>
            <w:r w:rsidRPr="007B595C">
              <w:rPr>
                <w:b/>
              </w:rPr>
              <w:t>Incremental cost/extra LYG gained</w:t>
            </w:r>
          </w:p>
        </w:tc>
        <w:tc>
          <w:tcPr>
            <w:tcW w:w="838" w:type="pct"/>
            <w:vAlign w:val="center"/>
          </w:tcPr>
          <w:p w14:paraId="2DB7BBCA" w14:textId="5E3F0AF1" w:rsidR="004C1B77" w:rsidRPr="005E6CBC" w:rsidRDefault="00E927A0" w:rsidP="00CC59B3">
            <w:pPr>
              <w:pStyle w:val="TableText0"/>
              <w:jc w:val="center"/>
              <w:rPr>
                <w:rFonts w:ascii="Times" w:hAnsi="Times"/>
              </w:rPr>
            </w:pPr>
            <w:r w:rsidRPr="00E927A0">
              <w:rPr>
                <w:color w:val="000000"/>
                <w:shd w:val="solid" w:color="000000" w:fill="000000"/>
                <w14:textFill>
                  <w14:solidFill>
                    <w14:srgbClr w14:val="000000">
                      <w14:alpha w14:val="100000"/>
                    </w14:srgbClr>
                  </w14:solidFill>
                </w14:textFill>
              </w:rPr>
              <w:t>|</w:t>
            </w:r>
            <w:r w:rsidR="006E429B" w:rsidRPr="007B595C">
              <w:rPr>
                <w:vertAlign w:val="superscript"/>
              </w:rPr>
              <w:t>3</w:t>
            </w:r>
            <w:r w:rsidR="004E71F8">
              <w:rPr>
                <w:i/>
                <w:iCs/>
                <w:vertAlign w:val="superscript"/>
              </w:rPr>
              <w:t>,</w:t>
            </w:r>
            <w:r w:rsidR="004C1B77">
              <w:t>*</w:t>
            </w:r>
          </w:p>
        </w:tc>
      </w:tr>
      <w:tr w:rsidR="004C1B77" w:rsidRPr="00EE64D8" w14:paraId="04B97C69" w14:textId="77777777" w:rsidTr="007B595C">
        <w:tc>
          <w:tcPr>
            <w:tcW w:w="5000" w:type="pct"/>
            <w:gridSpan w:val="4"/>
            <w:shd w:val="clear" w:color="auto" w:fill="auto"/>
            <w:vAlign w:val="center"/>
          </w:tcPr>
          <w:p w14:paraId="6FE6CFA9" w14:textId="77777777" w:rsidR="004C1B77" w:rsidRPr="007B595C" w:rsidRDefault="004C1B77" w:rsidP="00CC59B3">
            <w:pPr>
              <w:pStyle w:val="In-tableHeading"/>
            </w:pPr>
            <w:r w:rsidRPr="007B595C">
              <w:t>Step 5: utility weights applied</w:t>
            </w:r>
          </w:p>
        </w:tc>
      </w:tr>
      <w:tr w:rsidR="00F75AED" w:rsidRPr="00E2771E" w14:paraId="3617077D" w14:textId="77777777" w:rsidTr="00E927A0">
        <w:tc>
          <w:tcPr>
            <w:tcW w:w="1529" w:type="pct"/>
            <w:vAlign w:val="center"/>
          </w:tcPr>
          <w:p w14:paraId="0C06E2B4" w14:textId="67A40E72" w:rsidR="00F75AED" w:rsidRPr="00F309C5" w:rsidRDefault="00F75AED" w:rsidP="00CC59B3">
            <w:pPr>
              <w:pStyle w:val="TableText0"/>
            </w:pPr>
            <w:r w:rsidRPr="00F309C5">
              <w:t>Costs (undiscounted)</w:t>
            </w:r>
          </w:p>
        </w:tc>
        <w:tc>
          <w:tcPr>
            <w:tcW w:w="1359" w:type="pct"/>
            <w:tcBorders>
              <w:bottom w:val="single" w:sz="4" w:space="0" w:color="auto"/>
            </w:tcBorders>
            <w:shd w:val="solid" w:color="000000" w:fill="000000"/>
            <w:vAlign w:val="center"/>
          </w:tcPr>
          <w:p w14:paraId="7F33D04E" w14:textId="659C5254" w:rsidR="00F75AED" w:rsidRPr="00C75B86" w:rsidRDefault="00E927A0" w:rsidP="00CC59B3">
            <w:pPr>
              <w:pStyle w:val="TableText0"/>
              <w:jc w:val="center"/>
              <w:rPr>
                <w:highlight w:val="darkGray"/>
              </w:rPr>
            </w:pPr>
            <w:r w:rsidRPr="00E927A0">
              <w:rPr>
                <w:color w:val="000000"/>
                <w14:textFill>
                  <w14:solidFill>
                    <w14:srgbClr w14:val="000000">
                      <w14:alpha w14:val="100000"/>
                    </w14:srgbClr>
                  </w14:solidFill>
                </w14:textFill>
              </w:rPr>
              <w:t>|</w:t>
            </w:r>
          </w:p>
        </w:tc>
        <w:tc>
          <w:tcPr>
            <w:tcW w:w="1274" w:type="pct"/>
            <w:shd w:val="clear" w:color="auto" w:fill="auto"/>
            <w:vAlign w:val="center"/>
          </w:tcPr>
          <w:p w14:paraId="01CB3408" w14:textId="3C8B4CC1" w:rsidR="00F75AED" w:rsidRPr="007B595C" w:rsidRDefault="00820929" w:rsidP="00CC59B3">
            <w:pPr>
              <w:pStyle w:val="TableText0"/>
              <w:jc w:val="center"/>
            </w:pPr>
            <w:r w:rsidRPr="007B595C">
              <w:t>$</w:t>
            </w:r>
            <w:r w:rsidR="001B56B3" w:rsidRPr="007B595C">
              <w:t>142,322</w:t>
            </w:r>
          </w:p>
        </w:tc>
        <w:tc>
          <w:tcPr>
            <w:tcW w:w="838" w:type="pct"/>
            <w:tcBorders>
              <w:bottom w:val="single" w:sz="4" w:space="0" w:color="auto"/>
            </w:tcBorders>
            <w:shd w:val="solid" w:color="000000" w:fill="000000"/>
            <w:vAlign w:val="center"/>
          </w:tcPr>
          <w:p w14:paraId="6B97B566" w14:textId="15492EE0" w:rsidR="00F75AED" w:rsidRPr="00C75B86" w:rsidRDefault="00E927A0" w:rsidP="00CC59B3">
            <w:pPr>
              <w:pStyle w:val="TableText0"/>
              <w:jc w:val="center"/>
              <w:rPr>
                <w:highlight w:val="darkGray"/>
              </w:rPr>
            </w:pPr>
            <w:r w:rsidRPr="00E927A0">
              <w:rPr>
                <w:color w:val="000000"/>
                <w14:textFill>
                  <w14:solidFill>
                    <w14:srgbClr w14:val="000000">
                      <w14:alpha w14:val="100000"/>
                    </w14:srgbClr>
                  </w14:solidFill>
                </w14:textFill>
              </w:rPr>
              <w:t>|</w:t>
            </w:r>
          </w:p>
        </w:tc>
      </w:tr>
      <w:tr w:rsidR="004C1B77" w:rsidRPr="00E2771E" w14:paraId="614138BE" w14:textId="77777777" w:rsidTr="00E927A0">
        <w:tc>
          <w:tcPr>
            <w:tcW w:w="1529" w:type="pct"/>
            <w:vAlign w:val="center"/>
          </w:tcPr>
          <w:p w14:paraId="5AE67EEA" w14:textId="77777777" w:rsidR="004C1B77" w:rsidRPr="00F309C5" w:rsidRDefault="004C1B77" w:rsidP="00CC59B3">
            <w:pPr>
              <w:pStyle w:val="TableText0"/>
              <w:rPr>
                <w:rFonts w:ascii="Times" w:hAnsi="Times"/>
              </w:rPr>
            </w:pPr>
            <w:r w:rsidRPr="00F309C5">
              <w:t>Costs (discounted)</w:t>
            </w:r>
          </w:p>
        </w:tc>
        <w:tc>
          <w:tcPr>
            <w:tcW w:w="1359" w:type="pct"/>
            <w:shd w:val="solid" w:color="000000" w:fill="000000"/>
            <w:vAlign w:val="center"/>
          </w:tcPr>
          <w:p w14:paraId="579FCEBE" w14:textId="21677FE0" w:rsidR="004C1B77" w:rsidRPr="00C75B86" w:rsidRDefault="00E927A0" w:rsidP="00CC59B3">
            <w:pPr>
              <w:pStyle w:val="TableText0"/>
              <w:jc w:val="center"/>
              <w:rPr>
                <w:rFonts w:ascii="Times" w:hAnsi="Times"/>
                <w:highlight w:val="darkGray"/>
              </w:rPr>
            </w:pPr>
            <w:r w:rsidRPr="00E927A0">
              <w:rPr>
                <w:color w:val="000000"/>
                <w14:textFill>
                  <w14:solidFill>
                    <w14:srgbClr w14:val="000000">
                      <w14:alpha w14:val="100000"/>
                    </w14:srgbClr>
                  </w14:solidFill>
                </w14:textFill>
              </w:rPr>
              <w:t>|</w:t>
            </w:r>
          </w:p>
        </w:tc>
        <w:tc>
          <w:tcPr>
            <w:tcW w:w="1274" w:type="pct"/>
            <w:vAlign w:val="center"/>
          </w:tcPr>
          <w:p w14:paraId="28CB32E8" w14:textId="77777777" w:rsidR="004C1B77" w:rsidRPr="00373DF1" w:rsidRDefault="004C1B77" w:rsidP="00CC59B3">
            <w:pPr>
              <w:pStyle w:val="TableText0"/>
              <w:jc w:val="center"/>
              <w:rPr>
                <w:rFonts w:ascii="Times" w:hAnsi="Times"/>
              </w:rPr>
            </w:pPr>
            <w:r w:rsidRPr="00373DF1">
              <w:t>$110,471</w:t>
            </w:r>
          </w:p>
        </w:tc>
        <w:tc>
          <w:tcPr>
            <w:tcW w:w="838" w:type="pct"/>
            <w:shd w:val="solid" w:color="000000" w:fill="000000"/>
            <w:vAlign w:val="center"/>
          </w:tcPr>
          <w:p w14:paraId="166CA6A1" w14:textId="5987E2FA" w:rsidR="004C1B77" w:rsidRPr="00C75B86" w:rsidRDefault="00E927A0" w:rsidP="00CC59B3">
            <w:pPr>
              <w:pStyle w:val="TableText0"/>
              <w:jc w:val="center"/>
              <w:rPr>
                <w:rFonts w:ascii="Times" w:hAnsi="Times"/>
                <w:highlight w:val="darkGray"/>
              </w:rPr>
            </w:pPr>
            <w:r w:rsidRPr="00E927A0">
              <w:rPr>
                <w:color w:val="000000"/>
                <w14:textFill>
                  <w14:solidFill>
                    <w14:srgbClr w14:val="000000">
                      <w14:alpha w14:val="100000"/>
                    </w14:srgbClr>
                  </w14:solidFill>
                </w14:textFill>
              </w:rPr>
              <w:t>|</w:t>
            </w:r>
          </w:p>
        </w:tc>
      </w:tr>
      <w:tr w:rsidR="00F75AED" w:rsidRPr="00E2771E" w14:paraId="651E4231" w14:textId="77777777" w:rsidTr="00CC59B3">
        <w:tc>
          <w:tcPr>
            <w:tcW w:w="1529" w:type="pct"/>
            <w:vAlign w:val="center"/>
          </w:tcPr>
          <w:p w14:paraId="510CA524" w14:textId="3F5704B1" w:rsidR="00F75AED" w:rsidRPr="00F309C5" w:rsidRDefault="00F75AED" w:rsidP="00CC59B3">
            <w:pPr>
              <w:pStyle w:val="TableText0"/>
            </w:pPr>
            <w:r w:rsidRPr="00F309C5">
              <w:t>QALYs (undiscounted)</w:t>
            </w:r>
          </w:p>
        </w:tc>
        <w:tc>
          <w:tcPr>
            <w:tcW w:w="1359" w:type="pct"/>
            <w:vAlign w:val="center"/>
          </w:tcPr>
          <w:p w14:paraId="6D28474B" w14:textId="271F7F41" w:rsidR="00F75AED" w:rsidRPr="00F309C5" w:rsidRDefault="001B56B3" w:rsidP="00CC59B3">
            <w:pPr>
              <w:pStyle w:val="TableText0"/>
              <w:jc w:val="center"/>
            </w:pPr>
            <w:r w:rsidRPr="00F309C5">
              <w:t>13.32</w:t>
            </w:r>
          </w:p>
        </w:tc>
        <w:tc>
          <w:tcPr>
            <w:tcW w:w="1274" w:type="pct"/>
            <w:vAlign w:val="center"/>
          </w:tcPr>
          <w:p w14:paraId="3D43F3B2" w14:textId="6C7A72C8" w:rsidR="00F75AED" w:rsidRPr="00F309C5" w:rsidRDefault="001B56B3" w:rsidP="00CC59B3">
            <w:pPr>
              <w:pStyle w:val="TableText0"/>
              <w:jc w:val="center"/>
            </w:pPr>
            <w:r w:rsidRPr="00F309C5">
              <w:t>9.73</w:t>
            </w:r>
          </w:p>
        </w:tc>
        <w:tc>
          <w:tcPr>
            <w:tcW w:w="838" w:type="pct"/>
            <w:vAlign w:val="center"/>
          </w:tcPr>
          <w:p w14:paraId="72E8B96B" w14:textId="7E195C6F" w:rsidR="00F75AED" w:rsidRDefault="001B56B3" w:rsidP="00CC59B3">
            <w:pPr>
              <w:pStyle w:val="TableText0"/>
              <w:jc w:val="center"/>
            </w:pPr>
            <w:r>
              <w:t>3.59</w:t>
            </w:r>
          </w:p>
        </w:tc>
      </w:tr>
      <w:tr w:rsidR="006814E9" w:rsidRPr="00E2771E" w14:paraId="0947A3BE" w14:textId="77777777" w:rsidTr="00CC59B3">
        <w:tc>
          <w:tcPr>
            <w:tcW w:w="1529" w:type="pct"/>
            <w:vAlign w:val="center"/>
          </w:tcPr>
          <w:p w14:paraId="51CB5537" w14:textId="58F1D45E" w:rsidR="006814E9" w:rsidRPr="00F309C5" w:rsidRDefault="006814E9" w:rsidP="006814E9">
            <w:pPr>
              <w:pStyle w:val="TableText0"/>
            </w:pPr>
            <w:r w:rsidRPr="00F309C5">
              <w:t>QALYs (discounted)</w:t>
            </w:r>
          </w:p>
        </w:tc>
        <w:tc>
          <w:tcPr>
            <w:tcW w:w="1359" w:type="pct"/>
            <w:vAlign w:val="center"/>
          </w:tcPr>
          <w:p w14:paraId="0090ED36" w14:textId="506D0E23" w:rsidR="006814E9" w:rsidRPr="00F309C5" w:rsidRDefault="006814E9" w:rsidP="006814E9">
            <w:pPr>
              <w:pStyle w:val="TableText0"/>
              <w:jc w:val="center"/>
            </w:pPr>
            <w:r>
              <w:t>8.55</w:t>
            </w:r>
          </w:p>
        </w:tc>
        <w:tc>
          <w:tcPr>
            <w:tcW w:w="1274" w:type="pct"/>
            <w:vAlign w:val="center"/>
          </w:tcPr>
          <w:p w14:paraId="52E8D601" w14:textId="02C43574" w:rsidR="006814E9" w:rsidRPr="00F309C5" w:rsidRDefault="006814E9" w:rsidP="006814E9">
            <w:pPr>
              <w:pStyle w:val="TableText0"/>
              <w:jc w:val="center"/>
            </w:pPr>
            <w:r>
              <w:t>6.59</w:t>
            </w:r>
          </w:p>
        </w:tc>
        <w:tc>
          <w:tcPr>
            <w:tcW w:w="838" w:type="pct"/>
            <w:vAlign w:val="center"/>
          </w:tcPr>
          <w:p w14:paraId="4966D6B4" w14:textId="3C43435C" w:rsidR="006814E9" w:rsidRDefault="006814E9" w:rsidP="006814E9">
            <w:pPr>
              <w:pStyle w:val="TableText0"/>
              <w:jc w:val="center"/>
            </w:pPr>
            <w:r>
              <w:t>1.96</w:t>
            </w:r>
          </w:p>
        </w:tc>
      </w:tr>
      <w:tr w:rsidR="004C1B77" w:rsidRPr="0017537B" w14:paraId="0F665617" w14:textId="77777777" w:rsidTr="00CC59B3">
        <w:tc>
          <w:tcPr>
            <w:tcW w:w="4162" w:type="pct"/>
            <w:gridSpan w:val="3"/>
            <w:vAlign w:val="center"/>
          </w:tcPr>
          <w:p w14:paraId="38BF3879" w14:textId="77777777" w:rsidR="004C1B77" w:rsidRPr="00F309C5" w:rsidRDefault="004C1B77" w:rsidP="00CC59B3">
            <w:pPr>
              <w:pStyle w:val="TableText0"/>
              <w:jc w:val="right"/>
              <w:rPr>
                <w:rFonts w:ascii="Times" w:hAnsi="Times"/>
                <w:b/>
              </w:rPr>
            </w:pPr>
            <w:r w:rsidRPr="00F309C5">
              <w:rPr>
                <w:b/>
              </w:rPr>
              <w:t>Incremental cost/extra QALY gained (base case)</w:t>
            </w:r>
          </w:p>
        </w:tc>
        <w:tc>
          <w:tcPr>
            <w:tcW w:w="838" w:type="pct"/>
            <w:vAlign w:val="center"/>
          </w:tcPr>
          <w:p w14:paraId="1AE6480A" w14:textId="4CC3F56B" w:rsidR="004C1B77" w:rsidRPr="000653B5" w:rsidRDefault="00E927A0" w:rsidP="00CC59B3">
            <w:pPr>
              <w:pStyle w:val="TableText0"/>
              <w:jc w:val="center"/>
              <w:rPr>
                <w:rFonts w:ascii="Times" w:hAnsi="Times"/>
                <w:b/>
              </w:rPr>
            </w:pPr>
            <w:r w:rsidRPr="00E927A0">
              <w:rPr>
                <w:b/>
                <w:color w:val="000000"/>
                <w:shd w:val="solid" w:color="000000" w:fill="000000"/>
                <w14:textFill>
                  <w14:solidFill>
                    <w14:srgbClr w14:val="000000">
                      <w14:alpha w14:val="100000"/>
                    </w14:srgbClr>
                  </w14:solidFill>
                </w14:textFill>
              </w:rPr>
              <w:t>|</w:t>
            </w:r>
            <w:r w:rsidR="006E429B" w:rsidRPr="006E429B">
              <w:rPr>
                <w:b/>
                <w:vertAlign w:val="superscript"/>
              </w:rPr>
              <w:t>4</w:t>
            </w:r>
          </w:p>
        </w:tc>
      </w:tr>
    </w:tbl>
    <w:p w14:paraId="64017B82" w14:textId="77777777" w:rsidR="004C1B77" w:rsidRDefault="004C1B77" w:rsidP="004C1B77">
      <w:pPr>
        <w:pStyle w:val="FooterTableFigure"/>
      </w:pPr>
      <w:r>
        <w:t xml:space="preserve">Source: Table 3.8-1, p179 </w:t>
      </w:r>
      <w:r w:rsidRPr="00D13A3E">
        <w:t xml:space="preserve">of the </w:t>
      </w:r>
      <w:r>
        <w:t>submission.</w:t>
      </w:r>
    </w:p>
    <w:p w14:paraId="27EC0B30" w14:textId="77777777" w:rsidR="004C1B77" w:rsidRDefault="004C1B77" w:rsidP="004C1B77">
      <w:pPr>
        <w:pStyle w:val="FooterTableFigure"/>
      </w:pPr>
      <w:r w:rsidRPr="00FF134E">
        <w:t xml:space="preserve">CNS = central nervous system; DF = </w:t>
      </w:r>
      <w:r>
        <w:t>disease-free</w:t>
      </w:r>
      <w:r w:rsidRPr="00FF134E">
        <w:t>.</w:t>
      </w:r>
    </w:p>
    <w:p w14:paraId="2575E590" w14:textId="5829C81A" w:rsidR="004C1B77" w:rsidRPr="00801F55" w:rsidRDefault="004C1B77" w:rsidP="004C1B77">
      <w:pPr>
        <w:pStyle w:val="FooterTableFigure"/>
      </w:pPr>
      <w:r w:rsidRPr="00D657C0">
        <w:rPr>
          <w:i/>
          <w:iCs/>
        </w:rPr>
        <w:t>*</w:t>
      </w:r>
      <w:r w:rsidR="006277E5">
        <w:rPr>
          <w:i/>
          <w:iCs/>
        </w:rPr>
        <w:tab/>
      </w:r>
      <w:r w:rsidRPr="00801F55">
        <w:t xml:space="preserve">correcting minor error in aggregating cells in cell I37 in ‘Results’ worksheet in EXCEL file ‘Tagrisso (Osimertinib) Adjuvant CEA’. </w:t>
      </w:r>
    </w:p>
    <w:p w14:paraId="36F496D6" w14:textId="553582B3" w:rsidR="004C1B77" w:rsidRDefault="004C1B77" w:rsidP="004C1B77">
      <w:pPr>
        <w:pStyle w:val="FooterTableFigure"/>
      </w:pPr>
      <w:r w:rsidRPr="00801F55">
        <w:rPr>
          <w:vertAlign w:val="superscript"/>
        </w:rPr>
        <w:t>a</w:t>
      </w:r>
      <w:r w:rsidRPr="00801F55">
        <w:rPr>
          <w:vertAlign w:val="superscript"/>
        </w:rPr>
        <w:tab/>
      </w:r>
      <w:r w:rsidRPr="00801F55">
        <w:t>Life</w:t>
      </w:r>
      <w:r w:rsidR="006277E5" w:rsidRPr="00801F55">
        <w:t xml:space="preserve"> </w:t>
      </w:r>
      <w:r w:rsidRPr="00801F55">
        <w:t>years were calculated using an Area Under the Curve approach from ADAURA survival curves.</w:t>
      </w:r>
    </w:p>
    <w:p w14:paraId="1DEB963B" w14:textId="2DE945BE" w:rsidR="00C75B86" w:rsidRDefault="00C75B86" w:rsidP="00C75B86">
      <w:pPr>
        <w:pStyle w:val="FooterTableFigure"/>
        <w:rPr>
          <w:rStyle w:val="CommentReference"/>
          <w:b w:val="0"/>
          <w:i/>
          <w:iCs/>
          <w:sz w:val="18"/>
          <w:szCs w:val="22"/>
        </w:rPr>
      </w:pPr>
      <w:r w:rsidRPr="00C75B86">
        <w:rPr>
          <w:rStyle w:val="CommentReference"/>
          <w:b w:val="0"/>
          <w:i/>
          <w:iCs/>
          <w:sz w:val="18"/>
          <w:szCs w:val="22"/>
        </w:rPr>
        <w:t>The redacted values correspond to the following ranges:</w:t>
      </w:r>
    </w:p>
    <w:p w14:paraId="3701E9ED" w14:textId="1CB1AAC5" w:rsidR="00373DF1" w:rsidRPr="00373DF1" w:rsidRDefault="00373DF1" w:rsidP="00373DF1">
      <w:pPr>
        <w:pStyle w:val="FooterTableFigure"/>
        <w:rPr>
          <w:i/>
          <w:iCs/>
        </w:rPr>
      </w:pPr>
      <w:r w:rsidRPr="006E429B">
        <w:rPr>
          <w:i/>
          <w:iCs/>
          <w:vertAlign w:val="superscript"/>
        </w:rPr>
        <w:t>1</w:t>
      </w:r>
      <w:r w:rsidRPr="00373DF1">
        <w:rPr>
          <w:i/>
          <w:iCs/>
        </w:rPr>
        <w:t>$75,000 to &lt; $95,000</w:t>
      </w:r>
    </w:p>
    <w:p w14:paraId="30C326D2" w14:textId="6BCB5F12" w:rsidR="006E429B" w:rsidRPr="006E429B" w:rsidRDefault="006E429B" w:rsidP="006E429B">
      <w:pPr>
        <w:pStyle w:val="FooterTableFigure"/>
        <w:rPr>
          <w:i/>
          <w:iCs/>
        </w:rPr>
      </w:pPr>
      <w:r w:rsidRPr="006E429B">
        <w:rPr>
          <w:i/>
          <w:iCs/>
          <w:vertAlign w:val="superscript"/>
        </w:rPr>
        <w:t>2</w:t>
      </w:r>
      <w:r w:rsidRPr="006E429B">
        <w:rPr>
          <w:i/>
          <w:iCs/>
        </w:rPr>
        <w:t>$455,000 to &lt; $555,000</w:t>
      </w:r>
    </w:p>
    <w:p w14:paraId="43266F09" w14:textId="1B97C86F" w:rsidR="006E429B" w:rsidRPr="006E429B" w:rsidRDefault="006E429B" w:rsidP="006E429B">
      <w:pPr>
        <w:pStyle w:val="FooterTableFigure"/>
        <w:rPr>
          <w:i/>
          <w:iCs/>
        </w:rPr>
      </w:pPr>
      <w:r w:rsidRPr="006E429B">
        <w:rPr>
          <w:i/>
          <w:iCs/>
          <w:vertAlign w:val="superscript"/>
        </w:rPr>
        <w:t>3</w:t>
      </w:r>
      <w:r w:rsidRPr="006E429B">
        <w:rPr>
          <w:i/>
          <w:iCs/>
        </w:rPr>
        <w:t>$25,000 to &lt; $35,000</w:t>
      </w:r>
    </w:p>
    <w:p w14:paraId="6C569B51" w14:textId="0994713D" w:rsidR="003F06F8" w:rsidRPr="00801F55" w:rsidRDefault="006E429B" w:rsidP="00056ECF">
      <w:pPr>
        <w:pStyle w:val="FooterTableFigure"/>
        <w:rPr>
          <w:rStyle w:val="CommentReference"/>
          <w:b w:val="0"/>
          <w:sz w:val="18"/>
          <w:szCs w:val="22"/>
        </w:rPr>
      </w:pPr>
      <w:r>
        <w:rPr>
          <w:rStyle w:val="CommentReference"/>
          <w:b w:val="0"/>
          <w:i/>
          <w:iCs/>
          <w:sz w:val="18"/>
          <w:szCs w:val="22"/>
          <w:vertAlign w:val="superscript"/>
        </w:rPr>
        <w:t>4</w:t>
      </w:r>
      <w:r w:rsidR="00C75B86" w:rsidRPr="00C75B86">
        <w:rPr>
          <w:rStyle w:val="CommentReference"/>
          <w:b w:val="0"/>
          <w:i/>
          <w:iCs/>
          <w:sz w:val="18"/>
          <w:szCs w:val="22"/>
        </w:rPr>
        <w:t xml:space="preserve"> $35,000 to &lt; $45,000</w:t>
      </w:r>
    </w:p>
    <w:p w14:paraId="738D7BA1" w14:textId="77A35D02" w:rsidR="00A41691" w:rsidRPr="000853E6" w:rsidRDefault="000436F7" w:rsidP="00BB732D">
      <w:pPr>
        <w:pStyle w:val="3-BodyText"/>
        <w:rPr>
          <w:iCs/>
        </w:rPr>
      </w:pPr>
      <w:r w:rsidRPr="000853E6">
        <w:rPr>
          <w:iCs/>
        </w:rPr>
        <w:t>T</w:t>
      </w:r>
      <w:r w:rsidR="00A41691" w:rsidRPr="000853E6">
        <w:rPr>
          <w:iCs/>
        </w:rPr>
        <w:t>he extension of the time horizon</w:t>
      </w:r>
      <w:r w:rsidR="00F75AED" w:rsidRPr="000853E6">
        <w:rPr>
          <w:iCs/>
        </w:rPr>
        <w:t xml:space="preserve"> from 5.5 years in the trial-based analyses</w:t>
      </w:r>
      <w:r w:rsidR="00A41691" w:rsidRPr="000853E6">
        <w:rPr>
          <w:iCs/>
        </w:rPr>
        <w:t xml:space="preserve"> to 25 years had a significant impact on the ICER, increasing the incremental </w:t>
      </w:r>
      <w:r w:rsidR="00E45585" w:rsidRPr="000853E6">
        <w:rPr>
          <w:iCs/>
        </w:rPr>
        <w:t xml:space="preserve">undiscounted </w:t>
      </w:r>
      <w:r w:rsidR="00A41691" w:rsidRPr="000853E6">
        <w:rPr>
          <w:iCs/>
        </w:rPr>
        <w:t>LYG from 0.</w:t>
      </w:r>
      <w:r w:rsidR="00DE58D4" w:rsidRPr="000853E6">
        <w:rPr>
          <w:iCs/>
        </w:rPr>
        <w:t>27</w:t>
      </w:r>
      <w:r w:rsidR="00A41691" w:rsidRPr="000853E6">
        <w:rPr>
          <w:iCs/>
        </w:rPr>
        <w:t xml:space="preserve"> to </w:t>
      </w:r>
      <w:r w:rsidR="00E45585" w:rsidRPr="000853E6">
        <w:rPr>
          <w:iCs/>
        </w:rPr>
        <w:t>4.29</w:t>
      </w:r>
      <w:r w:rsidR="00A41691" w:rsidRPr="000853E6">
        <w:rPr>
          <w:iCs/>
        </w:rPr>
        <w:t xml:space="preserve">. Additionally, the extension of the time horizon resulted in a decrease in incremental </w:t>
      </w:r>
      <w:r w:rsidR="00013F21" w:rsidRPr="000853E6">
        <w:rPr>
          <w:iCs/>
        </w:rPr>
        <w:t xml:space="preserve">undiscounted </w:t>
      </w:r>
      <w:r w:rsidR="00A41691" w:rsidRPr="000853E6">
        <w:rPr>
          <w:iCs/>
        </w:rPr>
        <w:t>costs from $</w:t>
      </w:r>
      <w:r w:rsidR="00367E22" w:rsidRPr="00367E22">
        <w:rPr>
          <w:iCs/>
        </w:rPr>
        <w:t>115,000</w:t>
      </w:r>
      <w:r w:rsidR="007B595C">
        <w:rPr>
          <w:iCs/>
        </w:rPr>
        <w:t> </w:t>
      </w:r>
      <w:r w:rsidR="00367E22" w:rsidRPr="00367E22">
        <w:rPr>
          <w:iCs/>
        </w:rPr>
        <w:t>to</w:t>
      </w:r>
      <w:r w:rsidR="007B595C">
        <w:rPr>
          <w:iCs/>
        </w:rPr>
        <w:t> </w:t>
      </w:r>
      <w:r w:rsidR="00367E22" w:rsidRPr="00367E22">
        <w:rPr>
          <w:iCs/>
        </w:rPr>
        <w:t>&lt;</w:t>
      </w:r>
      <w:r w:rsidR="007B595C">
        <w:rPr>
          <w:iCs/>
        </w:rPr>
        <w:t> </w:t>
      </w:r>
      <w:r w:rsidR="00367E22" w:rsidRPr="00367E22">
        <w:rPr>
          <w:iCs/>
        </w:rPr>
        <w:t>$135,000</w:t>
      </w:r>
      <w:r w:rsidR="00A41691" w:rsidRPr="000853E6">
        <w:rPr>
          <w:iCs/>
        </w:rPr>
        <w:t xml:space="preserve"> to $</w:t>
      </w:r>
      <w:r w:rsidR="00367E22" w:rsidRPr="00367E22">
        <w:rPr>
          <w:iCs/>
        </w:rPr>
        <w:t>55,000</w:t>
      </w:r>
      <w:r w:rsidR="007B595C">
        <w:rPr>
          <w:iCs/>
        </w:rPr>
        <w:t> </w:t>
      </w:r>
      <w:r w:rsidR="00367E22" w:rsidRPr="00367E22">
        <w:rPr>
          <w:iCs/>
        </w:rPr>
        <w:t>to</w:t>
      </w:r>
      <w:r w:rsidR="007B595C">
        <w:rPr>
          <w:iCs/>
        </w:rPr>
        <w:t> </w:t>
      </w:r>
      <w:r w:rsidR="00367E22" w:rsidRPr="00367E22">
        <w:rPr>
          <w:iCs/>
        </w:rPr>
        <w:t>&lt;</w:t>
      </w:r>
      <w:r w:rsidR="007B595C">
        <w:rPr>
          <w:iCs/>
        </w:rPr>
        <w:t> </w:t>
      </w:r>
      <w:r w:rsidR="00367E22" w:rsidRPr="00367E22">
        <w:rPr>
          <w:iCs/>
        </w:rPr>
        <w:t xml:space="preserve">$75,000 </w:t>
      </w:r>
      <w:r w:rsidR="00A41691" w:rsidRPr="000853E6">
        <w:rPr>
          <w:iCs/>
        </w:rPr>
        <w:t>, which was primarily due to</w:t>
      </w:r>
      <w:r w:rsidR="003610B2" w:rsidRPr="000853E6">
        <w:rPr>
          <w:iCs/>
        </w:rPr>
        <w:t xml:space="preserve"> inclusion of costs of subsequent therapies.</w:t>
      </w:r>
    </w:p>
    <w:p w14:paraId="034BF59F" w14:textId="3FE6239E" w:rsidR="003C1193" w:rsidRDefault="00D23D11" w:rsidP="00000F78">
      <w:pPr>
        <w:pStyle w:val="3-BodyText"/>
      </w:pPr>
      <w:r w:rsidRPr="003D3B2C">
        <w:t xml:space="preserve">The results of key univariate / multivariate sensitivity analyses are summarised </w:t>
      </w:r>
      <w:r w:rsidR="00E16AD8" w:rsidRPr="003D3B2C">
        <w:t xml:space="preserve">in </w:t>
      </w:r>
      <w:r w:rsidR="00000F78" w:rsidRPr="003D3B2C">
        <w:fldChar w:fldCharType="begin" w:fldLock="1"/>
      </w:r>
      <w:r w:rsidR="00000F78" w:rsidRPr="003D3B2C">
        <w:instrText xml:space="preserve"> REF _Ref144728445 \h </w:instrText>
      </w:r>
      <w:r w:rsidR="003D3B2C">
        <w:instrText xml:space="preserve"> \* MERGEFORMAT </w:instrText>
      </w:r>
      <w:r w:rsidR="00000F78" w:rsidRPr="003D3B2C">
        <w:fldChar w:fldCharType="separate"/>
      </w:r>
      <w:r w:rsidR="00000F78" w:rsidRPr="003D3B2C">
        <w:t xml:space="preserve">Table </w:t>
      </w:r>
      <w:r w:rsidR="00000F78" w:rsidRPr="003D3B2C">
        <w:rPr>
          <w:noProof/>
        </w:rPr>
        <w:t>12</w:t>
      </w:r>
      <w:r w:rsidR="00000F78" w:rsidRPr="003D3B2C">
        <w:fldChar w:fldCharType="end"/>
      </w:r>
      <w:r w:rsidRPr="003D3B2C">
        <w:t xml:space="preserve">. </w:t>
      </w:r>
    </w:p>
    <w:p w14:paraId="7AF1297B" w14:textId="51341960" w:rsidR="003C1193" w:rsidRDefault="003C1193">
      <w:pPr>
        <w:jc w:val="left"/>
        <w:rPr>
          <w:rFonts w:asciiTheme="minorHAnsi" w:hAnsiTheme="minorHAnsi"/>
          <w:snapToGrid w:val="0"/>
        </w:rPr>
      </w:pPr>
    </w:p>
    <w:p w14:paraId="165116ED" w14:textId="4E4592BC" w:rsidR="00732D1C" w:rsidRPr="00656188" w:rsidRDefault="00000F78" w:rsidP="00A83FEC">
      <w:pPr>
        <w:pStyle w:val="Caption"/>
        <w:jc w:val="left"/>
        <w:rPr>
          <w:rStyle w:val="CommentReference"/>
          <w:b/>
          <w:szCs w:val="24"/>
        </w:rPr>
      </w:pPr>
      <w:bookmarkStart w:id="56" w:name="_Ref144728445"/>
      <w:r>
        <w:t xml:space="preserve">Table </w:t>
      </w:r>
      <w:r w:rsidR="001E77BF">
        <w:fldChar w:fldCharType="begin" w:fldLock="1"/>
      </w:r>
      <w:r w:rsidR="001E77BF">
        <w:instrText xml:space="preserve"> SEQ Table \* ARABIC </w:instrText>
      </w:r>
      <w:r w:rsidR="001E77BF">
        <w:fldChar w:fldCharType="separate"/>
      </w:r>
      <w:r>
        <w:rPr>
          <w:noProof/>
        </w:rPr>
        <w:t>12</w:t>
      </w:r>
      <w:r w:rsidR="001E77BF">
        <w:rPr>
          <w:noProof/>
        </w:rPr>
        <w:fldChar w:fldCharType="end"/>
      </w:r>
      <w:bookmarkEnd w:id="56"/>
      <w:r w:rsidR="00732D1C" w:rsidRPr="00000F78">
        <w:rPr>
          <w:rStyle w:val="CommentReference"/>
          <w:b/>
          <w:szCs w:val="24"/>
        </w:rPr>
        <w:t>: Results of key sensitivity analyses</w:t>
      </w:r>
    </w:p>
    <w:tbl>
      <w:tblPr>
        <w:tblW w:w="90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5949"/>
        <w:gridCol w:w="851"/>
        <w:gridCol w:w="567"/>
        <w:gridCol w:w="850"/>
        <w:gridCol w:w="859"/>
      </w:tblGrid>
      <w:tr w:rsidR="00743F1B" w:rsidRPr="00264D26" w14:paraId="60DE7B49" w14:textId="531C9263" w:rsidTr="00E927A0">
        <w:trPr>
          <w:tblHeader/>
        </w:trPr>
        <w:tc>
          <w:tcPr>
            <w:tcW w:w="5949" w:type="dxa"/>
          </w:tcPr>
          <w:p w14:paraId="3FE94289" w14:textId="77777777" w:rsidR="00743F1B" w:rsidRPr="00264D26" w:rsidRDefault="00743F1B" w:rsidP="00A83FEC">
            <w:pPr>
              <w:pStyle w:val="In-tableHeading"/>
              <w:keepLines/>
            </w:pPr>
            <w:r>
              <w:t>Analyses</w:t>
            </w:r>
          </w:p>
        </w:tc>
        <w:tc>
          <w:tcPr>
            <w:tcW w:w="851" w:type="dxa"/>
            <w:tcBorders>
              <w:bottom w:val="single" w:sz="4" w:space="0" w:color="auto"/>
            </w:tcBorders>
            <w:vAlign w:val="center"/>
          </w:tcPr>
          <w:p w14:paraId="0F7F6A72" w14:textId="7A8B1C95" w:rsidR="00013F21" w:rsidRDefault="00743F1B" w:rsidP="00A83FEC">
            <w:pPr>
              <w:pStyle w:val="In-tableHeading"/>
              <w:keepLines/>
              <w:jc w:val="center"/>
            </w:pPr>
            <w:r w:rsidRPr="00264D26">
              <w:t>Incr</w:t>
            </w:r>
          </w:p>
          <w:p w14:paraId="72AA63B3" w14:textId="50B3C884" w:rsidR="00743F1B" w:rsidRPr="00264D26" w:rsidRDefault="00783DD2" w:rsidP="00A83FEC">
            <w:pPr>
              <w:pStyle w:val="In-tableHeading"/>
              <w:keepLines/>
              <w:jc w:val="center"/>
            </w:pPr>
            <w:r w:rsidRPr="00264D26">
              <w:t>C</w:t>
            </w:r>
            <w:r w:rsidR="00743F1B" w:rsidRPr="00264D26">
              <w:t>ost</w:t>
            </w:r>
            <w:r>
              <w:t xml:space="preserve"> ($)</w:t>
            </w:r>
          </w:p>
        </w:tc>
        <w:tc>
          <w:tcPr>
            <w:tcW w:w="567" w:type="dxa"/>
            <w:vAlign w:val="center"/>
          </w:tcPr>
          <w:p w14:paraId="0DBFB361" w14:textId="3514B106" w:rsidR="00743F1B" w:rsidRPr="00264D26" w:rsidRDefault="00743F1B" w:rsidP="00A83FEC">
            <w:pPr>
              <w:pStyle w:val="In-tableHeading"/>
              <w:keepLines/>
              <w:jc w:val="center"/>
            </w:pPr>
            <w:r w:rsidRPr="00264D26">
              <w:t>Incr QALY</w:t>
            </w:r>
          </w:p>
        </w:tc>
        <w:tc>
          <w:tcPr>
            <w:tcW w:w="850" w:type="dxa"/>
            <w:vAlign w:val="center"/>
          </w:tcPr>
          <w:p w14:paraId="0E5152B4" w14:textId="77777777" w:rsidR="00743F1B" w:rsidRPr="00264D26" w:rsidRDefault="00743F1B" w:rsidP="00A83FEC">
            <w:pPr>
              <w:pStyle w:val="In-tableHeading"/>
              <w:keepLines/>
              <w:jc w:val="center"/>
            </w:pPr>
            <w:r w:rsidRPr="00264D26">
              <w:t>ICER</w:t>
            </w:r>
          </w:p>
        </w:tc>
        <w:tc>
          <w:tcPr>
            <w:tcW w:w="859" w:type="dxa"/>
            <w:vAlign w:val="center"/>
          </w:tcPr>
          <w:p w14:paraId="0A28C379" w14:textId="5C29C234" w:rsidR="00743F1B" w:rsidRPr="00264D26" w:rsidRDefault="00743F1B" w:rsidP="00A83FEC">
            <w:pPr>
              <w:pStyle w:val="In-tableHeading"/>
              <w:keepLines/>
              <w:jc w:val="center"/>
            </w:pPr>
            <w:r>
              <w:t>% change</w:t>
            </w:r>
          </w:p>
        </w:tc>
      </w:tr>
      <w:tr w:rsidR="00743F1B" w:rsidRPr="00264D26" w14:paraId="43107402" w14:textId="58DFC04A" w:rsidTr="00E927A0">
        <w:tc>
          <w:tcPr>
            <w:tcW w:w="5949" w:type="dxa"/>
            <w:tcBorders>
              <w:bottom w:val="single" w:sz="4" w:space="0" w:color="auto"/>
            </w:tcBorders>
          </w:tcPr>
          <w:p w14:paraId="522C8CB0" w14:textId="77777777" w:rsidR="00743F1B" w:rsidRPr="00656188" w:rsidRDefault="00743F1B" w:rsidP="00A83FEC">
            <w:pPr>
              <w:pStyle w:val="TableText0"/>
              <w:keepLines/>
              <w:rPr>
                <w:b/>
              </w:rPr>
            </w:pPr>
            <w:r w:rsidRPr="00656188">
              <w:rPr>
                <w:b/>
              </w:rPr>
              <w:t>Base case</w:t>
            </w:r>
          </w:p>
        </w:tc>
        <w:tc>
          <w:tcPr>
            <w:tcW w:w="851" w:type="dxa"/>
            <w:tcBorders>
              <w:bottom w:val="single" w:sz="4" w:space="0" w:color="auto"/>
            </w:tcBorders>
            <w:shd w:val="solid" w:color="000000" w:fill="000000"/>
            <w:vAlign w:val="center"/>
          </w:tcPr>
          <w:p w14:paraId="121E2EBB" w14:textId="18E0F6BF" w:rsidR="00743F1B" w:rsidRPr="00656188" w:rsidRDefault="00E927A0" w:rsidP="00A83FEC">
            <w:pPr>
              <w:pStyle w:val="TableText0"/>
              <w:keepLines/>
              <w:jc w:val="center"/>
              <w:rPr>
                <w:b/>
              </w:rPr>
            </w:pPr>
            <w:r w:rsidRPr="00E927A0">
              <w:rPr>
                <w:b/>
                <w:color w:val="000000"/>
                <w:spacing w:val="102"/>
                <w:fitText w:val="194" w:id="-1032092663"/>
                <w14:textFill>
                  <w14:solidFill>
                    <w14:srgbClr w14:val="000000">
                      <w14:alpha w14:val="100000"/>
                    </w14:srgbClr>
                  </w14:solidFill>
                </w14:textFill>
              </w:rPr>
              <w:t>|</w:t>
            </w:r>
            <w:r w:rsidRPr="00E927A0">
              <w:rPr>
                <w:b/>
                <w:color w:val="000000"/>
                <w:fitText w:val="194" w:id="-1032092663"/>
                <w14:textFill>
                  <w14:solidFill>
                    <w14:srgbClr w14:val="000000">
                      <w14:alpha w14:val="100000"/>
                    </w14:srgbClr>
                  </w14:solidFill>
                </w14:textFill>
              </w:rPr>
              <w:t>|</w:t>
            </w:r>
          </w:p>
        </w:tc>
        <w:tc>
          <w:tcPr>
            <w:tcW w:w="567" w:type="dxa"/>
            <w:tcBorders>
              <w:bottom w:val="single" w:sz="4" w:space="0" w:color="auto"/>
            </w:tcBorders>
            <w:vAlign w:val="center"/>
          </w:tcPr>
          <w:p w14:paraId="2AF379E7" w14:textId="77777777" w:rsidR="00743F1B" w:rsidRPr="00656188" w:rsidRDefault="00743F1B" w:rsidP="00A83FEC">
            <w:pPr>
              <w:pStyle w:val="TableText0"/>
              <w:keepLines/>
              <w:jc w:val="center"/>
              <w:rPr>
                <w:b/>
              </w:rPr>
            </w:pPr>
            <w:r>
              <w:rPr>
                <w:b/>
              </w:rPr>
              <w:t>1.956</w:t>
            </w:r>
          </w:p>
        </w:tc>
        <w:tc>
          <w:tcPr>
            <w:tcW w:w="850" w:type="dxa"/>
            <w:tcBorders>
              <w:bottom w:val="single" w:sz="4" w:space="0" w:color="auto"/>
            </w:tcBorders>
            <w:vAlign w:val="center"/>
          </w:tcPr>
          <w:p w14:paraId="59984EB6" w14:textId="2A18CC06" w:rsidR="00743F1B" w:rsidRPr="00656188" w:rsidRDefault="00E927A0" w:rsidP="00A83FEC">
            <w:pPr>
              <w:pStyle w:val="TableText0"/>
              <w:keepLines/>
              <w:jc w:val="center"/>
              <w:rPr>
                <w:b/>
              </w:rPr>
            </w:pPr>
            <w:r w:rsidRPr="00E927A0">
              <w:rPr>
                <w:b/>
                <w:color w:val="000000"/>
                <w:spacing w:val="48"/>
                <w:shd w:val="solid" w:color="000000" w:fill="000000"/>
                <w:fitText w:val="235" w:id="-1032092662"/>
                <w14:textFill>
                  <w14:solidFill>
                    <w14:srgbClr w14:val="000000">
                      <w14:alpha w14:val="100000"/>
                    </w14:srgbClr>
                  </w14:solidFill>
                </w14:textFill>
              </w:rPr>
              <w:t>||</w:t>
            </w:r>
            <w:r w:rsidRPr="00E927A0">
              <w:rPr>
                <w:b/>
                <w:color w:val="000000"/>
                <w:spacing w:val="2"/>
                <w:shd w:val="solid" w:color="000000" w:fill="000000"/>
                <w:fitText w:val="235" w:id="-1032092662"/>
                <w14:textFill>
                  <w14:solidFill>
                    <w14:srgbClr w14:val="000000">
                      <w14:alpha w14:val="100000"/>
                    </w14:srgbClr>
                  </w14:solidFill>
                </w14:textFill>
              </w:rPr>
              <w:t>|</w:t>
            </w:r>
            <w:r w:rsidR="00BE70B8" w:rsidRPr="00BE70B8">
              <w:rPr>
                <w:b/>
                <w:vertAlign w:val="superscript"/>
              </w:rPr>
              <w:t>1</w:t>
            </w:r>
          </w:p>
        </w:tc>
        <w:tc>
          <w:tcPr>
            <w:tcW w:w="859" w:type="dxa"/>
            <w:tcBorders>
              <w:bottom w:val="single" w:sz="4" w:space="0" w:color="auto"/>
            </w:tcBorders>
            <w:vAlign w:val="center"/>
          </w:tcPr>
          <w:p w14:paraId="1AE0ADBA" w14:textId="2159868B" w:rsidR="00743F1B" w:rsidRDefault="00317D31" w:rsidP="00A83FEC">
            <w:pPr>
              <w:pStyle w:val="TableText0"/>
              <w:keepLines/>
              <w:jc w:val="center"/>
              <w:rPr>
                <w:b/>
              </w:rPr>
            </w:pPr>
            <w:r>
              <w:rPr>
                <w:b/>
              </w:rPr>
              <w:t>-</w:t>
            </w:r>
          </w:p>
        </w:tc>
      </w:tr>
      <w:tr w:rsidR="00743F1B" w14:paraId="115C4942" w14:textId="3875800D" w:rsidTr="00E927A0">
        <w:tc>
          <w:tcPr>
            <w:tcW w:w="5949" w:type="dxa"/>
            <w:tcBorders>
              <w:bottom w:val="nil"/>
            </w:tcBorders>
          </w:tcPr>
          <w:p w14:paraId="693F4D09" w14:textId="77777777" w:rsidR="00743F1B" w:rsidRDefault="00743F1B" w:rsidP="00A83FEC">
            <w:pPr>
              <w:pStyle w:val="TableText0"/>
              <w:keepLines/>
            </w:pPr>
            <w:r>
              <w:t>Discount rate (base case 5% costs and outcomes)</w:t>
            </w:r>
          </w:p>
        </w:tc>
        <w:tc>
          <w:tcPr>
            <w:tcW w:w="851" w:type="dxa"/>
            <w:tcBorders>
              <w:bottom w:val="nil"/>
            </w:tcBorders>
            <w:vAlign w:val="center"/>
          </w:tcPr>
          <w:p w14:paraId="3C7B4A15" w14:textId="77777777" w:rsidR="00743F1B" w:rsidRDefault="00743F1B" w:rsidP="00A83FEC">
            <w:pPr>
              <w:pStyle w:val="TableText0"/>
              <w:keepLines/>
              <w:jc w:val="center"/>
            </w:pPr>
          </w:p>
        </w:tc>
        <w:tc>
          <w:tcPr>
            <w:tcW w:w="567" w:type="dxa"/>
            <w:tcBorders>
              <w:bottom w:val="nil"/>
            </w:tcBorders>
            <w:vAlign w:val="center"/>
          </w:tcPr>
          <w:p w14:paraId="60D5CC1D" w14:textId="77777777" w:rsidR="00743F1B" w:rsidRDefault="00743F1B" w:rsidP="00A83FEC">
            <w:pPr>
              <w:pStyle w:val="TableText0"/>
              <w:keepLines/>
              <w:jc w:val="center"/>
            </w:pPr>
          </w:p>
        </w:tc>
        <w:tc>
          <w:tcPr>
            <w:tcW w:w="850" w:type="dxa"/>
            <w:tcBorders>
              <w:bottom w:val="nil"/>
            </w:tcBorders>
            <w:vAlign w:val="center"/>
          </w:tcPr>
          <w:p w14:paraId="05044F21" w14:textId="77777777" w:rsidR="00743F1B" w:rsidRDefault="00743F1B" w:rsidP="00A83FEC">
            <w:pPr>
              <w:pStyle w:val="TableText0"/>
              <w:keepLines/>
              <w:jc w:val="center"/>
            </w:pPr>
          </w:p>
        </w:tc>
        <w:tc>
          <w:tcPr>
            <w:tcW w:w="859" w:type="dxa"/>
            <w:tcBorders>
              <w:bottom w:val="nil"/>
            </w:tcBorders>
            <w:vAlign w:val="center"/>
          </w:tcPr>
          <w:p w14:paraId="0EBE5781" w14:textId="77777777" w:rsidR="00743F1B" w:rsidRDefault="00743F1B" w:rsidP="00A83FEC">
            <w:pPr>
              <w:pStyle w:val="TableText0"/>
              <w:keepLines/>
              <w:jc w:val="center"/>
            </w:pPr>
          </w:p>
        </w:tc>
      </w:tr>
      <w:tr w:rsidR="00743F1B" w14:paraId="2F9C312B" w14:textId="372FAF1B" w:rsidTr="00E927A0">
        <w:tc>
          <w:tcPr>
            <w:tcW w:w="5949" w:type="dxa"/>
            <w:tcBorders>
              <w:top w:val="nil"/>
              <w:bottom w:val="nil"/>
            </w:tcBorders>
          </w:tcPr>
          <w:p w14:paraId="1C731928" w14:textId="77777777" w:rsidR="00743F1B" w:rsidRDefault="00743F1B" w:rsidP="00A83FEC">
            <w:pPr>
              <w:pStyle w:val="TableText0"/>
              <w:keepLines/>
              <w:numPr>
                <w:ilvl w:val="0"/>
                <w:numId w:val="10"/>
              </w:numPr>
              <w:ind w:left="107" w:hanging="107"/>
            </w:pPr>
            <w:r>
              <w:t>0% costs and outcomes</w:t>
            </w:r>
          </w:p>
        </w:tc>
        <w:tc>
          <w:tcPr>
            <w:tcW w:w="851" w:type="dxa"/>
            <w:tcBorders>
              <w:top w:val="nil"/>
              <w:bottom w:val="nil"/>
            </w:tcBorders>
            <w:shd w:val="solid" w:color="000000" w:fill="000000"/>
            <w:vAlign w:val="center"/>
          </w:tcPr>
          <w:p w14:paraId="0698E582" w14:textId="301A071E" w:rsidR="00743F1B" w:rsidRPr="00367E22" w:rsidRDefault="00E927A0" w:rsidP="00A83FEC">
            <w:pPr>
              <w:pStyle w:val="TableText0"/>
              <w:keepLines/>
              <w:jc w:val="center"/>
              <w:rPr>
                <w:highlight w:val="darkGray"/>
              </w:rPr>
            </w:pPr>
            <w:r w:rsidRPr="00E927A0">
              <w:rPr>
                <w:color w:val="000000"/>
                <w:spacing w:val="67"/>
                <w:fitText w:val="153" w:id="-1032092661"/>
                <w14:textFill>
                  <w14:solidFill>
                    <w14:srgbClr w14:val="000000">
                      <w14:alpha w14:val="100000"/>
                    </w14:srgbClr>
                  </w14:solidFill>
                </w14:textFill>
              </w:rPr>
              <w:t>|</w:t>
            </w:r>
            <w:r w:rsidRPr="00E927A0">
              <w:rPr>
                <w:color w:val="000000"/>
                <w:fitText w:val="153" w:id="-1032092661"/>
                <w14:textFill>
                  <w14:solidFill>
                    <w14:srgbClr w14:val="000000">
                      <w14:alpha w14:val="100000"/>
                    </w14:srgbClr>
                  </w14:solidFill>
                </w14:textFill>
              </w:rPr>
              <w:t>|</w:t>
            </w:r>
          </w:p>
        </w:tc>
        <w:tc>
          <w:tcPr>
            <w:tcW w:w="567" w:type="dxa"/>
            <w:tcBorders>
              <w:top w:val="nil"/>
              <w:bottom w:val="nil"/>
            </w:tcBorders>
            <w:vAlign w:val="center"/>
          </w:tcPr>
          <w:p w14:paraId="32A954C4" w14:textId="77777777" w:rsidR="00743F1B" w:rsidRDefault="00743F1B" w:rsidP="00A83FEC">
            <w:pPr>
              <w:pStyle w:val="TableText0"/>
              <w:keepLines/>
              <w:jc w:val="center"/>
            </w:pPr>
            <w:r>
              <w:t>3.594</w:t>
            </w:r>
          </w:p>
        </w:tc>
        <w:tc>
          <w:tcPr>
            <w:tcW w:w="850" w:type="dxa"/>
            <w:tcBorders>
              <w:top w:val="nil"/>
              <w:bottom w:val="nil"/>
            </w:tcBorders>
            <w:vAlign w:val="center"/>
          </w:tcPr>
          <w:p w14:paraId="2525A0F2" w14:textId="6296C397" w:rsidR="00743F1B" w:rsidRPr="00367E22" w:rsidRDefault="00E927A0" w:rsidP="00A83FEC">
            <w:pPr>
              <w:pStyle w:val="TableText0"/>
              <w:keepLines/>
              <w:jc w:val="center"/>
              <w:rPr>
                <w:highlight w:val="darkGray"/>
              </w:rPr>
            </w:pPr>
            <w:r w:rsidRPr="00E927A0">
              <w:rPr>
                <w:color w:val="000000"/>
                <w:spacing w:val="80"/>
                <w:shd w:val="solid" w:color="000000" w:fill="000000"/>
                <w:fitText w:val="166" w:id="-1032092660"/>
                <w14:textFill>
                  <w14:solidFill>
                    <w14:srgbClr w14:val="000000">
                      <w14:alpha w14:val="100000"/>
                    </w14:srgbClr>
                  </w14:solidFill>
                </w14:textFill>
              </w:rPr>
              <w:t>|</w:t>
            </w:r>
            <w:r w:rsidRPr="00E927A0">
              <w:rPr>
                <w:color w:val="000000"/>
                <w:spacing w:val="1"/>
                <w:shd w:val="solid" w:color="000000" w:fill="000000"/>
                <w:fitText w:val="166" w:id="-1032092660"/>
                <w14:textFill>
                  <w14:solidFill>
                    <w14:srgbClr w14:val="000000">
                      <w14:alpha w14:val="100000"/>
                    </w14:srgbClr>
                  </w14:solidFill>
                </w14:textFill>
              </w:rPr>
              <w:t>|</w:t>
            </w:r>
            <w:r w:rsidR="00BE70B8" w:rsidRPr="00BE70B8">
              <w:rPr>
                <w:vertAlign w:val="superscript"/>
              </w:rPr>
              <w:t>2</w:t>
            </w:r>
          </w:p>
        </w:tc>
        <w:tc>
          <w:tcPr>
            <w:tcW w:w="859" w:type="dxa"/>
            <w:tcBorders>
              <w:top w:val="nil"/>
              <w:bottom w:val="nil"/>
            </w:tcBorders>
            <w:vAlign w:val="center"/>
          </w:tcPr>
          <w:p w14:paraId="3B5D5DF9" w14:textId="1B675AFB" w:rsidR="00743F1B" w:rsidRDefault="00317D31" w:rsidP="00A83FEC">
            <w:pPr>
              <w:pStyle w:val="TableText0"/>
              <w:keepLines/>
              <w:jc w:val="center"/>
            </w:pPr>
            <w:r>
              <w:t>-</w:t>
            </w:r>
            <w:r w:rsidR="00E927A0" w:rsidRPr="00E927A0">
              <w:rPr>
                <w:color w:val="000000"/>
                <w:spacing w:val="163"/>
                <w:shd w:val="solid" w:color="000000" w:fill="000000"/>
                <w:fitText w:val="249" w:id="-1032092659"/>
                <w14:textFill>
                  <w14:solidFill>
                    <w14:srgbClr w14:val="000000">
                      <w14:alpha w14:val="100000"/>
                    </w14:srgbClr>
                  </w14:solidFill>
                </w14:textFill>
              </w:rPr>
              <w:t>|</w:t>
            </w:r>
            <w:r w:rsidR="00E927A0" w:rsidRPr="00E927A0">
              <w:rPr>
                <w:color w:val="000000"/>
                <w:spacing w:val="1"/>
                <w:shd w:val="solid" w:color="000000" w:fill="000000"/>
                <w:fitText w:val="249" w:id="-1032092659"/>
                <w14:textFill>
                  <w14:solidFill>
                    <w14:srgbClr w14:val="000000">
                      <w14:alpha w14:val="100000"/>
                    </w14:srgbClr>
                  </w14:solidFill>
                </w14:textFill>
              </w:rPr>
              <w:t>|</w:t>
            </w:r>
            <w:r>
              <w:t>%</w:t>
            </w:r>
          </w:p>
        </w:tc>
      </w:tr>
      <w:tr w:rsidR="00743F1B" w14:paraId="256CF466" w14:textId="07EAF805" w:rsidTr="00E927A0">
        <w:tc>
          <w:tcPr>
            <w:tcW w:w="5949" w:type="dxa"/>
            <w:tcBorders>
              <w:top w:val="nil"/>
            </w:tcBorders>
          </w:tcPr>
          <w:p w14:paraId="1616FC84" w14:textId="77777777" w:rsidR="00743F1B" w:rsidRDefault="00743F1B" w:rsidP="00A83FEC">
            <w:pPr>
              <w:pStyle w:val="TableText0"/>
              <w:keepLines/>
              <w:numPr>
                <w:ilvl w:val="0"/>
                <w:numId w:val="10"/>
              </w:numPr>
              <w:ind w:left="107" w:hanging="107"/>
            </w:pPr>
            <w:r>
              <w:t>3.5% costs and outcomes</w:t>
            </w:r>
          </w:p>
        </w:tc>
        <w:tc>
          <w:tcPr>
            <w:tcW w:w="851" w:type="dxa"/>
            <w:tcBorders>
              <w:top w:val="nil"/>
              <w:bottom w:val="single" w:sz="4" w:space="0" w:color="auto"/>
            </w:tcBorders>
            <w:shd w:val="solid" w:color="000000" w:fill="000000"/>
            <w:vAlign w:val="center"/>
          </w:tcPr>
          <w:p w14:paraId="0AE208C8" w14:textId="5B96FC47" w:rsidR="00743F1B" w:rsidRPr="00367E22" w:rsidRDefault="00E927A0" w:rsidP="00A83FEC">
            <w:pPr>
              <w:pStyle w:val="TableText0"/>
              <w:keepLines/>
              <w:jc w:val="center"/>
              <w:rPr>
                <w:highlight w:val="darkGray"/>
              </w:rPr>
            </w:pPr>
            <w:r w:rsidRPr="00E927A0">
              <w:rPr>
                <w:color w:val="000000"/>
                <w:spacing w:val="67"/>
                <w:fitText w:val="153" w:id="-1032092658"/>
                <w14:textFill>
                  <w14:solidFill>
                    <w14:srgbClr w14:val="000000">
                      <w14:alpha w14:val="100000"/>
                    </w14:srgbClr>
                  </w14:solidFill>
                </w14:textFill>
              </w:rPr>
              <w:t>|</w:t>
            </w:r>
            <w:r w:rsidRPr="00E927A0">
              <w:rPr>
                <w:color w:val="000000"/>
                <w:fitText w:val="153" w:id="-1032092658"/>
                <w14:textFill>
                  <w14:solidFill>
                    <w14:srgbClr w14:val="000000">
                      <w14:alpha w14:val="100000"/>
                    </w14:srgbClr>
                  </w14:solidFill>
                </w14:textFill>
              </w:rPr>
              <w:t>|</w:t>
            </w:r>
          </w:p>
        </w:tc>
        <w:tc>
          <w:tcPr>
            <w:tcW w:w="567" w:type="dxa"/>
            <w:tcBorders>
              <w:top w:val="nil"/>
              <w:bottom w:val="single" w:sz="4" w:space="0" w:color="auto"/>
            </w:tcBorders>
            <w:vAlign w:val="center"/>
          </w:tcPr>
          <w:p w14:paraId="1C77964F" w14:textId="77777777" w:rsidR="00743F1B" w:rsidRDefault="00743F1B" w:rsidP="00A83FEC">
            <w:pPr>
              <w:pStyle w:val="TableText0"/>
              <w:keepLines/>
              <w:jc w:val="center"/>
            </w:pPr>
            <w:r>
              <w:t>2.320</w:t>
            </w:r>
          </w:p>
        </w:tc>
        <w:tc>
          <w:tcPr>
            <w:tcW w:w="850" w:type="dxa"/>
            <w:tcBorders>
              <w:top w:val="nil"/>
              <w:bottom w:val="single" w:sz="4" w:space="0" w:color="auto"/>
            </w:tcBorders>
            <w:vAlign w:val="center"/>
          </w:tcPr>
          <w:p w14:paraId="32CE0A46" w14:textId="3418379A" w:rsidR="00743F1B" w:rsidRPr="00367E22" w:rsidRDefault="00E927A0" w:rsidP="00A83FEC">
            <w:pPr>
              <w:pStyle w:val="TableText0"/>
              <w:keepLines/>
              <w:jc w:val="center"/>
              <w:rPr>
                <w:highlight w:val="darkGray"/>
              </w:rPr>
            </w:pPr>
            <w:r w:rsidRPr="00E927A0">
              <w:rPr>
                <w:color w:val="000000"/>
                <w:spacing w:val="122"/>
                <w:shd w:val="solid" w:color="000000" w:fill="000000"/>
                <w:fitText w:val="208" w:id="-1032092657"/>
                <w14:textFill>
                  <w14:solidFill>
                    <w14:srgbClr w14:val="000000">
                      <w14:alpha w14:val="100000"/>
                    </w14:srgbClr>
                  </w14:solidFill>
                </w14:textFill>
              </w:rPr>
              <w:t>|</w:t>
            </w:r>
            <w:r w:rsidRPr="00E927A0">
              <w:rPr>
                <w:color w:val="000000"/>
                <w:spacing w:val="1"/>
                <w:shd w:val="solid" w:color="000000" w:fill="000000"/>
                <w:fitText w:val="208" w:id="-1032092657"/>
                <w14:textFill>
                  <w14:solidFill>
                    <w14:srgbClr w14:val="000000">
                      <w14:alpha w14:val="100000"/>
                    </w14:srgbClr>
                  </w14:solidFill>
                </w14:textFill>
              </w:rPr>
              <w:t>|</w:t>
            </w:r>
            <w:r w:rsidRPr="00E927A0">
              <w:t xml:space="preserve"> </w:t>
            </w:r>
            <w:r w:rsidR="00BE70B8" w:rsidRPr="00BE70B8">
              <w:rPr>
                <w:vertAlign w:val="superscript"/>
              </w:rPr>
              <w:t>3</w:t>
            </w:r>
          </w:p>
        </w:tc>
        <w:tc>
          <w:tcPr>
            <w:tcW w:w="859" w:type="dxa"/>
            <w:tcBorders>
              <w:top w:val="nil"/>
              <w:bottom w:val="single" w:sz="4" w:space="0" w:color="auto"/>
            </w:tcBorders>
            <w:vAlign w:val="center"/>
          </w:tcPr>
          <w:p w14:paraId="5C399422" w14:textId="67DE4A22" w:rsidR="00743F1B" w:rsidRDefault="00317D31" w:rsidP="00A83FEC">
            <w:pPr>
              <w:pStyle w:val="TableText0"/>
              <w:keepLines/>
              <w:jc w:val="center"/>
            </w:pPr>
            <w:r>
              <w:t>-</w:t>
            </w:r>
            <w:r w:rsidR="00E927A0" w:rsidRPr="00E927A0">
              <w:rPr>
                <w:color w:val="000000"/>
                <w:spacing w:val="163"/>
                <w:shd w:val="solid" w:color="000000" w:fill="000000"/>
                <w:fitText w:val="249" w:id="-1032092656"/>
                <w14:textFill>
                  <w14:solidFill>
                    <w14:srgbClr w14:val="000000">
                      <w14:alpha w14:val="100000"/>
                    </w14:srgbClr>
                  </w14:solidFill>
                </w14:textFill>
              </w:rPr>
              <w:t>|</w:t>
            </w:r>
            <w:r w:rsidR="00E927A0" w:rsidRPr="00E927A0">
              <w:rPr>
                <w:color w:val="000000"/>
                <w:spacing w:val="1"/>
                <w:shd w:val="solid" w:color="000000" w:fill="000000"/>
                <w:fitText w:val="249" w:id="-1032092656"/>
                <w14:textFill>
                  <w14:solidFill>
                    <w14:srgbClr w14:val="000000">
                      <w14:alpha w14:val="100000"/>
                    </w14:srgbClr>
                  </w14:solidFill>
                </w14:textFill>
              </w:rPr>
              <w:t>|</w:t>
            </w:r>
            <w:r>
              <w:t>%</w:t>
            </w:r>
          </w:p>
        </w:tc>
      </w:tr>
      <w:tr w:rsidR="00743F1B" w14:paraId="1A3C76A0" w14:textId="27F4BEA9" w:rsidTr="00E927A0">
        <w:tc>
          <w:tcPr>
            <w:tcW w:w="5949" w:type="dxa"/>
            <w:tcBorders>
              <w:bottom w:val="nil"/>
              <w:right w:val="single" w:sz="4" w:space="0" w:color="auto"/>
            </w:tcBorders>
          </w:tcPr>
          <w:p w14:paraId="5FE8C625" w14:textId="77777777" w:rsidR="00743F1B" w:rsidRPr="0054219E" w:rsidRDefault="00743F1B" w:rsidP="00A83FEC">
            <w:pPr>
              <w:pStyle w:val="TableText0"/>
              <w:keepLines/>
            </w:pPr>
            <w:r w:rsidRPr="0054219E">
              <w:t>Time horizon (base case 25 years)</w:t>
            </w:r>
          </w:p>
        </w:tc>
        <w:tc>
          <w:tcPr>
            <w:tcW w:w="851" w:type="dxa"/>
            <w:tcBorders>
              <w:top w:val="single" w:sz="4" w:space="0" w:color="auto"/>
              <w:left w:val="single" w:sz="4" w:space="0" w:color="auto"/>
              <w:bottom w:val="nil"/>
              <w:right w:val="single" w:sz="4" w:space="0" w:color="auto"/>
            </w:tcBorders>
            <w:vAlign w:val="center"/>
          </w:tcPr>
          <w:p w14:paraId="00065229" w14:textId="77777777" w:rsidR="00743F1B" w:rsidRDefault="00743F1B" w:rsidP="00A83FEC">
            <w:pPr>
              <w:pStyle w:val="TableText0"/>
              <w:keepLines/>
              <w:jc w:val="center"/>
            </w:pPr>
          </w:p>
        </w:tc>
        <w:tc>
          <w:tcPr>
            <w:tcW w:w="567" w:type="dxa"/>
            <w:tcBorders>
              <w:top w:val="single" w:sz="4" w:space="0" w:color="auto"/>
              <w:left w:val="single" w:sz="4" w:space="0" w:color="auto"/>
              <w:bottom w:val="nil"/>
              <w:right w:val="single" w:sz="4" w:space="0" w:color="auto"/>
            </w:tcBorders>
            <w:vAlign w:val="center"/>
          </w:tcPr>
          <w:p w14:paraId="0D8AA4C5" w14:textId="77777777" w:rsidR="00743F1B" w:rsidRDefault="00743F1B" w:rsidP="00A83FEC">
            <w:pPr>
              <w:pStyle w:val="TableText0"/>
              <w:keepLines/>
              <w:jc w:val="center"/>
            </w:pPr>
          </w:p>
        </w:tc>
        <w:tc>
          <w:tcPr>
            <w:tcW w:w="850" w:type="dxa"/>
            <w:tcBorders>
              <w:top w:val="single" w:sz="4" w:space="0" w:color="auto"/>
              <w:left w:val="single" w:sz="4" w:space="0" w:color="auto"/>
              <w:bottom w:val="nil"/>
              <w:right w:val="single" w:sz="4" w:space="0" w:color="auto"/>
            </w:tcBorders>
            <w:vAlign w:val="center"/>
          </w:tcPr>
          <w:p w14:paraId="1ADFE40D" w14:textId="77777777" w:rsidR="00743F1B" w:rsidRPr="00367E22" w:rsidRDefault="00743F1B" w:rsidP="00A83FEC">
            <w:pPr>
              <w:pStyle w:val="TableText0"/>
              <w:keepLines/>
              <w:jc w:val="center"/>
              <w:rPr>
                <w:highlight w:val="darkGray"/>
              </w:rPr>
            </w:pPr>
          </w:p>
        </w:tc>
        <w:tc>
          <w:tcPr>
            <w:tcW w:w="859" w:type="dxa"/>
            <w:tcBorders>
              <w:top w:val="single" w:sz="4" w:space="0" w:color="auto"/>
              <w:left w:val="single" w:sz="4" w:space="0" w:color="auto"/>
              <w:bottom w:val="nil"/>
              <w:right w:val="single" w:sz="4" w:space="0" w:color="auto"/>
            </w:tcBorders>
            <w:vAlign w:val="center"/>
          </w:tcPr>
          <w:p w14:paraId="734318DB" w14:textId="77777777" w:rsidR="00743F1B" w:rsidRDefault="00743F1B" w:rsidP="00A83FEC">
            <w:pPr>
              <w:pStyle w:val="TableText0"/>
              <w:keepLines/>
              <w:jc w:val="center"/>
            </w:pPr>
          </w:p>
        </w:tc>
      </w:tr>
      <w:tr w:rsidR="00743F1B" w14:paraId="188DDCF7" w14:textId="701D83FD" w:rsidTr="00E927A0">
        <w:tc>
          <w:tcPr>
            <w:tcW w:w="5949" w:type="dxa"/>
            <w:tcBorders>
              <w:top w:val="nil"/>
              <w:bottom w:val="nil"/>
              <w:right w:val="single" w:sz="4" w:space="0" w:color="auto"/>
            </w:tcBorders>
          </w:tcPr>
          <w:p w14:paraId="384AFF33" w14:textId="4E13C658" w:rsidR="00743F1B" w:rsidRPr="000853E6" w:rsidRDefault="00743F1B" w:rsidP="00A83FEC">
            <w:pPr>
              <w:pStyle w:val="TableText0"/>
              <w:keepLines/>
              <w:numPr>
                <w:ilvl w:val="0"/>
                <w:numId w:val="10"/>
              </w:numPr>
              <w:ind w:left="107" w:hanging="107"/>
            </w:pPr>
            <w:r w:rsidRPr="008B5700">
              <w:t>15 years</w:t>
            </w:r>
            <w:r w:rsidR="008B5700" w:rsidRPr="008B5700">
              <w:t xml:space="preserve"> </w:t>
            </w:r>
            <w:r w:rsidR="008B5700" w:rsidRPr="00B35C28">
              <w:rPr>
                <w:b/>
                <w:bCs w:val="0"/>
              </w:rPr>
              <w:t>(#1)</w:t>
            </w:r>
          </w:p>
        </w:tc>
        <w:tc>
          <w:tcPr>
            <w:tcW w:w="851" w:type="dxa"/>
            <w:tcBorders>
              <w:top w:val="nil"/>
              <w:left w:val="single" w:sz="4" w:space="0" w:color="auto"/>
              <w:bottom w:val="nil"/>
              <w:right w:val="single" w:sz="4" w:space="0" w:color="auto"/>
            </w:tcBorders>
            <w:shd w:val="solid" w:color="000000" w:fill="000000"/>
            <w:vAlign w:val="center"/>
          </w:tcPr>
          <w:p w14:paraId="302D1F58" w14:textId="38471385" w:rsidR="00743F1B" w:rsidRPr="00367E22" w:rsidRDefault="00E927A0" w:rsidP="00A83FEC">
            <w:pPr>
              <w:pStyle w:val="TableText0"/>
              <w:keepLines/>
              <w:jc w:val="center"/>
              <w:rPr>
                <w:highlight w:val="darkGray"/>
              </w:rPr>
            </w:pPr>
            <w:r w:rsidRPr="00E927A0">
              <w:rPr>
                <w:color w:val="000000"/>
                <w:spacing w:val="67"/>
                <w:fitText w:val="153" w:id="-1032092672"/>
                <w14:textFill>
                  <w14:solidFill>
                    <w14:srgbClr w14:val="000000">
                      <w14:alpha w14:val="100000"/>
                    </w14:srgbClr>
                  </w14:solidFill>
                </w14:textFill>
              </w:rPr>
              <w:t>|</w:t>
            </w:r>
            <w:r w:rsidRPr="00E927A0">
              <w:rPr>
                <w:color w:val="000000"/>
                <w:fitText w:val="153" w:id="-1032092672"/>
                <w14:textFill>
                  <w14:solidFill>
                    <w14:srgbClr w14:val="000000">
                      <w14:alpha w14:val="100000"/>
                    </w14:srgbClr>
                  </w14:solidFill>
                </w14:textFill>
              </w:rPr>
              <w:t>|</w:t>
            </w:r>
          </w:p>
        </w:tc>
        <w:tc>
          <w:tcPr>
            <w:tcW w:w="567" w:type="dxa"/>
            <w:tcBorders>
              <w:top w:val="nil"/>
              <w:left w:val="single" w:sz="4" w:space="0" w:color="auto"/>
              <w:bottom w:val="nil"/>
              <w:right w:val="single" w:sz="4" w:space="0" w:color="auto"/>
            </w:tcBorders>
            <w:vAlign w:val="center"/>
          </w:tcPr>
          <w:p w14:paraId="4E184850" w14:textId="77777777" w:rsidR="00743F1B" w:rsidRPr="000853E6" w:rsidRDefault="00743F1B" w:rsidP="00A83FEC">
            <w:pPr>
              <w:pStyle w:val="TableText0"/>
              <w:keepLines/>
              <w:jc w:val="center"/>
            </w:pPr>
            <w:r w:rsidRPr="000853E6">
              <w:t>1.398</w:t>
            </w:r>
          </w:p>
        </w:tc>
        <w:tc>
          <w:tcPr>
            <w:tcW w:w="850" w:type="dxa"/>
            <w:tcBorders>
              <w:top w:val="nil"/>
              <w:left w:val="single" w:sz="4" w:space="0" w:color="auto"/>
              <w:bottom w:val="nil"/>
              <w:right w:val="single" w:sz="4" w:space="0" w:color="auto"/>
            </w:tcBorders>
            <w:vAlign w:val="center"/>
          </w:tcPr>
          <w:p w14:paraId="149AFAA2" w14:textId="6117A2FE" w:rsidR="00743F1B" w:rsidRPr="00367E22" w:rsidRDefault="00E927A0" w:rsidP="00A83FEC">
            <w:pPr>
              <w:pStyle w:val="TableText0"/>
              <w:keepLines/>
              <w:jc w:val="center"/>
              <w:rPr>
                <w:highlight w:val="darkGray"/>
              </w:rPr>
            </w:pPr>
            <w:r w:rsidRPr="00E927A0">
              <w:rPr>
                <w:color w:val="000000"/>
                <w:spacing w:val="80"/>
                <w:shd w:val="solid" w:color="000000" w:fill="000000"/>
                <w:fitText w:val="166" w:id="-1032092671"/>
                <w14:textFill>
                  <w14:solidFill>
                    <w14:srgbClr w14:val="000000">
                      <w14:alpha w14:val="100000"/>
                    </w14:srgbClr>
                  </w14:solidFill>
                </w14:textFill>
              </w:rPr>
              <w:t>|</w:t>
            </w:r>
            <w:r w:rsidRPr="00E927A0">
              <w:rPr>
                <w:color w:val="000000"/>
                <w:spacing w:val="1"/>
                <w:shd w:val="solid" w:color="000000" w:fill="000000"/>
                <w:fitText w:val="166" w:id="-1032092671"/>
                <w14:textFill>
                  <w14:solidFill>
                    <w14:srgbClr w14:val="000000">
                      <w14:alpha w14:val="100000"/>
                    </w14:srgbClr>
                  </w14:solidFill>
                </w14:textFill>
              </w:rPr>
              <w:t>|</w:t>
            </w:r>
            <w:r w:rsidR="00BE70B8" w:rsidRPr="00BE70B8">
              <w:rPr>
                <w:vertAlign w:val="superscript"/>
              </w:rPr>
              <w:t>4</w:t>
            </w:r>
          </w:p>
        </w:tc>
        <w:tc>
          <w:tcPr>
            <w:tcW w:w="859" w:type="dxa"/>
            <w:tcBorders>
              <w:top w:val="nil"/>
              <w:left w:val="single" w:sz="4" w:space="0" w:color="auto"/>
              <w:bottom w:val="nil"/>
              <w:right w:val="single" w:sz="4" w:space="0" w:color="auto"/>
            </w:tcBorders>
            <w:vAlign w:val="center"/>
          </w:tcPr>
          <w:p w14:paraId="375D799F" w14:textId="06E68652" w:rsidR="00743F1B" w:rsidRPr="000853E6" w:rsidRDefault="006D74D6" w:rsidP="00A83FEC">
            <w:pPr>
              <w:pStyle w:val="TableText0"/>
              <w:keepLines/>
              <w:jc w:val="center"/>
            </w:pPr>
            <w:r w:rsidRPr="000853E6">
              <w:t>+</w:t>
            </w:r>
            <w:r w:rsidR="00E927A0" w:rsidRPr="00E927A0">
              <w:rPr>
                <w:color w:val="000000"/>
                <w:spacing w:val="191"/>
                <w:shd w:val="solid" w:color="000000" w:fill="000000"/>
                <w:fitText w:val="277" w:id="-1032092670"/>
                <w14:textFill>
                  <w14:solidFill>
                    <w14:srgbClr w14:val="000000">
                      <w14:alpha w14:val="100000"/>
                    </w14:srgbClr>
                  </w14:solidFill>
                </w14:textFill>
              </w:rPr>
              <w:t>|</w:t>
            </w:r>
            <w:r w:rsidR="00E927A0" w:rsidRPr="00E927A0">
              <w:rPr>
                <w:color w:val="000000"/>
                <w:spacing w:val="1"/>
                <w:shd w:val="solid" w:color="000000" w:fill="000000"/>
                <w:fitText w:val="277" w:id="-1032092670"/>
                <w14:textFill>
                  <w14:solidFill>
                    <w14:srgbClr w14:val="000000">
                      <w14:alpha w14:val="100000"/>
                    </w14:srgbClr>
                  </w14:solidFill>
                </w14:textFill>
              </w:rPr>
              <w:t>|</w:t>
            </w:r>
            <w:r w:rsidRPr="000853E6">
              <w:t>%</w:t>
            </w:r>
          </w:p>
        </w:tc>
      </w:tr>
      <w:tr w:rsidR="00743F1B" w14:paraId="3875D400" w14:textId="180F9438" w:rsidTr="00E927A0">
        <w:tc>
          <w:tcPr>
            <w:tcW w:w="5949" w:type="dxa"/>
            <w:tcBorders>
              <w:top w:val="nil"/>
              <w:right w:val="single" w:sz="4" w:space="0" w:color="auto"/>
            </w:tcBorders>
          </w:tcPr>
          <w:p w14:paraId="1562A77B" w14:textId="77777777" w:rsidR="00743F1B" w:rsidRPr="000853E6" w:rsidRDefault="00743F1B" w:rsidP="00A83FEC">
            <w:pPr>
              <w:pStyle w:val="TableText0"/>
              <w:keepLines/>
              <w:numPr>
                <w:ilvl w:val="0"/>
                <w:numId w:val="10"/>
              </w:numPr>
              <w:ind w:left="107" w:hanging="107"/>
            </w:pPr>
            <w:r w:rsidRPr="000853E6">
              <w:t>30 years</w:t>
            </w:r>
          </w:p>
        </w:tc>
        <w:tc>
          <w:tcPr>
            <w:tcW w:w="851" w:type="dxa"/>
            <w:tcBorders>
              <w:top w:val="nil"/>
              <w:left w:val="single" w:sz="4" w:space="0" w:color="auto"/>
              <w:bottom w:val="single" w:sz="4" w:space="0" w:color="auto"/>
              <w:right w:val="single" w:sz="4" w:space="0" w:color="auto"/>
            </w:tcBorders>
            <w:shd w:val="solid" w:color="000000" w:fill="000000"/>
            <w:vAlign w:val="center"/>
          </w:tcPr>
          <w:p w14:paraId="04BFD28F" w14:textId="54ABA475" w:rsidR="00743F1B" w:rsidRPr="00367E22" w:rsidRDefault="00E927A0" w:rsidP="00A83FEC">
            <w:pPr>
              <w:pStyle w:val="TableText0"/>
              <w:keepLines/>
              <w:jc w:val="center"/>
              <w:rPr>
                <w:highlight w:val="darkGray"/>
              </w:rPr>
            </w:pPr>
            <w:r w:rsidRPr="00E927A0">
              <w:rPr>
                <w:bCs w:val="0"/>
                <w:color w:val="000000"/>
                <w:spacing w:val="67"/>
                <w:fitText w:val="153" w:id="-1032092669"/>
                <w14:textFill>
                  <w14:solidFill>
                    <w14:srgbClr w14:val="000000">
                      <w14:alpha w14:val="100000"/>
                    </w14:srgbClr>
                  </w14:solidFill>
                </w14:textFill>
              </w:rPr>
              <w:t>|</w:t>
            </w:r>
            <w:r w:rsidRPr="00E927A0">
              <w:rPr>
                <w:bCs w:val="0"/>
                <w:color w:val="000000"/>
                <w:fitText w:val="153" w:id="-1032092669"/>
                <w14:textFill>
                  <w14:solidFill>
                    <w14:srgbClr w14:val="000000">
                      <w14:alpha w14:val="100000"/>
                    </w14:srgbClr>
                  </w14:solidFill>
                </w14:textFill>
              </w:rPr>
              <w:t>|</w:t>
            </w:r>
          </w:p>
        </w:tc>
        <w:tc>
          <w:tcPr>
            <w:tcW w:w="567" w:type="dxa"/>
            <w:tcBorders>
              <w:top w:val="nil"/>
              <w:left w:val="single" w:sz="4" w:space="0" w:color="auto"/>
              <w:bottom w:val="single" w:sz="4" w:space="0" w:color="auto"/>
              <w:right w:val="single" w:sz="4" w:space="0" w:color="auto"/>
            </w:tcBorders>
            <w:vAlign w:val="center"/>
          </w:tcPr>
          <w:p w14:paraId="4DFD6641" w14:textId="77777777" w:rsidR="00743F1B" w:rsidRPr="000853E6" w:rsidRDefault="00743F1B" w:rsidP="00A83FEC">
            <w:pPr>
              <w:pStyle w:val="TableText0"/>
              <w:keepLines/>
              <w:jc w:val="center"/>
            </w:pPr>
            <w:r w:rsidRPr="000853E6">
              <w:rPr>
                <w:bCs w:val="0"/>
              </w:rPr>
              <w:t>2.058</w:t>
            </w:r>
          </w:p>
        </w:tc>
        <w:tc>
          <w:tcPr>
            <w:tcW w:w="850" w:type="dxa"/>
            <w:tcBorders>
              <w:top w:val="nil"/>
              <w:left w:val="single" w:sz="4" w:space="0" w:color="auto"/>
              <w:bottom w:val="single" w:sz="4" w:space="0" w:color="auto"/>
              <w:right w:val="single" w:sz="4" w:space="0" w:color="auto"/>
            </w:tcBorders>
            <w:vAlign w:val="center"/>
          </w:tcPr>
          <w:p w14:paraId="0D48AF32" w14:textId="3ACF0403" w:rsidR="00743F1B" w:rsidRPr="00367E22" w:rsidRDefault="00E927A0" w:rsidP="00A83FEC">
            <w:pPr>
              <w:pStyle w:val="TableText0"/>
              <w:keepLines/>
              <w:jc w:val="center"/>
              <w:rPr>
                <w:highlight w:val="darkGray"/>
              </w:rPr>
            </w:pPr>
            <w:r w:rsidRPr="00E927A0">
              <w:rPr>
                <w:bCs w:val="0"/>
                <w:color w:val="000000"/>
                <w:spacing w:val="80"/>
                <w:shd w:val="solid" w:color="000000" w:fill="000000"/>
                <w:fitText w:val="166" w:id="-1032092668"/>
                <w14:textFill>
                  <w14:solidFill>
                    <w14:srgbClr w14:val="000000">
                      <w14:alpha w14:val="100000"/>
                    </w14:srgbClr>
                  </w14:solidFill>
                </w14:textFill>
              </w:rPr>
              <w:t>|</w:t>
            </w:r>
            <w:r w:rsidRPr="00E927A0">
              <w:rPr>
                <w:bCs w:val="0"/>
                <w:color w:val="000000"/>
                <w:spacing w:val="1"/>
                <w:shd w:val="solid" w:color="000000" w:fill="000000"/>
                <w:fitText w:val="166" w:id="-1032092668"/>
                <w14:textFill>
                  <w14:solidFill>
                    <w14:srgbClr w14:val="000000">
                      <w14:alpha w14:val="100000"/>
                    </w14:srgbClr>
                  </w14:solidFill>
                </w14:textFill>
              </w:rPr>
              <w:t>|</w:t>
            </w:r>
            <w:r w:rsidR="00BE70B8" w:rsidRPr="00BE70B8">
              <w:rPr>
                <w:vertAlign w:val="superscript"/>
              </w:rPr>
              <w:t>3</w:t>
            </w:r>
          </w:p>
        </w:tc>
        <w:tc>
          <w:tcPr>
            <w:tcW w:w="859" w:type="dxa"/>
            <w:tcBorders>
              <w:top w:val="nil"/>
              <w:left w:val="single" w:sz="4" w:space="0" w:color="auto"/>
              <w:bottom w:val="single" w:sz="4" w:space="0" w:color="auto"/>
              <w:right w:val="single" w:sz="4" w:space="0" w:color="auto"/>
            </w:tcBorders>
            <w:vAlign w:val="center"/>
          </w:tcPr>
          <w:p w14:paraId="28B5D873" w14:textId="3ED916D1" w:rsidR="00743F1B" w:rsidRPr="000853E6" w:rsidRDefault="006D74D6" w:rsidP="00A83FEC">
            <w:pPr>
              <w:pStyle w:val="TableText0"/>
              <w:keepLines/>
              <w:jc w:val="center"/>
              <w:rPr>
                <w:bCs w:val="0"/>
              </w:rPr>
            </w:pPr>
            <w:r w:rsidRPr="000853E6">
              <w:rPr>
                <w:bCs w:val="0"/>
              </w:rPr>
              <w:t>-</w:t>
            </w:r>
            <w:r w:rsidR="00E927A0" w:rsidRPr="00E927A0">
              <w:rPr>
                <w:bCs w:val="0"/>
                <w:color w:val="000000"/>
                <w:spacing w:val="163"/>
                <w:shd w:val="solid" w:color="000000" w:fill="000000"/>
                <w:fitText w:val="249" w:id="-1032092667"/>
                <w14:textFill>
                  <w14:solidFill>
                    <w14:srgbClr w14:val="000000">
                      <w14:alpha w14:val="100000"/>
                    </w14:srgbClr>
                  </w14:solidFill>
                </w14:textFill>
              </w:rPr>
              <w:t>|</w:t>
            </w:r>
            <w:r w:rsidR="00E927A0" w:rsidRPr="00E927A0">
              <w:rPr>
                <w:bCs w:val="0"/>
                <w:color w:val="000000"/>
                <w:spacing w:val="1"/>
                <w:shd w:val="solid" w:color="000000" w:fill="000000"/>
                <w:fitText w:val="249" w:id="-1032092667"/>
                <w14:textFill>
                  <w14:solidFill>
                    <w14:srgbClr w14:val="000000">
                      <w14:alpha w14:val="100000"/>
                    </w14:srgbClr>
                  </w14:solidFill>
                </w14:textFill>
              </w:rPr>
              <w:t>|</w:t>
            </w:r>
            <w:r w:rsidRPr="000853E6">
              <w:rPr>
                <w:bCs w:val="0"/>
              </w:rPr>
              <w:t>%</w:t>
            </w:r>
          </w:p>
        </w:tc>
      </w:tr>
      <w:tr w:rsidR="00013F21" w14:paraId="5537D139" w14:textId="633D7EC7" w:rsidTr="00013F21">
        <w:tc>
          <w:tcPr>
            <w:tcW w:w="9076" w:type="dxa"/>
            <w:gridSpan w:val="5"/>
            <w:tcBorders>
              <w:bottom w:val="nil"/>
              <w:right w:val="single" w:sz="4" w:space="0" w:color="auto"/>
            </w:tcBorders>
            <w:vAlign w:val="center"/>
          </w:tcPr>
          <w:p w14:paraId="493591AD" w14:textId="3A4E993B" w:rsidR="00013F21" w:rsidRPr="000853E6" w:rsidRDefault="00013F21" w:rsidP="00A83FEC">
            <w:pPr>
              <w:pStyle w:val="TableText0"/>
              <w:keepLines/>
              <w:rPr>
                <w:b/>
                <w:bCs w:val="0"/>
              </w:rPr>
            </w:pPr>
            <w:r w:rsidRPr="000853E6">
              <w:rPr>
                <w:b/>
                <w:bCs w:val="0"/>
              </w:rPr>
              <w:t>Costs</w:t>
            </w:r>
          </w:p>
        </w:tc>
      </w:tr>
      <w:tr w:rsidR="00743F1B" w:rsidRPr="005E1281" w14:paraId="4048B2B3" w14:textId="509EB906" w:rsidTr="00E927A0">
        <w:tc>
          <w:tcPr>
            <w:tcW w:w="5949" w:type="dxa"/>
            <w:tcBorders>
              <w:top w:val="single" w:sz="4" w:space="0" w:color="auto"/>
              <w:left w:val="single" w:sz="4" w:space="0" w:color="auto"/>
              <w:bottom w:val="nil"/>
              <w:right w:val="single" w:sz="4" w:space="0" w:color="auto"/>
            </w:tcBorders>
            <w:vAlign w:val="center"/>
          </w:tcPr>
          <w:p w14:paraId="319FD07E" w14:textId="37306C5C" w:rsidR="00743F1B" w:rsidRPr="00EB1DCF" w:rsidRDefault="00743F1B" w:rsidP="00A83FEC">
            <w:pPr>
              <w:pStyle w:val="TableText0"/>
              <w:keepLines/>
              <w:rPr>
                <w:lang w:val="de-DE"/>
              </w:rPr>
            </w:pPr>
            <w:r w:rsidRPr="00EB1DCF">
              <w:rPr>
                <w:lang w:val="de-DE"/>
              </w:rPr>
              <w:t xml:space="preserve">Treatments in DM1^ in osimertinib arm </w:t>
            </w:r>
          </w:p>
        </w:tc>
        <w:tc>
          <w:tcPr>
            <w:tcW w:w="851" w:type="dxa"/>
            <w:tcBorders>
              <w:top w:val="single" w:sz="4" w:space="0" w:color="auto"/>
              <w:left w:val="single" w:sz="4" w:space="0" w:color="auto"/>
              <w:bottom w:val="nil"/>
              <w:right w:val="single" w:sz="4" w:space="0" w:color="auto"/>
            </w:tcBorders>
            <w:vAlign w:val="center"/>
          </w:tcPr>
          <w:p w14:paraId="5B0E41A5" w14:textId="77777777" w:rsidR="00743F1B" w:rsidRPr="00EB1DCF" w:rsidRDefault="00743F1B" w:rsidP="00A83FEC">
            <w:pPr>
              <w:pStyle w:val="TableText0"/>
              <w:keepLines/>
              <w:jc w:val="center"/>
              <w:rPr>
                <w:lang w:val="de-DE"/>
              </w:rPr>
            </w:pPr>
          </w:p>
        </w:tc>
        <w:tc>
          <w:tcPr>
            <w:tcW w:w="567" w:type="dxa"/>
            <w:tcBorders>
              <w:top w:val="single" w:sz="4" w:space="0" w:color="auto"/>
              <w:left w:val="single" w:sz="4" w:space="0" w:color="auto"/>
              <w:bottom w:val="nil"/>
              <w:right w:val="single" w:sz="4" w:space="0" w:color="auto"/>
            </w:tcBorders>
            <w:vAlign w:val="center"/>
          </w:tcPr>
          <w:p w14:paraId="4CF948E8" w14:textId="77777777" w:rsidR="00743F1B" w:rsidRPr="00EB1DCF" w:rsidRDefault="00743F1B" w:rsidP="00A83FEC">
            <w:pPr>
              <w:pStyle w:val="TableText0"/>
              <w:keepLines/>
              <w:jc w:val="center"/>
              <w:rPr>
                <w:lang w:val="de-DE"/>
              </w:rPr>
            </w:pPr>
          </w:p>
        </w:tc>
        <w:tc>
          <w:tcPr>
            <w:tcW w:w="850" w:type="dxa"/>
            <w:tcBorders>
              <w:top w:val="single" w:sz="4" w:space="0" w:color="auto"/>
              <w:left w:val="single" w:sz="4" w:space="0" w:color="auto"/>
              <w:bottom w:val="nil"/>
              <w:right w:val="single" w:sz="4" w:space="0" w:color="auto"/>
            </w:tcBorders>
            <w:vAlign w:val="center"/>
          </w:tcPr>
          <w:p w14:paraId="126ED0B0" w14:textId="77777777" w:rsidR="00743F1B" w:rsidRPr="00EB1DCF" w:rsidRDefault="00743F1B" w:rsidP="00A83FEC">
            <w:pPr>
              <w:pStyle w:val="TableText0"/>
              <w:keepLines/>
              <w:jc w:val="center"/>
              <w:rPr>
                <w:lang w:val="de-DE"/>
              </w:rPr>
            </w:pPr>
          </w:p>
        </w:tc>
        <w:tc>
          <w:tcPr>
            <w:tcW w:w="859" w:type="dxa"/>
            <w:tcBorders>
              <w:top w:val="single" w:sz="4" w:space="0" w:color="auto"/>
              <w:left w:val="single" w:sz="4" w:space="0" w:color="auto"/>
              <w:bottom w:val="nil"/>
              <w:right w:val="single" w:sz="4" w:space="0" w:color="auto"/>
            </w:tcBorders>
            <w:vAlign w:val="center"/>
          </w:tcPr>
          <w:p w14:paraId="742CFC35" w14:textId="77777777" w:rsidR="00743F1B" w:rsidRPr="00EB1DCF" w:rsidRDefault="00743F1B" w:rsidP="00A83FEC">
            <w:pPr>
              <w:pStyle w:val="TableText0"/>
              <w:keepLines/>
              <w:jc w:val="center"/>
              <w:rPr>
                <w:lang w:val="de-DE"/>
              </w:rPr>
            </w:pPr>
          </w:p>
        </w:tc>
      </w:tr>
      <w:tr w:rsidR="00743F1B" w14:paraId="6626670D" w14:textId="7CD48612" w:rsidTr="00E927A0">
        <w:tc>
          <w:tcPr>
            <w:tcW w:w="5949" w:type="dxa"/>
            <w:tcBorders>
              <w:top w:val="nil"/>
              <w:left w:val="single" w:sz="4" w:space="0" w:color="auto"/>
              <w:bottom w:val="single" w:sz="4" w:space="0" w:color="auto"/>
              <w:right w:val="single" w:sz="4" w:space="0" w:color="auto"/>
            </w:tcBorders>
          </w:tcPr>
          <w:p w14:paraId="3FFC50CC" w14:textId="456ADB13" w:rsidR="00801F55" w:rsidRPr="00EB1DCF" w:rsidRDefault="00743F1B" w:rsidP="00A83FEC">
            <w:pPr>
              <w:pStyle w:val="TableText0"/>
              <w:keepLines/>
              <w:numPr>
                <w:ilvl w:val="0"/>
                <w:numId w:val="10"/>
              </w:numPr>
              <w:ind w:left="107" w:hanging="107"/>
              <w:rPr>
                <w:lang w:val="de-DE"/>
              </w:rPr>
            </w:pPr>
            <w:r w:rsidRPr="00EB1DCF">
              <w:rPr>
                <w:lang w:val="de-DE"/>
              </w:rPr>
              <w:t xml:space="preserve">100% receive </w:t>
            </w:r>
            <w:r w:rsidR="00034627" w:rsidRPr="00EB1DCF">
              <w:rPr>
                <w:lang w:val="de-DE"/>
              </w:rPr>
              <w:t>AB</w:t>
            </w:r>
            <w:r w:rsidR="003E2DD2" w:rsidRPr="00EB1DCF">
              <w:rPr>
                <w:lang w:val="de-DE"/>
              </w:rPr>
              <w:t>D</w:t>
            </w:r>
            <w:r w:rsidR="00AD3063" w:rsidRPr="00EB1DCF">
              <w:rPr>
                <w:lang w:val="de-DE"/>
              </w:rPr>
              <w:t>C</w:t>
            </w:r>
            <w:r w:rsidR="007C2151" w:rsidRPr="00EB1DCF">
              <w:rPr>
                <w:lang w:val="de-DE"/>
              </w:rPr>
              <w:t xml:space="preserve"> </w:t>
            </w:r>
            <w:r w:rsidR="007C2151" w:rsidRPr="00EB1DCF">
              <w:rPr>
                <w:vertAlign w:val="superscript"/>
                <w:lang w:val="de-DE"/>
              </w:rPr>
              <w:t>b</w:t>
            </w:r>
            <w:r w:rsidRPr="00EB1DCF">
              <w:rPr>
                <w:lang w:val="de-DE"/>
              </w:rPr>
              <w:t xml:space="preserve"> (base case 100% pemetrexed+cisplatin)</w:t>
            </w:r>
          </w:p>
        </w:tc>
        <w:tc>
          <w:tcPr>
            <w:tcW w:w="851" w:type="dxa"/>
            <w:tcBorders>
              <w:top w:val="nil"/>
              <w:left w:val="single" w:sz="4" w:space="0" w:color="auto"/>
              <w:bottom w:val="single" w:sz="4" w:space="0" w:color="auto"/>
              <w:right w:val="single" w:sz="4" w:space="0" w:color="auto"/>
            </w:tcBorders>
            <w:shd w:val="solid" w:color="000000" w:fill="000000"/>
            <w:vAlign w:val="center"/>
          </w:tcPr>
          <w:p w14:paraId="4DB47ECC" w14:textId="0CD47AD3" w:rsidR="00743F1B" w:rsidRPr="00367E22" w:rsidRDefault="00E927A0" w:rsidP="00A83FEC">
            <w:pPr>
              <w:pStyle w:val="TableText0"/>
              <w:keepLines/>
              <w:jc w:val="center"/>
              <w:rPr>
                <w:highlight w:val="darkGray"/>
              </w:rPr>
            </w:pPr>
            <w:r w:rsidRPr="00E927A0">
              <w:rPr>
                <w:color w:val="000000"/>
                <w:spacing w:val="67"/>
                <w:fitText w:val="153" w:id="-1032092666"/>
                <w14:textFill>
                  <w14:solidFill>
                    <w14:srgbClr w14:val="000000">
                      <w14:alpha w14:val="100000"/>
                    </w14:srgbClr>
                  </w14:solidFill>
                </w14:textFill>
              </w:rPr>
              <w:t>|</w:t>
            </w:r>
            <w:r w:rsidRPr="00E927A0">
              <w:rPr>
                <w:color w:val="000000"/>
                <w:fitText w:val="153" w:id="-1032092666"/>
                <w14:textFill>
                  <w14:solidFill>
                    <w14:srgbClr w14:val="000000">
                      <w14:alpha w14:val="100000"/>
                    </w14:srgbClr>
                  </w14:solidFill>
                </w14:textFill>
              </w:rPr>
              <w:t>|</w:t>
            </w:r>
          </w:p>
        </w:tc>
        <w:tc>
          <w:tcPr>
            <w:tcW w:w="567" w:type="dxa"/>
            <w:tcBorders>
              <w:top w:val="nil"/>
              <w:left w:val="single" w:sz="4" w:space="0" w:color="auto"/>
              <w:bottom w:val="single" w:sz="4" w:space="0" w:color="auto"/>
              <w:right w:val="single" w:sz="4" w:space="0" w:color="auto"/>
            </w:tcBorders>
            <w:vAlign w:val="center"/>
          </w:tcPr>
          <w:p w14:paraId="20712609" w14:textId="0D1C5FC6" w:rsidR="00743F1B" w:rsidRPr="00EB1DCF" w:rsidRDefault="00743F1B" w:rsidP="00A83FEC">
            <w:pPr>
              <w:pStyle w:val="TableText0"/>
              <w:keepLines/>
              <w:jc w:val="center"/>
            </w:pPr>
            <w:r w:rsidRPr="00EB1DCF">
              <w:t>1.956</w:t>
            </w:r>
          </w:p>
        </w:tc>
        <w:tc>
          <w:tcPr>
            <w:tcW w:w="850" w:type="dxa"/>
            <w:tcBorders>
              <w:top w:val="nil"/>
              <w:left w:val="single" w:sz="4" w:space="0" w:color="auto"/>
              <w:bottom w:val="single" w:sz="4" w:space="0" w:color="auto"/>
              <w:right w:val="single" w:sz="4" w:space="0" w:color="auto"/>
            </w:tcBorders>
            <w:vAlign w:val="center"/>
          </w:tcPr>
          <w:p w14:paraId="2FCCFD83" w14:textId="5E8CA05B" w:rsidR="00743F1B" w:rsidRPr="00367E22" w:rsidRDefault="00E927A0" w:rsidP="00A83FEC">
            <w:pPr>
              <w:pStyle w:val="TableText0"/>
              <w:keepLines/>
              <w:jc w:val="center"/>
              <w:rPr>
                <w:highlight w:val="darkGray"/>
              </w:rPr>
            </w:pPr>
            <w:r w:rsidRPr="00E927A0">
              <w:rPr>
                <w:color w:val="000000"/>
                <w:spacing w:val="80"/>
                <w:shd w:val="solid" w:color="000000" w:fill="000000"/>
                <w:fitText w:val="166" w:id="-1032092665"/>
                <w14:textFill>
                  <w14:solidFill>
                    <w14:srgbClr w14:val="000000">
                      <w14:alpha w14:val="100000"/>
                    </w14:srgbClr>
                  </w14:solidFill>
                </w14:textFill>
              </w:rPr>
              <w:t>|</w:t>
            </w:r>
            <w:r w:rsidRPr="00E927A0">
              <w:rPr>
                <w:color w:val="000000"/>
                <w:spacing w:val="1"/>
                <w:shd w:val="solid" w:color="000000" w:fill="000000"/>
                <w:fitText w:val="166" w:id="-1032092665"/>
                <w14:textFill>
                  <w14:solidFill>
                    <w14:srgbClr w14:val="000000">
                      <w14:alpha w14:val="100000"/>
                    </w14:srgbClr>
                  </w14:solidFill>
                </w14:textFill>
              </w:rPr>
              <w:t>|</w:t>
            </w:r>
            <w:r w:rsidR="00BE70B8" w:rsidRPr="00BE70B8">
              <w:rPr>
                <w:vertAlign w:val="superscript"/>
              </w:rPr>
              <w:t>4</w:t>
            </w:r>
          </w:p>
        </w:tc>
        <w:tc>
          <w:tcPr>
            <w:tcW w:w="859" w:type="dxa"/>
            <w:tcBorders>
              <w:top w:val="nil"/>
              <w:left w:val="single" w:sz="4" w:space="0" w:color="auto"/>
              <w:bottom w:val="single" w:sz="4" w:space="0" w:color="auto"/>
              <w:right w:val="single" w:sz="4" w:space="0" w:color="auto"/>
            </w:tcBorders>
            <w:vAlign w:val="center"/>
          </w:tcPr>
          <w:p w14:paraId="00285475" w14:textId="101FDA2B" w:rsidR="00743F1B" w:rsidRPr="00EB1DCF" w:rsidRDefault="006D74D6" w:rsidP="00A83FEC">
            <w:pPr>
              <w:pStyle w:val="TableText0"/>
              <w:keepLines/>
              <w:jc w:val="center"/>
            </w:pPr>
            <w:r w:rsidRPr="00EB1DCF">
              <w:t>+</w:t>
            </w:r>
            <w:r w:rsidR="00E927A0" w:rsidRPr="00E927A0">
              <w:rPr>
                <w:color w:val="000000"/>
                <w:spacing w:val="191"/>
                <w:shd w:val="solid" w:color="000000" w:fill="000000"/>
                <w:fitText w:val="277" w:id="-1032092664"/>
                <w14:textFill>
                  <w14:solidFill>
                    <w14:srgbClr w14:val="000000">
                      <w14:alpha w14:val="100000"/>
                    </w14:srgbClr>
                  </w14:solidFill>
                </w14:textFill>
              </w:rPr>
              <w:t>|</w:t>
            </w:r>
            <w:r w:rsidR="00E927A0" w:rsidRPr="00E927A0">
              <w:rPr>
                <w:color w:val="000000"/>
                <w:spacing w:val="1"/>
                <w:shd w:val="solid" w:color="000000" w:fill="000000"/>
                <w:fitText w:val="277" w:id="-1032092664"/>
                <w14:textFill>
                  <w14:solidFill>
                    <w14:srgbClr w14:val="000000">
                      <w14:alpha w14:val="100000"/>
                    </w14:srgbClr>
                  </w14:solidFill>
                </w14:textFill>
              </w:rPr>
              <w:t>|</w:t>
            </w:r>
            <w:r w:rsidRPr="00EB1DCF">
              <w:t>%</w:t>
            </w:r>
          </w:p>
        </w:tc>
      </w:tr>
      <w:tr w:rsidR="00034627" w:rsidRPr="00AD3063" w14:paraId="3D5C419A" w14:textId="77777777" w:rsidTr="00E927A0">
        <w:tc>
          <w:tcPr>
            <w:tcW w:w="5949" w:type="dxa"/>
            <w:tcBorders>
              <w:top w:val="single" w:sz="4" w:space="0" w:color="auto"/>
              <w:left w:val="single" w:sz="4" w:space="0" w:color="auto"/>
              <w:bottom w:val="nil"/>
              <w:right w:val="single" w:sz="4" w:space="0" w:color="auto"/>
            </w:tcBorders>
            <w:vAlign w:val="center"/>
          </w:tcPr>
          <w:p w14:paraId="5AD7C327" w14:textId="001BCF9D" w:rsidR="00034627" w:rsidRPr="00EB1DCF" w:rsidRDefault="00034627" w:rsidP="00A83FEC">
            <w:pPr>
              <w:pStyle w:val="TableText0"/>
              <w:keepLines/>
              <w:rPr>
                <w:lang w:val="de-DE"/>
              </w:rPr>
            </w:pPr>
            <w:r w:rsidRPr="00EB1DCF">
              <w:rPr>
                <w:lang w:val="de-DE"/>
              </w:rPr>
              <w:t>Treatments in DM1^ in osimertinib arm and DM2 in placebo arm</w:t>
            </w:r>
          </w:p>
        </w:tc>
        <w:tc>
          <w:tcPr>
            <w:tcW w:w="851" w:type="dxa"/>
            <w:tcBorders>
              <w:top w:val="single" w:sz="4" w:space="0" w:color="auto"/>
              <w:left w:val="single" w:sz="4" w:space="0" w:color="auto"/>
              <w:bottom w:val="nil"/>
              <w:right w:val="single" w:sz="4" w:space="0" w:color="auto"/>
            </w:tcBorders>
            <w:vAlign w:val="center"/>
          </w:tcPr>
          <w:p w14:paraId="22669E97" w14:textId="77777777" w:rsidR="00034627" w:rsidRPr="00367E22" w:rsidRDefault="00034627" w:rsidP="00A83FEC">
            <w:pPr>
              <w:pStyle w:val="TableText0"/>
              <w:keepLines/>
              <w:jc w:val="center"/>
              <w:rPr>
                <w:szCs w:val="20"/>
                <w:highlight w:val="darkGray"/>
                <w:lang w:val="de-DE"/>
              </w:rPr>
            </w:pPr>
          </w:p>
        </w:tc>
        <w:tc>
          <w:tcPr>
            <w:tcW w:w="567" w:type="dxa"/>
            <w:tcBorders>
              <w:top w:val="single" w:sz="4" w:space="0" w:color="auto"/>
              <w:left w:val="single" w:sz="4" w:space="0" w:color="auto"/>
              <w:bottom w:val="nil"/>
              <w:right w:val="single" w:sz="4" w:space="0" w:color="auto"/>
            </w:tcBorders>
            <w:vAlign w:val="center"/>
          </w:tcPr>
          <w:p w14:paraId="55DEBE27" w14:textId="77777777" w:rsidR="00034627" w:rsidRPr="00EB1DCF" w:rsidRDefault="00034627" w:rsidP="00A83FEC">
            <w:pPr>
              <w:pStyle w:val="TableText0"/>
              <w:keepLines/>
              <w:jc w:val="center"/>
              <w:rPr>
                <w:szCs w:val="20"/>
                <w:lang w:val="de-DE"/>
              </w:rPr>
            </w:pPr>
          </w:p>
        </w:tc>
        <w:tc>
          <w:tcPr>
            <w:tcW w:w="850" w:type="dxa"/>
            <w:tcBorders>
              <w:top w:val="single" w:sz="4" w:space="0" w:color="auto"/>
              <w:left w:val="single" w:sz="4" w:space="0" w:color="auto"/>
              <w:bottom w:val="nil"/>
              <w:right w:val="single" w:sz="4" w:space="0" w:color="auto"/>
            </w:tcBorders>
            <w:vAlign w:val="center"/>
          </w:tcPr>
          <w:p w14:paraId="5D31B9F4" w14:textId="77777777" w:rsidR="00034627" w:rsidRPr="00367E22" w:rsidRDefault="00034627" w:rsidP="00A83FEC">
            <w:pPr>
              <w:pStyle w:val="TableText0"/>
              <w:keepLines/>
              <w:jc w:val="center"/>
              <w:rPr>
                <w:szCs w:val="20"/>
                <w:highlight w:val="darkGray"/>
                <w:lang w:val="de-DE"/>
              </w:rPr>
            </w:pPr>
          </w:p>
        </w:tc>
        <w:tc>
          <w:tcPr>
            <w:tcW w:w="859" w:type="dxa"/>
            <w:tcBorders>
              <w:top w:val="single" w:sz="4" w:space="0" w:color="auto"/>
              <w:left w:val="single" w:sz="4" w:space="0" w:color="auto"/>
              <w:bottom w:val="nil"/>
              <w:right w:val="single" w:sz="4" w:space="0" w:color="auto"/>
            </w:tcBorders>
            <w:vAlign w:val="center"/>
          </w:tcPr>
          <w:p w14:paraId="57B7B309" w14:textId="77777777" w:rsidR="00034627" w:rsidRPr="00EB1DCF" w:rsidRDefault="00034627" w:rsidP="00A83FEC">
            <w:pPr>
              <w:pStyle w:val="TableText0"/>
              <w:keepLines/>
              <w:jc w:val="center"/>
              <w:rPr>
                <w:lang w:val="de-DE"/>
              </w:rPr>
            </w:pPr>
          </w:p>
        </w:tc>
      </w:tr>
      <w:tr w:rsidR="00AD3063" w:rsidRPr="00AD3063" w14:paraId="2DB2846D" w14:textId="77777777" w:rsidTr="00E927A0">
        <w:tc>
          <w:tcPr>
            <w:tcW w:w="5949" w:type="dxa"/>
            <w:tcBorders>
              <w:top w:val="nil"/>
              <w:left w:val="single" w:sz="4" w:space="0" w:color="auto"/>
              <w:bottom w:val="single" w:sz="4" w:space="0" w:color="auto"/>
              <w:right w:val="single" w:sz="4" w:space="0" w:color="auto"/>
            </w:tcBorders>
          </w:tcPr>
          <w:p w14:paraId="174D88EA" w14:textId="77AC7654" w:rsidR="00AD3063" w:rsidRPr="00EB1DCF" w:rsidRDefault="00AD3063" w:rsidP="00A83FEC">
            <w:pPr>
              <w:pStyle w:val="TableText0"/>
              <w:keepLines/>
              <w:numPr>
                <w:ilvl w:val="0"/>
                <w:numId w:val="10"/>
              </w:numPr>
              <w:ind w:left="107" w:hanging="107"/>
              <w:rPr>
                <w:lang w:val="de-DE"/>
              </w:rPr>
            </w:pPr>
            <w:r w:rsidRPr="00EB1DCF">
              <w:rPr>
                <w:lang w:val="de-DE"/>
              </w:rPr>
              <w:t>60% receive AB</w:t>
            </w:r>
            <w:r w:rsidR="003E2DD2" w:rsidRPr="00EB1DCF">
              <w:rPr>
                <w:lang w:val="de-DE"/>
              </w:rPr>
              <w:t>D</w:t>
            </w:r>
            <w:r w:rsidRPr="00EB1DCF">
              <w:rPr>
                <w:lang w:val="de-DE"/>
              </w:rPr>
              <w:t xml:space="preserve">C in DM1 in osimertinib and 25% in DM2 in placebo  </w:t>
            </w:r>
          </w:p>
        </w:tc>
        <w:tc>
          <w:tcPr>
            <w:tcW w:w="851" w:type="dxa"/>
            <w:tcBorders>
              <w:top w:val="nil"/>
              <w:left w:val="single" w:sz="4" w:space="0" w:color="auto"/>
              <w:bottom w:val="single" w:sz="4" w:space="0" w:color="auto"/>
              <w:right w:val="single" w:sz="4" w:space="0" w:color="auto"/>
            </w:tcBorders>
            <w:shd w:val="solid" w:color="000000" w:fill="000000"/>
            <w:vAlign w:val="center"/>
          </w:tcPr>
          <w:p w14:paraId="148A35ED" w14:textId="32950F66" w:rsidR="00AD3063" w:rsidRPr="00367E22" w:rsidRDefault="00E927A0" w:rsidP="00A83FEC">
            <w:pPr>
              <w:pStyle w:val="TableText0"/>
              <w:keepLines/>
              <w:jc w:val="center"/>
              <w:rPr>
                <w:szCs w:val="20"/>
                <w:highlight w:val="darkGray"/>
              </w:rPr>
            </w:pPr>
            <w:r w:rsidRPr="00E927A0">
              <w:rPr>
                <w:color w:val="000000"/>
                <w:spacing w:val="67"/>
                <w:szCs w:val="20"/>
                <w:fitText w:val="153" w:id="-1032092663"/>
                <w14:textFill>
                  <w14:solidFill>
                    <w14:srgbClr w14:val="000000">
                      <w14:alpha w14:val="100000"/>
                    </w14:srgbClr>
                  </w14:solidFill>
                </w14:textFill>
              </w:rPr>
              <w:t>|</w:t>
            </w:r>
            <w:r w:rsidRPr="00E927A0">
              <w:rPr>
                <w:color w:val="000000"/>
                <w:szCs w:val="20"/>
                <w:fitText w:val="153" w:id="-1032092663"/>
                <w14:textFill>
                  <w14:solidFill>
                    <w14:srgbClr w14:val="000000">
                      <w14:alpha w14:val="100000"/>
                    </w14:srgbClr>
                  </w14:solidFill>
                </w14:textFill>
              </w:rPr>
              <w:t>|</w:t>
            </w:r>
          </w:p>
        </w:tc>
        <w:tc>
          <w:tcPr>
            <w:tcW w:w="567" w:type="dxa"/>
            <w:tcBorders>
              <w:top w:val="nil"/>
              <w:left w:val="single" w:sz="4" w:space="0" w:color="auto"/>
              <w:bottom w:val="single" w:sz="4" w:space="0" w:color="auto"/>
              <w:right w:val="single" w:sz="4" w:space="0" w:color="auto"/>
            </w:tcBorders>
            <w:vAlign w:val="center"/>
          </w:tcPr>
          <w:p w14:paraId="1543926D" w14:textId="6BB43907" w:rsidR="00AD3063" w:rsidRPr="00EB1DCF" w:rsidRDefault="00AD3063" w:rsidP="00A83FEC">
            <w:pPr>
              <w:pStyle w:val="TableText0"/>
              <w:keepLines/>
              <w:jc w:val="center"/>
              <w:rPr>
                <w:szCs w:val="20"/>
              </w:rPr>
            </w:pPr>
            <w:r w:rsidRPr="00EB1DCF">
              <w:rPr>
                <w:szCs w:val="20"/>
              </w:rPr>
              <w:t>1.956</w:t>
            </w:r>
          </w:p>
        </w:tc>
        <w:tc>
          <w:tcPr>
            <w:tcW w:w="850" w:type="dxa"/>
            <w:tcBorders>
              <w:top w:val="nil"/>
              <w:left w:val="single" w:sz="4" w:space="0" w:color="auto"/>
              <w:bottom w:val="single" w:sz="4" w:space="0" w:color="auto"/>
              <w:right w:val="single" w:sz="4" w:space="0" w:color="auto"/>
            </w:tcBorders>
            <w:vAlign w:val="center"/>
          </w:tcPr>
          <w:p w14:paraId="5C552475" w14:textId="794E37DA" w:rsidR="00AD3063" w:rsidRPr="00367E22" w:rsidRDefault="00E927A0" w:rsidP="00A83FEC">
            <w:pPr>
              <w:pStyle w:val="TableText0"/>
              <w:keepLines/>
              <w:jc w:val="center"/>
              <w:rPr>
                <w:szCs w:val="20"/>
                <w:highlight w:val="darkGray"/>
              </w:rPr>
            </w:pPr>
            <w:r w:rsidRPr="00E927A0">
              <w:rPr>
                <w:color w:val="000000"/>
                <w:spacing w:val="80"/>
                <w:szCs w:val="20"/>
                <w:shd w:val="solid" w:color="000000" w:fill="000000"/>
                <w:fitText w:val="166" w:id="-1032092662"/>
                <w14:textFill>
                  <w14:solidFill>
                    <w14:srgbClr w14:val="000000">
                      <w14:alpha w14:val="100000"/>
                    </w14:srgbClr>
                  </w14:solidFill>
                </w14:textFill>
              </w:rPr>
              <w:t>|</w:t>
            </w:r>
            <w:r w:rsidRPr="00E927A0">
              <w:rPr>
                <w:color w:val="000000"/>
                <w:spacing w:val="1"/>
                <w:szCs w:val="20"/>
                <w:shd w:val="solid" w:color="000000" w:fill="000000"/>
                <w:fitText w:val="166" w:id="-1032092662"/>
                <w14:textFill>
                  <w14:solidFill>
                    <w14:srgbClr w14:val="000000">
                      <w14:alpha w14:val="100000"/>
                    </w14:srgbClr>
                  </w14:solidFill>
                </w14:textFill>
              </w:rPr>
              <w:t>|</w:t>
            </w:r>
            <w:r w:rsidR="00BE70B8" w:rsidRPr="00BE70B8">
              <w:rPr>
                <w:b/>
                <w:vertAlign w:val="superscript"/>
              </w:rPr>
              <w:t>1</w:t>
            </w:r>
          </w:p>
        </w:tc>
        <w:tc>
          <w:tcPr>
            <w:tcW w:w="859" w:type="dxa"/>
            <w:tcBorders>
              <w:top w:val="nil"/>
              <w:left w:val="single" w:sz="4" w:space="0" w:color="auto"/>
              <w:bottom w:val="single" w:sz="4" w:space="0" w:color="auto"/>
              <w:right w:val="single" w:sz="4" w:space="0" w:color="auto"/>
            </w:tcBorders>
            <w:vAlign w:val="center"/>
          </w:tcPr>
          <w:p w14:paraId="49647392" w14:textId="3C0100DD" w:rsidR="00AD3063" w:rsidRPr="00EB1DCF" w:rsidRDefault="00AD3063" w:rsidP="00A83FEC">
            <w:pPr>
              <w:pStyle w:val="TableText0"/>
              <w:keepLines/>
              <w:jc w:val="center"/>
            </w:pPr>
            <w:r w:rsidRPr="00EB1DCF">
              <w:t>+</w:t>
            </w:r>
            <w:r w:rsidR="00E927A0" w:rsidRPr="00E927A0">
              <w:rPr>
                <w:color w:val="000000"/>
                <w:spacing w:val="191"/>
                <w:shd w:val="solid" w:color="000000" w:fill="000000"/>
                <w:fitText w:val="277" w:id="-1032092661"/>
                <w14:textFill>
                  <w14:solidFill>
                    <w14:srgbClr w14:val="000000">
                      <w14:alpha w14:val="100000"/>
                    </w14:srgbClr>
                  </w14:solidFill>
                </w14:textFill>
              </w:rPr>
              <w:t>|</w:t>
            </w:r>
            <w:r w:rsidR="00E927A0" w:rsidRPr="00E927A0">
              <w:rPr>
                <w:color w:val="000000"/>
                <w:spacing w:val="1"/>
                <w:shd w:val="solid" w:color="000000" w:fill="000000"/>
                <w:fitText w:val="277" w:id="-1032092661"/>
                <w14:textFill>
                  <w14:solidFill>
                    <w14:srgbClr w14:val="000000">
                      <w14:alpha w14:val="100000"/>
                    </w14:srgbClr>
                  </w14:solidFill>
                </w14:textFill>
              </w:rPr>
              <w:t>|</w:t>
            </w:r>
            <w:r w:rsidRPr="00EB1DCF">
              <w:t>%</w:t>
            </w:r>
          </w:p>
        </w:tc>
      </w:tr>
      <w:tr w:rsidR="00AD3063" w:rsidRPr="00AD3063" w14:paraId="0F3A728F" w14:textId="77777777" w:rsidTr="009B14B0">
        <w:tc>
          <w:tcPr>
            <w:tcW w:w="5949" w:type="dxa"/>
            <w:tcBorders>
              <w:top w:val="nil"/>
              <w:left w:val="single" w:sz="4" w:space="0" w:color="auto"/>
              <w:bottom w:val="nil"/>
              <w:right w:val="single" w:sz="4" w:space="0" w:color="auto"/>
            </w:tcBorders>
            <w:vAlign w:val="center"/>
          </w:tcPr>
          <w:p w14:paraId="3880E75F" w14:textId="6063D4F9" w:rsidR="00AD3063" w:rsidRPr="00EB1DCF" w:rsidRDefault="00AD3063" w:rsidP="00A83FEC">
            <w:pPr>
              <w:pStyle w:val="TableText0"/>
              <w:keepLines/>
              <w:rPr>
                <w:lang w:val="de-DE"/>
              </w:rPr>
            </w:pPr>
            <w:r w:rsidRPr="00EB1DCF">
              <w:rPr>
                <w:lang w:val="de-DE"/>
              </w:rPr>
              <w:t>Treatments in DM1^ in osimertinib arm and DM2 in placebo arm</w:t>
            </w:r>
          </w:p>
        </w:tc>
        <w:tc>
          <w:tcPr>
            <w:tcW w:w="851" w:type="dxa"/>
            <w:tcBorders>
              <w:top w:val="nil"/>
              <w:left w:val="single" w:sz="4" w:space="0" w:color="auto"/>
              <w:bottom w:val="nil"/>
              <w:right w:val="single" w:sz="4" w:space="0" w:color="auto"/>
            </w:tcBorders>
            <w:vAlign w:val="center"/>
          </w:tcPr>
          <w:p w14:paraId="443902D9" w14:textId="77777777" w:rsidR="00AD3063" w:rsidRPr="00367E22" w:rsidRDefault="00AD3063" w:rsidP="00A83FEC">
            <w:pPr>
              <w:pStyle w:val="TableText0"/>
              <w:keepLines/>
              <w:jc w:val="center"/>
              <w:rPr>
                <w:szCs w:val="20"/>
                <w:highlight w:val="darkGray"/>
              </w:rPr>
            </w:pPr>
          </w:p>
        </w:tc>
        <w:tc>
          <w:tcPr>
            <w:tcW w:w="567" w:type="dxa"/>
            <w:tcBorders>
              <w:top w:val="nil"/>
              <w:left w:val="single" w:sz="4" w:space="0" w:color="auto"/>
              <w:bottom w:val="nil"/>
              <w:right w:val="single" w:sz="4" w:space="0" w:color="auto"/>
            </w:tcBorders>
            <w:vAlign w:val="center"/>
          </w:tcPr>
          <w:p w14:paraId="5A2F28C8" w14:textId="77777777" w:rsidR="00AD3063" w:rsidRPr="00EB1DCF" w:rsidRDefault="00AD3063" w:rsidP="00A83FEC">
            <w:pPr>
              <w:pStyle w:val="TableText0"/>
              <w:keepLines/>
              <w:jc w:val="center"/>
              <w:rPr>
                <w:szCs w:val="20"/>
              </w:rPr>
            </w:pPr>
          </w:p>
        </w:tc>
        <w:tc>
          <w:tcPr>
            <w:tcW w:w="850" w:type="dxa"/>
            <w:tcBorders>
              <w:top w:val="nil"/>
              <w:left w:val="single" w:sz="4" w:space="0" w:color="auto"/>
              <w:bottom w:val="nil"/>
              <w:right w:val="single" w:sz="4" w:space="0" w:color="auto"/>
            </w:tcBorders>
            <w:vAlign w:val="center"/>
          </w:tcPr>
          <w:p w14:paraId="5E3C545A" w14:textId="77777777" w:rsidR="00AD3063" w:rsidRPr="00367E22" w:rsidRDefault="00AD3063" w:rsidP="00A83FEC">
            <w:pPr>
              <w:pStyle w:val="TableText0"/>
              <w:keepLines/>
              <w:jc w:val="center"/>
              <w:rPr>
                <w:szCs w:val="20"/>
                <w:highlight w:val="darkGray"/>
              </w:rPr>
            </w:pPr>
          </w:p>
        </w:tc>
        <w:tc>
          <w:tcPr>
            <w:tcW w:w="859" w:type="dxa"/>
            <w:tcBorders>
              <w:top w:val="nil"/>
              <w:left w:val="single" w:sz="4" w:space="0" w:color="auto"/>
              <w:bottom w:val="nil"/>
              <w:right w:val="single" w:sz="4" w:space="0" w:color="auto"/>
            </w:tcBorders>
            <w:vAlign w:val="center"/>
          </w:tcPr>
          <w:p w14:paraId="4B7CD66A" w14:textId="77777777" w:rsidR="00AD3063" w:rsidRPr="00EB1DCF" w:rsidRDefault="00AD3063" w:rsidP="00A83FEC">
            <w:pPr>
              <w:pStyle w:val="TableText0"/>
              <w:keepLines/>
              <w:jc w:val="center"/>
            </w:pPr>
          </w:p>
        </w:tc>
      </w:tr>
      <w:tr w:rsidR="00AD3063" w:rsidRPr="004C2426" w14:paraId="27C31ABF" w14:textId="77777777" w:rsidTr="00E927A0">
        <w:tc>
          <w:tcPr>
            <w:tcW w:w="5949" w:type="dxa"/>
            <w:tcBorders>
              <w:top w:val="nil"/>
              <w:left w:val="single" w:sz="4" w:space="0" w:color="auto"/>
              <w:bottom w:val="single" w:sz="4" w:space="0" w:color="auto"/>
              <w:right w:val="single" w:sz="4" w:space="0" w:color="auto"/>
            </w:tcBorders>
          </w:tcPr>
          <w:p w14:paraId="50498774" w14:textId="45D8A6F9" w:rsidR="00AD3063" w:rsidRPr="00EB1DCF" w:rsidRDefault="00AD3063" w:rsidP="00A83FEC">
            <w:pPr>
              <w:pStyle w:val="TableText0"/>
              <w:keepLines/>
              <w:numPr>
                <w:ilvl w:val="0"/>
                <w:numId w:val="10"/>
              </w:numPr>
              <w:ind w:left="107" w:hanging="107"/>
              <w:rPr>
                <w:lang w:val="de-DE"/>
              </w:rPr>
            </w:pPr>
            <w:r w:rsidRPr="00EB1DCF">
              <w:rPr>
                <w:lang w:val="de-DE"/>
              </w:rPr>
              <w:t>25% receive AB</w:t>
            </w:r>
            <w:r w:rsidR="003E2DD2" w:rsidRPr="00EB1DCF">
              <w:rPr>
                <w:lang w:val="de-DE"/>
              </w:rPr>
              <w:t>D</w:t>
            </w:r>
            <w:r w:rsidRPr="00EB1DCF">
              <w:rPr>
                <w:lang w:val="de-DE"/>
              </w:rPr>
              <w:t xml:space="preserve">C in DM1 in osimertinib and 25% in DM2 in placebo  </w:t>
            </w:r>
          </w:p>
        </w:tc>
        <w:tc>
          <w:tcPr>
            <w:tcW w:w="851" w:type="dxa"/>
            <w:tcBorders>
              <w:top w:val="nil"/>
              <w:left w:val="single" w:sz="4" w:space="0" w:color="auto"/>
              <w:bottom w:val="single" w:sz="4" w:space="0" w:color="auto"/>
              <w:right w:val="single" w:sz="4" w:space="0" w:color="auto"/>
            </w:tcBorders>
            <w:vAlign w:val="center"/>
          </w:tcPr>
          <w:p w14:paraId="2FDE4D20" w14:textId="0E58631B" w:rsidR="00AD3063" w:rsidRPr="00367E22" w:rsidRDefault="00AD3063" w:rsidP="00A83FEC">
            <w:pPr>
              <w:pStyle w:val="TableText0"/>
              <w:keepLines/>
              <w:jc w:val="center"/>
              <w:rPr>
                <w:szCs w:val="20"/>
                <w:highlight w:val="darkGray"/>
              </w:rPr>
            </w:pPr>
            <w:r w:rsidRPr="00367E22">
              <w:rPr>
                <w:szCs w:val="20"/>
              </w:rPr>
              <w:t>NR</w:t>
            </w:r>
          </w:p>
        </w:tc>
        <w:tc>
          <w:tcPr>
            <w:tcW w:w="567" w:type="dxa"/>
            <w:tcBorders>
              <w:top w:val="nil"/>
              <w:left w:val="single" w:sz="4" w:space="0" w:color="auto"/>
              <w:bottom w:val="single" w:sz="4" w:space="0" w:color="auto"/>
              <w:right w:val="single" w:sz="4" w:space="0" w:color="auto"/>
            </w:tcBorders>
            <w:vAlign w:val="center"/>
          </w:tcPr>
          <w:p w14:paraId="7E41923F" w14:textId="6E52B48A" w:rsidR="00AD3063" w:rsidRPr="00EB1DCF" w:rsidRDefault="00AD3063" w:rsidP="00A83FEC">
            <w:pPr>
              <w:pStyle w:val="TableText0"/>
              <w:keepLines/>
              <w:jc w:val="center"/>
              <w:rPr>
                <w:szCs w:val="20"/>
              </w:rPr>
            </w:pPr>
            <w:r w:rsidRPr="00EB1DCF">
              <w:rPr>
                <w:szCs w:val="20"/>
              </w:rPr>
              <w:t>NR</w:t>
            </w:r>
          </w:p>
        </w:tc>
        <w:tc>
          <w:tcPr>
            <w:tcW w:w="850" w:type="dxa"/>
            <w:tcBorders>
              <w:top w:val="nil"/>
              <w:left w:val="single" w:sz="4" w:space="0" w:color="auto"/>
              <w:bottom w:val="single" w:sz="4" w:space="0" w:color="auto"/>
              <w:right w:val="single" w:sz="4" w:space="0" w:color="auto"/>
            </w:tcBorders>
            <w:vAlign w:val="center"/>
          </w:tcPr>
          <w:p w14:paraId="349481FC" w14:textId="13E63107" w:rsidR="00AD3063" w:rsidRPr="00367E22" w:rsidRDefault="00E927A0" w:rsidP="00A83FEC">
            <w:pPr>
              <w:pStyle w:val="TableText0"/>
              <w:keepLines/>
              <w:jc w:val="center"/>
              <w:rPr>
                <w:szCs w:val="20"/>
                <w:highlight w:val="darkGray"/>
              </w:rPr>
            </w:pPr>
            <w:r w:rsidRPr="00E927A0">
              <w:rPr>
                <w:color w:val="000000"/>
                <w:spacing w:val="80"/>
                <w:szCs w:val="20"/>
                <w:shd w:val="solid" w:color="000000" w:fill="000000"/>
                <w:fitText w:val="166" w:id="-1032092660"/>
                <w14:textFill>
                  <w14:solidFill>
                    <w14:srgbClr w14:val="000000">
                      <w14:alpha w14:val="100000"/>
                    </w14:srgbClr>
                  </w14:solidFill>
                </w14:textFill>
              </w:rPr>
              <w:t>|</w:t>
            </w:r>
            <w:r w:rsidRPr="00E927A0">
              <w:rPr>
                <w:color w:val="000000"/>
                <w:spacing w:val="1"/>
                <w:szCs w:val="20"/>
                <w:shd w:val="solid" w:color="000000" w:fill="000000"/>
                <w:fitText w:val="166" w:id="-1032092660"/>
                <w14:textFill>
                  <w14:solidFill>
                    <w14:srgbClr w14:val="000000">
                      <w14:alpha w14:val="100000"/>
                    </w14:srgbClr>
                  </w14:solidFill>
                </w14:textFill>
              </w:rPr>
              <w:t>|</w:t>
            </w:r>
            <w:r w:rsidR="00BE70B8" w:rsidRPr="00BE70B8">
              <w:rPr>
                <w:b/>
                <w:vertAlign w:val="superscript"/>
              </w:rPr>
              <w:t>1</w:t>
            </w:r>
          </w:p>
        </w:tc>
        <w:tc>
          <w:tcPr>
            <w:tcW w:w="859" w:type="dxa"/>
            <w:tcBorders>
              <w:top w:val="nil"/>
              <w:left w:val="single" w:sz="4" w:space="0" w:color="auto"/>
              <w:bottom w:val="single" w:sz="4" w:space="0" w:color="auto"/>
              <w:right w:val="single" w:sz="4" w:space="0" w:color="auto"/>
            </w:tcBorders>
            <w:vAlign w:val="center"/>
          </w:tcPr>
          <w:p w14:paraId="404B6734" w14:textId="6643CF07" w:rsidR="00AD3063" w:rsidRPr="00EB1DCF" w:rsidRDefault="00AD3063" w:rsidP="00A83FEC">
            <w:pPr>
              <w:pStyle w:val="TableText0"/>
              <w:keepLines/>
              <w:jc w:val="center"/>
            </w:pPr>
            <w:r w:rsidRPr="00EB1DCF">
              <w:t>+</w:t>
            </w:r>
            <w:r w:rsidR="00E927A0" w:rsidRPr="00E927A0">
              <w:rPr>
                <w:color w:val="000000"/>
                <w:spacing w:val="191"/>
                <w:shd w:val="solid" w:color="000000" w:fill="000000"/>
                <w:fitText w:val="277" w:id="-1032092659"/>
                <w14:textFill>
                  <w14:solidFill>
                    <w14:srgbClr w14:val="000000">
                      <w14:alpha w14:val="100000"/>
                    </w14:srgbClr>
                  </w14:solidFill>
                </w14:textFill>
              </w:rPr>
              <w:t>|</w:t>
            </w:r>
            <w:r w:rsidR="00E927A0" w:rsidRPr="00E927A0">
              <w:rPr>
                <w:color w:val="000000"/>
                <w:spacing w:val="1"/>
                <w:shd w:val="solid" w:color="000000" w:fill="000000"/>
                <w:fitText w:val="277" w:id="-1032092659"/>
                <w14:textFill>
                  <w14:solidFill>
                    <w14:srgbClr w14:val="000000">
                      <w14:alpha w14:val="100000"/>
                    </w14:srgbClr>
                  </w14:solidFill>
                </w14:textFill>
              </w:rPr>
              <w:t>|</w:t>
            </w:r>
            <w:r w:rsidRPr="00EB1DCF">
              <w:t>%</w:t>
            </w:r>
          </w:p>
        </w:tc>
      </w:tr>
      <w:tr w:rsidR="00AD3063" w14:paraId="43380DB5" w14:textId="77777777" w:rsidTr="00E927A0">
        <w:tc>
          <w:tcPr>
            <w:tcW w:w="5949" w:type="dxa"/>
            <w:tcBorders>
              <w:top w:val="single" w:sz="4" w:space="0" w:color="auto"/>
              <w:left w:val="single" w:sz="4" w:space="0" w:color="auto"/>
              <w:bottom w:val="single" w:sz="4" w:space="0" w:color="auto"/>
              <w:right w:val="single" w:sz="4" w:space="0" w:color="auto"/>
            </w:tcBorders>
          </w:tcPr>
          <w:p w14:paraId="4AFBC8B5" w14:textId="77777777" w:rsidR="00AD3063" w:rsidRPr="00EB1DCF" w:rsidRDefault="00AD3063" w:rsidP="00A83FEC">
            <w:pPr>
              <w:pStyle w:val="TableText0"/>
              <w:keepLines/>
            </w:pPr>
            <w:r w:rsidRPr="00EB1DCF">
              <w:t>Treatments in LRR and DM1^ in osimertinib arm</w:t>
            </w:r>
          </w:p>
          <w:p w14:paraId="3365D3AC" w14:textId="384FAE55" w:rsidR="00AD3063" w:rsidRPr="00EB1DCF" w:rsidRDefault="00AD3063" w:rsidP="00A83FEC">
            <w:pPr>
              <w:pStyle w:val="TableText0"/>
              <w:keepLines/>
              <w:numPr>
                <w:ilvl w:val="0"/>
                <w:numId w:val="10"/>
              </w:numPr>
              <w:ind w:left="107" w:hanging="107"/>
            </w:pPr>
            <w:r w:rsidRPr="00EB1DCF">
              <w:t>Assume 40.8% of patients continue osimertinib post progression for one year (replacing post-progression treatments in base case)</w:t>
            </w:r>
          </w:p>
        </w:tc>
        <w:tc>
          <w:tcPr>
            <w:tcW w:w="851" w:type="dxa"/>
            <w:tcBorders>
              <w:top w:val="single" w:sz="4" w:space="0" w:color="auto"/>
              <w:left w:val="single" w:sz="4" w:space="0" w:color="auto"/>
              <w:bottom w:val="single" w:sz="4" w:space="0" w:color="auto"/>
              <w:right w:val="single" w:sz="4" w:space="0" w:color="auto"/>
            </w:tcBorders>
            <w:shd w:val="solid" w:color="000000" w:fill="000000"/>
            <w:vAlign w:val="center"/>
          </w:tcPr>
          <w:p w14:paraId="64762DC5" w14:textId="46B4254A" w:rsidR="00AD3063" w:rsidRPr="00367E22" w:rsidRDefault="00E927A0" w:rsidP="00A83FEC">
            <w:pPr>
              <w:pStyle w:val="TableText0"/>
              <w:keepLines/>
              <w:jc w:val="center"/>
              <w:rPr>
                <w:highlight w:val="darkGray"/>
              </w:rPr>
            </w:pPr>
            <w:r w:rsidRPr="00E927A0">
              <w:rPr>
                <w:color w:val="000000"/>
                <w:spacing w:val="67"/>
                <w:fitText w:val="153" w:id="-1032092658"/>
                <w14:textFill>
                  <w14:solidFill>
                    <w14:srgbClr w14:val="000000">
                      <w14:alpha w14:val="100000"/>
                    </w14:srgbClr>
                  </w14:solidFill>
                </w14:textFill>
              </w:rPr>
              <w:t>|</w:t>
            </w:r>
            <w:r w:rsidRPr="00E927A0">
              <w:rPr>
                <w:color w:val="000000"/>
                <w:fitText w:val="153" w:id="-1032092658"/>
                <w14:textFill>
                  <w14:solidFill>
                    <w14:srgbClr w14:val="000000">
                      <w14:alpha w14:val="100000"/>
                    </w14:srgbClr>
                  </w14:solidFill>
                </w14:textFill>
              </w:rPr>
              <w:t>|</w:t>
            </w:r>
          </w:p>
        </w:tc>
        <w:tc>
          <w:tcPr>
            <w:tcW w:w="567" w:type="dxa"/>
            <w:tcBorders>
              <w:top w:val="single" w:sz="4" w:space="0" w:color="auto"/>
              <w:left w:val="single" w:sz="4" w:space="0" w:color="auto"/>
              <w:bottom w:val="single" w:sz="4" w:space="0" w:color="auto"/>
              <w:right w:val="single" w:sz="4" w:space="0" w:color="auto"/>
            </w:tcBorders>
            <w:vAlign w:val="center"/>
          </w:tcPr>
          <w:p w14:paraId="24C6D8ED" w14:textId="3D5583F7" w:rsidR="00AD3063" w:rsidRPr="00EB1DCF" w:rsidRDefault="00AD3063" w:rsidP="00A83FEC">
            <w:pPr>
              <w:pStyle w:val="TableText0"/>
              <w:keepLines/>
              <w:jc w:val="center"/>
            </w:pPr>
            <w:r w:rsidRPr="00EB1DCF">
              <w:t>1.956</w:t>
            </w:r>
          </w:p>
        </w:tc>
        <w:tc>
          <w:tcPr>
            <w:tcW w:w="850" w:type="dxa"/>
            <w:tcBorders>
              <w:top w:val="single" w:sz="4" w:space="0" w:color="auto"/>
              <w:left w:val="single" w:sz="4" w:space="0" w:color="auto"/>
              <w:bottom w:val="single" w:sz="4" w:space="0" w:color="auto"/>
              <w:right w:val="single" w:sz="4" w:space="0" w:color="auto"/>
            </w:tcBorders>
            <w:vAlign w:val="center"/>
          </w:tcPr>
          <w:p w14:paraId="7B7CC753" w14:textId="3D641460" w:rsidR="00AD3063" w:rsidRPr="00367E22" w:rsidRDefault="00E927A0" w:rsidP="00A83FEC">
            <w:pPr>
              <w:pStyle w:val="TableText0"/>
              <w:keepLines/>
              <w:jc w:val="center"/>
              <w:rPr>
                <w:highlight w:val="darkGray"/>
              </w:rPr>
            </w:pPr>
            <w:r w:rsidRPr="00E927A0">
              <w:rPr>
                <w:color w:val="000000"/>
                <w:spacing w:val="80"/>
                <w:shd w:val="solid" w:color="000000" w:fill="000000"/>
                <w:fitText w:val="166" w:id="-1032092657"/>
                <w14:textFill>
                  <w14:solidFill>
                    <w14:srgbClr w14:val="000000">
                      <w14:alpha w14:val="100000"/>
                    </w14:srgbClr>
                  </w14:solidFill>
                </w14:textFill>
              </w:rPr>
              <w:t>|</w:t>
            </w:r>
            <w:r w:rsidRPr="00E927A0">
              <w:rPr>
                <w:color w:val="000000"/>
                <w:spacing w:val="1"/>
                <w:shd w:val="solid" w:color="000000" w:fill="000000"/>
                <w:fitText w:val="166" w:id="-1032092657"/>
                <w14:textFill>
                  <w14:solidFill>
                    <w14:srgbClr w14:val="000000">
                      <w14:alpha w14:val="100000"/>
                    </w14:srgbClr>
                  </w14:solidFill>
                </w14:textFill>
              </w:rPr>
              <w:t>|</w:t>
            </w:r>
            <w:r w:rsidR="00BE70B8" w:rsidRPr="00BE70B8">
              <w:rPr>
                <w:vertAlign w:val="superscript"/>
              </w:rPr>
              <w:t>1</w:t>
            </w:r>
          </w:p>
        </w:tc>
        <w:tc>
          <w:tcPr>
            <w:tcW w:w="859" w:type="dxa"/>
            <w:tcBorders>
              <w:top w:val="single" w:sz="4" w:space="0" w:color="auto"/>
              <w:left w:val="single" w:sz="4" w:space="0" w:color="auto"/>
              <w:bottom w:val="single" w:sz="4" w:space="0" w:color="auto"/>
              <w:right w:val="single" w:sz="4" w:space="0" w:color="auto"/>
            </w:tcBorders>
            <w:vAlign w:val="center"/>
          </w:tcPr>
          <w:p w14:paraId="7CF7A313" w14:textId="2FDF9464" w:rsidR="00AD3063" w:rsidRPr="00EB1DCF" w:rsidRDefault="00AD3063" w:rsidP="00A83FEC">
            <w:pPr>
              <w:pStyle w:val="TableText0"/>
              <w:keepLines/>
              <w:jc w:val="center"/>
            </w:pPr>
            <w:r w:rsidRPr="00EB1DCF">
              <w:t>+</w:t>
            </w:r>
            <w:r w:rsidR="00E927A0" w:rsidRPr="00E927A0">
              <w:rPr>
                <w:color w:val="000000"/>
                <w:spacing w:val="191"/>
                <w:shd w:val="solid" w:color="000000" w:fill="000000"/>
                <w:fitText w:val="277" w:id="-1032092656"/>
                <w14:textFill>
                  <w14:solidFill>
                    <w14:srgbClr w14:val="000000">
                      <w14:alpha w14:val="100000"/>
                    </w14:srgbClr>
                  </w14:solidFill>
                </w14:textFill>
              </w:rPr>
              <w:t>|</w:t>
            </w:r>
            <w:r w:rsidR="00E927A0" w:rsidRPr="00E927A0">
              <w:rPr>
                <w:color w:val="000000"/>
                <w:spacing w:val="1"/>
                <w:shd w:val="solid" w:color="000000" w:fill="000000"/>
                <w:fitText w:val="277" w:id="-1032092656"/>
                <w14:textFill>
                  <w14:solidFill>
                    <w14:srgbClr w14:val="000000">
                      <w14:alpha w14:val="100000"/>
                    </w14:srgbClr>
                  </w14:solidFill>
                </w14:textFill>
              </w:rPr>
              <w:t>|</w:t>
            </w:r>
            <w:r w:rsidRPr="00EB1DCF">
              <w:t>%</w:t>
            </w:r>
          </w:p>
        </w:tc>
      </w:tr>
      <w:tr w:rsidR="00AD3063" w14:paraId="7C2C41D3" w14:textId="77777777" w:rsidTr="00E927A0">
        <w:tc>
          <w:tcPr>
            <w:tcW w:w="5949" w:type="dxa"/>
            <w:tcBorders>
              <w:top w:val="nil"/>
              <w:left w:val="single" w:sz="4" w:space="0" w:color="auto"/>
              <w:bottom w:val="single" w:sz="4" w:space="0" w:color="auto"/>
              <w:right w:val="single" w:sz="4" w:space="0" w:color="auto"/>
            </w:tcBorders>
          </w:tcPr>
          <w:p w14:paraId="65467F0F" w14:textId="3118AFCD" w:rsidR="00AD3063" w:rsidRPr="00EB1DCF" w:rsidRDefault="00AD3063" w:rsidP="00A83FEC">
            <w:pPr>
              <w:pStyle w:val="TableText0"/>
              <w:keepLines/>
            </w:pPr>
            <w:r w:rsidRPr="00EB1DCF">
              <w:t>Treatments in DM1^ placebo arm (base case 100% initiate osimertinib)</w:t>
            </w:r>
          </w:p>
          <w:p w14:paraId="7BBB2BA8" w14:textId="3DA8DBFB" w:rsidR="00AD3063" w:rsidRPr="00EB1DCF" w:rsidRDefault="00AD3063" w:rsidP="00A83FEC">
            <w:pPr>
              <w:pStyle w:val="TableText0"/>
              <w:keepLines/>
              <w:numPr>
                <w:ilvl w:val="0"/>
                <w:numId w:val="10"/>
              </w:numPr>
              <w:ind w:left="107" w:hanging="107"/>
            </w:pPr>
            <w:r w:rsidRPr="00EB1DCF">
              <w:t>Assume 83.7% of patients initiate osimertinib as per proportion initiating subsequent EGFR TKI in ADAURA placebo arm (the remainder are on pemetrexed and cisplatin)</w:t>
            </w:r>
          </w:p>
        </w:tc>
        <w:tc>
          <w:tcPr>
            <w:tcW w:w="851" w:type="dxa"/>
            <w:tcBorders>
              <w:top w:val="single" w:sz="4" w:space="0" w:color="auto"/>
              <w:left w:val="single" w:sz="4" w:space="0" w:color="auto"/>
              <w:bottom w:val="single" w:sz="4" w:space="0" w:color="auto"/>
              <w:right w:val="single" w:sz="4" w:space="0" w:color="auto"/>
            </w:tcBorders>
            <w:shd w:val="solid" w:color="000000" w:fill="000000"/>
            <w:vAlign w:val="center"/>
          </w:tcPr>
          <w:p w14:paraId="5686B71A" w14:textId="04578BA7" w:rsidR="00AD3063" w:rsidRPr="00367E22" w:rsidRDefault="00E927A0" w:rsidP="00A83FEC">
            <w:pPr>
              <w:pStyle w:val="TableText0"/>
              <w:keepLines/>
              <w:jc w:val="center"/>
              <w:rPr>
                <w:highlight w:val="darkGray"/>
              </w:rPr>
            </w:pPr>
            <w:r w:rsidRPr="00E927A0">
              <w:rPr>
                <w:color w:val="000000"/>
                <w:spacing w:val="67"/>
                <w:fitText w:val="153" w:id="-1032092672"/>
                <w14:textFill>
                  <w14:solidFill>
                    <w14:srgbClr w14:val="000000">
                      <w14:alpha w14:val="100000"/>
                    </w14:srgbClr>
                  </w14:solidFill>
                </w14:textFill>
              </w:rPr>
              <w:t>|</w:t>
            </w:r>
            <w:r w:rsidRPr="00E927A0">
              <w:rPr>
                <w:color w:val="000000"/>
                <w:fitText w:val="153" w:id="-1032092672"/>
                <w14:textFill>
                  <w14:solidFill>
                    <w14:srgbClr w14:val="000000">
                      <w14:alpha w14:val="100000"/>
                    </w14:srgbClr>
                  </w14:solidFill>
                </w14:textFill>
              </w:rPr>
              <w:t>|</w:t>
            </w:r>
          </w:p>
        </w:tc>
        <w:tc>
          <w:tcPr>
            <w:tcW w:w="567" w:type="dxa"/>
            <w:tcBorders>
              <w:top w:val="nil"/>
              <w:left w:val="single" w:sz="4" w:space="0" w:color="auto"/>
              <w:bottom w:val="single" w:sz="4" w:space="0" w:color="auto"/>
              <w:right w:val="single" w:sz="4" w:space="0" w:color="auto"/>
            </w:tcBorders>
            <w:vAlign w:val="center"/>
          </w:tcPr>
          <w:p w14:paraId="092B5004" w14:textId="6B4A8923" w:rsidR="00AD3063" w:rsidRPr="000853E6" w:rsidRDefault="00AD3063" w:rsidP="00A83FEC">
            <w:pPr>
              <w:pStyle w:val="TableText0"/>
              <w:keepLines/>
              <w:jc w:val="center"/>
            </w:pPr>
            <w:r w:rsidRPr="000853E6">
              <w:t>1.956</w:t>
            </w:r>
          </w:p>
        </w:tc>
        <w:tc>
          <w:tcPr>
            <w:tcW w:w="850" w:type="dxa"/>
            <w:tcBorders>
              <w:top w:val="nil"/>
              <w:left w:val="single" w:sz="4" w:space="0" w:color="auto"/>
              <w:bottom w:val="single" w:sz="4" w:space="0" w:color="auto"/>
              <w:right w:val="single" w:sz="4" w:space="0" w:color="auto"/>
            </w:tcBorders>
            <w:vAlign w:val="center"/>
          </w:tcPr>
          <w:p w14:paraId="5DA96EAF" w14:textId="2FC5568F" w:rsidR="00AD3063" w:rsidRPr="00367E22" w:rsidRDefault="00E927A0" w:rsidP="00A83FEC">
            <w:pPr>
              <w:pStyle w:val="TableText0"/>
              <w:keepLines/>
              <w:jc w:val="center"/>
              <w:rPr>
                <w:highlight w:val="darkGray"/>
              </w:rPr>
            </w:pPr>
            <w:r w:rsidRPr="00E927A0">
              <w:rPr>
                <w:color w:val="000000"/>
                <w:spacing w:val="80"/>
                <w:shd w:val="solid" w:color="000000" w:fill="000000"/>
                <w:fitText w:val="166" w:id="-1032092671"/>
                <w14:textFill>
                  <w14:solidFill>
                    <w14:srgbClr w14:val="000000">
                      <w14:alpha w14:val="100000"/>
                    </w14:srgbClr>
                  </w14:solidFill>
                </w14:textFill>
              </w:rPr>
              <w:t>|</w:t>
            </w:r>
            <w:r w:rsidRPr="00E927A0">
              <w:rPr>
                <w:color w:val="000000"/>
                <w:spacing w:val="1"/>
                <w:shd w:val="solid" w:color="000000" w:fill="000000"/>
                <w:fitText w:val="166" w:id="-1032092671"/>
                <w14:textFill>
                  <w14:solidFill>
                    <w14:srgbClr w14:val="000000">
                      <w14:alpha w14:val="100000"/>
                    </w14:srgbClr>
                  </w14:solidFill>
                </w14:textFill>
              </w:rPr>
              <w:t>|</w:t>
            </w:r>
            <w:r w:rsidR="00BE70B8" w:rsidRPr="00BE70B8">
              <w:rPr>
                <w:b/>
                <w:vertAlign w:val="superscript"/>
              </w:rPr>
              <w:t>1</w:t>
            </w:r>
          </w:p>
        </w:tc>
        <w:tc>
          <w:tcPr>
            <w:tcW w:w="859" w:type="dxa"/>
            <w:tcBorders>
              <w:top w:val="nil"/>
              <w:left w:val="single" w:sz="4" w:space="0" w:color="auto"/>
              <w:bottom w:val="single" w:sz="4" w:space="0" w:color="auto"/>
              <w:right w:val="single" w:sz="4" w:space="0" w:color="auto"/>
            </w:tcBorders>
            <w:vAlign w:val="center"/>
          </w:tcPr>
          <w:p w14:paraId="4808297B" w14:textId="5455921C" w:rsidR="00AD3063" w:rsidRPr="000853E6" w:rsidRDefault="00AD3063" w:rsidP="00A83FEC">
            <w:pPr>
              <w:pStyle w:val="TableText0"/>
              <w:keepLines/>
              <w:jc w:val="center"/>
            </w:pPr>
            <w:r w:rsidRPr="000853E6">
              <w:t>+</w:t>
            </w:r>
            <w:r w:rsidR="00E927A0" w:rsidRPr="00E927A0">
              <w:rPr>
                <w:color w:val="000000"/>
                <w:spacing w:val="191"/>
                <w:shd w:val="solid" w:color="000000" w:fill="000000"/>
                <w:fitText w:val="277" w:id="-1032092670"/>
                <w14:textFill>
                  <w14:solidFill>
                    <w14:srgbClr w14:val="000000">
                      <w14:alpha w14:val="100000"/>
                    </w14:srgbClr>
                  </w14:solidFill>
                </w14:textFill>
              </w:rPr>
              <w:t>|</w:t>
            </w:r>
            <w:r w:rsidR="00E927A0" w:rsidRPr="00E927A0">
              <w:rPr>
                <w:color w:val="000000"/>
                <w:spacing w:val="1"/>
                <w:shd w:val="solid" w:color="000000" w:fill="000000"/>
                <w:fitText w:val="277" w:id="-1032092670"/>
                <w14:textFill>
                  <w14:solidFill>
                    <w14:srgbClr w14:val="000000">
                      <w14:alpha w14:val="100000"/>
                    </w14:srgbClr>
                  </w14:solidFill>
                </w14:textFill>
              </w:rPr>
              <w:t>|</w:t>
            </w:r>
            <w:r w:rsidRPr="000853E6">
              <w:t>%</w:t>
            </w:r>
          </w:p>
        </w:tc>
      </w:tr>
      <w:tr w:rsidR="00AD3063" w14:paraId="0C675894" w14:textId="5888A655" w:rsidTr="00013F21">
        <w:tc>
          <w:tcPr>
            <w:tcW w:w="9076" w:type="dxa"/>
            <w:gridSpan w:val="5"/>
            <w:tcBorders>
              <w:top w:val="nil"/>
              <w:bottom w:val="single" w:sz="4" w:space="0" w:color="auto"/>
              <w:right w:val="single" w:sz="4" w:space="0" w:color="auto"/>
            </w:tcBorders>
            <w:vAlign w:val="center"/>
          </w:tcPr>
          <w:p w14:paraId="0D61FAAD" w14:textId="01C9EB9B" w:rsidR="00AD3063" w:rsidRPr="00EB1DCF" w:rsidRDefault="00AD3063" w:rsidP="00A83FEC">
            <w:pPr>
              <w:pStyle w:val="TableText0"/>
              <w:keepLines/>
              <w:rPr>
                <w:b/>
                <w:bCs w:val="0"/>
              </w:rPr>
            </w:pPr>
            <w:r w:rsidRPr="00EB1DCF">
              <w:rPr>
                <w:b/>
                <w:bCs w:val="0"/>
              </w:rPr>
              <w:t>Cure assumptions</w:t>
            </w:r>
          </w:p>
        </w:tc>
      </w:tr>
      <w:tr w:rsidR="00AD3063" w14:paraId="7EAF636E" w14:textId="02DA72A1" w:rsidTr="00E927A0">
        <w:tc>
          <w:tcPr>
            <w:tcW w:w="5949" w:type="dxa"/>
            <w:tcBorders>
              <w:bottom w:val="nil"/>
              <w:right w:val="single" w:sz="4" w:space="0" w:color="auto"/>
            </w:tcBorders>
          </w:tcPr>
          <w:p w14:paraId="73BDD4D1" w14:textId="77777777" w:rsidR="00AD3063" w:rsidRPr="00EB1DCF" w:rsidRDefault="00AD3063" w:rsidP="00A83FEC">
            <w:pPr>
              <w:pStyle w:val="TableText0"/>
              <w:keepLines/>
            </w:pPr>
            <w:r w:rsidRPr="00EB1DCF">
              <w:rPr>
                <w:b/>
                <w:bCs w:val="0"/>
              </w:rPr>
              <w:t>DF health state</w:t>
            </w:r>
          </w:p>
        </w:tc>
        <w:tc>
          <w:tcPr>
            <w:tcW w:w="851" w:type="dxa"/>
            <w:tcBorders>
              <w:top w:val="nil"/>
              <w:left w:val="single" w:sz="4" w:space="0" w:color="auto"/>
              <w:bottom w:val="nil"/>
              <w:right w:val="single" w:sz="4" w:space="0" w:color="auto"/>
            </w:tcBorders>
            <w:vAlign w:val="center"/>
          </w:tcPr>
          <w:p w14:paraId="549A58D3" w14:textId="77777777" w:rsidR="00AD3063" w:rsidRPr="00871EE8" w:rsidRDefault="00AD3063" w:rsidP="00A83FEC">
            <w:pPr>
              <w:pStyle w:val="TableText0"/>
              <w:keepLines/>
              <w:jc w:val="center"/>
              <w:rPr>
                <w:i/>
                <w:iCs/>
              </w:rPr>
            </w:pPr>
          </w:p>
        </w:tc>
        <w:tc>
          <w:tcPr>
            <w:tcW w:w="567" w:type="dxa"/>
            <w:tcBorders>
              <w:top w:val="nil"/>
              <w:left w:val="single" w:sz="4" w:space="0" w:color="auto"/>
              <w:bottom w:val="nil"/>
              <w:right w:val="single" w:sz="4" w:space="0" w:color="auto"/>
            </w:tcBorders>
            <w:vAlign w:val="center"/>
          </w:tcPr>
          <w:p w14:paraId="404E7D14" w14:textId="77777777" w:rsidR="00AD3063" w:rsidRPr="00871EE8" w:rsidRDefault="00AD3063" w:rsidP="00A83FEC">
            <w:pPr>
              <w:pStyle w:val="TableText0"/>
              <w:keepLines/>
              <w:jc w:val="center"/>
              <w:rPr>
                <w:i/>
                <w:iCs/>
              </w:rPr>
            </w:pPr>
          </w:p>
        </w:tc>
        <w:tc>
          <w:tcPr>
            <w:tcW w:w="850" w:type="dxa"/>
            <w:tcBorders>
              <w:top w:val="nil"/>
              <w:left w:val="single" w:sz="4" w:space="0" w:color="auto"/>
              <w:bottom w:val="nil"/>
              <w:right w:val="single" w:sz="4" w:space="0" w:color="auto"/>
            </w:tcBorders>
            <w:vAlign w:val="center"/>
          </w:tcPr>
          <w:p w14:paraId="1E214DB9" w14:textId="77777777" w:rsidR="00AD3063" w:rsidRPr="00871EE8" w:rsidRDefault="00AD3063" w:rsidP="00A83FEC">
            <w:pPr>
              <w:pStyle w:val="TableText0"/>
              <w:keepLines/>
              <w:jc w:val="center"/>
              <w:rPr>
                <w:i/>
                <w:iCs/>
              </w:rPr>
            </w:pPr>
          </w:p>
        </w:tc>
        <w:tc>
          <w:tcPr>
            <w:tcW w:w="859" w:type="dxa"/>
            <w:tcBorders>
              <w:top w:val="nil"/>
              <w:left w:val="single" w:sz="4" w:space="0" w:color="auto"/>
              <w:bottom w:val="nil"/>
              <w:right w:val="single" w:sz="4" w:space="0" w:color="auto"/>
            </w:tcBorders>
            <w:vAlign w:val="center"/>
          </w:tcPr>
          <w:p w14:paraId="116C2B4F" w14:textId="77777777" w:rsidR="00AD3063" w:rsidRPr="00871EE8" w:rsidRDefault="00AD3063" w:rsidP="00A83FEC">
            <w:pPr>
              <w:pStyle w:val="TableText0"/>
              <w:keepLines/>
              <w:jc w:val="center"/>
              <w:rPr>
                <w:i/>
                <w:iCs/>
              </w:rPr>
            </w:pPr>
          </w:p>
        </w:tc>
      </w:tr>
      <w:tr w:rsidR="00AD3063" w14:paraId="045FC4E7" w14:textId="7DC63E9A" w:rsidTr="00E927A0">
        <w:tc>
          <w:tcPr>
            <w:tcW w:w="5949" w:type="dxa"/>
            <w:tcBorders>
              <w:top w:val="nil"/>
              <w:left w:val="single" w:sz="4" w:space="0" w:color="auto"/>
              <w:bottom w:val="nil"/>
              <w:right w:val="single" w:sz="4" w:space="0" w:color="auto"/>
            </w:tcBorders>
          </w:tcPr>
          <w:p w14:paraId="29868021" w14:textId="77777777" w:rsidR="00AD3063" w:rsidRPr="00EB1DCF" w:rsidRDefault="00AD3063" w:rsidP="00A83FEC">
            <w:pPr>
              <w:pStyle w:val="TableText0"/>
              <w:keepLines/>
              <w:numPr>
                <w:ilvl w:val="0"/>
                <w:numId w:val="10"/>
              </w:numPr>
              <w:ind w:left="107" w:hanging="107"/>
            </w:pPr>
            <w:r w:rsidRPr="00EB1DCF">
              <w:t>Removing cure assumption in DF state</w:t>
            </w:r>
          </w:p>
        </w:tc>
        <w:tc>
          <w:tcPr>
            <w:tcW w:w="851" w:type="dxa"/>
            <w:tcBorders>
              <w:top w:val="nil"/>
              <w:left w:val="single" w:sz="4" w:space="0" w:color="auto"/>
              <w:bottom w:val="nil"/>
              <w:right w:val="single" w:sz="4" w:space="0" w:color="auto"/>
            </w:tcBorders>
            <w:shd w:val="solid" w:color="000000" w:fill="000000"/>
            <w:vAlign w:val="center"/>
          </w:tcPr>
          <w:p w14:paraId="27EE2D8F" w14:textId="52160F21" w:rsidR="00AD3063" w:rsidRPr="00367E22" w:rsidRDefault="00E927A0" w:rsidP="00A83FEC">
            <w:pPr>
              <w:pStyle w:val="TableText0"/>
              <w:keepLines/>
              <w:jc w:val="center"/>
              <w:rPr>
                <w:highlight w:val="darkGray"/>
              </w:rPr>
            </w:pPr>
            <w:r w:rsidRPr="00E927A0">
              <w:rPr>
                <w:color w:val="000000"/>
                <w:spacing w:val="67"/>
                <w:fitText w:val="153" w:id="-1032092669"/>
                <w14:textFill>
                  <w14:solidFill>
                    <w14:srgbClr w14:val="000000">
                      <w14:alpha w14:val="100000"/>
                    </w14:srgbClr>
                  </w14:solidFill>
                </w14:textFill>
              </w:rPr>
              <w:t>|</w:t>
            </w:r>
            <w:r w:rsidRPr="00E927A0">
              <w:rPr>
                <w:color w:val="000000"/>
                <w:fitText w:val="153" w:id="-1032092669"/>
                <w14:textFill>
                  <w14:solidFill>
                    <w14:srgbClr w14:val="000000">
                      <w14:alpha w14:val="100000"/>
                    </w14:srgbClr>
                  </w14:solidFill>
                </w14:textFill>
              </w:rPr>
              <w:t>|</w:t>
            </w:r>
          </w:p>
        </w:tc>
        <w:tc>
          <w:tcPr>
            <w:tcW w:w="567" w:type="dxa"/>
            <w:tcBorders>
              <w:top w:val="nil"/>
              <w:left w:val="single" w:sz="4" w:space="0" w:color="auto"/>
              <w:bottom w:val="nil"/>
              <w:right w:val="single" w:sz="4" w:space="0" w:color="auto"/>
            </w:tcBorders>
            <w:vAlign w:val="center"/>
          </w:tcPr>
          <w:p w14:paraId="775689EF" w14:textId="77777777" w:rsidR="00AD3063" w:rsidRPr="000853E6" w:rsidRDefault="00AD3063" w:rsidP="00A83FEC">
            <w:pPr>
              <w:pStyle w:val="TableText0"/>
              <w:keepLines/>
              <w:jc w:val="center"/>
            </w:pPr>
            <w:r w:rsidRPr="000853E6">
              <w:t>1.035</w:t>
            </w:r>
          </w:p>
        </w:tc>
        <w:tc>
          <w:tcPr>
            <w:tcW w:w="850" w:type="dxa"/>
            <w:tcBorders>
              <w:top w:val="nil"/>
              <w:left w:val="single" w:sz="4" w:space="0" w:color="auto"/>
              <w:bottom w:val="nil"/>
              <w:right w:val="single" w:sz="4" w:space="0" w:color="auto"/>
            </w:tcBorders>
            <w:vAlign w:val="center"/>
          </w:tcPr>
          <w:p w14:paraId="4DF67E80" w14:textId="001D5169" w:rsidR="00AD3063" w:rsidRPr="00BE70B8" w:rsidRDefault="00E927A0" w:rsidP="00A83FEC">
            <w:pPr>
              <w:pStyle w:val="TableText0"/>
              <w:keepLines/>
              <w:jc w:val="center"/>
              <w:rPr>
                <w:highlight w:val="darkGray"/>
                <w:vertAlign w:val="superscript"/>
              </w:rPr>
            </w:pPr>
            <w:r w:rsidRPr="00E927A0">
              <w:rPr>
                <w:color w:val="000000"/>
                <w:spacing w:val="80"/>
                <w:shd w:val="solid" w:color="000000" w:fill="000000"/>
                <w:fitText w:val="166" w:id="-1032092668"/>
                <w14:textFill>
                  <w14:solidFill>
                    <w14:srgbClr w14:val="000000">
                      <w14:alpha w14:val="100000"/>
                    </w14:srgbClr>
                  </w14:solidFill>
                </w14:textFill>
              </w:rPr>
              <w:t>|</w:t>
            </w:r>
            <w:r w:rsidRPr="00E927A0">
              <w:rPr>
                <w:color w:val="000000"/>
                <w:spacing w:val="1"/>
                <w:shd w:val="solid" w:color="000000" w:fill="000000"/>
                <w:fitText w:val="166" w:id="-1032092668"/>
                <w14:textFill>
                  <w14:solidFill>
                    <w14:srgbClr w14:val="000000">
                      <w14:alpha w14:val="100000"/>
                    </w14:srgbClr>
                  </w14:solidFill>
                </w14:textFill>
              </w:rPr>
              <w:t>|</w:t>
            </w:r>
            <w:r w:rsidR="00BE70B8" w:rsidRPr="00BE70B8">
              <w:rPr>
                <w:vertAlign w:val="superscript"/>
              </w:rPr>
              <w:t>5</w:t>
            </w:r>
          </w:p>
        </w:tc>
        <w:tc>
          <w:tcPr>
            <w:tcW w:w="859" w:type="dxa"/>
            <w:tcBorders>
              <w:top w:val="nil"/>
              <w:left w:val="single" w:sz="4" w:space="0" w:color="auto"/>
              <w:bottom w:val="nil"/>
              <w:right w:val="single" w:sz="4" w:space="0" w:color="auto"/>
            </w:tcBorders>
            <w:vAlign w:val="center"/>
          </w:tcPr>
          <w:p w14:paraId="395CA709" w14:textId="61EA9510" w:rsidR="00AD3063" w:rsidRPr="000853E6" w:rsidRDefault="00AD3063" w:rsidP="00A83FEC">
            <w:pPr>
              <w:pStyle w:val="TableText0"/>
              <w:keepLines/>
              <w:jc w:val="center"/>
            </w:pPr>
            <w:r w:rsidRPr="000853E6">
              <w:t>+</w:t>
            </w:r>
            <w:r w:rsidR="00E927A0" w:rsidRPr="00E927A0">
              <w:rPr>
                <w:color w:val="000000"/>
                <w:spacing w:val="191"/>
                <w:shd w:val="solid" w:color="000000" w:fill="000000"/>
                <w:fitText w:val="277" w:id="-1032092667"/>
                <w14:textFill>
                  <w14:solidFill>
                    <w14:srgbClr w14:val="000000">
                      <w14:alpha w14:val="100000"/>
                    </w14:srgbClr>
                  </w14:solidFill>
                </w14:textFill>
              </w:rPr>
              <w:t>|</w:t>
            </w:r>
            <w:r w:rsidR="00E927A0" w:rsidRPr="00E927A0">
              <w:rPr>
                <w:color w:val="000000"/>
                <w:spacing w:val="1"/>
                <w:shd w:val="solid" w:color="000000" w:fill="000000"/>
                <w:fitText w:val="277" w:id="-1032092667"/>
                <w14:textFill>
                  <w14:solidFill>
                    <w14:srgbClr w14:val="000000">
                      <w14:alpha w14:val="100000"/>
                    </w14:srgbClr>
                  </w14:solidFill>
                </w14:textFill>
              </w:rPr>
              <w:t>|</w:t>
            </w:r>
            <w:r w:rsidRPr="000853E6">
              <w:t>%</w:t>
            </w:r>
          </w:p>
        </w:tc>
      </w:tr>
      <w:tr w:rsidR="00AD3063" w14:paraId="4B8F6006" w14:textId="48483B1C" w:rsidTr="00E927A0">
        <w:tc>
          <w:tcPr>
            <w:tcW w:w="5949" w:type="dxa"/>
            <w:tcBorders>
              <w:top w:val="nil"/>
              <w:left w:val="single" w:sz="4" w:space="0" w:color="auto"/>
              <w:bottom w:val="nil"/>
              <w:right w:val="single" w:sz="4" w:space="0" w:color="auto"/>
            </w:tcBorders>
          </w:tcPr>
          <w:p w14:paraId="447AEF9C" w14:textId="6C454B9A" w:rsidR="00AD3063" w:rsidRPr="00EB1DCF" w:rsidRDefault="00AD3063" w:rsidP="00A83FEC">
            <w:pPr>
              <w:pStyle w:val="TableText0"/>
              <w:keepLines/>
              <w:numPr>
                <w:ilvl w:val="0"/>
                <w:numId w:val="10"/>
              </w:numPr>
              <w:ind w:left="107" w:hanging="107"/>
            </w:pPr>
            <w:r w:rsidRPr="00EB1DCF">
              <w:t xml:space="preserve">Cure starts Year 8 for osimertinib and Year 5 for placebo with no transition to cure period </w:t>
            </w:r>
          </w:p>
        </w:tc>
        <w:tc>
          <w:tcPr>
            <w:tcW w:w="851" w:type="dxa"/>
            <w:tcBorders>
              <w:top w:val="nil"/>
              <w:left w:val="single" w:sz="4" w:space="0" w:color="auto"/>
              <w:bottom w:val="nil"/>
              <w:right w:val="single" w:sz="4" w:space="0" w:color="auto"/>
            </w:tcBorders>
            <w:shd w:val="solid" w:color="000000" w:fill="000000"/>
            <w:vAlign w:val="center"/>
          </w:tcPr>
          <w:p w14:paraId="3B46FF0D" w14:textId="11DB8F90" w:rsidR="00AD3063" w:rsidRPr="00367E22" w:rsidRDefault="00E927A0" w:rsidP="00A83FEC">
            <w:pPr>
              <w:pStyle w:val="TableText0"/>
              <w:keepLines/>
              <w:jc w:val="center"/>
              <w:rPr>
                <w:highlight w:val="darkGray"/>
              </w:rPr>
            </w:pPr>
            <w:r w:rsidRPr="00E927A0">
              <w:rPr>
                <w:color w:val="000000"/>
                <w:spacing w:val="67"/>
                <w:fitText w:val="153" w:id="-1032092666"/>
                <w14:textFill>
                  <w14:solidFill>
                    <w14:srgbClr w14:val="000000">
                      <w14:alpha w14:val="100000"/>
                    </w14:srgbClr>
                  </w14:solidFill>
                </w14:textFill>
              </w:rPr>
              <w:t>|</w:t>
            </w:r>
            <w:r w:rsidRPr="00E927A0">
              <w:rPr>
                <w:color w:val="000000"/>
                <w:fitText w:val="153" w:id="-1032092666"/>
                <w14:textFill>
                  <w14:solidFill>
                    <w14:srgbClr w14:val="000000">
                      <w14:alpha w14:val="100000"/>
                    </w14:srgbClr>
                  </w14:solidFill>
                </w14:textFill>
              </w:rPr>
              <w:t>|</w:t>
            </w:r>
          </w:p>
        </w:tc>
        <w:tc>
          <w:tcPr>
            <w:tcW w:w="567" w:type="dxa"/>
            <w:tcBorders>
              <w:top w:val="nil"/>
              <w:left w:val="single" w:sz="4" w:space="0" w:color="auto"/>
              <w:bottom w:val="nil"/>
              <w:right w:val="single" w:sz="4" w:space="0" w:color="auto"/>
            </w:tcBorders>
            <w:vAlign w:val="center"/>
          </w:tcPr>
          <w:p w14:paraId="2DB36539" w14:textId="77777777" w:rsidR="00AD3063" w:rsidRPr="000853E6" w:rsidRDefault="00AD3063" w:rsidP="00A83FEC">
            <w:pPr>
              <w:pStyle w:val="TableText0"/>
              <w:keepLines/>
              <w:jc w:val="center"/>
            </w:pPr>
            <w:r w:rsidRPr="000853E6">
              <w:t>0.833</w:t>
            </w:r>
          </w:p>
        </w:tc>
        <w:tc>
          <w:tcPr>
            <w:tcW w:w="850" w:type="dxa"/>
            <w:tcBorders>
              <w:top w:val="nil"/>
              <w:left w:val="single" w:sz="4" w:space="0" w:color="auto"/>
              <w:bottom w:val="nil"/>
              <w:right w:val="single" w:sz="4" w:space="0" w:color="auto"/>
            </w:tcBorders>
            <w:vAlign w:val="center"/>
          </w:tcPr>
          <w:p w14:paraId="563F0AD5" w14:textId="1737AD97" w:rsidR="00AD3063" w:rsidRPr="00367E22" w:rsidRDefault="00E927A0" w:rsidP="00A83FEC">
            <w:pPr>
              <w:pStyle w:val="TableText0"/>
              <w:keepLines/>
              <w:jc w:val="center"/>
              <w:rPr>
                <w:highlight w:val="darkGray"/>
              </w:rPr>
            </w:pPr>
            <w:r w:rsidRPr="00E927A0">
              <w:rPr>
                <w:color w:val="000000"/>
                <w:spacing w:val="80"/>
                <w:shd w:val="solid" w:color="000000" w:fill="000000"/>
                <w:fitText w:val="166" w:id="-1032092416"/>
                <w14:textFill>
                  <w14:solidFill>
                    <w14:srgbClr w14:val="000000">
                      <w14:alpha w14:val="100000"/>
                    </w14:srgbClr>
                  </w14:solidFill>
                </w14:textFill>
              </w:rPr>
              <w:t>|</w:t>
            </w:r>
            <w:r w:rsidRPr="00E927A0">
              <w:rPr>
                <w:color w:val="000000"/>
                <w:spacing w:val="1"/>
                <w:shd w:val="solid" w:color="000000" w:fill="000000"/>
                <w:fitText w:val="166" w:id="-1032092416"/>
                <w14:textFill>
                  <w14:solidFill>
                    <w14:srgbClr w14:val="000000">
                      <w14:alpha w14:val="100000"/>
                    </w14:srgbClr>
                  </w14:solidFill>
                </w14:textFill>
              </w:rPr>
              <w:t>|</w:t>
            </w:r>
            <w:r w:rsidR="00BE70B8" w:rsidRPr="00BE70B8">
              <w:rPr>
                <w:vertAlign w:val="superscript"/>
              </w:rPr>
              <w:t>6</w:t>
            </w:r>
          </w:p>
        </w:tc>
        <w:tc>
          <w:tcPr>
            <w:tcW w:w="859" w:type="dxa"/>
            <w:tcBorders>
              <w:top w:val="nil"/>
              <w:left w:val="single" w:sz="4" w:space="0" w:color="auto"/>
              <w:bottom w:val="nil"/>
              <w:right w:val="single" w:sz="4" w:space="0" w:color="auto"/>
            </w:tcBorders>
            <w:vAlign w:val="center"/>
          </w:tcPr>
          <w:p w14:paraId="16107565" w14:textId="27B4B58C" w:rsidR="00AD3063" w:rsidRPr="000853E6" w:rsidRDefault="00AD3063" w:rsidP="00A83FEC">
            <w:pPr>
              <w:pStyle w:val="TableText0"/>
              <w:keepLines/>
              <w:jc w:val="center"/>
            </w:pPr>
            <w:r w:rsidRPr="000853E6">
              <w:t>+</w:t>
            </w:r>
            <w:r w:rsidR="00E927A0" w:rsidRPr="00E927A0">
              <w:rPr>
                <w:color w:val="000000"/>
                <w:spacing w:val="191"/>
                <w:shd w:val="solid" w:color="000000" w:fill="000000"/>
                <w:fitText w:val="277" w:id="-1032092415"/>
                <w14:textFill>
                  <w14:solidFill>
                    <w14:srgbClr w14:val="000000">
                      <w14:alpha w14:val="100000"/>
                    </w14:srgbClr>
                  </w14:solidFill>
                </w14:textFill>
              </w:rPr>
              <w:t>|</w:t>
            </w:r>
            <w:r w:rsidR="00E927A0" w:rsidRPr="00E927A0">
              <w:rPr>
                <w:color w:val="000000"/>
                <w:spacing w:val="1"/>
                <w:shd w:val="solid" w:color="000000" w:fill="000000"/>
                <w:fitText w:val="277" w:id="-1032092415"/>
                <w14:textFill>
                  <w14:solidFill>
                    <w14:srgbClr w14:val="000000">
                      <w14:alpha w14:val="100000"/>
                    </w14:srgbClr>
                  </w14:solidFill>
                </w14:textFill>
              </w:rPr>
              <w:t>|</w:t>
            </w:r>
            <w:r w:rsidRPr="000853E6">
              <w:t>%</w:t>
            </w:r>
          </w:p>
        </w:tc>
      </w:tr>
      <w:tr w:rsidR="00AD3063" w14:paraId="52BEB9DE" w14:textId="77777777" w:rsidTr="00E927A0">
        <w:tc>
          <w:tcPr>
            <w:tcW w:w="5949" w:type="dxa"/>
            <w:tcBorders>
              <w:top w:val="nil"/>
              <w:left w:val="single" w:sz="4" w:space="0" w:color="auto"/>
              <w:bottom w:val="nil"/>
              <w:right w:val="single" w:sz="4" w:space="0" w:color="auto"/>
            </w:tcBorders>
          </w:tcPr>
          <w:p w14:paraId="5201CA93" w14:textId="01882C9D" w:rsidR="00AD3063" w:rsidRPr="00EB1DCF" w:rsidRDefault="00AD3063" w:rsidP="00A83FEC">
            <w:pPr>
              <w:pStyle w:val="TableText0"/>
              <w:keepLines/>
              <w:numPr>
                <w:ilvl w:val="0"/>
                <w:numId w:val="10"/>
              </w:numPr>
              <w:ind w:left="107" w:hanging="107"/>
            </w:pPr>
            <w:r w:rsidRPr="00EB1DCF">
              <w:t xml:space="preserve">Cure starts Year 8 for osimertinib and Year 5 for placebo with a one year transition to cure period </w:t>
            </w:r>
            <w:r w:rsidRPr="00EB1DCF">
              <w:rPr>
                <w:b/>
                <w:bCs w:val="0"/>
              </w:rPr>
              <w:t>(#2</w:t>
            </w:r>
            <w:r w:rsidRPr="00EB1DCF">
              <w:t>)</w:t>
            </w:r>
          </w:p>
        </w:tc>
        <w:tc>
          <w:tcPr>
            <w:tcW w:w="851" w:type="dxa"/>
            <w:tcBorders>
              <w:top w:val="nil"/>
              <w:left w:val="single" w:sz="4" w:space="0" w:color="auto"/>
              <w:bottom w:val="nil"/>
              <w:right w:val="single" w:sz="4" w:space="0" w:color="auto"/>
            </w:tcBorders>
            <w:shd w:val="solid" w:color="000000" w:fill="000000"/>
            <w:vAlign w:val="center"/>
          </w:tcPr>
          <w:p w14:paraId="29C55B85" w14:textId="4EAE1DBC" w:rsidR="00AD3063" w:rsidRPr="00367E22" w:rsidRDefault="00E927A0" w:rsidP="00A83FEC">
            <w:pPr>
              <w:pStyle w:val="TableText0"/>
              <w:keepLines/>
              <w:jc w:val="center"/>
              <w:rPr>
                <w:highlight w:val="darkGray"/>
              </w:rPr>
            </w:pPr>
            <w:r w:rsidRPr="00E927A0">
              <w:rPr>
                <w:color w:val="000000"/>
                <w:spacing w:val="67"/>
                <w:fitText w:val="153" w:id="-1032092414"/>
                <w14:textFill>
                  <w14:solidFill>
                    <w14:srgbClr w14:val="000000">
                      <w14:alpha w14:val="100000"/>
                    </w14:srgbClr>
                  </w14:solidFill>
                </w14:textFill>
              </w:rPr>
              <w:t>|</w:t>
            </w:r>
            <w:r w:rsidRPr="00E927A0">
              <w:rPr>
                <w:color w:val="000000"/>
                <w:fitText w:val="153" w:id="-1032092414"/>
                <w14:textFill>
                  <w14:solidFill>
                    <w14:srgbClr w14:val="000000">
                      <w14:alpha w14:val="100000"/>
                    </w14:srgbClr>
                  </w14:solidFill>
                </w14:textFill>
              </w:rPr>
              <w:t>|</w:t>
            </w:r>
          </w:p>
        </w:tc>
        <w:tc>
          <w:tcPr>
            <w:tcW w:w="567" w:type="dxa"/>
            <w:tcBorders>
              <w:top w:val="nil"/>
              <w:left w:val="single" w:sz="4" w:space="0" w:color="auto"/>
              <w:bottom w:val="nil"/>
              <w:right w:val="single" w:sz="4" w:space="0" w:color="auto"/>
            </w:tcBorders>
            <w:vAlign w:val="center"/>
          </w:tcPr>
          <w:p w14:paraId="1354C94C" w14:textId="75EC44A0" w:rsidR="00AD3063" w:rsidRPr="00EB1DCF" w:rsidRDefault="00AD3063" w:rsidP="00A83FEC">
            <w:pPr>
              <w:pStyle w:val="TableText0"/>
              <w:keepLines/>
              <w:jc w:val="center"/>
            </w:pPr>
            <w:r w:rsidRPr="00EB1DCF">
              <w:t>0.865</w:t>
            </w:r>
          </w:p>
        </w:tc>
        <w:tc>
          <w:tcPr>
            <w:tcW w:w="850" w:type="dxa"/>
            <w:tcBorders>
              <w:top w:val="nil"/>
              <w:left w:val="single" w:sz="4" w:space="0" w:color="auto"/>
              <w:bottom w:val="nil"/>
              <w:right w:val="single" w:sz="4" w:space="0" w:color="auto"/>
            </w:tcBorders>
            <w:vAlign w:val="center"/>
          </w:tcPr>
          <w:p w14:paraId="36BB2321" w14:textId="3D88597D" w:rsidR="00AD3063" w:rsidRPr="00367E22" w:rsidRDefault="00E927A0" w:rsidP="00A83FEC">
            <w:pPr>
              <w:pStyle w:val="TableText0"/>
              <w:keepLines/>
              <w:jc w:val="center"/>
              <w:rPr>
                <w:highlight w:val="darkGray"/>
              </w:rPr>
            </w:pPr>
            <w:r w:rsidRPr="00E927A0">
              <w:rPr>
                <w:color w:val="000000"/>
                <w:spacing w:val="80"/>
                <w:shd w:val="solid" w:color="000000" w:fill="000000"/>
                <w:fitText w:val="166" w:id="-1032092413"/>
                <w14:textFill>
                  <w14:solidFill>
                    <w14:srgbClr w14:val="000000">
                      <w14:alpha w14:val="100000"/>
                    </w14:srgbClr>
                  </w14:solidFill>
                </w14:textFill>
              </w:rPr>
              <w:t>|</w:t>
            </w:r>
            <w:r w:rsidRPr="00E927A0">
              <w:rPr>
                <w:color w:val="000000"/>
                <w:spacing w:val="1"/>
                <w:shd w:val="solid" w:color="000000" w:fill="000000"/>
                <w:fitText w:val="166" w:id="-1032092413"/>
                <w14:textFill>
                  <w14:solidFill>
                    <w14:srgbClr w14:val="000000">
                      <w14:alpha w14:val="100000"/>
                    </w14:srgbClr>
                  </w14:solidFill>
                </w14:textFill>
              </w:rPr>
              <w:t>|</w:t>
            </w:r>
            <w:r w:rsidR="00BE70B8" w:rsidRPr="00BE70B8">
              <w:rPr>
                <w:vertAlign w:val="superscript"/>
              </w:rPr>
              <w:t>6</w:t>
            </w:r>
          </w:p>
        </w:tc>
        <w:tc>
          <w:tcPr>
            <w:tcW w:w="859" w:type="dxa"/>
            <w:tcBorders>
              <w:top w:val="nil"/>
              <w:left w:val="single" w:sz="4" w:space="0" w:color="auto"/>
              <w:bottom w:val="nil"/>
              <w:right w:val="single" w:sz="4" w:space="0" w:color="auto"/>
            </w:tcBorders>
            <w:vAlign w:val="center"/>
          </w:tcPr>
          <w:p w14:paraId="443F7D82" w14:textId="14129BAD" w:rsidR="00AD3063" w:rsidRPr="00EB1DCF" w:rsidRDefault="00AD3063" w:rsidP="00A83FEC">
            <w:pPr>
              <w:pStyle w:val="TableText0"/>
              <w:keepLines/>
              <w:jc w:val="center"/>
            </w:pPr>
            <w:r w:rsidRPr="00EB1DCF">
              <w:t>+</w:t>
            </w:r>
            <w:r w:rsidR="00E927A0" w:rsidRPr="00E927A0">
              <w:rPr>
                <w:color w:val="000000"/>
                <w:spacing w:val="191"/>
                <w:shd w:val="solid" w:color="000000" w:fill="000000"/>
                <w:fitText w:val="277" w:id="-1032092412"/>
                <w14:textFill>
                  <w14:solidFill>
                    <w14:srgbClr w14:val="000000">
                      <w14:alpha w14:val="100000"/>
                    </w14:srgbClr>
                  </w14:solidFill>
                </w14:textFill>
              </w:rPr>
              <w:t>|</w:t>
            </w:r>
            <w:r w:rsidR="00E927A0" w:rsidRPr="00E927A0">
              <w:rPr>
                <w:color w:val="000000"/>
                <w:spacing w:val="1"/>
                <w:shd w:val="solid" w:color="000000" w:fill="000000"/>
                <w:fitText w:val="277" w:id="-1032092412"/>
                <w14:textFill>
                  <w14:solidFill>
                    <w14:srgbClr w14:val="000000">
                      <w14:alpha w14:val="100000"/>
                    </w14:srgbClr>
                  </w14:solidFill>
                </w14:textFill>
              </w:rPr>
              <w:t>|</w:t>
            </w:r>
            <w:r w:rsidRPr="00EB1DCF">
              <w:t>%</w:t>
            </w:r>
          </w:p>
        </w:tc>
      </w:tr>
      <w:tr w:rsidR="00EB1DCF" w14:paraId="28DC5A37" w14:textId="77777777" w:rsidTr="00E927A0">
        <w:tc>
          <w:tcPr>
            <w:tcW w:w="5949" w:type="dxa"/>
            <w:tcBorders>
              <w:top w:val="nil"/>
              <w:left w:val="single" w:sz="4" w:space="0" w:color="auto"/>
              <w:bottom w:val="single" w:sz="4" w:space="0" w:color="auto"/>
              <w:right w:val="single" w:sz="4" w:space="0" w:color="auto"/>
            </w:tcBorders>
          </w:tcPr>
          <w:p w14:paraId="0DA2F8CC" w14:textId="2F70A2CE" w:rsidR="00EB1DCF" w:rsidRPr="000853E6" w:rsidRDefault="00EB1DCF" w:rsidP="00A83FEC">
            <w:pPr>
              <w:pStyle w:val="TableText0"/>
              <w:keepLines/>
              <w:numPr>
                <w:ilvl w:val="0"/>
                <w:numId w:val="10"/>
              </w:numPr>
              <w:ind w:left="107" w:hanging="107"/>
            </w:pPr>
            <w:r>
              <w:t>Cure starts Year 4 for osimert</w:t>
            </w:r>
            <w:r w:rsidR="00A75CE9">
              <w:t>i</w:t>
            </w:r>
            <w:r>
              <w:t>nib with a two year transition to cure period and Year 4 for placebo with a one year transition to cure period (</w:t>
            </w:r>
            <w:r w:rsidRPr="00EB1DCF">
              <w:rPr>
                <w:b/>
                <w:bCs w:val="0"/>
              </w:rPr>
              <w:t>#4</w:t>
            </w:r>
            <w:r>
              <w:t>)</w:t>
            </w:r>
          </w:p>
        </w:tc>
        <w:tc>
          <w:tcPr>
            <w:tcW w:w="851" w:type="dxa"/>
            <w:tcBorders>
              <w:top w:val="nil"/>
              <w:left w:val="single" w:sz="4" w:space="0" w:color="auto"/>
              <w:bottom w:val="single" w:sz="4" w:space="0" w:color="auto"/>
              <w:right w:val="single" w:sz="4" w:space="0" w:color="auto"/>
            </w:tcBorders>
            <w:shd w:val="solid" w:color="000000" w:fill="000000"/>
            <w:vAlign w:val="center"/>
          </w:tcPr>
          <w:p w14:paraId="402F67C7" w14:textId="25E75DCC" w:rsidR="00EB1DCF" w:rsidRPr="00367E22" w:rsidRDefault="00E927A0" w:rsidP="00A83FEC">
            <w:pPr>
              <w:pStyle w:val="TableText0"/>
              <w:keepLines/>
              <w:jc w:val="center"/>
              <w:rPr>
                <w:highlight w:val="darkGray"/>
              </w:rPr>
            </w:pPr>
            <w:r w:rsidRPr="00E927A0">
              <w:rPr>
                <w:color w:val="000000"/>
                <w:spacing w:val="67"/>
                <w:fitText w:val="153" w:id="-1032092411"/>
                <w14:textFill>
                  <w14:solidFill>
                    <w14:srgbClr w14:val="000000">
                      <w14:alpha w14:val="100000"/>
                    </w14:srgbClr>
                  </w14:solidFill>
                </w14:textFill>
              </w:rPr>
              <w:t>|</w:t>
            </w:r>
            <w:r w:rsidRPr="00E927A0">
              <w:rPr>
                <w:color w:val="000000"/>
                <w:fitText w:val="153" w:id="-1032092411"/>
                <w14:textFill>
                  <w14:solidFill>
                    <w14:srgbClr w14:val="000000">
                      <w14:alpha w14:val="100000"/>
                    </w14:srgbClr>
                  </w14:solidFill>
                </w14:textFill>
              </w:rPr>
              <w:t>|</w:t>
            </w:r>
          </w:p>
        </w:tc>
        <w:tc>
          <w:tcPr>
            <w:tcW w:w="567" w:type="dxa"/>
            <w:tcBorders>
              <w:top w:val="nil"/>
              <w:left w:val="single" w:sz="4" w:space="0" w:color="auto"/>
              <w:bottom w:val="single" w:sz="4" w:space="0" w:color="auto"/>
              <w:right w:val="single" w:sz="4" w:space="0" w:color="auto"/>
            </w:tcBorders>
            <w:vAlign w:val="center"/>
          </w:tcPr>
          <w:p w14:paraId="75AD0393" w14:textId="53758D2A" w:rsidR="00EB1DCF" w:rsidRPr="000853E6" w:rsidRDefault="00EB1DCF" w:rsidP="00A83FEC">
            <w:pPr>
              <w:pStyle w:val="TableText0"/>
              <w:keepLines/>
              <w:jc w:val="center"/>
            </w:pPr>
            <w:r>
              <w:t>1.706</w:t>
            </w:r>
          </w:p>
        </w:tc>
        <w:tc>
          <w:tcPr>
            <w:tcW w:w="850" w:type="dxa"/>
            <w:tcBorders>
              <w:top w:val="nil"/>
              <w:left w:val="single" w:sz="4" w:space="0" w:color="auto"/>
              <w:bottom w:val="single" w:sz="4" w:space="0" w:color="auto"/>
              <w:right w:val="single" w:sz="4" w:space="0" w:color="auto"/>
            </w:tcBorders>
            <w:vAlign w:val="center"/>
          </w:tcPr>
          <w:p w14:paraId="096F06C8" w14:textId="5C92A227" w:rsidR="00EB1DCF" w:rsidRPr="00367E22" w:rsidRDefault="00E927A0" w:rsidP="00A83FEC">
            <w:pPr>
              <w:pStyle w:val="TableText0"/>
              <w:keepLines/>
              <w:jc w:val="center"/>
              <w:rPr>
                <w:highlight w:val="darkGray"/>
              </w:rPr>
            </w:pPr>
            <w:r w:rsidRPr="00E927A0">
              <w:rPr>
                <w:color w:val="000000"/>
                <w:spacing w:val="80"/>
                <w:shd w:val="solid" w:color="000000" w:fill="000000"/>
                <w:fitText w:val="166" w:id="-1032092410"/>
                <w14:textFill>
                  <w14:solidFill>
                    <w14:srgbClr w14:val="000000">
                      <w14:alpha w14:val="100000"/>
                    </w14:srgbClr>
                  </w14:solidFill>
                </w14:textFill>
              </w:rPr>
              <w:t>|</w:t>
            </w:r>
            <w:r w:rsidRPr="00E927A0">
              <w:rPr>
                <w:color w:val="000000"/>
                <w:spacing w:val="1"/>
                <w:shd w:val="solid" w:color="000000" w:fill="000000"/>
                <w:fitText w:val="166" w:id="-1032092410"/>
                <w14:textFill>
                  <w14:solidFill>
                    <w14:srgbClr w14:val="000000">
                      <w14:alpha w14:val="100000"/>
                    </w14:srgbClr>
                  </w14:solidFill>
                </w14:textFill>
              </w:rPr>
              <w:t>|</w:t>
            </w:r>
            <w:r w:rsidR="00BE70B8" w:rsidRPr="00BE70B8">
              <w:rPr>
                <w:b/>
                <w:vertAlign w:val="superscript"/>
              </w:rPr>
              <w:t>1</w:t>
            </w:r>
          </w:p>
        </w:tc>
        <w:tc>
          <w:tcPr>
            <w:tcW w:w="859" w:type="dxa"/>
            <w:tcBorders>
              <w:top w:val="nil"/>
              <w:left w:val="single" w:sz="4" w:space="0" w:color="auto"/>
              <w:bottom w:val="single" w:sz="4" w:space="0" w:color="auto"/>
              <w:right w:val="single" w:sz="4" w:space="0" w:color="auto"/>
            </w:tcBorders>
            <w:vAlign w:val="center"/>
          </w:tcPr>
          <w:p w14:paraId="0363DB2F" w14:textId="3972DFDE" w:rsidR="00EB1DCF" w:rsidRPr="000853E6" w:rsidRDefault="00EB1DCF" w:rsidP="00A83FEC">
            <w:pPr>
              <w:pStyle w:val="TableText0"/>
              <w:keepLines/>
              <w:jc w:val="center"/>
            </w:pPr>
            <w:r>
              <w:t>+</w:t>
            </w:r>
            <w:r w:rsidR="00E927A0" w:rsidRPr="00E927A0">
              <w:rPr>
                <w:color w:val="000000"/>
                <w:spacing w:val="191"/>
                <w:shd w:val="solid" w:color="000000" w:fill="000000"/>
                <w:fitText w:val="277" w:id="-1032092409"/>
                <w14:textFill>
                  <w14:solidFill>
                    <w14:srgbClr w14:val="000000">
                      <w14:alpha w14:val="100000"/>
                    </w14:srgbClr>
                  </w14:solidFill>
                </w14:textFill>
              </w:rPr>
              <w:t>|</w:t>
            </w:r>
            <w:r w:rsidR="00E927A0" w:rsidRPr="00E927A0">
              <w:rPr>
                <w:color w:val="000000"/>
                <w:spacing w:val="1"/>
                <w:shd w:val="solid" w:color="000000" w:fill="000000"/>
                <w:fitText w:val="277" w:id="-1032092409"/>
                <w14:textFill>
                  <w14:solidFill>
                    <w14:srgbClr w14:val="000000">
                      <w14:alpha w14:val="100000"/>
                    </w14:srgbClr>
                  </w14:solidFill>
                </w14:textFill>
              </w:rPr>
              <w:t>|</w:t>
            </w:r>
            <w:r>
              <w:t>%</w:t>
            </w:r>
          </w:p>
        </w:tc>
      </w:tr>
      <w:tr w:rsidR="00EB1DCF" w:rsidDel="00EB1DCF" w14:paraId="374C22DE" w14:textId="77777777" w:rsidTr="00E927A0">
        <w:tc>
          <w:tcPr>
            <w:tcW w:w="5949" w:type="dxa"/>
            <w:tcBorders>
              <w:top w:val="nil"/>
              <w:left w:val="single" w:sz="4" w:space="0" w:color="auto"/>
              <w:bottom w:val="single" w:sz="4" w:space="0" w:color="auto"/>
              <w:right w:val="single" w:sz="4" w:space="0" w:color="auto"/>
            </w:tcBorders>
          </w:tcPr>
          <w:p w14:paraId="7AD1CFD1" w14:textId="524DA974" w:rsidR="00EB1DCF" w:rsidRPr="000853E6" w:rsidDel="00EB1DCF" w:rsidRDefault="00EB1DCF" w:rsidP="00A83FEC">
            <w:pPr>
              <w:pStyle w:val="TableText0"/>
              <w:keepLines/>
              <w:numPr>
                <w:ilvl w:val="0"/>
                <w:numId w:val="10"/>
              </w:numPr>
              <w:ind w:left="107" w:hanging="107"/>
            </w:pPr>
            <w:r>
              <w:t>Cure starts Year 5 for osimertinib with a two year transition to cure period and Year 4 for placebo with a one year transition to cure period (</w:t>
            </w:r>
            <w:r w:rsidRPr="00EB1DCF">
              <w:rPr>
                <w:b/>
                <w:bCs w:val="0"/>
              </w:rPr>
              <w:t>#5</w:t>
            </w:r>
            <w:r>
              <w:t>)</w:t>
            </w:r>
          </w:p>
        </w:tc>
        <w:tc>
          <w:tcPr>
            <w:tcW w:w="851" w:type="dxa"/>
            <w:tcBorders>
              <w:top w:val="single" w:sz="4" w:space="0" w:color="auto"/>
              <w:left w:val="single" w:sz="4" w:space="0" w:color="auto"/>
              <w:bottom w:val="single" w:sz="4" w:space="0" w:color="auto"/>
              <w:right w:val="single" w:sz="4" w:space="0" w:color="auto"/>
            </w:tcBorders>
            <w:shd w:val="solid" w:color="000000" w:fill="000000"/>
            <w:vAlign w:val="center"/>
          </w:tcPr>
          <w:p w14:paraId="5E1E82A7" w14:textId="23E0876D" w:rsidR="00EB1DCF" w:rsidRPr="00367E22" w:rsidDel="00EB1DCF" w:rsidRDefault="00E927A0" w:rsidP="00A83FEC">
            <w:pPr>
              <w:pStyle w:val="TableText0"/>
              <w:keepLines/>
              <w:jc w:val="center"/>
              <w:rPr>
                <w:highlight w:val="darkGray"/>
              </w:rPr>
            </w:pPr>
            <w:r w:rsidRPr="00E927A0">
              <w:rPr>
                <w:color w:val="000000"/>
                <w:spacing w:val="67"/>
                <w:fitText w:val="153" w:id="-1032092408"/>
                <w14:textFill>
                  <w14:solidFill>
                    <w14:srgbClr w14:val="000000">
                      <w14:alpha w14:val="100000"/>
                    </w14:srgbClr>
                  </w14:solidFill>
                </w14:textFill>
              </w:rPr>
              <w:t>|</w:t>
            </w:r>
            <w:r w:rsidRPr="00E927A0">
              <w:rPr>
                <w:color w:val="000000"/>
                <w:fitText w:val="153" w:id="-1032092408"/>
                <w14:textFill>
                  <w14:solidFill>
                    <w14:srgbClr w14:val="000000">
                      <w14:alpha w14:val="100000"/>
                    </w14:srgbClr>
                  </w14:solidFill>
                </w14:textFill>
              </w:rPr>
              <w:t>|</w:t>
            </w:r>
          </w:p>
        </w:tc>
        <w:tc>
          <w:tcPr>
            <w:tcW w:w="567" w:type="dxa"/>
            <w:tcBorders>
              <w:top w:val="nil"/>
              <w:left w:val="single" w:sz="4" w:space="0" w:color="auto"/>
              <w:bottom w:val="single" w:sz="4" w:space="0" w:color="auto"/>
              <w:right w:val="single" w:sz="4" w:space="0" w:color="auto"/>
            </w:tcBorders>
            <w:vAlign w:val="center"/>
          </w:tcPr>
          <w:p w14:paraId="53873914" w14:textId="26DBCD3D" w:rsidR="00EB1DCF" w:rsidRPr="000853E6" w:rsidDel="00EB1DCF" w:rsidRDefault="00EB1DCF" w:rsidP="00A83FEC">
            <w:pPr>
              <w:pStyle w:val="TableText0"/>
              <w:keepLines/>
              <w:jc w:val="center"/>
            </w:pPr>
            <w:r>
              <w:t>1.262</w:t>
            </w:r>
          </w:p>
        </w:tc>
        <w:tc>
          <w:tcPr>
            <w:tcW w:w="850" w:type="dxa"/>
            <w:tcBorders>
              <w:top w:val="nil"/>
              <w:left w:val="single" w:sz="4" w:space="0" w:color="auto"/>
              <w:bottom w:val="single" w:sz="4" w:space="0" w:color="auto"/>
              <w:right w:val="single" w:sz="4" w:space="0" w:color="auto"/>
            </w:tcBorders>
            <w:vAlign w:val="center"/>
          </w:tcPr>
          <w:p w14:paraId="05A58A23" w14:textId="36BC04BC" w:rsidR="00EB1DCF" w:rsidRPr="00367E22" w:rsidDel="00EB1DCF" w:rsidRDefault="00E927A0" w:rsidP="00A83FEC">
            <w:pPr>
              <w:pStyle w:val="TableText0"/>
              <w:keepLines/>
              <w:jc w:val="center"/>
              <w:rPr>
                <w:highlight w:val="darkGray"/>
              </w:rPr>
            </w:pPr>
            <w:r w:rsidRPr="00E927A0">
              <w:rPr>
                <w:color w:val="000000"/>
                <w:spacing w:val="80"/>
                <w:shd w:val="solid" w:color="000000" w:fill="000000"/>
                <w:fitText w:val="166" w:id="-1032092407"/>
                <w14:textFill>
                  <w14:solidFill>
                    <w14:srgbClr w14:val="000000">
                      <w14:alpha w14:val="100000"/>
                    </w14:srgbClr>
                  </w14:solidFill>
                </w14:textFill>
              </w:rPr>
              <w:t>|</w:t>
            </w:r>
            <w:r w:rsidRPr="00E927A0">
              <w:rPr>
                <w:color w:val="000000"/>
                <w:spacing w:val="1"/>
                <w:shd w:val="solid" w:color="000000" w:fill="000000"/>
                <w:fitText w:val="166" w:id="-1032092407"/>
                <w14:textFill>
                  <w14:solidFill>
                    <w14:srgbClr w14:val="000000">
                      <w14:alpha w14:val="100000"/>
                    </w14:srgbClr>
                  </w14:solidFill>
                </w14:textFill>
              </w:rPr>
              <w:t>|</w:t>
            </w:r>
            <w:r w:rsidR="00BE70B8" w:rsidRPr="00BE70B8">
              <w:rPr>
                <w:vertAlign w:val="superscript"/>
              </w:rPr>
              <w:t>7</w:t>
            </w:r>
          </w:p>
        </w:tc>
        <w:tc>
          <w:tcPr>
            <w:tcW w:w="859" w:type="dxa"/>
            <w:tcBorders>
              <w:top w:val="nil"/>
              <w:left w:val="single" w:sz="4" w:space="0" w:color="auto"/>
              <w:bottom w:val="single" w:sz="4" w:space="0" w:color="auto"/>
              <w:right w:val="single" w:sz="4" w:space="0" w:color="auto"/>
            </w:tcBorders>
            <w:vAlign w:val="center"/>
          </w:tcPr>
          <w:p w14:paraId="3AB11A56" w14:textId="38859EB1" w:rsidR="00EB1DCF" w:rsidRPr="000853E6" w:rsidDel="00EB1DCF" w:rsidRDefault="00EB1DCF" w:rsidP="00A83FEC">
            <w:pPr>
              <w:pStyle w:val="TableText0"/>
              <w:keepLines/>
              <w:jc w:val="center"/>
            </w:pPr>
            <w:r>
              <w:t>+</w:t>
            </w:r>
            <w:r w:rsidR="00E927A0" w:rsidRPr="00E927A0">
              <w:rPr>
                <w:color w:val="000000"/>
                <w:spacing w:val="191"/>
                <w:shd w:val="solid" w:color="000000" w:fill="000000"/>
                <w:fitText w:val="277" w:id="-1032092406"/>
                <w14:textFill>
                  <w14:solidFill>
                    <w14:srgbClr w14:val="000000">
                      <w14:alpha w14:val="100000"/>
                    </w14:srgbClr>
                  </w14:solidFill>
                </w14:textFill>
              </w:rPr>
              <w:t>|</w:t>
            </w:r>
            <w:r w:rsidR="00E927A0" w:rsidRPr="00E927A0">
              <w:rPr>
                <w:color w:val="000000"/>
                <w:spacing w:val="1"/>
                <w:shd w:val="solid" w:color="000000" w:fill="000000"/>
                <w:fitText w:val="277" w:id="-1032092406"/>
                <w14:textFill>
                  <w14:solidFill>
                    <w14:srgbClr w14:val="000000">
                      <w14:alpha w14:val="100000"/>
                    </w14:srgbClr>
                  </w14:solidFill>
                </w14:textFill>
              </w:rPr>
              <w:t>|</w:t>
            </w:r>
            <w:r>
              <w:t>%</w:t>
            </w:r>
          </w:p>
        </w:tc>
      </w:tr>
      <w:tr w:rsidR="00AD3063" w:rsidRPr="00731ABC" w14:paraId="77B68A4A" w14:textId="3E2B684A" w:rsidTr="00E927A0">
        <w:tc>
          <w:tcPr>
            <w:tcW w:w="5949" w:type="dxa"/>
            <w:tcBorders>
              <w:top w:val="single" w:sz="4" w:space="0" w:color="auto"/>
              <w:left w:val="single" w:sz="4" w:space="0" w:color="auto"/>
              <w:bottom w:val="nil"/>
              <w:right w:val="single" w:sz="4" w:space="0" w:color="auto"/>
            </w:tcBorders>
          </w:tcPr>
          <w:p w14:paraId="4DC596BC" w14:textId="77777777" w:rsidR="00AD3063" w:rsidRPr="00F8681C" w:rsidRDefault="00AD3063" w:rsidP="00A83FEC">
            <w:pPr>
              <w:pStyle w:val="TableText0"/>
              <w:keepLines/>
              <w:rPr>
                <w:b/>
                <w:bCs w:val="0"/>
              </w:rPr>
            </w:pPr>
            <w:r w:rsidRPr="00F8681C">
              <w:rPr>
                <w:b/>
                <w:bCs w:val="0"/>
              </w:rPr>
              <w:t>LRR health state</w:t>
            </w:r>
          </w:p>
        </w:tc>
        <w:tc>
          <w:tcPr>
            <w:tcW w:w="851" w:type="dxa"/>
            <w:tcBorders>
              <w:top w:val="single" w:sz="4" w:space="0" w:color="auto"/>
              <w:left w:val="single" w:sz="4" w:space="0" w:color="auto"/>
              <w:bottom w:val="nil"/>
              <w:right w:val="single" w:sz="4" w:space="0" w:color="auto"/>
            </w:tcBorders>
            <w:vAlign w:val="center"/>
          </w:tcPr>
          <w:p w14:paraId="30347EF8" w14:textId="77777777" w:rsidR="00AD3063" w:rsidRPr="00367E22" w:rsidRDefault="00AD3063" w:rsidP="00A83FEC">
            <w:pPr>
              <w:pStyle w:val="TableText0"/>
              <w:keepLines/>
              <w:jc w:val="center"/>
              <w:rPr>
                <w:highlight w:val="darkGray"/>
              </w:rPr>
            </w:pPr>
          </w:p>
        </w:tc>
        <w:tc>
          <w:tcPr>
            <w:tcW w:w="567" w:type="dxa"/>
            <w:tcBorders>
              <w:top w:val="single" w:sz="4" w:space="0" w:color="auto"/>
              <w:left w:val="single" w:sz="4" w:space="0" w:color="auto"/>
              <w:bottom w:val="nil"/>
              <w:right w:val="single" w:sz="4" w:space="0" w:color="auto"/>
            </w:tcBorders>
            <w:vAlign w:val="center"/>
          </w:tcPr>
          <w:p w14:paraId="68F7AD4F" w14:textId="77777777" w:rsidR="00AD3063" w:rsidRPr="00266C2C" w:rsidRDefault="00AD3063" w:rsidP="00A83FEC">
            <w:pPr>
              <w:pStyle w:val="TableText0"/>
              <w:keepLines/>
              <w:jc w:val="center"/>
              <w:rPr>
                <w:iCs/>
              </w:rPr>
            </w:pPr>
          </w:p>
        </w:tc>
        <w:tc>
          <w:tcPr>
            <w:tcW w:w="850" w:type="dxa"/>
            <w:tcBorders>
              <w:top w:val="single" w:sz="4" w:space="0" w:color="auto"/>
              <w:left w:val="single" w:sz="4" w:space="0" w:color="auto"/>
              <w:bottom w:val="nil"/>
              <w:right w:val="single" w:sz="4" w:space="0" w:color="auto"/>
            </w:tcBorders>
            <w:vAlign w:val="center"/>
          </w:tcPr>
          <w:p w14:paraId="00C098E7" w14:textId="77777777" w:rsidR="00AD3063" w:rsidRPr="00367E22" w:rsidRDefault="00AD3063" w:rsidP="00A83FEC">
            <w:pPr>
              <w:pStyle w:val="TableText0"/>
              <w:keepLines/>
              <w:jc w:val="center"/>
              <w:rPr>
                <w:iCs/>
                <w:highlight w:val="darkGray"/>
              </w:rPr>
            </w:pPr>
          </w:p>
        </w:tc>
        <w:tc>
          <w:tcPr>
            <w:tcW w:w="859" w:type="dxa"/>
            <w:tcBorders>
              <w:top w:val="single" w:sz="4" w:space="0" w:color="auto"/>
              <w:left w:val="single" w:sz="4" w:space="0" w:color="auto"/>
              <w:bottom w:val="nil"/>
              <w:right w:val="single" w:sz="4" w:space="0" w:color="auto"/>
            </w:tcBorders>
            <w:vAlign w:val="center"/>
          </w:tcPr>
          <w:p w14:paraId="224CC084" w14:textId="77777777" w:rsidR="00AD3063" w:rsidRPr="00266C2C" w:rsidRDefault="00AD3063" w:rsidP="00A83FEC">
            <w:pPr>
              <w:pStyle w:val="TableText0"/>
              <w:keepLines/>
              <w:jc w:val="center"/>
              <w:rPr>
                <w:iCs/>
              </w:rPr>
            </w:pPr>
          </w:p>
        </w:tc>
      </w:tr>
      <w:tr w:rsidR="00AD3063" w:rsidRPr="00731ABC" w14:paraId="2698B5B0" w14:textId="7582556D" w:rsidTr="00E927A0">
        <w:tc>
          <w:tcPr>
            <w:tcW w:w="5949" w:type="dxa"/>
            <w:tcBorders>
              <w:top w:val="nil"/>
              <w:left w:val="single" w:sz="4" w:space="0" w:color="auto"/>
              <w:bottom w:val="nil"/>
              <w:right w:val="single" w:sz="4" w:space="0" w:color="auto"/>
            </w:tcBorders>
          </w:tcPr>
          <w:p w14:paraId="30E437D0" w14:textId="58BAB41B" w:rsidR="00AD3063" w:rsidRPr="00266C2C" w:rsidRDefault="00AD3063" w:rsidP="00A83FEC">
            <w:pPr>
              <w:pStyle w:val="TableText0"/>
              <w:keepLines/>
              <w:numPr>
                <w:ilvl w:val="0"/>
                <w:numId w:val="10"/>
              </w:numPr>
              <w:ind w:left="107" w:hanging="107"/>
            </w:pPr>
            <w:r w:rsidRPr="008B5700">
              <w:t xml:space="preserve">Cure in LRR not assumed </w:t>
            </w:r>
            <w:r w:rsidRPr="00B35C28">
              <w:rPr>
                <w:b/>
                <w:bCs w:val="0"/>
              </w:rPr>
              <w:t>(#3)</w:t>
            </w:r>
          </w:p>
        </w:tc>
        <w:tc>
          <w:tcPr>
            <w:tcW w:w="851" w:type="dxa"/>
            <w:tcBorders>
              <w:top w:val="nil"/>
              <w:left w:val="single" w:sz="4" w:space="0" w:color="auto"/>
              <w:bottom w:val="nil"/>
              <w:right w:val="single" w:sz="4" w:space="0" w:color="auto"/>
            </w:tcBorders>
            <w:shd w:val="solid" w:color="000000" w:fill="000000"/>
            <w:vAlign w:val="center"/>
          </w:tcPr>
          <w:p w14:paraId="3E3E0067" w14:textId="4D08E8C3" w:rsidR="00AD3063" w:rsidRPr="00367E22" w:rsidRDefault="00E927A0" w:rsidP="00A83FEC">
            <w:pPr>
              <w:pStyle w:val="TableText0"/>
              <w:keepLines/>
              <w:jc w:val="center"/>
              <w:rPr>
                <w:highlight w:val="darkGray"/>
              </w:rPr>
            </w:pPr>
            <w:r w:rsidRPr="00E927A0">
              <w:rPr>
                <w:color w:val="000000"/>
                <w:spacing w:val="67"/>
                <w:fitText w:val="153" w:id="-1032092405"/>
                <w14:textFill>
                  <w14:solidFill>
                    <w14:srgbClr w14:val="000000">
                      <w14:alpha w14:val="100000"/>
                    </w14:srgbClr>
                  </w14:solidFill>
                </w14:textFill>
              </w:rPr>
              <w:t>|</w:t>
            </w:r>
            <w:r w:rsidRPr="00E927A0">
              <w:rPr>
                <w:color w:val="000000"/>
                <w:fitText w:val="153" w:id="-1032092405"/>
                <w14:textFill>
                  <w14:solidFill>
                    <w14:srgbClr w14:val="000000">
                      <w14:alpha w14:val="100000"/>
                    </w14:srgbClr>
                  </w14:solidFill>
                </w14:textFill>
              </w:rPr>
              <w:t>|</w:t>
            </w:r>
          </w:p>
        </w:tc>
        <w:tc>
          <w:tcPr>
            <w:tcW w:w="567" w:type="dxa"/>
            <w:tcBorders>
              <w:top w:val="nil"/>
              <w:left w:val="single" w:sz="4" w:space="0" w:color="auto"/>
              <w:bottom w:val="nil"/>
              <w:right w:val="single" w:sz="4" w:space="0" w:color="auto"/>
            </w:tcBorders>
            <w:vAlign w:val="center"/>
          </w:tcPr>
          <w:p w14:paraId="6BA24116" w14:textId="77777777" w:rsidR="00AD3063" w:rsidRPr="00A629AC" w:rsidRDefault="00AD3063" w:rsidP="00A83FEC">
            <w:pPr>
              <w:pStyle w:val="TableText0"/>
              <w:keepLines/>
              <w:jc w:val="center"/>
            </w:pPr>
            <w:r w:rsidRPr="003C7559">
              <w:t>1.965</w:t>
            </w:r>
          </w:p>
        </w:tc>
        <w:tc>
          <w:tcPr>
            <w:tcW w:w="850" w:type="dxa"/>
            <w:tcBorders>
              <w:top w:val="nil"/>
              <w:left w:val="single" w:sz="4" w:space="0" w:color="auto"/>
              <w:bottom w:val="nil"/>
              <w:right w:val="single" w:sz="4" w:space="0" w:color="auto"/>
            </w:tcBorders>
            <w:vAlign w:val="center"/>
          </w:tcPr>
          <w:p w14:paraId="4AA7E8BF" w14:textId="46CB241D" w:rsidR="00AD3063" w:rsidRPr="00367E22" w:rsidRDefault="00E927A0" w:rsidP="00A83FEC">
            <w:pPr>
              <w:pStyle w:val="TableText0"/>
              <w:keepLines/>
              <w:jc w:val="center"/>
              <w:rPr>
                <w:highlight w:val="darkGray"/>
              </w:rPr>
            </w:pPr>
            <w:r w:rsidRPr="00E927A0">
              <w:rPr>
                <w:color w:val="000000"/>
                <w:spacing w:val="80"/>
                <w:shd w:val="solid" w:color="000000" w:fill="000000"/>
                <w:fitText w:val="166" w:id="-1032092404"/>
                <w14:textFill>
                  <w14:solidFill>
                    <w14:srgbClr w14:val="000000">
                      <w14:alpha w14:val="100000"/>
                    </w14:srgbClr>
                  </w14:solidFill>
                </w14:textFill>
              </w:rPr>
              <w:t>|</w:t>
            </w:r>
            <w:r w:rsidRPr="00E927A0">
              <w:rPr>
                <w:color w:val="000000"/>
                <w:spacing w:val="1"/>
                <w:shd w:val="solid" w:color="000000" w:fill="000000"/>
                <w:fitText w:val="166" w:id="-1032092404"/>
                <w14:textFill>
                  <w14:solidFill>
                    <w14:srgbClr w14:val="000000">
                      <w14:alpha w14:val="100000"/>
                    </w14:srgbClr>
                  </w14:solidFill>
                </w14:textFill>
              </w:rPr>
              <w:t>|</w:t>
            </w:r>
            <w:r w:rsidR="00BE70B8" w:rsidRPr="00BE70B8">
              <w:rPr>
                <w:b/>
                <w:vertAlign w:val="superscript"/>
              </w:rPr>
              <w:t>1</w:t>
            </w:r>
          </w:p>
        </w:tc>
        <w:tc>
          <w:tcPr>
            <w:tcW w:w="859" w:type="dxa"/>
            <w:tcBorders>
              <w:top w:val="nil"/>
              <w:left w:val="single" w:sz="4" w:space="0" w:color="auto"/>
              <w:bottom w:val="nil"/>
              <w:right w:val="single" w:sz="4" w:space="0" w:color="auto"/>
            </w:tcBorders>
            <w:vAlign w:val="center"/>
          </w:tcPr>
          <w:p w14:paraId="24142FC2" w14:textId="0C910B01" w:rsidR="00AD3063" w:rsidRPr="003C7559" w:rsidRDefault="00AD3063" w:rsidP="00A83FEC">
            <w:pPr>
              <w:pStyle w:val="TableText0"/>
              <w:keepLines/>
              <w:jc w:val="center"/>
            </w:pPr>
            <w:r>
              <w:t>-</w:t>
            </w:r>
            <w:r w:rsidR="00E927A0" w:rsidRPr="00E927A0">
              <w:rPr>
                <w:color w:val="000000"/>
                <w:spacing w:val="163"/>
                <w:shd w:val="solid" w:color="000000" w:fill="000000"/>
                <w:fitText w:val="249" w:id="-1032092403"/>
                <w14:textFill>
                  <w14:solidFill>
                    <w14:srgbClr w14:val="000000">
                      <w14:alpha w14:val="100000"/>
                    </w14:srgbClr>
                  </w14:solidFill>
                </w14:textFill>
              </w:rPr>
              <w:t>|</w:t>
            </w:r>
            <w:r w:rsidR="00E927A0" w:rsidRPr="00E927A0">
              <w:rPr>
                <w:color w:val="000000"/>
                <w:spacing w:val="1"/>
                <w:shd w:val="solid" w:color="000000" w:fill="000000"/>
                <w:fitText w:val="249" w:id="-1032092403"/>
                <w14:textFill>
                  <w14:solidFill>
                    <w14:srgbClr w14:val="000000">
                      <w14:alpha w14:val="100000"/>
                    </w14:srgbClr>
                  </w14:solidFill>
                </w14:textFill>
              </w:rPr>
              <w:t>|</w:t>
            </w:r>
            <w:r>
              <w:t>%</w:t>
            </w:r>
          </w:p>
        </w:tc>
      </w:tr>
      <w:tr w:rsidR="00AD3063" w:rsidRPr="00731ABC" w14:paraId="4895302F" w14:textId="3578F461" w:rsidTr="00E927A0">
        <w:tc>
          <w:tcPr>
            <w:tcW w:w="5949" w:type="dxa"/>
            <w:tcBorders>
              <w:top w:val="nil"/>
              <w:left w:val="single" w:sz="4" w:space="0" w:color="auto"/>
              <w:bottom w:val="nil"/>
              <w:right w:val="single" w:sz="4" w:space="0" w:color="auto"/>
            </w:tcBorders>
          </w:tcPr>
          <w:p w14:paraId="4B7EF3A8" w14:textId="77777777" w:rsidR="00AD3063" w:rsidRPr="003C7559" w:rsidRDefault="00AD3063" w:rsidP="00A83FEC">
            <w:pPr>
              <w:pStyle w:val="TableText0"/>
              <w:keepLines/>
              <w:numPr>
                <w:ilvl w:val="0"/>
                <w:numId w:val="10"/>
              </w:numPr>
              <w:ind w:left="107" w:hanging="107"/>
            </w:pPr>
            <w:r w:rsidRPr="006A60CF">
              <w:t>No adjustment to CancerLinQ transition probabilities (base case HR=0.75)</w:t>
            </w:r>
          </w:p>
        </w:tc>
        <w:tc>
          <w:tcPr>
            <w:tcW w:w="851" w:type="dxa"/>
            <w:tcBorders>
              <w:top w:val="nil"/>
              <w:left w:val="single" w:sz="4" w:space="0" w:color="auto"/>
              <w:bottom w:val="nil"/>
              <w:right w:val="single" w:sz="4" w:space="0" w:color="auto"/>
            </w:tcBorders>
            <w:shd w:val="solid" w:color="000000" w:fill="000000"/>
            <w:vAlign w:val="center"/>
          </w:tcPr>
          <w:p w14:paraId="60566240" w14:textId="74CEDD3C" w:rsidR="00AD3063" w:rsidRPr="00367E22" w:rsidRDefault="00E927A0" w:rsidP="00A83FEC">
            <w:pPr>
              <w:pStyle w:val="TableText0"/>
              <w:keepLines/>
              <w:jc w:val="center"/>
              <w:rPr>
                <w:highlight w:val="darkGray"/>
              </w:rPr>
            </w:pPr>
            <w:r w:rsidRPr="00E927A0">
              <w:rPr>
                <w:color w:val="000000"/>
                <w:spacing w:val="67"/>
                <w:fitText w:val="153" w:id="-1032092402"/>
                <w14:textFill>
                  <w14:solidFill>
                    <w14:srgbClr w14:val="000000">
                      <w14:alpha w14:val="100000"/>
                    </w14:srgbClr>
                  </w14:solidFill>
                </w14:textFill>
              </w:rPr>
              <w:t>|</w:t>
            </w:r>
            <w:r w:rsidRPr="00E927A0">
              <w:rPr>
                <w:color w:val="000000"/>
                <w:fitText w:val="153" w:id="-1032092402"/>
                <w14:textFill>
                  <w14:solidFill>
                    <w14:srgbClr w14:val="000000">
                      <w14:alpha w14:val="100000"/>
                    </w14:srgbClr>
                  </w14:solidFill>
                </w14:textFill>
              </w:rPr>
              <w:t>|</w:t>
            </w:r>
          </w:p>
        </w:tc>
        <w:tc>
          <w:tcPr>
            <w:tcW w:w="567" w:type="dxa"/>
            <w:tcBorders>
              <w:top w:val="nil"/>
              <w:left w:val="single" w:sz="4" w:space="0" w:color="auto"/>
              <w:bottom w:val="nil"/>
              <w:right w:val="single" w:sz="4" w:space="0" w:color="auto"/>
            </w:tcBorders>
            <w:vAlign w:val="center"/>
          </w:tcPr>
          <w:p w14:paraId="6D041281" w14:textId="77777777" w:rsidR="00AD3063" w:rsidRPr="00A629AC" w:rsidRDefault="00AD3063" w:rsidP="00A83FEC">
            <w:pPr>
              <w:pStyle w:val="TableText0"/>
              <w:keepLines/>
              <w:jc w:val="center"/>
            </w:pPr>
            <w:r>
              <w:t>2.013</w:t>
            </w:r>
          </w:p>
        </w:tc>
        <w:tc>
          <w:tcPr>
            <w:tcW w:w="850" w:type="dxa"/>
            <w:tcBorders>
              <w:top w:val="nil"/>
              <w:left w:val="single" w:sz="4" w:space="0" w:color="auto"/>
              <w:bottom w:val="nil"/>
              <w:right w:val="single" w:sz="4" w:space="0" w:color="auto"/>
            </w:tcBorders>
            <w:vAlign w:val="center"/>
          </w:tcPr>
          <w:p w14:paraId="5046D639" w14:textId="56CE216A" w:rsidR="00AD3063" w:rsidRPr="00367E22" w:rsidRDefault="00E927A0" w:rsidP="00A83FEC">
            <w:pPr>
              <w:pStyle w:val="TableText0"/>
              <w:keepLines/>
              <w:jc w:val="center"/>
              <w:rPr>
                <w:highlight w:val="darkGray"/>
              </w:rPr>
            </w:pPr>
            <w:r w:rsidRPr="00E927A0">
              <w:rPr>
                <w:color w:val="000000"/>
                <w:spacing w:val="80"/>
                <w:shd w:val="solid" w:color="000000" w:fill="000000"/>
                <w:fitText w:val="166" w:id="-1032092401"/>
                <w14:textFill>
                  <w14:solidFill>
                    <w14:srgbClr w14:val="000000">
                      <w14:alpha w14:val="100000"/>
                    </w14:srgbClr>
                  </w14:solidFill>
                </w14:textFill>
              </w:rPr>
              <w:t>|</w:t>
            </w:r>
            <w:r w:rsidRPr="00E927A0">
              <w:rPr>
                <w:color w:val="000000"/>
                <w:spacing w:val="1"/>
                <w:shd w:val="solid" w:color="000000" w:fill="000000"/>
                <w:fitText w:val="166" w:id="-1032092401"/>
                <w14:textFill>
                  <w14:solidFill>
                    <w14:srgbClr w14:val="000000">
                      <w14:alpha w14:val="100000"/>
                    </w14:srgbClr>
                  </w14:solidFill>
                </w14:textFill>
              </w:rPr>
              <w:t>|</w:t>
            </w:r>
            <w:r w:rsidR="00BE70B8" w:rsidRPr="00BE70B8">
              <w:rPr>
                <w:vertAlign w:val="superscript"/>
              </w:rPr>
              <w:t>3</w:t>
            </w:r>
          </w:p>
        </w:tc>
        <w:tc>
          <w:tcPr>
            <w:tcW w:w="859" w:type="dxa"/>
            <w:tcBorders>
              <w:top w:val="nil"/>
              <w:left w:val="single" w:sz="4" w:space="0" w:color="auto"/>
              <w:bottom w:val="nil"/>
              <w:right w:val="single" w:sz="4" w:space="0" w:color="auto"/>
            </w:tcBorders>
            <w:vAlign w:val="center"/>
          </w:tcPr>
          <w:p w14:paraId="7C43EAFA" w14:textId="4382BCBF" w:rsidR="00AD3063" w:rsidRPr="003C7559" w:rsidRDefault="00AD3063" w:rsidP="00A83FEC">
            <w:pPr>
              <w:pStyle w:val="TableText0"/>
              <w:keepLines/>
              <w:jc w:val="center"/>
            </w:pPr>
            <w:r>
              <w:t>-</w:t>
            </w:r>
            <w:r w:rsidR="00E927A0" w:rsidRPr="00E927A0">
              <w:rPr>
                <w:color w:val="000000"/>
                <w:spacing w:val="163"/>
                <w:shd w:val="solid" w:color="000000" w:fill="000000"/>
                <w:fitText w:val="249" w:id="-1032092400"/>
                <w14:textFill>
                  <w14:solidFill>
                    <w14:srgbClr w14:val="000000">
                      <w14:alpha w14:val="100000"/>
                    </w14:srgbClr>
                  </w14:solidFill>
                </w14:textFill>
              </w:rPr>
              <w:t>|</w:t>
            </w:r>
            <w:r w:rsidR="00E927A0" w:rsidRPr="00E927A0">
              <w:rPr>
                <w:color w:val="000000"/>
                <w:spacing w:val="1"/>
                <w:shd w:val="solid" w:color="000000" w:fill="000000"/>
                <w:fitText w:val="249" w:id="-1032092400"/>
                <w14:textFill>
                  <w14:solidFill>
                    <w14:srgbClr w14:val="000000">
                      <w14:alpha w14:val="100000"/>
                    </w14:srgbClr>
                  </w14:solidFill>
                </w14:textFill>
              </w:rPr>
              <w:t>|</w:t>
            </w:r>
            <w:r>
              <w:t>%</w:t>
            </w:r>
          </w:p>
        </w:tc>
      </w:tr>
      <w:tr w:rsidR="00AD3063" w:rsidRPr="00731ABC" w14:paraId="693383B1" w14:textId="1C23E2CB" w:rsidTr="00013F21">
        <w:tc>
          <w:tcPr>
            <w:tcW w:w="9076" w:type="dxa"/>
            <w:gridSpan w:val="5"/>
            <w:tcBorders>
              <w:top w:val="single" w:sz="4" w:space="0" w:color="auto"/>
            </w:tcBorders>
            <w:vAlign w:val="center"/>
          </w:tcPr>
          <w:p w14:paraId="27C03A1F" w14:textId="44073324" w:rsidR="00AD3063" w:rsidRPr="00F8681C" w:rsidRDefault="00AD3063" w:rsidP="00A83FEC">
            <w:pPr>
              <w:pStyle w:val="TableText0"/>
              <w:keepLines/>
              <w:rPr>
                <w:b/>
                <w:bCs w:val="0"/>
                <w:highlight w:val="yellow"/>
              </w:rPr>
            </w:pPr>
            <w:r w:rsidRPr="002455B7">
              <w:rPr>
                <w:b/>
                <w:bCs w:val="0"/>
              </w:rPr>
              <w:t>Multivariate analys</w:t>
            </w:r>
            <w:r>
              <w:rPr>
                <w:b/>
                <w:bCs w:val="0"/>
              </w:rPr>
              <w:t>i</w:t>
            </w:r>
            <w:r w:rsidRPr="002455B7">
              <w:rPr>
                <w:b/>
                <w:bCs w:val="0"/>
              </w:rPr>
              <w:t>s</w:t>
            </w:r>
          </w:p>
        </w:tc>
      </w:tr>
      <w:tr w:rsidR="00AD3063" w:rsidRPr="00EB1DCF" w14:paraId="1952EF0E" w14:textId="77777777" w:rsidTr="00E927A0">
        <w:tc>
          <w:tcPr>
            <w:tcW w:w="5949" w:type="dxa"/>
            <w:tcBorders>
              <w:top w:val="nil"/>
              <w:bottom w:val="nil"/>
              <w:right w:val="single" w:sz="4" w:space="0" w:color="auto"/>
            </w:tcBorders>
          </w:tcPr>
          <w:p w14:paraId="4EED5FA5" w14:textId="2D69DCB1" w:rsidR="00AD3063" w:rsidRPr="00EB1DCF" w:rsidRDefault="00AD3063" w:rsidP="00A83FEC">
            <w:pPr>
              <w:pStyle w:val="TableText0"/>
              <w:keepLines/>
              <w:numPr>
                <w:ilvl w:val="0"/>
                <w:numId w:val="10"/>
              </w:numPr>
              <w:ind w:left="107" w:hanging="107"/>
            </w:pPr>
            <w:r w:rsidRPr="00EB1DCF">
              <w:t>#1 + #2 + #3</w:t>
            </w:r>
            <w:r w:rsidR="00EB1DCF">
              <w:t xml:space="preserve"> (ESC ADV scenario)</w:t>
            </w:r>
          </w:p>
        </w:tc>
        <w:tc>
          <w:tcPr>
            <w:tcW w:w="851" w:type="dxa"/>
            <w:tcBorders>
              <w:top w:val="nil"/>
              <w:left w:val="single" w:sz="4" w:space="0" w:color="auto"/>
              <w:bottom w:val="nil"/>
              <w:right w:val="single" w:sz="4" w:space="0" w:color="auto"/>
            </w:tcBorders>
            <w:shd w:val="solid" w:color="000000" w:fill="000000"/>
            <w:vAlign w:val="center"/>
          </w:tcPr>
          <w:p w14:paraId="037B270B" w14:textId="5AA6A16F" w:rsidR="00AD3063" w:rsidRPr="00367E22" w:rsidRDefault="00E927A0" w:rsidP="00A83FEC">
            <w:pPr>
              <w:pStyle w:val="TableText0"/>
              <w:keepLines/>
              <w:jc w:val="center"/>
              <w:rPr>
                <w:highlight w:val="darkGray"/>
              </w:rPr>
            </w:pPr>
            <w:r w:rsidRPr="00E927A0">
              <w:rPr>
                <w:color w:val="000000"/>
                <w:spacing w:val="67"/>
                <w:fitText w:val="153" w:id="-1032092416"/>
                <w14:textFill>
                  <w14:solidFill>
                    <w14:srgbClr w14:val="000000">
                      <w14:alpha w14:val="100000"/>
                    </w14:srgbClr>
                  </w14:solidFill>
                </w14:textFill>
              </w:rPr>
              <w:t>|</w:t>
            </w:r>
            <w:r w:rsidRPr="00E927A0">
              <w:rPr>
                <w:color w:val="000000"/>
                <w:fitText w:val="153" w:id="-1032092416"/>
                <w14:textFill>
                  <w14:solidFill>
                    <w14:srgbClr w14:val="000000">
                      <w14:alpha w14:val="100000"/>
                    </w14:srgbClr>
                  </w14:solidFill>
                </w14:textFill>
              </w:rPr>
              <w:t>|</w:t>
            </w:r>
          </w:p>
        </w:tc>
        <w:tc>
          <w:tcPr>
            <w:tcW w:w="567" w:type="dxa"/>
            <w:tcBorders>
              <w:bottom w:val="nil"/>
            </w:tcBorders>
            <w:vAlign w:val="center"/>
          </w:tcPr>
          <w:p w14:paraId="26958C44" w14:textId="782EA7DC" w:rsidR="00AD3063" w:rsidRPr="00EB1DCF" w:rsidRDefault="00AD3063" w:rsidP="00A83FEC">
            <w:pPr>
              <w:pStyle w:val="TableText0"/>
              <w:keepLines/>
              <w:jc w:val="center"/>
            </w:pPr>
            <w:r w:rsidRPr="00EB1DCF">
              <w:t>0.824</w:t>
            </w:r>
          </w:p>
        </w:tc>
        <w:tc>
          <w:tcPr>
            <w:tcW w:w="850" w:type="dxa"/>
            <w:tcBorders>
              <w:top w:val="nil"/>
              <w:left w:val="single" w:sz="4" w:space="0" w:color="auto"/>
              <w:bottom w:val="nil"/>
              <w:right w:val="single" w:sz="4" w:space="0" w:color="auto"/>
            </w:tcBorders>
            <w:vAlign w:val="center"/>
          </w:tcPr>
          <w:p w14:paraId="5232DA2E" w14:textId="289512CA" w:rsidR="00AD3063" w:rsidRPr="00367E22" w:rsidRDefault="00E927A0" w:rsidP="00A83FEC">
            <w:pPr>
              <w:pStyle w:val="TableText0"/>
              <w:keepLines/>
              <w:jc w:val="center"/>
              <w:rPr>
                <w:highlight w:val="darkGray"/>
              </w:rPr>
            </w:pPr>
            <w:r w:rsidRPr="00E927A0">
              <w:rPr>
                <w:color w:val="000000"/>
                <w:spacing w:val="80"/>
                <w:shd w:val="solid" w:color="000000" w:fill="000000"/>
                <w:fitText w:val="166" w:id="-1032092415"/>
                <w14:textFill>
                  <w14:solidFill>
                    <w14:srgbClr w14:val="000000">
                      <w14:alpha w14:val="100000"/>
                    </w14:srgbClr>
                  </w14:solidFill>
                </w14:textFill>
              </w:rPr>
              <w:t>|</w:t>
            </w:r>
            <w:r w:rsidRPr="00E927A0">
              <w:rPr>
                <w:color w:val="000000"/>
                <w:spacing w:val="1"/>
                <w:shd w:val="solid" w:color="000000" w:fill="000000"/>
                <w:fitText w:val="166" w:id="-1032092415"/>
                <w14:textFill>
                  <w14:solidFill>
                    <w14:srgbClr w14:val="000000">
                      <w14:alpha w14:val="100000"/>
                    </w14:srgbClr>
                  </w14:solidFill>
                </w14:textFill>
              </w:rPr>
              <w:t>|</w:t>
            </w:r>
            <w:r w:rsidR="00BE70B8" w:rsidRPr="00BE70B8">
              <w:rPr>
                <w:vertAlign w:val="superscript"/>
              </w:rPr>
              <w:t>6</w:t>
            </w:r>
            <w:r w:rsidRPr="00E927A0">
              <w:t xml:space="preserve"> </w:t>
            </w:r>
          </w:p>
        </w:tc>
        <w:tc>
          <w:tcPr>
            <w:tcW w:w="859" w:type="dxa"/>
            <w:tcBorders>
              <w:top w:val="nil"/>
              <w:left w:val="single" w:sz="4" w:space="0" w:color="auto"/>
              <w:bottom w:val="nil"/>
              <w:right w:val="single" w:sz="4" w:space="0" w:color="auto"/>
            </w:tcBorders>
            <w:vAlign w:val="center"/>
          </w:tcPr>
          <w:p w14:paraId="03E8E983" w14:textId="465EABA6" w:rsidR="00AD3063" w:rsidRPr="00EB1DCF" w:rsidRDefault="00AD3063" w:rsidP="00A83FEC">
            <w:pPr>
              <w:pStyle w:val="TableText0"/>
              <w:keepLines/>
              <w:jc w:val="center"/>
            </w:pPr>
            <w:r w:rsidRPr="00EB1DCF">
              <w:t>+</w:t>
            </w:r>
            <w:r w:rsidR="00E927A0" w:rsidRPr="00E927A0">
              <w:rPr>
                <w:color w:val="000000"/>
                <w:spacing w:val="191"/>
                <w:shd w:val="solid" w:color="000000" w:fill="000000"/>
                <w:fitText w:val="277" w:id="-1032092414"/>
                <w14:textFill>
                  <w14:solidFill>
                    <w14:srgbClr w14:val="000000">
                      <w14:alpha w14:val="100000"/>
                    </w14:srgbClr>
                  </w14:solidFill>
                </w14:textFill>
              </w:rPr>
              <w:t>|</w:t>
            </w:r>
            <w:r w:rsidR="00E927A0" w:rsidRPr="00E927A0">
              <w:rPr>
                <w:color w:val="000000"/>
                <w:spacing w:val="1"/>
                <w:shd w:val="solid" w:color="000000" w:fill="000000"/>
                <w:fitText w:val="277" w:id="-1032092414"/>
                <w14:textFill>
                  <w14:solidFill>
                    <w14:srgbClr w14:val="000000">
                      <w14:alpha w14:val="100000"/>
                    </w14:srgbClr>
                  </w14:solidFill>
                </w14:textFill>
              </w:rPr>
              <w:t>|</w:t>
            </w:r>
            <w:r w:rsidRPr="00EB1DCF">
              <w:t>%</w:t>
            </w:r>
          </w:p>
        </w:tc>
      </w:tr>
      <w:tr w:rsidR="00EB1DCF" w:rsidRPr="00EB1DCF" w14:paraId="53EE2A74" w14:textId="77777777" w:rsidTr="00E927A0">
        <w:tc>
          <w:tcPr>
            <w:tcW w:w="5949" w:type="dxa"/>
            <w:tcBorders>
              <w:top w:val="nil"/>
              <w:bottom w:val="nil"/>
              <w:right w:val="single" w:sz="4" w:space="0" w:color="auto"/>
            </w:tcBorders>
          </w:tcPr>
          <w:p w14:paraId="7EAD71C9" w14:textId="59CA22CB" w:rsidR="00EB1DCF" w:rsidRPr="00EB1DCF" w:rsidRDefault="00EB1DCF" w:rsidP="00A83FEC">
            <w:pPr>
              <w:pStyle w:val="TableText0"/>
              <w:keepLines/>
              <w:numPr>
                <w:ilvl w:val="0"/>
                <w:numId w:val="10"/>
              </w:numPr>
              <w:ind w:left="107" w:hanging="107"/>
            </w:pPr>
            <w:r>
              <w:t>#1 + #3 + #4 (pre-PBAC response scenario, using DPMQ of $</w:t>
            </w:r>
            <w:r w:rsidR="00E927A0" w:rsidRPr="00E927A0">
              <w:rPr>
                <w:color w:val="000000"/>
                <w:spacing w:val="49"/>
                <w:shd w:val="solid" w:color="000000" w:fill="000000"/>
                <w:fitText w:val="319" w:id="-1032092413"/>
                <w14:textFill>
                  <w14:solidFill>
                    <w14:srgbClr w14:val="000000">
                      <w14:alpha w14:val="100000"/>
                    </w14:srgbClr>
                  </w14:solidFill>
                </w14:textFill>
              </w:rPr>
              <w:t>|||</w:t>
            </w:r>
            <w:r w:rsidR="00E927A0" w:rsidRPr="00E927A0">
              <w:rPr>
                <w:color w:val="000000"/>
                <w:spacing w:val="2"/>
                <w:shd w:val="solid" w:color="000000" w:fill="000000"/>
                <w:fitText w:val="319" w:id="-1032092413"/>
                <w14:textFill>
                  <w14:solidFill>
                    <w14:srgbClr w14:val="000000">
                      <w14:alpha w14:val="100000"/>
                    </w14:srgbClr>
                  </w14:solidFill>
                </w14:textFill>
              </w:rPr>
              <w:t>|</w:t>
            </w:r>
            <w:r>
              <w:t>)</w:t>
            </w:r>
          </w:p>
        </w:tc>
        <w:tc>
          <w:tcPr>
            <w:tcW w:w="851" w:type="dxa"/>
            <w:tcBorders>
              <w:top w:val="nil"/>
              <w:left w:val="single" w:sz="4" w:space="0" w:color="auto"/>
              <w:bottom w:val="nil"/>
              <w:right w:val="single" w:sz="4" w:space="0" w:color="auto"/>
            </w:tcBorders>
            <w:shd w:val="solid" w:color="000000" w:fill="000000"/>
            <w:vAlign w:val="center"/>
          </w:tcPr>
          <w:p w14:paraId="5EF3161E" w14:textId="1E51EC5B" w:rsidR="00EB1DCF" w:rsidRPr="00367E22" w:rsidRDefault="00E927A0" w:rsidP="00A83FEC">
            <w:pPr>
              <w:pStyle w:val="TableText0"/>
              <w:keepLines/>
              <w:jc w:val="center"/>
              <w:rPr>
                <w:highlight w:val="darkGray"/>
              </w:rPr>
            </w:pPr>
            <w:r w:rsidRPr="00E927A0">
              <w:rPr>
                <w:color w:val="000000"/>
                <w:spacing w:val="67"/>
                <w:fitText w:val="153" w:id="-1032092412"/>
                <w14:textFill>
                  <w14:solidFill>
                    <w14:srgbClr w14:val="000000">
                      <w14:alpha w14:val="100000"/>
                    </w14:srgbClr>
                  </w14:solidFill>
                </w14:textFill>
              </w:rPr>
              <w:t>|</w:t>
            </w:r>
            <w:r w:rsidRPr="00E927A0">
              <w:rPr>
                <w:color w:val="000000"/>
                <w:fitText w:val="153" w:id="-1032092412"/>
                <w14:textFill>
                  <w14:solidFill>
                    <w14:srgbClr w14:val="000000">
                      <w14:alpha w14:val="100000"/>
                    </w14:srgbClr>
                  </w14:solidFill>
                </w14:textFill>
              </w:rPr>
              <w:t>|</w:t>
            </w:r>
          </w:p>
        </w:tc>
        <w:tc>
          <w:tcPr>
            <w:tcW w:w="567" w:type="dxa"/>
            <w:tcBorders>
              <w:top w:val="nil"/>
              <w:bottom w:val="nil"/>
            </w:tcBorders>
            <w:vAlign w:val="center"/>
          </w:tcPr>
          <w:p w14:paraId="2EA45E88" w14:textId="7B7DA96B" w:rsidR="00EB1DCF" w:rsidRPr="00EB1DCF" w:rsidRDefault="00EB1DCF" w:rsidP="00A83FEC">
            <w:pPr>
              <w:pStyle w:val="TableText0"/>
              <w:keepLines/>
              <w:jc w:val="center"/>
            </w:pPr>
            <w:r>
              <w:t>1.259</w:t>
            </w:r>
          </w:p>
        </w:tc>
        <w:tc>
          <w:tcPr>
            <w:tcW w:w="850" w:type="dxa"/>
            <w:tcBorders>
              <w:top w:val="nil"/>
              <w:left w:val="single" w:sz="4" w:space="0" w:color="auto"/>
              <w:bottom w:val="nil"/>
              <w:right w:val="single" w:sz="4" w:space="0" w:color="auto"/>
            </w:tcBorders>
            <w:vAlign w:val="center"/>
          </w:tcPr>
          <w:p w14:paraId="72CB54E1" w14:textId="0020683A" w:rsidR="00EB1DCF" w:rsidRPr="00367E22" w:rsidRDefault="00E927A0" w:rsidP="00A83FEC">
            <w:pPr>
              <w:pStyle w:val="TableText0"/>
              <w:keepLines/>
              <w:jc w:val="center"/>
              <w:rPr>
                <w:highlight w:val="darkGray"/>
              </w:rPr>
            </w:pPr>
            <w:r w:rsidRPr="00E927A0">
              <w:rPr>
                <w:color w:val="000000"/>
                <w:spacing w:val="80"/>
                <w:shd w:val="solid" w:color="000000" w:fill="000000"/>
                <w:fitText w:val="166" w:id="-1032092411"/>
                <w14:textFill>
                  <w14:solidFill>
                    <w14:srgbClr w14:val="000000">
                      <w14:alpha w14:val="100000"/>
                    </w14:srgbClr>
                  </w14:solidFill>
                </w14:textFill>
              </w:rPr>
              <w:t>|</w:t>
            </w:r>
            <w:r w:rsidRPr="00E927A0">
              <w:rPr>
                <w:color w:val="000000"/>
                <w:spacing w:val="1"/>
                <w:shd w:val="solid" w:color="000000" w:fill="000000"/>
                <w:fitText w:val="166" w:id="-1032092411"/>
                <w14:textFill>
                  <w14:solidFill>
                    <w14:srgbClr w14:val="000000">
                      <w14:alpha w14:val="100000"/>
                    </w14:srgbClr>
                  </w14:solidFill>
                </w14:textFill>
              </w:rPr>
              <w:t>|</w:t>
            </w:r>
            <w:r w:rsidR="00BE70B8" w:rsidRPr="00BE70B8">
              <w:rPr>
                <w:b/>
                <w:vertAlign w:val="superscript"/>
              </w:rPr>
              <w:t>1</w:t>
            </w:r>
          </w:p>
        </w:tc>
        <w:tc>
          <w:tcPr>
            <w:tcW w:w="859" w:type="dxa"/>
            <w:tcBorders>
              <w:top w:val="nil"/>
              <w:left w:val="single" w:sz="4" w:space="0" w:color="auto"/>
              <w:bottom w:val="nil"/>
              <w:right w:val="single" w:sz="4" w:space="0" w:color="auto"/>
            </w:tcBorders>
            <w:vAlign w:val="center"/>
          </w:tcPr>
          <w:p w14:paraId="7D8434E5" w14:textId="5A06D801" w:rsidR="00EB1DCF" w:rsidRPr="00EB1DCF" w:rsidRDefault="00EB1DCF" w:rsidP="00A83FEC">
            <w:pPr>
              <w:pStyle w:val="TableText0"/>
              <w:keepLines/>
              <w:jc w:val="center"/>
            </w:pPr>
            <w:r>
              <w:t>+</w:t>
            </w:r>
            <w:r w:rsidR="00E927A0" w:rsidRPr="00E927A0">
              <w:rPr>
                <w:color w:val="000000"/>
                <w:spacing w:val="191"/>
                <w:shd w:val="solid" w:color="000000" w:fill="000000"/>
                <w:fitText w:val="277" w:id="-1032092410"/>
                <w14:textFill>
                  <w14:solidFill>
                    <w14:srgbClr w14:val="000000">
                      <w14:alpha w14:val="100000"/>
                    </w14:srgbClr>
                  </w14:solidFill>
                </w14:textFill>
              </w:rPr>
              <w:t>|</w:t>
            </w:r>
            <w:r w:rsidR="00E927A0" w:rsidRPr="00E927A0">
              <w:rPr>
                <w:color w:val="000000"/>
                <w:spacing w:val="1"/>
                <w:shd w:val="solid" w:color="000000" w:fill="000000"/>
                <w:fitText w:val="277" w:id="-1032092410"/>
                <w14:textFill>
                  <w14:solidFill>
                    <w14:srgbClr w14:val="000000">
                      <w14:alpha w14:val="100000"/>
                    </w14:srgbClr>
                  </w14:solidFill>
                </w14:textFill>
              </w:rPr>
              <w:t>|</w:t>
            </w:r>
            <w:r>
              <w:t>%</w:t>
            </w:r>
          </w:p>
        </w:tc>
      </w:tr>
      <w:tr w:rsidR="00EB1DCF" w:rsidRPr="00EB1DCF" w14:paraId="076C63A1" w14:textId="77777777" w:rsidTr="00E927A0">
        <w:tc>
          <w:tcPr>
            <w:tcW w:w="5949" w:type="dxa"/>
            <w:tcBorders>
              <w:top w:val="nil"/>
              <w:bottom w:val="single" w:sz="4" w:space="0" w:color="auto"/>
              <w:right w:val="single" w:sz="4" w:space="0" w:color="auto"/>
            </w:tcBorders>
          </w:tcPr>
          <w:p w14:paraId="719DB985" w14:textId="5F12120E" w:rsidR="00EB1DCF" w:rsidRDefault="00EB1DCF" w:rsidP="00A83FEC">
            <w:pPr>
              <w:pStyle w:val="TableText0"/>
              <w:keepLines/>
              <w:numPr>
                <w:ilvl w:val="0"/>
                <w:numId w:val="10"/>
              </w:numPr>
              <w:ind w:left="107" w:hanging="107"/>
            </w:pPr>
            <w:r>
              <w:t>#1 + #3 + $5 (PBAC scenario, using DPMQ of $</w:t>
            </w:r>
            <w:r w:rsidR="00E927A0" w:rsidRPr="00E927A0">
              <w:rPr>
                <w:color w:val="000000"/>
                <w:spacing w:val="49"/>
                <w:shd w:val="solid" w:color="000000" w:fill="000000"/>
                <w:fitText w:val="318" w:id="-1032092409"/>
                <w14:textFill>
                  <w14:solidFill>
                    <w14:srgbClr w14:val="000000">
                      <w14:alpha w14:val="100000"/>
                    </w14:srgbClr>
                  </w14:solidFill>
                </w14:textFill>
              </w:rPr>
              <w:t>|||</w:t>
            </w:r>
            <w:r w:rsidR="00E927A0" w:rsidRPr="00E927A0">
              <w:rPr>
                <w:color w:val="000000"/>
                <w:spacing w:val="1"/>
                <w:shd w:val="solid" w:color="000000" w:fill="000000"/>
                <w:fitText w:val="318" w:id="-1032092409"/>
                <w14:textFill>
                  <w14:solidFill>
                    <w14:srgbClr w14:val="000000">
                      <w14:alpha w14:val="100000"/>
                    </w14:srgbClr>
                  </w14:solidFill>
                </w14:textFill>
              </w:rPr>
              <w:t>|</w:t>
            </w:r>
            <w:r>
              <w:t>)</w:t>
            </w:r>
          </w:p>
        </w:tc>
        <w:tc>
          <w:tcPr>
            <w:tcW w:w="851" w:type="dxa"/>
            <w:tcBorders>
              <w:top w:val="nil"/>
              <w:left w:val="single" w:sz="4" w:space="0" w:color="auto"/>
              <w:bottom w:val="single" w:sz="4" w:space="0" w:color="auto"/>
              <w:right w:val="single" w:sz="4" w:space="0" w:color="auto"/>
            </w:tcBorders>
            <w:shd w:val="solid" w:color="000000" w:fill="000000"/>
            <w:vAlign w:val="center"/>
          </w:tcPr>
          <w:p w14:paraId="4AE305B2" w14:textId="0CF9C8F9" w:rsidR="00EB1DCF" w:rsidRPr="00367E22" w:rsidRDefault="00E927A0" w:rsidP="00A83FEC">
            <w:pPr>
              <w:pStyle w:val="TableText0"/>
              <w:keepLines/>
              <w:jc w:val="center"/>
              <w:rPr>
                <w:highlight w:val="darkGray"/>
              </w:rPr>
            </w:pPr>
            <w:r w:rsidRPr="00E927A0">
              <w:rPr>
                <w:color w:val="000000"/>
                <w:spacing w:val="67"/>
                <w:fitText w:val="153" w:id="-1032092408"/>
                <w14:textFill>
                  <w14:solidFill>
                    <w14:srgbClr w14:val="000000">
                      <w14:alpha w14:val="100000"/>
                    </w14:srgbClr>
                  </w14:solidFill>
                </w14:textFill>
              </w:rPr>
              <w:t>|</w:t>
            </w:r>
            <w:r w:rsidRPr="00E927A0">
              <w:rPr>
                <w:color w:val="000000"/>
                <w:fitText w:val="153" w:id="-1032092408"/>
                <w14:textFill>
                  <w14:solidFill>
                    <w14:srgbClr w14:val="000000">
                      <w14:alpha w14:val="100000"/>
                    </w14:srgbClr>
                  </w14:solidFill>
                </w14:textFill>
              </w:rPr>
              <w:t>|</w:t>
            </w:r>
          </w:p>
        </w:tc>
        <w:tc>
          <w:tcPr>
            <w:tcW w:w="567" w:type="dxa"/>
            <w:tcBorders>
              <w:top w:val="nil"/>
              <w:bottom w:val="single" w:sz="4" w:space="0" w:color="auto"/>
            </w:tcBorders>
            <w:vAlign w:val="center"/>
          </w:tcPr>
          <w:p w14:paraId="025E6A8A" w14:textId="5D652DC0" w:rsidR="00EB1DCF" w:rsidRPr="00EB1DCF" w:rsidRDefault="00EB1DCF" w:rsidP="00A83FEC">
            <w:pPr>
              <w:pStyle w:val="TableText0"/>
              <w:keepLines/>
              <w:jc w:val="center"/>
            </w:pPr>
            <w:r>
              <w:t>1.014</w:t>
            </w:r>
          </w:p>
        </w:tc>
        <w:tc>
          <w:tcPr>
            <w:tcW w:w="850" w:type="dxa"/>
            <w:tcBorders>
              <w:top w:val="nil"/>
              <w:left w:val="single" w:sz="4" w:space="0" w:color="auto"/>
              <w:bottom w:val="single" w:sz="4" w:space="0" w:color="auto"/>
              <w:right w:val="single" w:sz="4" w:space="0" w:color="auto"/>
            </w:tcBorders>
            <w:vAlign w:val="center"/>
          </w:tcPr>
          <w:p w14:paraId="7B29E0AF" w14:textId="06ED8764" w:rsidR="00EB1DCF" w:rsidRPr="00367E22" w:rsidRDefault="00E927A0" w:rsidP="00A83FEC">
            <w:pPr>
              <w:pStyle w:val="TableText0"/>
              <w:keepLines/>
              <w:jc w:val="center"/>
              <w:rPr>
                <w:highlight w:val="darkGray"/>
              </w:rPr>
            </w:pPr>
            <w:r w:rsidRPr="00E927A0">
              <w:rPr>
                <w:color w:val="000000"/>
                <w:spacing w:val="80"/>
                <w:shd w:val="solid" w:color="000000" w:fill="000000"/>
                <w:fitText w:val="166" w:id="-1032092407"/>
                <w14:textFill>
                  <w14:solidFill>
                    <w14:srgbClr w14:val="000000">
                      <w14:alpha w14:val="100000"/>
                    </w14:srgbClr>
                  </w14:solidFill>
                </w14:textFill>
              </w:rPr>
              <w:t>|</w:t>
            </w:r>
            <w:r w:rsidRPr="00E927A0">
              <w:rPr>
                <w:color w:val="000000"/>
                <w:spacing w:val="1"/>
                <w:shd w:val="solid" w:color="000000" w:fill="000000"/>
                <w:fitText w:val="166" w:id="-1032092407"/>
                <w14:textFill>
                  <w14:solidFill>
                    <w14:srgbClr w14:val="000000">
                      <w14:alpha w14:val="100000"/>
                    </w14:srgbClr>
                  </w14:solidFill>
                </w14:textFill>
              </w:rPr>
              <w:t>|</w:t>
            </w:r>
            <w:r w:rsidR="00BE70B8" w:rsidRPr="00BE70B8">
              <w:rPr>
                <w:vertAlign w:val="superscript"/>
              </w:rPr>
              <w:t>4</w:t>
            </w:r>
          </w:p>
        </w:tc>
        <w:tc>
          <w:tcPr>
            <w:tcW w:w="859" w:type="dxa"/>
            <w:tcBorders>
              <w:top w:val="nil"/>
              <w:left w:val="single" w:sz="4" w:space="0" w:color="auto"/>
              <w:bottom w:val="single" w:sz="4" w:space="0" w:color="auto"/>
              <w:right w:val="single" w:sz="4" w:space="0" w:color="auto"/>
            </w:tcBorders>
            <w:vAlign w:val="center"/>
          </w:tcPr>
          <w:p w14:paraId="109D8E65" w14:textId="6EABA270" w:rsidR="00EB1DCF" w:rsidRPr="00EB1DCF" w:rsidRDefault="00EB1DCF" w:rsidP="00A83FEC">
            <w:pPr>
              <w:pStyle w:val="TableText0"/>
              <w:keepLines/>
              <w:jc w:val="center"/>
            </w:pPr>
            <w:r>
              <w:t>+</w:t>
            </w:r>
            <w:r w:rsidR="00E927A0" w:rsidRPr="00E927A0">
              <w:rPr>
                <w:color w:val="000000"/>
                <w:spacing w:val="191"/>
                <w:shd w:val="solid" w:color="000000" w:fill="000000"/>
                <w:fitText w:val="277" w:id="-1032092406"/>
                <w14:textFill>
                  <w14:solidFill>
                    <w14:srgbClr w14:val="000000">
                      <w14:alpha w14:val="100000"/>
                    </w14:srgbClr>
                  </w14:solidFill>
                </w14:textFill>
              </w:rPr>
              <w:t>|</w:t>
            </w:r>
            <w:r w:rsidR="00E927A0" w:rsidRPr="00E927A0">
              <w:rPr>
                <w:color w:val="000000"/>
                <w:spacing w:val="1"/>
                <w:shd w:val="solid" w:color="000000" w:fill="000000"/>
                <w:fitText w:val="277" w:id="-1032092406"/>
                <w14:textFill>
                  <w14:solidFill>
                    <w14:srgbClr w14:val="000000">
                      <w14:alpha w14:val="100000"/>
                    </w14:srgbClr>
                  </w14:solidFill>
                </w14:textFill>
              </w:rPr>
              <w:t>|</w:t>
            </w:r>
            <w:r>
              <w:t>%</w:t>
            </w:r>
          </w:p>
        </w:tc>
      </w:tr>
    </w:tbl>
    <w:p w14:paraId="1471845F" w14:textId="0A62F343" w:rsidR="00D86A4F" w:rsidRPr="000853E6" w:rsidRDefault="00732D1C" w:rsidP="00A83FEC">
      <w:pPr>
        <w:pStyle w:val="TableFigureFooter"/>
        <w:keepNext/>
        <w:keepLines/>
        <w:rPr>
          <w:i/>
          <w:iCs/>
        </w:rPr>
      </w:pPr>
      <w:r w:rsidRPr="000853E6">
        <w:t>Source: Table 3.9-1, pp.182-184 of the submission</w:t>
      </w:r>
      <w:r w:rsidRPr="000853E6">
        <w:rPr>
          <w:i/>
          <w:iCs/>
        </w:rPr>
        <w:t>.</w:t>
      </w:r>
    </w:p>
    <w:p w14:paraId="362A215E" w14:textId="4E56E8D5" w:rsidR="00732D1C" w:rsidRPr="00D86A4F" w:rsidRDefault="00AD3063" w:rsidP="00A83FEC">
      <w:pPr>
        <w:pStyle w:val="TableFigureFooter"/>
        <w:keepNext/>
        <w:keepLines/>
        <w:rPr>
          <w:bCs/>
          <w:szCs w:val="18"/>
        </w:rPr>
      </w:pPr>
      <w:r>
        <w:t>AB</w:t>
      </w:r>
      <w:r w:rsidR="003E2DD2">
        <w:t>DC</w:t>
      </w:r>
      <w:r>
        <w:t xml:space="preserve"> = atezolizumab bevacizumab </w:t>
      </w:r>
      <w:r w:rsidR="003E2DD2">
        <w:t>doublet chemotherapy</w:t>
      </w:r>
      <w:r>
        <w:t xml:space="preserve">; </w:t>
      </w:r>
      <w:r w:rsidR="00732D1C" w:rsidRPr="000445F7">
        <w:t>DF</w:t>
      </w:r>
      <w:r w:rsidR="00732D1C">
        <w:t xml:space="preserve"> </w:t>
      </w:r>
      <w:r w:rsidR="00732D1C" w:rsidRPr="000445F7">
        <w:t>=</w:t>
      </w:r>
      <w:r w:rsidR="00732D1C">
        <w:t xml:space="preserve"> disease-free</w:t>
      </w:r>
      <w:r w:rsidR="00732D1C" w:rsidRPr="000445F7">
        <w:t xml:space="preserve">; DM1 = first-line treatment for distant metastatic NSCLC; DM2 = second-line treatment for distant metastatic </w:t>
      </w:r>
      <w:r>
        <w:t xml:space="preserve">NR = not reported; </w:t>
      </w:r>
      <w:r w:rsidR="00732D1C" w:rsidRPr="000445F7">
        <w:t xml:space="preserve">NSCLC; </w:t>
      </w:r>
      <w:r w:rsidR="00CA7056">
        <w:t xml:space="preserve">Inre=incremental, </w:t>
      </w:r>
      <w:r w:rsidR="00732D1C" w:rsidRPr="000445F7">
        <w:t xml:space="preserve">LRR = </w:t>
      </w:r>
      <w:r w:rsidR="00732D1C" w:rsidRPr="00EF2860">
        <w:t>loco/regional recurrence; NSCLC=non=small cell lung carcinoma</w:t>
      </w:r>
      <w:r w:rsidR="00732D1C">
        <w:t xml:space="preserve">; </w:t>
      </w:r>
      <w:r w:rsidR="00732D1C" w:rsidRPr="001F4081">
        <w:rPr>
          <w:rFonts w:eastAsia="Calibri"/>
          <w:szCs w:val="20"/>
        </w:rPr>
        <w:t>QALY</w:t>
      </w:r>
      <w:r w:rsidR="00732D1C">
        <w:rPr>
          <w:rFonts w:eastAsia="Calibri"/>
          <w:szCs w:val="20"/>
        </w:rPr>
        <w:t xml:space="preserve"> =</w:t>
      </w:r>
      <w:r w:rsidR="00732D1C" w:rsidRPr="001F4081">
        <w:rPr>
          <w:rFonts w:eastAsia="Calibri"/>
          <w:szCs w:val="20"/>
        </w:rPr>
        <w:t xml:space="preserve"> quality adjusted life year.</w:t>
      </w:r>
    </w:p>
    <w:p w14:paraId="16812063" w14:textId="75E5E8DE" w:rsidR="00102ECD" w:rsidRDefault="00732D1C" w:rsidP="00A83FEC">
      <w:pPr>
        <w:pStyle w:val="TableFigureFooter"/>
        <w:keepNext/>
        <w:keepLines/>
        <w:ind w:left="165" w:hanging="165"/>
        <w:rPr>
          <w:szCs w:val="18"/>
        </w:rPr>
      </w:pPr>
      <w:r>
        <w:t>^</w:t>
      </w:r>
      <w:r>
        <w:tab/>
      </w:r>
      <w:r w:rsidRPr="000853E6">
        <w:t>Assuming no change to efficacy</w:t>
      </w:r>
      <w:r w:rsidR="0015723F" w:rsidRPr="000853E6">
        <w:t>.</w:t>
      </w:r>
      <w:r w:rsidR="00CA7056" w:rsidRPr="000853E6">
        <w:t xml:space="preserve"> </w:t>
      </w:r>
      <w:r w:rsidR="008361AF" w:rsidRPr="000853E6">
        <w:rPr>
          <w:szCs w:val="18"/>
          <w:vertAlign w:val="superscript"/>
        </w:rPr>
        <w:t>a</w:t>
      </w:r>
      <w:r w:rsidR="008361AF" w:rsidRPr="000853E6">
        <w:rPr>
          <w:szCs w:val="18"/>
        </w:rPr>
        <w:tab/>
        <w:t xml:space="preserve">This </w:t>
      </w:r>
      <w:r w:rsidR="0015723F" w:rsidRPr="000853E6">
        <w:rPr>
          <w:szCs w:val="18"/>
        </w:rPr>
        <w:t xml:space="preserve">was assumed </w:t>
      </w:r>
      <w:r w:rsidR="0015723F" w:rsidRPr="000853E6">
        <w:rPr>
          <w:rFonts w:cs="Calibri"/>
        </w:rPr>
        <w:t>to match the proportion treated with adjuvant platinum doublet chemotherapy in ADAURA.</w:t>
      </w:r>
      <w:r w:rsidR="0015723F" w:rsidRPr="000853E6">
        <w:rPr>
          <w:szCs w:val="18"/>
        </w:rPr>
        <w:t xml:space="preserve"> </w:t>
      </w:r>
      <w:r w:rsidR="00CA7056" w:rsidRPr="000853E6">
        <w:rPr>
          <w:szCs w:val="18"/>
          <w:vertAlign w:val="superscript"/>
        </w:rPr>
        <w:t xml:space="preserve"> </w:t>
      </w:r>
      <w:r w:rsidR="007C2151" w:rsidRPr="000853E6">
        <w:rPr>
          <w:szCs w:val="18"/>
          <w:vertAlign w:val="superscript"/>
        </w:rPr>
        <w:t>b</w:t>
      </w:r>
      <w:r w:rsidR="007C2151" w:rsidRPr="000853E6">
        <w:rPr>
          <w:szCs w:val="18"/>
        </w:rPr>
        <w:tab/>
        <w:t xml:space="preserve">Changes made in the ‘Clinical inputs’ worksheet of the Section 3 model (Table in cells E24 to L28). </w:t>
      </w:r>
      <w:r w:rsidR="00102ECD" w:rsidRPr="000853E6">
        <w:rPr>
          <w:szCs w:val="18"/>
        </w:rPr>
        <w:t xml:space="preserve">The costs for atezolizumab, bevacizumab, </w:t>
      </w:r>
      <w:r w:rsidR="00D9510D" w:rsidRPr="000853E6">
        <w:rPr>
          <w:szCs w:val="18"/>
        </w:rPr>
        <w:t>carboplatin and paclitaxel</w:t>
      </w:r>
      <w:r w:rsidR="00102ECD" w:rsidRPr="000853E6">
        <w:rPr>
          <w:szCs w:val="18"/>
        </w:rPr>
        <w:t xml:space="preserve"> calculated in the Section 3 model, were used in this sensitivity.</w:t>
      </w:r>
    </w:p>
    <w:p w14:paraId="10239432" w14:textId="4D98A6E0" w:rsidR="00367E22" w:rsidRDefault="00367E22" w:rsidP="00A83FEC">
      <w:pPr>
        <w:pStyle w:val="TableFigureFooter"/>
        <w:keepNext/>
        <w:keepLines/>
        <w:ind w:left="165" w:hanging="165"/>
        <w:rPr>
          <w:i/>
          <w:iCs/>
          <w:szCs w:val="18"/>
        </w:rPr>
      </w:pPr>
      <w:r w:rsidRPr="00367E22">
        <w:rPr>
          <w:i/>
          <w:iCs/>
          <w:szCs w:val="18"/>
        </w:rPr>
        <w:t>The redacted values correspond to the following ranges:</w:t>
      </w:r>
    </w:p>
    <w:p w14:paraId="6DACCB66" w14:textId="77777777" w:rsidR="007B595C" w:rsidRDefault="007B595C" w:rsidP="00BE70B8">
      <w:pPr>
        <w:pStyle w:val="TableFigureFooter"/>
        <w:ind w:left="165" w:hanging="165"/>
        <w:rPr>
          <w:i/>
          <w:iCs/>
          <w:szCs w:val="18"/>
          <w:vertAlign w:val="superscript"/>
        </w:rPr>
        <w:sectPr w:rsidR="007B595C" w:rsidSect="000853E6">
          <w:headerReference w:type="default" r:id="rId27"/>
          <w:footerReference w:type="default" r:id="rId28"/>
          <w:pgSz w:w="11907" w:h="16840" w:code="9"/>
          <w:pgMar w:top="1440" w:right="1440" w:bottom="1440" w:left="1440" w:header="1440" w:footer="1440" w:gutter="0"/>
          <w:pgNumType w:start="1"/>
          <w:cols w:space="708"/>
          <w:docGrid w:linePitch="360"/>
        </w:sectPr>
      </w:pPr>
    </w:p>
    <w:p w14:paraId="4F702001" w14:textId="50DBEAAA" w:rsidR="00BE70B8" w:rsidRPr="00BE70B8" w:rsidRDefault="00BE70B8" w:rsidP="00BE70B8">
      <w:pPr>
        <w:pStyle w:val="TableFigureFooter"/>
        <w:ind w:left="165" w:hanging="165"/>
        <w:rPr>
          <w:i/>
          <w:iCs/>
          <w:szCs w:val="18"/>
        </w:rPr>
      </w:pPr>
      <w:r>
        <w:rPr>
          <w:i/>
          <w:iCs/>
          <w:szCs w:val="18"/>
          <w:vertAlign w:val="superscript"/>
        </w:rPr>
        <w:t>1</w:t>
      </w:r>
      <w:r w:rsidRPr="00BE70B8">
        <w:rPr>
          <w:i/>
          <w:iCs/>
          <w:szCs w:val="18"/>
        </w:rPr>
        <w:t xml:space="preserve"> $35,000 to &lt; $45,000</w:t>
      </w:r>
    </w:p>
    <w:p w14:paraId="666B4D8B" w14:textId="30E99642" w:rsidR="00367E22" w:rsidRPr="00367E22" w:rsidRDefault="00BE70B8" w:rsidP="00367E22">
      <w:pPr>
        <w:pStyle w:val="TableFigureFooter"/>
        <w:rPr>
          <w:rFonts w:eastAsia="Calibri"/>
          <w:i/>
          <w:iCs/>
        </w:rPr>
      </w:pPr>
      <w:r>
        <w:rPr>
          <w:rFonts w:eastAsia="Calibri"/>
          <w:i/>
          <w:iCs/>
          <w:vertAlign w:val="superscript"/>
        </w:rPr>
        <w:t>2</w:t>
      </w:r>
      <w:r w:rsidR="00367E22" w:rsidRPr="00367E22">
        <w:rPr>
          <w:rFonts w:eastAsia="Calibri"/>
          <w:i/>
          <w:iCs/>
        </w:rPr>
        <w:t>$15,000 to &lt; $25,000</w:t>
      </w:r>
    </w:p>
    <w:p w14:paraId="3D8AC6A8" w14:textId="2D6527B0" w:rsidR="00367E22" w:rsidRPr="00367E22" w:rsidRDefault="00BE70B8" w:rsidP="00367E22">
      <w:pPr>
        <w:pStyle w:val="TableFigureFooter"/>
        <w:rPr>
          <w:rFonts w:eastAsia="Calibri"/>
          <w:i/>
          <w:iCs/>
        </w:rPr>
      </w:pPr>
      <w:r>
        <w:rPr>
          <w:rFonts w:eastAsia="Calibri"/>
          <w:i/>
          <w:iCs/>
          <w:vertAlign w:val="superscript"/>
        </w:rPr>
        <w:t>3</w:t>
      </w:r>
      <w:r w:rsidR="00444530">
        <w:rPr>
          <w:rFonts w:eastAsia="Calibri"/>
          <w:i/>
          <w:iCs/>
        </w:rPr>
        <w:t xml:space="preserve"> </w:t>
      </w:r>
      <w:r w:rsidR="00367E22" w:rsidRPr="00367E22">
        <w:rPr>
          <w:rFonts w:eastAsia="Calibri"/>
          <w:i/>
          <w:iCs/>
        </w:rPr>
        <w:t>$25,000 to &lt; $35,000</w:t>
      </w:r>
    </w:p>
    <w:p w14:paraId="1B5F53B2" w14:textId="6EA87EEC" w:rsidR="00367E22" w:rsidRDefault="007070DC" w:rsidP="00367E22">
      <w:pPr>
        <w:pStyle w:val="TableFigureFooter"/>
        <w:rPr>
          <w:rFonts w:eastAsia="Calibri"/>
          <w:i/>
          <w:iCs/>
        </w:rPr>
      </w:pPr>
      <w:r w:rsidRPr="007070DC">
        <w:rPr>
          <w:rFonts w:eastAsia="Calibri"/>
          <w:i/>
          <w:iCs/>
          <w:vertAlign w:val="superscript"/>
        </w:rPr>
        <w:t>4</w:t>
      </w:r>
      <w:r>
        <w:rPr>
          <w:rFonts w:eastAsia="Calibri"/>
          <w:i/>
          <w:iCs/>
        </w:rPr>
        <w:t xml:space="preserve"> </w:t>
      </w:r>
      <w:r w:rsidR="00367E22" w:rsidRPr="00367E22">
        <w:rPr>
          <w:rFonts w:eastAsia="Calibri"/>
          <w:i/>
          <w:iCs/>
        </w:rPr>
        <w:t>$45,000 to &lt; $55,000</w:t>
      </w:r>
    </w:p>
    <w:p w14:paraId="2559A1CE" w14:textId="77777777" w:rsidR="00BE70B8" w:rsidRPr="00BE70B8" w:rsidRDefault="00BE70B8" w:rsidP="00BE70B8">
      <w:pPr>
        <w:pStyle w:val="TableFigureFooter"/>
        <w:rPr>
          <w:rFonts w:eastAsia="Calibri"/>
          <w:i/>
          <w:iCs/>
        </w:rPr>
      </w:pPr>
      <w:r w:rsidRPr="00BE70B8">
        <w:rPr>
          <w:rFonts w:eastAsia="Calibri"/>
          <w:i/>
          <w:iCs/>
          <w:vertAlign w:val="superscript"/>
        </w:rPr>
        <w:t>5</w:t>
      </w:r>
      <w:r w:rsidRPr="00BE70B8">
        <w:rPr>
          <w:rFonts w:eastAsia="Calibri"/>
          <w:i/>
          <w:iCs/>
        </w:rPr>
        <w:t>$75,000 to &lt; $95,000</w:t>
      </w:r>
    </w:p>
    <w:p w14:paraId="798602D7" w14:textId="77777777" w:rsidR="00BE70B8" w:rsidRPr="00BE70B8" w:rsidRDefault="00BE70B8" w:rsidP="00BE70B8">
      <w:pPr>
        <w:pStyle w:val="TableFigureFooter"/>
        <w:rPr>
          <w:rFonts w:eastAsia="Calibri"/>
          <w:i/>
          <w:iCs/>
        </w:rPr>
      </w:pPr>
      <w:r w:rsidRPr="00BE70B8">
        <w:rPr>
          <w:rFonts w:eastAsia="Calibri"/>
          <w:i/>
          <w:iCs/>
          <w:vertAlign w:val="superscript"/>
        </w:rPr>
        <w:t xml:space="preserve">6 </w:t>
      </w:r>
      <w:r w:rsidRPr="00BE70B8">
        <w:rPr>
          <w:rFonts w:eastAsia="Calibri"/>
          <w:i/>
          <w:iCs/>
        </w:rPr>
        <w:t xml:space="preserve">$95,000 to &lt; $115,000 </w:t>
      </w:r>
    </w:p>
    <w:p w14:paraId="1903E81E" w14:textId="755C46CC" w:rsidR="007B595C" w:rsidRDefault="00922D8C" w:rsidP="007665CA">
      <w:pPr>
        <w:pStyle w:val="TableFigureFooter"/>
        <w:rPr>
          <w:rFonts w:eastAsia="Calibri"/>
          <w:i/>
          <w:iCs/>
        </w:rPr>
        <w:sectPr w:rsidR="007B595C" w:rsidSect="007B595C">
          <w:type w:val="continuous"/>
          <w:pgSz w:w="11907" w:h="16840" w:code="9"/>
          <w:pgMar w:top="1440" w:right="1440" w:bottom="1440" w:left="1440" w:header="1440" w:footer="1440" w:gutter="0"/>
          <w:pgNumType w:start="1"/>
          <w:cols w:num="2" w:space="708"/>
          <w:docGrid w:linePitch="360"/>
        </w:sectPr>
      </w:pPr>
      <w:r>
        <w:rPr>
          <w:rFonts w:eastAsia="Calibri"/>
          <w:i/>
          <w:iCs/>
          <w:vertAlign w:val="superscript"/>
        </w:rPr>
        <w:t>7</w:t>
      </w:r>
      <w:r w:rsidR="007070DC" w:rsidRPr="007070DC">
        <w:rPr>
          <w:rFonts w:eastAsia="Calibri"/>
          <w:i/>
          <w:iCs/>
          <w:vertAlign w:val="superscript"/>
        </w:rPr>
        <w:t xml:space="preserve"> </w:t>
      </w:r>
      <w:r w:rsidR="00367E22" w:rsidRPr="00367E22">
        <w:rPr>
          <w:rFonts w:eastAsia="Calibri"/>
          <w:i/>
          <w:iCs/>
        </w:rPr>
        <w:t xml:space="preserve">$55,000 to &lt; $75,000 </w:t>
      </w:r>
    </w:p>
    <w:p w14:paraId="6767021F" w14:textId="40EA35EE" w:rsidR="004C2426" w:rsidRDefault="004C2426" w:rsidP="004C2426">
      <w:pPr>
        <w:pStyle w:val="3-BodyText"/>
        <w:rPr>
          <w:i/>
          <w:iCs/>
        </w:rPr>
      </w:pPr>
      <w:bookmarkStart w:id="57" w:name="_Ref147925639"/>
      <w:r w:rsidRPr="009053B3">
        <w:t>The ESC noted</w:t>
      </w:r>
      <w:r w:rsidR="00444EF6" w:rsidRPr="009053B3">
        <w:t xml:space="preserve"> revising the economic model to </w:t>
      </w:r>
      <w:r w:rsidRPr="009053B3">
        <w:t xml:space="preserve">(i) </w:t>
      </w:r>
      <w:r w:rsidR="009B14B0" w:rsidRPr="009053B3">
        <w:t xml:space="preserve">include </w:t>
      </w:r>
      <w:r w:rsidRPr="009053B3">
        <w:t>a 15 year time horizon (ii) remov</w:t>
      </w:r>
      <w:r w:rsidR="009B14B0" w:rsidRPr="009053B3">
        <w:t xml:space="preserve">e </w:t>
      </w:r>
      <w:r w:rsidRPr="009053B3">
        <w:t>cure assumption from LRR health state and (iii) assum</w:t>
      </w:r>
      <w:r w:rsidR="009B14B0" w:rsidRPr="009053B3">
        <w:t xml:space="preserve">e </w:t>
      </w:r>
      <w:r w:rsidRPr="009053B3">
        <w:t>cure starts Year 8 for osimertinib and Year 5 for placebo with a one year transition to cure period was $</w:t>
      </w:r>
      <w:r w:rsidR="007665CA" w:rsidRPr="007665CA">
        <w:t>95,000</w:t>
      </w:r>
      <w:r w:rsidR="007B595C">
        <w:t> </w:t>
      </w:r>
      <w:r w:rsidR="007665CA" w:rsidRPr="007665CA">
        <w:t>to</w:t>
      </w:r>
      <w:r w:rsidR="007B595C">
        <w:t> </w:t>
      </w:r>
      <w:r w:rsidR="007665CA" w:rsidRPr="007665CA">
        <w:t>&lt;</w:t>
      </w:r>
      <w:r w:rsidR="007B595C">
        <w:t> </w:t>
      </w:r>
      <w:r w:rsidR="007665CA" w:rsidRPr="007665CA">
        <w:t xml:space="preserve">$115,000 </w:t>
      </w:r>
      <w:r w:rsidRPr="009053B3">
        <w:t xml:space="preserve"> per QALY. The ESC considered that, while the cure assumption may be conservative, given the uncertainty regarding the longer-term consequences of adjuvant therapy, it might be a </w:t>
      </w:r>
      <w:r w:rsidR="007715E1" w:rsidRPr="009053B3">
        <w:t xml:space="preserve">more </w:t>
      </w:r>
      <w:r w:rsidRPr="009053B3">
        <w:t>reasonable estimate of the cost effective</w:t>
      </w:r>
      <w:r w:rsidR="00444EF6" w:rsidRPr="009053B3">
        <w:t>ness</w:t>
      </w:r>
      <w:r w:rsidRPr="009053B3">
        <w:t xml:space="preserve"> of osimertinib</w:t>
      </w:r>
      <w:r>
        <w:rPr>
          <w:i/>
          <w:iCs/>
        </w:rPr>
        <w:t>.</w:t>
      </w:r>
      <w:bookmarkEnd w:id="57"/>
      <w:r>
        <w:rPr>
          <w:i/>
          <w:iCs/>
        </w:rPr>
        <w:t xml:space="preserve"> </w:t>
      </w:r>
    </w:p>
    <w:p w14:paraId="64DE6952" w14:textId="471B63F8" w:rsidR="00220469" w:rsidRPr="00220469" w:rsidRDefault="00220469" w:rsidP="00B96447">
      <w:pPr>
        <w:pStyle w:val="3-BodyText"/>
        <w:rPr>
          <w:i/>
          <w:iCs/>
        </w:rPr>
      </w:pPr>
      <w:bookmarkStart w:id="58" w:name="_Ref151455879"/>
      <w:r>
        <w:t>The pre-PBAC response proposed</w:t>
      </w:r>
      <w:r w:rsidRPr="00220469">
        <w:t xml:space="preserve"> a revised base-case </w:t>
      </w:r>
      <w:r>
        <w:t xml:space="preserve">economic model </w:t>
      </w:r>
      <w:r w:rsidRPr="00220469">
        <w:t>with</w:t>
      </w:r>
      <w:r>
        <w:t xml:space="preserve"> (i) </w:t>
      </w:r>
      <w:r w:rsidRPr="00220469">
        <w:t>a 15 year time horizon</w:t>
      </w:r>
      <w:r>
        <w:t xml:space="preserve"> (ii) removal of </w:t>
      </w:r>
      <w:r w:rsidRPr="00220469">
        <w:t>the cure</w:t>
      </w:r>
      <w:r>
        <w:t xml:space="preserve"> assumption from the </w:t>
      </w:r>
      <w:r w:rsidRPr="00220469">
        <w:t xml:space="preserve">LRR </w:t>
      </w:r>
      <w:r>
        <w:t>health state (iii) the transition to cure</w:t>
      </w:r>
      <w:r w:rsidRPr="00220469">
        <w:t xml:space="preserve"> period extended to 24 months in the osimertinib arm, with no change to the placebo arm</w:t>
      </w:r>
      <w:r>
        <w:t xml:space="preserve"> and (iv) a </w:t>
      </w:r>
      <w:r w:rsidR="00E927A0" w:rsidRPr="001E77BF">
        <w:rPr>
          <w:color w:val="000000"/>
          <w:w w:val="15"/>
          <w:shd w:val="solid" w:color="000000" w:fill="000000"/>
          <w:fitText w:val="-20" w:id="-1032092405"/>
          <w14:textFill>
            <w14:solidFill>
              <w14:srgbClr w14:val="000000">
                <w14:alpha w14:val="100000"/>
              </w14:srgbClr>
            </w14:solidFill>
          </w14:textFill>
        </w:rPr>
        <w:t xml:space="preserve">|  </w:t>
      </w:r>
      <w:r w:rsidR="00E927A0" w:rsidRPr="001E77BF">
        <w:rPr>
          <w:color w:val="000000"/>
          <w:spacing w:val="-69"/>
          <w:w w:val="15"/>
          <w:shd w:val="solid" w:color="000000" w:fill="000000"/>
          <w:fitText w:val="-20" w:id="-1032092405"/>
          <w14:textFill>
            <w14:solidFill>
              <w14:srgbClr w14:val="000000">
                <w14:alpha w14:val="100000"/>
              </w14:srgbClr>
            </w14:solidFill>
          </w14:textFill>
        </w:rPr>
        <w:t>|</w:t>
      </w:r>
      <w:r>
        <w:t xml:space="preserve">% reduction in the price </w:t>
      </w:r>
      <w:r w:rsidRPr="00220469">
        <w:t>per pack of osimertinib (</w:t>
      </w:r>
      <w:r>
        <w:t xml:space="preserve">resulting in a </w:t>
      </w:r>
      <w:r w:rsidRPr="00220469">
        <w:t xml:space="preserve">DMPQ </w:t>
      </w:r>
      <w:r>
        <w:t xml:space="preserve">of </w:t>
      </w:r>
      <w:r w:rsidRPr="00220469">
        <w:t>$</w:t>
      </w:r>
      <w:r w:rsidR="00E927A0" w:rsidRPr="001E77BF">
        <w:rPr>
          <w:color w:val="000000"/>
          <w:w w:val="15"/>
          <w:shd w:val="solid" w:color="000000" w:fill="000000"/>
          <w:fitText w:val="-20" w:id="-1032092404"/>
          <w14:textFill>
            <w14:solidFill>
              <w14:srgbClr w14:val="000000">
                <w14:alpha w14:val="100000"/>
              </w14:srgbClr>
            </w14:solidFill>
          </w14:textFill>
        </w:rPr>
        <w:t xml:space="preserve">|  </w:t>
      </w:r>
      <w:r w:rsidR="00E927A0" w:rsidRPr="001E77BF">
        <w:rPr>
          <w:color w:val="000000"/>
          <w:spacing w:val="-69"/>
          <w:w w:val="15"/>
          <w:shd w:val="solid" w:color="000000" w:fill="000000"/>
          <w:fitText w:val="-20" w:id="-1032092404"/>
          <w14:textFill>
            <w14:solidFill>
              <w14:srgbClr w14:val="000000">
                <w14:alpha w14:val="100000"/>
              </w14:srgbClr>
            </w14:solidFill>
          </w14:textFill>
        </w:rPr>
        <w:t>|</w:t>
      </w:r>
      <w:r w:rsidRPr="00220469">
        <w:t>).</w:t>
      </w:r>
      <w:r>
        <w:t xml:space="preserve"> The pre-PBAC response stated these changes resulted in an ICER of $</w:t>
      </w:r>
      <w:r w:rsidR="007665CA" w:rsidRPr="007665CA">
        <w:t>35,000</w:t>
      </w:r>
      <w:r w:rsidR="007B595C">
        <w:t> </w:t>
      </w:r>
      <w:r w:rsidR="007665CA" w:rsidRPr="007665CA">
        <w:t>to</w:t>
      </w:r>
      <w:r w:rsidR="007B595C">
        <w:t> </w:t>
      </w:r>
      <w:r w:rsidR="007665CA" w:rsidRPr="007665CA">
        <w:t>&lt;</w:t>
      </w:r>
      <w:r w:rsidR="007B595C">
        <w:t> </w:t>
      </w:r>
      <w:r w:rsidR="007665CA" w:rsidRPr="007665CA">
        <w:t>$45,000</w:t>
      </w:r>
      <w:r w:rsidR="007665CA">
        <w:t xml:space="preserve"> </w:t>
      </w:r>
      <w:r>
        <w:t xml:space="preserve"> per QALY.</w:t>
      </w:r>
      <w:bookmarkEnd w:id="58"/>
      <w:r>
        <w:t xml:space="preserve">   </w:t>
      </w:r>
    </w:p>
    <w:p w14:paraId="165F5665" w14:textId="52063DCD" w:rsidR="006A43D9" w:rsidRPr="0046603D" w:rsidRDefault="00C25D9C" w:rsidP="0046603D">
      <w:pPr>
        <w:pStyle w:val="4-SubsectionHeading"/>
      </w:pPr>
      <w:bookmarkStart w:id="59" w:name="_Toc22897646"/>
      <w:bookmarkStart w:id="60" w:name="_Toc145434789"/>
      <w:r w:rsidRPr="002C2775">
        <w:t>Drug cost/patient/</w:t>
      </w:r>
      <w:r w:rsidR="001C623B">
        <w:t>course</w:t>
      </w:r>
      <w:bookmarkStart w:id="61" w:name="_Ref104805102"/>
      <w:bookmarkEnd w:id="59"/>
      <w:bookmarkEnd w:id="60"/>
    </w:p>
    <w:p w14:paraId="7E4C6BA0" w14:textId="290C1460" w:rsidR="0015299D" w:rsidRPr="002455B7" w:rsidRDefault="0015299D" w:rsidP="002455B7">
      <w:pPr>
        <w:pStyle w:val="3-BodyText"/>
        <w:rPr>
          <w:i/>
        </w:rPr>
      </w:pPr>
      <w:bookmarkStart w:id="62" w:name="_Hlk107307804"/>
      <w:bookmarkEnd w:id="61"/>
      <w:r>
        <w:t xml:space="preserve">The submission estimated that the </w:t>
      </w:r>
      <w:r w:rsidRPr="00A87033">
        <w:t>drug acquisition cost</w:t>
      </w:r>
      <w:r>
        <w:t xml:space="preserve"> would be </w:t>
      </w:r>
      <w:r w:rsidRPr="00A87033">
        <w:t>$</w:t>
      </w:r>
      <w:r w:rsidR="00E927A0" w:rsidRPr="00E927A0">
        <w:rPr>
          <w:color w:val="000000"/>
          <w:w w:val="60"/>
          <w:shd w:val="solid" w:color="000000" w:fill="000000"/>
          <w:fitText w:val="465" w:id="-1032092403"/>
          <w14:textFill>
            <w14:solidFill>
              <w14:srgbClr w14:val="000000">
                <w14:alpha w14:val="100000"/>
              </w14:srgbClr>
            </w14:solidFill>
          </w14:textFill>
        </w:rPr>
        <w:t>|||  ||</w:t>
      </w:r>
      <w:r w:rsidR="00E927A0" w:rsidRPr="00E927A0">
        <w:rPr>
          <w:color w:val="000000"/>
          <w:spacing w:val="1"/>
          <w:w w:val="60"/>
          <w:shd w:val="solid" w:color="000000" w:fill="000000"/>
          <w:fitText w:val="465" w:id="-1032092403"/>
          <w14:textFill>
            <w14:solidFill>
              <w14:srgbClr w14:val="000000">
                <w14:alpha w14:val="100000"/>
              </w14:srgbClr>
            </w14:solidFill>
          </w14:textFill>
        </w:rPr>
        <w:t>|</w:t>
      </w:r>
      <w:r>
        <w:t xml:space="preserve"> per year</w:t>
      </w:r>
      <w:r w:rsidR="001C623B">
        <w:t xml:space="preserve"> (</w:t>
      </w:r>
      <w:r w:rsidR="0046603D">
        <w:t>a</w:t>
      </w:r>
      <w:r w:rsidR="002D3A6B">
        <w:t xml:space="preserve">ccounting for </w:t>
      </w:r>
      <w:r w:rsidR="0046603D">
        <w:t>a dose intensity of 98.9%</w:t>
      </w:r>
      <w:r w:rsidR="001C623B">
        <w:t xml:space="preserve">), </w:t>
      </w:r>
      <w:r w:rsidR="000C2727">
        <w:t>with</w:t>
      </w:r>
      <w:r w:rsidR="001C623B">
        <w:t xml:space="preserve"> a total cost of </w:t>
      </w:r>
      <w:r w:rsidR="001C623B" w:rsidRPr="008129A2">
        <w:t>$</w:t>
      </w:r>
      <w:r w:rsidR="00E927A0" w:rsidRPr="001E77BF">
        <w:rPr>
          <w:color w:val="000000"/>
          <w:w w:val="15"/>
          <w:shd w:val="solid" w:color="000000" w:fill="000000"/>
          <w:fitText w:val="-20" w:id="-1032092402"/>
          <w14:textFill>
            <w14:solidFill>
              <w14:srgbClr w14:val="000000">
                <w14:alpha w14:val="100000"/>
              </w14:srgbClr>
            </w14:solidFill>
          </w14:textFill>
        </w:rPr>
        <w:t xml:space="preserve">|  </w:t>
      </w:r>
      <w:r w:rsidR="00E927A0" w:rsidRPr="001E77BF">
        <w:rPr>
          <w:color w:val="000000"/>
          <w:spacing w:val="-69"/>
          <w:w w:val="15"/>
          <w:shd w:val="solid" w:color="000000" w:fill="000000"/>
          <w:fitText w:val="-20" w:id="-1032092402"/>
          <w14:textFill>
            <w14:solidFill>
              <w14:srgbClr w14:val="000000">
                <w14:alpha w14:val="100000"/>
              </w14:srgbClr>
            </w14:solidFill>
          </w14:textFill>
        </w:rPr>
        <w:t>|</w:t>
      </w:r>
      <w:r w:rsidR="001C623B">
        <w:t xml:space="preserve"> </w:t>
      </w:r>
      <w:r w:rsidR="004D54D3" w:rsidRPr="00D33CD0">
        <w:t>assuming a treatment duration</w:t>
      </w:r>
      <w:r w:rsidR="004D54D3" w:rsidRPr="004D54D3">
        <w:rPr>
          <w:i/>
          <w:iCs/>
        </w:rPr>
        <w:t xml:space="preserve"> of</w:t>
      </w:r>
      <w:r w:rsidR="004D54D3">
        <w:t xml:space="preserve"> </w:t>
      </w:r>
      <w:r w:rsidR="001C623B">
        <w:t>3 years</w:t>
      </w:r>
      <w:r w:rsidR="0046603D">
        <w:t xml:space="preserve">. </w:t>
      </w:r>
      <w:r>
        <w:t>A comparison of the drug cost estimated</w:t>
      </w:r>
      <w:r w:rsidR="0046603D">
        <w:t xml:space="preserve"> </w:t>
      </w:r>
      <w:r>
        <w:t>in the economic evaluation and in the financial analysis is presented in</w:t>
      </w:r>
      <w:r w:rsidR="002455B7">
        <w:t xml:space="preserve"> </w:t>
      </w:r>
      <w:r w:rsidR="002455B7" w:rsidRPr="002455B7">
        <w:fldChar w:fldCharType="begin" w:fldLock="1"/>
      </w:r>
      <w:r w:rsidR="002455B7" w:rsidRPr="002455B7">
        <w:instrText xml:space="preserve"> REF _Ref144728777 \h </w:instrText>
      </w:r>
      <w:r w:rsidR="002455B7">
        <w:instrText xml:space="preserve"> \* MERGEFORMAT </w:instrText>
      </w:r>
      <w:r w:rsidR="002455B7" w:rsidRPr="002455B7">
        <w:fldChar w:fldCharType="separate"/>
      </w:r>
      <w:r w:rsidR="002455B7" w:rsidRPr="002455B7">
        <w:t xml:space="preserve">Table </w:t>
      </w:r>
      <w:r w:rsidR="002455B7" w:rsidRPr="002455B7">
        <w:rPr>
          <w:noProof/>
        </w:rPr>
        <w:t>13</w:t>
      </w:r>
      <w:r w:rsidR="002455B7" w:rsidRPr="002455B7">
        <w:fldChar w:fldCharType="end"/>
      </w:r>
      <w:r w:rsidR="00B718ED">
        <w:t>.</w:t>
      </w:r>
      <w:r w:rsidRPr="002455B7">
        <w:t xml:space="preserve"> </w:t>
      </w:r>
      <w:r w:rsidRPr="002455B7">
        <w:rPr>
          <w:i/>
        </w:rPr>
        <w:t xml:space="preserve"> </w:t>
      </w:r>
    </w:p>
    <w:p w14:paraId="11DEDD87" w14:textId="2A49921E" w:rsidR="0046603D" w:rsidRPr="002455B7" w:rsidRDefault="0046603D" w:rsidP="0046603D">
      <w:pPr>
        <w:pStyle w:val="Caption"/>
        <w:rPr>
          <w:rStyle w:val="CommentReference"/>
          <w:b/>
          <w:szCs w:val="24"/>
        </w:rPr>
      </w:pPr>
      <w:bookmarkStart w:id="63" w:name="_Ref144728777"/>
      <w:r w:rsidRPr="002455B7">
        <w:t xml:space="preserve">Table </w:t>
      </w:r>
      <w:r w:rsidR="001E77BF">
        <w:fldChar w:fldCharType="begin" w:fldLock="1"/>
      </w:r>
      <w:r w:rsidR="001E77BF">
        <w:instrText xml:space="preserve"> SEQ Table \* ARABIC </w:instrText>
      </w:r>
      <w:r w:rsidR="001E77BF">
        <w:fldChar w:fldCharType="separate"/>
      </w:r>
      <w:r w:rsidR="002455B7" w:rsidRPr="002455B7">
        <w:rPr>
          <w:noProof/>
        </w:rPr>
        <w:t>13</w:t>
      </w:r>
      <w:r w:rsidR="001E77BF">
        <w:rPr>
          <w:noProof/>
        </w:rPr>
        <w:fldChar w:fldCharType="end"/>
      </w:r>
      <w:bookmarkEnd w:id="63"/>
      <w:r w:rsidRPr="002455B7">
        <w:t>:</w:t>
      </w:r>
      <w:r w:rsidRPr="002455B7">
        <w:rPr>
          <w:rStyle w:val="CommentReference"/>
          <w:b/>
          <w:szCs w:val="24"/>
        </w:rPr>
        <w:t xml:space="preserve"> Drug cost per patient for adjuvant osimertinib</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3517"/>
        <w:gridCol w:w="1971"/>
        <w:gridCol w:w="1834"/>
        <w:gridCol w:w="1695"/>
      </w:tblGrid>
      <w:tr w:rsidR="0046603D" w:rsidRPr="00E2771E" w14:paraId="639834FD" w14:textId="77777777" w:rsidTr="00602851">
        <w:trPr>
          <w:cantSplit/>
          <w:tblHeader/>
        </w:trPr>
        <w:tc>
          <w:tcPr>
            <w:tcW w:w="1950" w:type="pct"/>
            <w:shd w:val="clear" w:color="auto" w:fill="auto"/>
            <w:vAlign w:val="center"/>
          </w:tcPr>
          <w:p w14:paraId="2DE52D1B" w14:textId="77777777" w:rsidR="0046603D" w:rsidRPr="002455B7" w:rsidRDefault="0046603D" w:rsidP="00CC59B3">
            <w:pPr>
              <w:pStyle w:val="In-tableHeading"/>
              <w:jc w:val="center"/>
            </w:pPr>
          </w:p>
        </w:tc>
        <w:tc>
          <w:tcPr>
            <w:tcW w:w="1093" w:type="pct"/>
            <w:shd w:val="clear" w:color="auto" w:fill="auto"/>
            <w:vAlign w:val="center"/>
          </w:tcPr>
          <w:p w14:paraId="4C002CF7" w14:textId="77777777" w:rsidR="0046603D" w:rsidRPr="002455B7" w:rsidRDefault="0046603D" w:rsidP="00CC59B3">
            <w:pPr>
              <w:pStyle w:val="In-tableHeading"/>
              <w:jc w:val="center"/>
            </w:pPr>
            <w:r w:rsidRPr="002455B7">
              <w:t>Trial dose and duration</w:t>
            </w:r>
          </w:p>
        </w:tc>
        <w:tc>
          <w:tcPr>
            <w:tcW w:w="1017" w:type="pct"/>
            <w:shd w:val="clear" w:color="auto" w:fill="auto"/>
            <w:vAlign w:val="center"/>
          </w:tcPr>
          <w:p w14:paraId="3DC9D67F" w14:textId="77777777" w:rsidR="0046603D" w:rsidRPr="002455B7" w:rsidRDefault="0046603D" w:rsidP="00CC59B3">
            <w:pPr>
              <w:pStyle w:val="In-tableHeading"/>
              <w:jc w:val="center"/>
            </w:pPr>
            <w:r w:rsidRPr="002455B7">
              <w:t>Model</w:t>
            </w:r>
          </w:p>
        </w:tc>
        <w:tc>
          <w:tcPr>
            <w:tcW w:w="940" w:type="pct"/>
            <w:shd w:val="clear" w:color="auto" w:fill="auto"/>
            <w:vAlign w:val="center"/>
          </w:tcPr>
          <w:p w14:paraId="0336AD04" w14:textId="77777777" w:rsidR="0046603D" w:rsidRPr="00E2771E" w:rsidRDefault="0046603D" w:rsidP="00CC59B3">
            <w:pPr>
              <w:pStyle w:val="In-tableHeading"/>
              <w:jc w:val="center"/>
            </w:pPr>
            <w:r w:rsidRPr="002455B7">
              <w:t>Financial estimates</w:t>
            </w:r>
          </w:p>
        </w:tc>
      </w:tr>
      <w:tr w:rsidR="0046603D" w:rsidRPr="00E2771E" w14:paraId="4FA490C9" w14:textId="77777777" w:rsidTr="00602851">
        <w:trPr>
          <w:cantSplit/>
        </w:trPr>
        <w:tc>
          <w:tcPr>
            <w:tcW w:w="1950" w:type="pct"/>
            <w:shd w:val="clear" w:color="auto" w:fill="auto"/>
            <w:vAlign w:val="center"/>
          </w:tcPr>
          <w:p w14:paraId="6135B324" w14:textId="77777777" w:rsidR="0046603D" w:rsidRPr="001F5BDA" w:rsidRDefault="0046603D" w:rsidP="00CC59B3">
            <w:pPr>
              <w:pStyle w:val="TableText0"/>
              <w:rPr>
                <w:lang w:val="en-US"/>
              </w:rPr>
            </w:pPr>
            <w:r w:rsidRPr="001F5BDA">
              <w:rPr>
                <w:lang w:val="en-US"/>
              </w:rPr>
              <w:t>Mean dose</w:t>
            </w:r>
          </w:p>
        </w:tc>
        <w:tc>
          <w:tcPr>
            <w:tcW w:w="1093" w:type="pct"/>
            <w:shd w:val="clear" w:color="auto" w:fill="auto"/>
            <w:vAlign w:val="center"/>
          </w:tcPr>
          <w:p w14:paraId="642645C4" w14:textId="77777777" w:rsidR="0046603D" w:rsidRPr="0015299D" w:rsidRDefault="0046603D" w:rsidP="00CC59B3">
            <w:pPr>
              <w:pStyle w:val="TableText0"/>
              <w:jc w:val="center"/>
              <w:rPr>
                <w:bCs w:val="0"/>
                <w:lang w:val="en-US"/>
              </w:rPr>
            </w:pPr>
            <w:r w:rsidRPr="0015299D">
              <w:rPr>
                <w:bCs w:val="0"/>
                <w:lang w:val="en-US"/>
              </w:rPr>
              <w:t xml:space="preserve">80 mg/day </w:t>
            </w:r>
          </w:p>
        </w:tc>
        <w:tc>
          <w:tcPr>
            <w:tcW w:w="1017" w:type="pct"/>
            <w:shd w:val="clear" w:color="auto" w:fill="auto"/>
            <w:vAlign w:val="center"/>
          </w:tcPr>
          <w:p w14:paraId="2B4F5A4E" w14:textId="77777777" w:rsidR="0046603D" w:rsidRPr="0015299D" w:rsidRDefault="0046603D" w:rsidP="00CC59B3">
            <w:pPr>
              <w:pStyle w:val="TableText0"/>
              <w:jc w:val="center"/>
              <w:rPr>
                <w:bCs w:val="0"/>
                <w:lang w:val="en-US"/>
              </w:rPr>
            </w:pPr>
            <w:r w:rsidRPr="0015299D">
              <w:rPr>
                <w:bCs w:val="0"/>
                <w:lang w:val="en-US"/>
              </w:rPr>
              <w:t>80 mg/day</w:t>
            </w:r>
          </w:p>
        </w:tc>
        <w:tc>
          <w:tcPr>
            <w:tcW w:w="940" w:type="pct"/>
            <w:shd w:val="clear" w:color="auto" w:fill="auto"/>
            <w:vAlign w:val="center"/>
          </w:tcPr>
          <w:p w14:paraId="1E481D9B" w14:textId="77777777" w:rsidR="0046603D" w:rsidRPr="0015299D" w:rsidRDefault="0046603D" w:rsidP="00CC59B3">
            <w:pPr>
              <w:pStyle w:val="TableText0"/>
              <w:jc w:val="center"/>
              <w:rPr>
                <w:bCs w:val="0"/>
                <w:lang w:val="en-US"/>
              </w:rPr>
            </w:pPr>
            <w:r w:rsidRPr="0015299D">
              <w:rPr>
                <w:bCs w:val="0"/>
                <w:lang w:val="en-US"/>
              </w:rPr>
              <w:t>80 mg/day</w:t>
            </w:r>
          </w:p>
        </w:tc>
      </w:tr>
      <w:tr w:rsidR="0046603D" w:rsidRPr="00E2771E" w14:paraId="4814399F" w14:textId="77777777" w:rsidTr="00602851">
        <w:trPr>
          <w:cantSplit/>
        </w:trPr>
        <w:tc>
          <w:tcPr>
            <w:tcW w:w="1950" w:type="pct"/>
            <w:shd w:val="clear" w:color="auto" w:fill="auto"/>
            <w:vAlign w:val="center"/>
          </w:tcPr>
          <w:p w14:paraId="775341D0" w14:textId="77777777" w:rsidR="0046603D" w:rsidRPr="001F5BDA" w:rsidRDefault="0046603D" w:rsidP="00CC59B3">
            <w:pPr>
              <w:pStyle w:val="TableText0"/>
              <w:rPr>
                <w:lang w:val="en-US"/>
              </w:rPr>
            </w:pPr>
            <w:r w:rsidRPr="001F5BDA">
              <w:rPr>
                <w:lang w:val="en-US"/>
              </w:rPr>
              <w:t>Mean duration</w:t>
            </w:r>
          </w:p>
        </w:tc>
        <w:tc>
          <w:tcPr>
            <w:tcW w:w="1093" w:type="pct"/>
            <w:shd w:val="clear" w:color="auto" w:fill="auto"/>
            <w:vAlign w:val="center"/>
          </w:tcPr>
          <w:p w14:paraId="5010BDC0" w14:textId="77777777" w:rsidR="0046603D" w:rsidRPr="0015299D" w:rsidRDefault="0046603D" w:rsidP="00CC59B3">
            <w:pPr>
              <w:pStyle w:val="TableText0"/>
              <w:jc w:val="center"/>
              <w:rPr>
                <w:bCs w:val="0"/>
                <w:lang w:val="en-US"/>
              </w:rPr>
            </w:pPr>
            <w:r w:rsidRPr="0015299D">
              <w:rPr>
                <w:bCs w:val="0"/>
                <w:lang w:val="en-US"/>
              </w:rPr>
              <w:t>28.4 months</w:t>
            </w:r>
          </w:p>
        </w:tc>
        <w:tc>
          <w:tcPr>
            <w:tcW w:w="1017" w:type="pct"/>
            <w:shd w:val="clear" w:color="auto" w:fill="auto"/>
            <w:vAlign w:val="center"/>
          </w:tcPr>
          <w:p w14:paraId="2D4C4BE3" w14:textId="77777777" w:rsidR="0046603D" w:rsidRPr="0015299D" w:rsidRDefault="0046603D" w:rsidP="00CC59B3">
            <w:pPr>
              <w:pStyle w:val="TableText0"/>
              <w:jc w:val="center"/>
              <w:rPr>
                <w:bCs w:val="0"/>
                <w:lang w:val="en-US"/>
              </w:rPr>
            </w:pPr>
            <w:r>
              <w:rPr>
                <w:bCs w:val="0"/>
                <w:lang w:val="en-US"/>
              </w:rPr>
              <w:t>28.7 months</w:t>
            </w:r>
          </w:p>
        </w:tc>
        <w:tc>
          <w:tcPr>
            <w:tcW w:w="940" w:type="pct"/>
            <w:shd w:val="clear" w:color="auto" w:fill="auto"/>
            <w:vAlign w:val="center"/>
          </w:tcPr>
          <w:p w14:paraId="630814D6" w14:textId="77777777" w:rsidR="0046603D" w:rsidRPr="0015299D" w:rsidRDefault="0046603D" w:rsidP="00CC59B3">
            <w:pPr>
              <w:pStyle w:val="TableText0"/>
              <w:jc w:val="center"/>
              <w:rPr>
                <w:bCs w:val="0"/>
                <w:lang w:val="en-US"/>
              </w:rPr>
            </w:pPr>
            <w:r>
              <w:rPr>
                <w:bCs w:val="0"/>
                <w:lang w:val="en-US"/>
              </w:rPr>
              <w:t>28.7 months</w:t>
            </w:r>
          </w:p>
        </w:tc>
      </w:tr>
      <w:tr w:rsidR="0046603D" w:rsidRPr="00E2771E" w14:paraId="7CD03339" w14:textId="77777777" w:rsidTr="00E927A0">
        <w:trPr>
          <w:cantSplit/>
        </w:trPr>
        <w:tc>
          <w:tcPr>
            <w:tcW w:w="1950" w:type="pct"/>
            <w:shd w:val="clear" w:color="auto" w:fill="auto"/>
            <w:vAlign w:val="center"/>
          </w:tcPr>
          <w:p w14:paraId="4AF36779" w14:textId="77777777" w:rsidR="0046603D" w:rsidRPr="00E2771E" w:rsidRDefault="0046603D" w:rsidP="00CC59B3">
            <w:pPr>
              <w:pStyle w:val="TableText0"/>
              <w:rPr>
                <w:lang w:val="en-US"/>
              </w:rPr>
            </w:pPr>
            <w:r>
              <w:rPr>
                <w:lang w:val="en-US"/>
              </w:rPr>
              <w:t>Cost/patient/year</w:t>
            </w:r>
          </w:p>
        </w:tc>
        <w:tc>
          <w:tcPr>
            <w:tcW w:w="1093" w:type="pct"/>
            <w:shd w:val="clear" w:color="auto" w:fill="auto"/>
            <w:vAlign w:val="center"/>
          </w:tcPr>
          <w:p w14:paraId="76D55735" w14:textId="77777777" w:rsidR="0046603D" w:rsidRPr="00E2771E" w:rsidRDefault="0046603D" w:rsidP="00CC59B3">
            <w:pPr>
              <w:pStyle w:val="TableText0"/>
              <w:jc w:val="center"/>
              <w:rPr>
                <w:lang w:val="en-US"/>
              </w:rPr>
            </w:pPr>
            <w:r>
              <w:rPr>
                <w:lang w:val="en-US"/>
              </w:rPr>
              <w:t>-</w:t>
            </w:r>
          </w:p>
        </w:tc>
        <w:tc>
          <w:tcPr>
            <w:tcW w:w="1017" w:type="pct"/>
            <w:shd w:val="clear" w:color="auto" w:fill="auto"/>
            <w:vAlign w:val="center"/>
          </w:tcPr>
          <w:p w14:paraId="717F8CAE" w14:textId="0B630F1A" w:rsidR="0046603D" w:rsidRPr="00E2771E" w:rsidRDefault="0046603D" w:rsidP="00CC59B3">
            <w:pPr>
              <w:pStyle w:val="TableText0"/>
              <w:jc w:val="center"/>
              <w:rPr>
                <w:lang w:val="en-US"/>
              </w:rPr>
            </w:pPr>
            <w:r w:rsidRPr="00922D8C">
              <w:rPr>
                <w:lang w:val="en-US"/>
              </w:rPr>
              <w:t>$</w:t>
            </w:r>
            <w:r w:rsidR="00E927A0" w:rsidRPr="00E927A0">
              <w:rPr>
                <w:color w:val="000000"/>
                <w:shd w:val="solid" w:color="000000" w:fill="000000"/>
                <w:lang w:val="en-US"/>
                <w14:textFill>
                  <w14:solidFill>
                    <w14:srgbClr w14:val="000000">
                      <w14:alpha w14:val="100000"/>
                    </w14:srgbClr>
                  </w14:solidFill>
                </w14:textFill>
              </w:rPr>
              <w:t>|</w:t>
            </w:r>
            <w:r>
              <w:rPr>
                <w:lang w:val="en-US"/>
              </w:rPr>
              <w:t>*</w:t>
            </w:r>
          </w:p>
        </w:tc>
        <w:tc>
          <w:tcPr>
            <w:tcW w:w="940" w:type="pct"/>
            <w:tcBorders>
              <w:bottom w:val="single" w:sz="4" w:space="0" w:color="auto"/>
            </w:tcBorders>
            <w:shd w:val="clear" w:color="auto" w:fill="auto"/>
            <w:vAlign w:val="center"/>
          </w:tcPr>
          <w:p w14:paraId="4544D5F0" w14:textId="151ACE2D" w:rsidR="0046603D" w:rsidRPr="00E2771E" w:rsidRDefault="00E927A0" w:rsidP="00CC59B3">
            <w:pPr>
              <w:pStyle w:val="TableText0"/>
              <w:jc w:val="center"/>
              <w:rPr>
                <w:lang w:val="en-US"/>
              </w:rPr>
            </w:pPr>
            <w:r w:rsidRPr="00E927A0">
              <w:rPr>
                <w:color w:val="000000"/>
                <w:shd w:val="solid" w:color="000000" w:fill="000000"/>
                <w:lang w:val="en-US"/>
                <w14:textFill>
                  <w14:solidFill>
                    <w14:srgbClr w14:val="000000">
                      <w14:alpha w14:val="100000"/>
                    </w14:srgbClr>
                  </w14:solidFill>
                </w14:textFill>
              </w:rPr>
              <w:t>|</w:t>
            </w:r>
            <w:r w:rsidR="007665CA">
              <w:rPr>
                <w:lang w:val="en-US"/>
              </w:rPr>
              <w:t xml:space="preserve"> </w:t>
            </w:r>
          </w:p>
        </w:tc>
      </w:tr>
      <w:tr w:rsidR="00044EBA" w:rsidRPr="00E2771E" w14:paraId="59F2BCA1" w14:textId="77777777" w:rsidTr="00E927A0">
        <w:trPr>
          <w:cantSplit/>
        </w:trPr>
        <w:tc>
          <w:tcPr>
            <w:tcW w:w="1950" w:type="pct"/>
            <w:shd w:val="clear" w:color="auto" w:fill="auto"/>
            <w:vAlign w:val="center"/>
          </w:tcPr>
          <w:p w14:paraId="3D58F654" w14:textId="53351F27" w:rsidR="00044EBA" w:rsidRDefault="00044EBA" w:rsidP="00CC59B3">
            <w:pPr>
              <w:pStyle w:val="TableText0"/>
              <w:rPr>
                <w:lang w:val="en-US"/>
              </w:rPr>
            </w:pPr>
            <w:r>
              <w:rPr>
                <w:lang w:val="en-US"/>
              </w:rPr>
              <w:t>Cost/patient/treatment course</w:t>
            </w:r>
            <w:r w:rsidR="001C623B">
              <w:rPr>
                <w:lang w:val="en-US"/>
              </w:rPr>
              <w:t xml:space="preserve"> (mean duration)</w:t>
            </w:r>
          </w:p>
        </w:tc>
        <w:tc>
          <w:tcPr>
            <w:tcW w:w="1093" w:type="pct"/>
            <w:shd w:val="clear" w:color="auto" w:fill="auto"/>
            <w:vAlign w:val="center"/>
          </w:tcPr>
          <w:p w14:paraId="18EEDAA5" w14:textId="156C757B" w:rsidR="00044EBA" w:rsidRDefault="00044EBA" w:rsidP="00CC59B3">
            <w:pPr>
              <w:pStyle w:val="TableText0"/>
              <w:jc w:val="center"/>
              <w:rPr>
                <w:lang w:val="en-US"/>
              </w:rPr>
            </w:pPr>
            <w:r>
              <w:rPr>
                <w:lang w:val="en-US"/>
              </w:rPr>
              <w:t>-</w:t>
            </w:r>
          </w:p>
        </w:tc>
        <w:tc>
          <w:tcPr>
            <w:tcW w:w="1017" w:type="pct"/>
            <w:shd w:val="clear" w:color="auto" w:fill="auto"/>
            <w:vAlign w:val="center"/>
          </w:tcPr>
          <w:p w14:paraId="1E46B586" w14:textId="3C252749" w:rsidR="00044EBA" w:rsidRDefault="00044EBA" w:rsidP="00CC59B3">
            <w:pPr>
              <w:pStyle w:val="TableText0"/>
              <w:jc w:val="center"/>
              <w:rPr>
                <w:lang w:val="en-US"/>
              </w:rPr>
            </w:pPr>
            <w:r w:rsidRPr="00922D8C">
              <w:rPr>
                <w:lang w:val="en-US"/>
              </w:rPr>
              <w:t>$</w:t>
            </w:r>
            <w:r w:rsidR="00E927A0" w:rsidRPr="00E927A0">
              <w:rPr>
                <w:color w:val="000000"/>
                <w:shd w:val="solid" w:color="000000" w:fill="000000"/>
                <w:lang w:val="en-US"/>
                <w14:textFill>
                  <w14:solidFill>
                    <w14:srgbClr w14:val="000000">
                      <w14:alpha w14:val="100000"/>
                    </w14:srgbClr>
                  </w14:solidFill>
                </w14:textFill>
              </w:rPr>
              <w:t>|</w:t>
            </w:r>
            <w:r>
              <w:rPr>
                <w:lang w:val="en-US"/>
              </w:rPr>
              <w:t>*</w:t>
            </w:r>
          </w:p>
        </w:tc>
        <w:tc>
          <w:tcPr>
            <w:tcW w:w="940" w:type="pct"/>
            <w:shd w:val="solid" w:color="000000" w:fill="000000"/>
            <w:vAlign w:val="center"/>
          </w:tcPr>
          <w:p w14:paraId="19AE9765" w14:textId="7F29CB3B" w:rsidR="00044EBA" w:rsidRDefault="00E927A0" w:rsidP="00CC59B3">
            <w:pPr>
              <w:pStyle w:val="TableText0"/>
              <w:jc w:val="center"/>
              <w:rPr>
                <w:lang w:val="en-US"/>
              </w:rPr>
            </w:pPr>
            <w:r w:rsidRPr="00E927A0">
              <w:rPr>
                <w:color w:val="000000"/>
                <w:lang w:val="en-US"/>
                <w14:textFill>
                  <w14:solidFill>
                    <w14:srgbClr w14:val="000000">
                      <w14:alpha w14:val="100000"/>
                    </w14:srgbClr>
                  </w14:solidFill>
                </w14:textFill>
              </w:rPr>
              <w:t>|</w:t>
            </w:r>
          </w:p>
        </w:tc>
      </w:tr>
    </w:tbl>
    <w:p w14:paraId="64DA9DC5" w14:textId="77777777" w:rsidR="0046603D" w:rsidRPr="000853E6" w:rsidRDefault="0046603D" w:rsidP="0046603D">
      <w:pPr>
        <w:pStyle w:val="FooterTableFigure"/>
      </w:pPr>
      <w:r w:rsidRPr="000853E6">
        <w:t>Source: compiled during the evaluation from Section 3 and financial models.</w:t>
      </w:r>
    </w:p>
    <w:p w14:paraId="2CF9466F" w14:textId="3D4031D0" w:rsidR="007665CA" w:rsidRPr="007665CA" w:rsidRDefault="0046603D" w:rsidP="007F2EEA">
      <w:pPr>
        <w:pStyle w:val="FooterTableFigure"/>
        <w:ind w:left="165" w:hanging="165"/>
        <w:rPr>
          <w:i/>
          <w:iCs/>
        </w:rPr>
      </w:pPr>
      <w:r w:rsidRPr="000853E6">
        <w:t>*</w:t>
      </w:r>
      <w:r w:rsidR="007F2EEA" w:rsidRPr="000853E6">
        <w:tab/>
      </w:r>
      <w:r w:rsidRPr="000853E6">
        <w:t>The model assumed a dose intensity of 98.9% based on the FLAURA trial, the submission stated that dose intensity data was not available from ADAURA.</w:t>
      </w:r>
      <w:bookmarkStart w:id="64" w:name="_Hlk155946218"/>
    </w:p>
    <w:p w14:paraId="268768EF" w14:textId="3626F292" w:rsidR="00B60939" w:rsidRPr="00C9624D" w:rsidRDefault="00B60939" w:rsidP="002B05A1">
      <w:pPr>
        <w:pStyle w:val="4-SubsectionHeading"/>
      </w:pPr>
      <w:bookmarkStart w:id="65" w:name="_Toc22897647"/>
      <w:bookmarkStart w:id="66" w:name="_Toc145434790"/>
      <w:bookmarkEnd w:id="62"/>
      <w:bookmarkEnd w:id="64"/>
      <w:r w:rsidRPr="00C9624D">
        <w:t>Estimated PBS usage &amp; financial implications</w:t>
      </w:r>
      <w:bookmarkEnd w:id="65"/>
      <w:bookmarkEnd w:id="66"/>
    </w:p>
    <w:p w14:paraId="0794F2EC" w14:textId="08D84ADB" w:rsidR="001D4E2F" w:rsidRPr="002455B7" w:rsidRDefault="00C25D9C" w:rsidP="002455B7">
      <w:pPr>
        <w:pStyle w:val="3-BodyText"/>
      </w:pPr>
      <w:r>
        <w:t xml:space="preserve">This submission </w:t>
      </w:r>
      <w:r w:rsidR="000816FF">
        <w:t xml:space="preserve">was </w:t>
      </w:r>
      <w:r>
        <w:t>not considered by DUSC</w:t>
      </w:r>
      <w:r w:rsidRPr="001D4E2F">
        <w:rPr>
          <w:color w:val="0070C0"/>
        </w:rPr>
        <w:t>.</w:t>
      </w:r>
      <w:r w:rsidR="00BC591F" w:rsidRPr="001D4E2F">
        <w:rPr>
          <w:color w:val="0070C0"/>
        </w:rPr>
        <w:t xml:space="preserve"> </w:t>
      </w:r>
      <w:r w:rsidR="001D4E2F" w:rsidRPr="0058641B">
        <w:t xml:space="preserve">The financial analysis </w:t>
      </w:r>
      <w:r w:rsidR="008E4599">
        <w:t xml:space="preserve">used </w:t>
      </w:r>
      <w:r w:rsidR="001D4E2F" w:rsidRPr="0058641B">
        <w:t xml:space="preserve">an epidemiological approach to estimate the financial impacts of the </w:t>
      </w:r>
      <w:r w:rsidR="001D4E2F">
        <w:t>proposed listing of adjuvant osimertinib</w:t>
      </w:r>
      <w:r w:rsidR="001D4E2F" w:rsidRPr="0058641B">
        <w:t xml:space="preserve">. The key inputs in the financial analysis are </w:t>
      </w:r>
      <w:r w:rsidR="001D4E2F" w:rsidRPr="002455B7">
        <w:t>summarised in</w:t>
      </w:r>
      <w:r w:rsidR="002455B7" w:rsidRPr="002455B7">
        <w:t xml:space="preserve"> </w:t>
      </w:r>
      <w:r w:rsidR="002455B7" w:rsidRPr="002455B7">
        <w:fldChar w:fldCharType="begin" w:fldLock="1"/>
      </w:r>
      <w:r w:rsidR="002455B7" w:rsidRPr="002455B7">
        <w:instrText xml:space="preserve"> REF _Ref104805262 \h </w:instrText>
      </w:r>
      <w:r w:rsidR="002455B7">
        <w:instrText xml:space="preserve"> \* MERGEFORMAT </w:instrText>
      </w:r>
      <w:r w:rsidR="002455B7" w:rsidRPr="002455B7">
        <w:fldChar w:fldCharType="separate"/>
      </w:r>
      <w:r w:rsidR="002455B7" w:rsidRPr="002455B7">
        <w:t xml:space="preserve">Table </w:t>
      </w:r>
      <w:r w:rsidR="002455B7" w:rsidRPr="002455B7">
        <w:rPr>
          <w:noProof/>
        </w:rPr>
        <w:t>14</w:t>
      </w:r>
      <w:r w:rsidR="002455B7" w:rsidRPr="002455B7">
        <w:fldChar w:fldCharType="end"/>
      </w:r>
      <w:r w:rsidR="001D4E2F" w:rsidRPr="002455B7">
        <w:t xml:space="preserve">. </w:t>
      </w:r>
    </w:p>
    <w:p w14:paraId="6BDF5B6D" w14:textId="0458900B" w:rsidR="007D2E70" w:rsidRDefault="00E16AD8" w:rsidP="007D2E70">
      <w:pPr>
        <w:pStyle w:val="TableFigureHeading"/>
      </w:pPr>
      <w:bookmarkStart w:id="67" w:name="_Ref104805262"/>
      <w:r w:rsidRPr="002455B7">
        <w:t xml:space="preserve">Table </w:t>
      </w:r>
      <w:r w:rsidR="001E77BF">
        <w:fldChar w:fldCharType="begin" w:fldLock="1"/>
      </w:r>
      <w:r w:rsidR="001E77BF">
        <w:instrText xml:space="preserve"> SEQ Table \* ARABIC </w:instrText>
      </w:r>
      <w:r w:rsidR="001E77BF">
        <w:fldChar w:fldCharType="separate"/>
      </w:r>
      <w:r w:rsidR="002455B7" w:rsidRPr="002455B7">
        <w:rPr>
          <w:noProof/>
        </w:rPr>
        <w:t>14</w:t>
      </w:r>
      <w:r w:rsidR="001E77BF">
        <w:rPr>
          <w:noProof/>
        </w:rPr>
        <w:fldChar w:fldCharType="end"/>
      </w:r>
      <w:bookmarkEnd w:id="67"/>
      <w:r w:rsidRPr="002455B7">
        <w:t>:</w:t>
      </w:r>
      <w:r w:rsidR="00E42F73" w:rsidRPr="002455B7">
        <w:rPr>
          <w:rStyle w:val="CommentReference"/>
          <w:b/>
          <w:szCs w:val="24"/>
        </w:rPr>
        <w:t xml:space="preserve"> Key inputs for financial estimates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ayout w:type="fixed"/>
        <w:tblCellMar>
          <w:left w:w="28" w:type="dxa"/>
          <w:right w:w="28" w:type="dxa"/>
        </w:tblCellMar>
        <w:tblLook w:val="0000" w:firstRow="0" w:lastRow="0" w:firstColumn="0" w:lastColumn="0" w:noHBand="0" w:noVBand="0"/>
      </w:tblPr>
      <w:tblGrid>
        <w:gridCol w:w="2049"/>
        <w:gridCol w:w="1277"/>
        <w:gridCol w:w="2591"/>
        <w:gridCol w:w="3100"/>
      </w:tblGrid>
      <w:tr w:rsidR="007D2E70" w:rsidRPr="00360E04" w14:paraId="1757A1B3" w14:textId="77777777" w:rsidTr="00CC59B3">
        <w:trPr>
          <w:tblHeader/>
        </w:trPr>
        <w:tc>
          <w:tcPr>
            <w:tcW w:w="1136" w:type="pct"/>
            <w:shd w:val="clear" w:color="auto" w:fill="FFFFFF" w:themeFill="background1"/>
          </w:tcPr>
          <w:p w14:paraId="72C3536A" w14:textId="77777777" w:rsidR="007D2E70" w:rsidRPr="001A6B03" w:rsidRDefault="007D2E70" w:rsidP="00CC59B3">
            <w:pPr>
              <w:pStyle w:val="TableText0"/>
              <w:keepNext w:val="0"/>
              <w:rPr>
                <w:b/>
                <w:szCs w:val="20"/>
              </w:rPr>
            </w:pPr>
            <w:r w:rsidRPr="001A6B03">
              <w:rPr>
                <w:b/>
                <w:szCs w:val="20"/>
              </w:rPr>
              <w:t>Data</w:t>
            </w:r>
          </w:p>
        </w:tc>
        <w:tc>
          <w:tcPr>
            <w:tcW w:w="708" w:type="pct"/>
            <w:shd w:val="clear" w:color="auto" w:fill="FFFFFF" w:themeFill="background1"/>
          </w:tcPr>
          <w:p w14:paraId="4A63FC39" w14:textId="77777777" w:rsidR="007D2E70" w:rsidRPr="001A6B03" w:rsidRDefault="007D2E70" w:rsidP="00CC59B3">
            <w:pPr>
              <w:pStyle w:val="TableText0"/>
              <w:keepNext w:val="0"/>
              <w:rPr>
                <w:b/>
                <w:szCs w:val="20"/>
              </w:rPr>
            </w:pPr>
            <w:r w:rsidRPr="001A6B03">
              <w:rPr>
                <w:b/>
                <w:szCs w:val="20"/>
              </w:rPr>
              <w:t>Value</w:t>
            </w:r>
          </w:p>
        </w:tc>
        <w:tc>
          <w:tcPr>
            <w:tcW w:w="1437" w:type="pct"/>
            <w:shd w:val="clear" w:color="auto" w:fill="FFFFFF" w:themeFill="background1"/>
          </w:tcPr>
          <w:p w14:paraId="78CFF424" w14:textId="77777777" w:rsidR="007D2E70" w:rsidRPr="001A6B03" w:rsidRDefault="007D2E70" w:rsidP="00CC59B3">
            <w:pPr>
              <w:pStyle w:val="TableText0"/>
              <w:keepNext w:val="0"/>
              <w:rPr>
                <w:b/>
                <w:szCs w:val="20"/>
              </w:rPr>
            </w:pPr>
            <w:r w:rsidRPr="001A6B03">
              <w:rPr>
                <w:b/>
                <w:szCs w:val="20"/>
              </w:rPr>
              <w:t>Source</w:t>
            </w:r>
          </w:p>
        </w:tc>
        <w:tc>
          <w:tcPr>
            <w:tcW w:w="1719" w:type="pct"/>
            <w:shd w:val="clear" w:color="auto" w:fill="FFFFFF" w:themeFill="background1"/>
          </w:tcPr>
          <w:p w14:paraId="5CD5F652" w14:textId="77777777" w:rsidR="007D2E70" w:rsidRPr="001A6B03" w:rsidRDefault="007D2E70" w:rsidP="00CC59B3">
            <w:pPr>
              <w:pStyle w:val="TableText0"/>
              <w:keepNext w:val="0"/>
              <w:rPr>
                <w:b/>
                <w:i/>
                <w:szCs w:val="20"/>
              </w:rPr>
            </w:pPr>
            <w:r w:rsidRPr="001A6B03">
              <w:rPr>
                <w:b/>
                <w:i/>
                <w:szCs w:val="20"/>
              </w:rPr>
              <w:t>Comment</w:t>
            </w:r>
          </w:p>
        </w:tc>
      </w:tr>
      <w:tr w:rsidR="007D2E70" w:rsidRPr="00174F86" w14:paraId="7E153A7C" w14:textId="77777777" w:rsidTr="00CC59B3">
        <w:tc>
          <w:tcPr>
            <w:tcW w:w="5000" w:type="pct"/>
            <w:gridSpan w:val="4"/>
            <w:shd w:val="clear" w:color="auto" w:fill="FFFFFF" w:themeFill="background1"/>
          </w:tcPr>
          <w:p w14:paraId="17E317D0" w14:textId="77777777" w:rsidR="007D2E70" w:rsidRPr="001A6B03" w:rsidRDefault="007D2E70" w:rsidP="00CC59B3">
            <w:pPr>
              <w:pStyle w:val="TableText0"/>
              <w:keepNext w:val="0"/>
              <w:rPr>
                <w:b/>
                <w:szCs w:val="20"/>
              </w:rPr>
            </w:pPr>
            <w:r w:rsidRPr="001A6B03">
              <w:rPr>
                <w:b/>
                <w:szCs w:val="20"/>
              </w:rPr>
              <w:t>Eligible population</w:t>
            </w:r>
          </w:p>
        </w:tc>
      </w:tr>
      <w:tr w:rsidR="007D2E70" w:rsidRPr="00174F86" w14:paraId="5CD399B3" w14:textId="77777777" w:rsidTr="00CC59B3">
        <w:tc>
          <w:tcPr>
            <w:tcW w:w="1136" w:type="pct"/>
            <w:shd w:val="clear" w:color="auto" w:fill="FFFFFF" w:themeFill="background1"/>
          </w:tcPr>
          <w:p w14:paraId="0F71A288" w14:textId="77777777" w:rsidR="007D2E70" w:rsidRPr="001A6B03" w:rsidRDefault="007D2E70" w:rsidP="00CC59B3">
            <w:pPr>
              <w:pStyle w:val="TableText0"/>
              <w:keepNext w:val="0"/>
              <w:rPr>
                <w:szCs w:val="20"/>
              </w:rPr>
            </w:pPr>
            <w:r w:rsidRPr="001A6B03">
              <w:rPr>
                <w:szCs w:val="20"/>
              </w:rPr>
              <w:t>Incident cases of lung cancer</w:t>
            </w:r>
          </w:p>
        </w:tc>
        <w:tc>
          <w:tcPr>
            <w:tcW w:w="708" w:type="pct"/>
            <w:shd w:val="clear" w:color="auto" w:fill="FFFFFF" w:themeFill="background1"/>
          </w:tcPr>
          <w:p w14:paraId="1574FC13" w14:textId="61E3BA50" w:rsidR="007D2E70" w:rsidRPr="001A6B03" w:rsidRDefault="007D2E70" w:rsidP="00CC59B3">
            <w:pPr>
              <w:pStyle w:val="TableText0"/>
              <w:keepNext w:val="0"/>
              <w:rPr>
                <w:szCs w:val="20"/>
              </w:rPr>
            </w:pPr>
            <w:r w:rsidRPr="001A6B03">
              <w:rPr>
                <w:szCs w:val="20"/>
              </w:rPr>
              <w:t>15,378 in Yr 1 (2024) to 17,772 in Yr 6</w:t>
            </w:r>
          </w:p>
        </w:tc>
        <w:tc>
          <w:tcPr>
            <w:tcW w:w="1437" w:type="pct"/>
            <w:vMerge w:val="restart"/>
            <w:shd w:val="clear" w:color="auto" w:fill="FFFFFF" w:themeFill="background1"/>
          </w:tcPr>
          <w:p w14:paraId="43F70F03" w14:textId="77777777" w:rsidR="007D2E70" w:rsidRPr="001A6B03" w:rsidRDefault="007D2E70" w:rsidP="00CC59B3">
            <w:pPr>
              <w:pStyle w:val="TableText0"/>
              <w:keepNext w:val="0"/>
              <w:rPr>
                <w:szCs w:val="20"/>
              </w:rPr>
            </w:pPr>
            <w:r w:rsidRPr="001A6B03">
              <w:rPr>
                <w:szCs w:val="20"/>
              </w:rPr>
              <w:t>AIHW Cancer Data in Australia 2022 web report and supplementary data tables for 2017-2022 data.</w:t>
            </w:r>
          </w:p>
        </w:tc>
        <w:tc>
          <w:tcPr>
            <w:tcW w:w="1719" w:type="pct"/>
            <w:vMerge w:val="restart"/>
            <w:shd w:val="clear" w:color="auto" w:fill="FFFFFF" w:themeFill="background1"/>
          </w:tcPr>
          <w:p w14:paraId="7807C313" w14:textId="77777777" w:rsidR="007D2E70" w:rsidRPr="001A6B03" w:rsidRDefault="007D2E70" w:rsidP="00CC59B3">
            <w:pPr>
              <w:pStyle w:val="TableText0"/>
              <w:keepNext w:val="0"/>
              <w:rPr>
                <w:iCs/>
                <w:szCs w:val="20"/>
              </w:rPr>
            </w:pPr>
            <w:r w:rsidRPr="001A6B03">
              <w:rPr>
                <w:iCs/>
                <w:szCs w:val="20"/>
              </w:rPr>
              <w:t>Appropriate.</w:t>
            </w:r>
          </w:p>
        </w:tc>
      </w:tr>
      <w:tr w:rsidR="007D2E70" w:rsidRPr="00174F86" w14:paraId="7C5FBCC5" w14:textId="77777777" w:rsidTr="00CC59B3">
        <w:tc>
          <w:tcPr>
            <w:tcW w:w="1136" w:type="pct"/>
            <w:shd w:val="clear" w:color="auto" w:fill="FFFFFF" w:themeFill="background1"/>
          </w:tcPr>
          <w:p w14:paraId="3CBC5426" w14:textId="77777777" w:rsidR="007D2E70" w:rsidRPr="001A6B03" w:rsidRDefault="007D2E70" w:rsidP="00CC59B3">
            <w:pPr>
              <w:pStyle w:val="TableText0"/>
              <w:keepNext w:val="0"/>
              <w:rPr>
                <w:szCs w:val="20"/>
              </w:rPr>
            </w:pPr>
            <w:r w:rsidRPr="001A6B03">
              <w:rPr>
                <w:szCs w:val="20"/>
              </w:rPr>
              <w:t>Annual growth rates for incident cases of lung cancer</w:t>
            </w:r>
          </w:p>
        </w:tc>
        <w:tc>
          <w:tcPr>
            <w:tcW w:w="708" w:type="pct"/>
            <w:shd w:val="clear" w:color="auto" w:fill="FFFFFF" w:themeFill="background1"/>
          </w:tcPr>
          <w:p w14:paraId="1FF513C4" w14:textId="77777777" w:rsidR="007D2E70" w:rsidRPr="001A6B03" w:rsidRDefault="007D2E70" w:rsidP="00CC59B3">
            <w:pPr>
              <w:pStyle w:val="TableText0"/>
              <w:keepNext w:val="0"/>
              <w:rPr>
                <w:szCs w:val="20"/>
              </w:rPr>
            </w:pPr>
            <w:r w:rsidRPr="001A6B03">
              <w:rPr>
                <w:szCs w:val="20"/>
              </w:rPr>
              <w:t>Males: 1.7%</w:t>
            </w:r>
          </w:p>
          <w:p w14:paraId="18041781" w14:textId="77777777" w:rsidR="007D2E70" w:rsidRPr="001A6B03" w:rsidRDefault="007D2E70" w:rsidP="00CC59B3">
            <w:pPr>
              <w:pStyle w:val="TableText0"/>
              <w:keepNext w:val="0"/>
              <w:rPr>
                <w:szCs w:val="20"/>
              </w:rPr>
            </w:pPr>
            <w:r w:rsidRPr="001A6B03">
              <w:rPr>
                <w:szCs w:val="20"/>
              </w:rPr>
              <w:t>Females: 4.2%</w:t>
            </w:r>
          </w:p>
        </w:tc>
        <w:tc>
          <w:tcPr>
            <w:tcW w:w="1437" w:type="pct"/>
            <w:vMerge/>
            <w:shd w:val="clear" w:color="auto" w:fill="FFFFFF" w:themeFill="background1"/>
          </w:tcPr>
          <w:p w14:paraId="70066669" w14:textId="77777777" w:rsidR="007D2E70" w:rsidRPr="001A6B03" w:rsidRDefault="007D2E70" w:rsidP="00CC59B3">
            <w:pPr>
              <w:pStyle w:val="TableText0"/>
              <w:keepNext w:val="0"/>
              <w:rPr>
                <w:szCs w:val="20"/>
              </w:rPr>
            </w:pPr>
          </w:p>
        </w:tc>
        <w:tc>
          <w:tcPr>
            <w:tcW w:w="1719" w:type="pct"/>
            <w:vMerge/>
            <w:shd w:val="clear" w:color="auto" w:fill="FFFFFF" w:themeFill="background1"/>
          </w:tcPr>
          <w:p w14:paraId="4093ACFA" w14:textId="77777777" w:rsidR="007D2E70" w:rsidRPr="001A6B03" w:rsidRDefault="007D2E70" w:rsidP="00CC59B3">
            <w:pPr>
              <w:pStyle w:val="TableText0"/>
              <w:keepNext w:val="0"/>
              <w:rPr>
                <w:iCs/>
                <w:szCs w:val="20"/>
              </w:rPr>
            </w:pPr>
          </w:p>
        </w:tc>
      </w:tr>
      <w:tr w:rsidR="007D2E70" w:rsidRPr="00174F86" w14:paraId="60662BBE" w14:textId="77777777" w:rsidTr="00CC59B3">
        <w:tc>
          <w:tcPr>
            <w:tcW w:w="1136" w:type="pct"/>
            <w:shd w:val="clear" w:color="auto" w:fill="FFFFFF" w:themeFill="background1"/>
          </w:tcPr>
          <w:p w14:paraId="7FD9DC7B" w14:textId="77777777" w:rsidR="007D2E70" w:rsidRPr="001A6B03" w:rsidRDefault="007D2E70" w:rsidP="00CC59B3">
            <w:pPr>
              <w:pStyle w:val="TableText0"/>
              <w:keepNext w:val="0"/>
              <w:rPr>
                <w:szCs w:val="20"/>
              </w:rPr>
            </w:pPr>
            <w:r w:rsidRPr="001A6B03">
              <w:rPr>
                <w:szCs w:val="20"/>
              </w:rPr>
              <w:t>Proportion of incident lung cancer patients with NSCLC</w:t>
            </w:r>
          </w:p>
        </w:tc>
        <w:tc>
          <w:tcPr>
            <w:tcW w:w="708" w:type="pct"/>
            <w:shd w:val="clear" w:color="auto" w:fill="FFFFFF" w:themeFill="background1"/>
          </w:tcPr>
          <w:p w14:paraId="63EC51E5" w14:textId="77777777" w:rsidR="007D2E70" w:rsidRPr="001A6B03" w:rsidRDefault="007D2E70" w:rsidP="00CC59B3">
            <w:pPr>
              <w:pStyle w:val="TableText0"/>
              <w:keepNext w:val="0"/>
              <w:rPr>
                <w:szCs w:val="20"/>
              </w:rPr>
            </w:pPr>
            <w:r w:rsidRPr="001A6B03">
              <w:rPr>
                <w:szCs w:val="20"/>
              </w:rPr>
              <w:t>85.5%</w:t>
            </w:r>
          </w:p>
        </w:tc>
        <w:tc>
          <w:tcPr>
            <w:tcW w:w="1437" w:type="pct"/>
            <w:shd w:val="clear" w:color="auto" w:fill="FFFFFF" w:themeFill="background1"/>
          </w:tcPr>
          <w:p w14:paraId="7C0E97BA" w14:textId="6CBC6D67" w:rsidR="007D2E70" w:rsidRPr="001A6B03" w:rsidRDefault="007D2E70" w:rsidP="00CC59B3">
            <w:pPr>
              <w:pStyle w:val="TableText0"/>
              <w:keepNext w:val="0"/>
              <w:rPr>
                <w:szCs w:val="20"/>
              </w:rPr>
            </w:pPr>
            <w:r w:rsidRPr="001A6B03">
              <w:rPr>
                <w:szCs w:val="20"/>
              </w:rPr>
              <w:t xml:space="preserve">VLCR 2019 annual report </w:t>
            </w:r>
          </w:p>
        </w:tc>
        <w:tc>
          <w:tcPr>
            <w:tcW w:w="1719" w:type="pct"/>
            <w:shd w:val="clear" w:color="auto" w:fill="FFFFFF" w:themeFill="background1"/>
          </w:tcPr>
          <w:p w14:paraId="56DFBD18" w14:textId="77777777" w:rsidR="007D2E70" w:rsidRPr="001A6B03" w:rsidRDefault="007D2E70" w:rsidP="00CC59B3">
            <w:pPr>
              <w:pStyle w:val="TableText0"/>
              <w:keepNext w:val="0"/>
              <w:rPr>
                <w:iCs/>
                <w:szCs w:val="20"/>
              </w:rPr>
            </w:pPr>
            <w:r w:rsidRPr="001A6B03">
              <w:rPr>
                <w:iCs/>
                <w:szCs w:val="20"/>
              </w:rPr>
              <w:t>An updated estimate from the VLCR 2020 annual report</w:t>
            </w:r>
            <w:r w:rsidRPr="001A6B03">
              <w:rPr>
                <w:rStyle w:val="FootnoteReference"/>
                <w:iCs/>
                <w:szCs w:val="20"/>
              </w:rPr>
              <w:footnoteReference w:id="22"/>
            </w:r>
            <w:r w:rsidRPr="001A6B03">
              <w:rPr>
                <w:iCs/>
                <w:szCs w:val="20"/>
              </w:rPr>
              <w:t xml:space="preserve"> was 81.6%.</w:t>
            </w:r>
          </w:p>
        </w:tc>
      </w:tr>
      <w:tr w:rsidR="007D2E70" w:rsidRPr="00174F86" w14:paraId="389AF02F" w14:textId="77777777" w:rsidTr="00CC59B3">
        <w:tc>
          <w:tcPr>
            <w:tcW w:w="1136" w:type="pct"/>
            <w:shd w:val="clear" w:color="auto" w:fill="FFFFFF" w:themeFill="background1"/>
          </w:tcPr>
          <w:p w14:paraId="4AA8F2B0" w14:textId="77777777" w:rsidR="007D2E70" w:rsidRPr="001A6B03" w:rsidRDefault="007D2E70" w:rsidP="00CC59B3">
            <w:pPr>
              <w:pStyle w:val="TableText0"/>
              <w:keepNext w:val="0"/>
              <w:rPr>
                <w:szCs w:val="20"/>
              </w:rPr>
            </w:pPr>
            <w:r w:rsidRPr="001A6B03">
              <w:rPr>
                <w:szCs w:val="20"/>
              </w:rPr>
              <w:t>Proportion of NSCLC with Stage IB-IIIA disease</w:t>
            </w:r>
          </w:p>
        </w:tc>
        <w:tc>
          <w:tcPr>
            <w:tcW w:w="708" w:type="pct"/>
            <w:shd w:val="clear" w:color="auto" w:fill="FFFFFF" w:themeFill="background1"/>
          </w:tcPr>
          <w:p w14:paraId="4E731B89" w14:textId="77777777" w:rsidR="007D2E70" w:rsidRPr="001A6B03" w:rsidRDefault="007D2E70" w:rsidP="00CC59B3">
            <w:pPr>
              <w:pStyle w:val="TableText0"/>
              <w:keepNext w:val="0"/>
              <w:rPr>
                <w:szCs w:val="20"/>
              </w:rPr>
            </w:pPr>
            <w:r w:rsidRPr="001A6B03">
              <w:rPr>
                <w:szCs w:val="20"/>
              </w:rPr>
              <w:t>26%</w:t>
            </w:r>
          </w:p>
        </w:tc>
        <w:tc>
          <w:tcPr>
            <w:tcW w:w="1437" w:type="pct"/>
            <w:vMerge w:val="restart"/>
            <w:shd w:val="clear" w:color="auto" w:fill="FFFFFF" w:themeFill="background1"/>
          </w:tcPr>
          <w:p w14:paraId="30F42931" w14:textId="13BDEAF4" w:rsidR="007D2E70" w:rsidRPr="001A6B03" w:rsidRDefault="007D2E70" w:rsidP="00CC59B3">
            <w:pPr>
              <w:pStyle w:val="TableText0"/>
              <w:keepNext w:val="0"/>
              <w:rPr>
                <w:szCs w:val="20"/>
              </w:rPr>
            </w:pPr>
            <w:r w:rsidRPr="001A6B03">
              <w:rPr>
                <w:szCs w:val="20"/>
              </w:rPr>
              <w:t xml:space="preserve">Data from VLCR for 2018-2021 on 5,688 patients; Sponsor-commissioned data </w:t>
            </w:r>
          </w:p>
        </w:tc>
        <w:tc>
          <w:tcPr>
            <w:tcW w:w="1719" w:type="pct"/>
            <w:shd w:val="clear" w:color="auto" w:fill="FFFFFF" w:themeFill="background1"/>
          </w:tcPr>
          <w:p w14:paraId="21DD0F26" w14:textId="77777777" w:rsidR="007D2E70" w:rsidRPr="001A6B03" w:rsidRDefault="007D2E70" w:rsidP="00CC59B3">
            <w:pPr>
              <w:pStyle w:val="TableText0"/>
              <w:keepNext w:val="0"/>
              <w:tabs>
                <w:tab w:val="center" w:pos="1503"/>
              </w:tabs>
              <w:rPr>
                <w:iCs/>
                <w:szCs w:val="20"/>
              </w:rPr>
            </w:pPr>
            <w:r w:rsidRPr="001A6B03">
              <w:rPr>
                <w:iCs/>
                <w:szCs w:val="20"/>
              </w:rPr>
              <w:t>Reasonable.</w:t>
            </w:r>
          </w:p>
        </w:tc>
      </w:tr>
      <w:tr w:rsidR="007D2E70" w:rsidRPr="00174F86" w14:paraId="7BE86ED0" w14:textId="77777777" w:rsidTr="00CC59B3">
        <w:tc>
          <w:tcPr>
            <w:tcW w:w="1136" w:type="pct"/>
            <w:shd w:val="clear" w:color="auto" w:fill="FFFFFF" w:themeFill="background1"/>
          </w:tcPr>
          <w:p w14:paraId="2AFD0A93" w14:textId="77777777" w:rsidR="007D2E70" w:rsidRPr="001A6B03" w:rsidRDefault="007D2E70" w:rsidP="00CC59B3">
            <w:pPr>
              <w:pStyle w:val="TableText0"/>
              <w:keepNext w:val="0"/>
              <w:rPr>
                <w:szCs w:val="20"/>
              </w:rPr>
            </w:pPr>
            <w:r w:rsidRPr="001A6B03">
              <w:rPr>
                <w:szCs w:val="20"/>
              </w:rPr>
              <w:t>Proportion of Stage IB-IIIA NSCLC who receive surgical resection</w:t>
            </w:r>
          </w:p>
        </w:tc>
        <w:tc>
          <w:tcPr>
            <w:tcW w:w="708" w:type="pct"/>
            <w:shd w:val="clear" w:color="auto" w:fill="FFFFFF" w:themeFill="background1"/>
          </w:tcPr>
          <w:p w14:paraId="488B7887" w14:textId="77777777" w:rsidR="007D2E70" w:rsidRPr="001A6B03" w:rsidRDefault="007D2E70" w:rsidP="00CC59B3">
            <w:pPr>
              <w:pStyle w:val="TableText0"/>
              <w:keepNext w:val="0"/>
              <w:rPr>
                <w:szCs w:val="20"/>
              </w:rPr>
            </w:pPr>
            <w:r w:rsidRPr="001A6B03">
              <w:rPr>
                <w:szCs w:val="20"/>
              </w:rPr>
              <w:t>54.3%</w:t>
            </w:r>
          </w:p>
        </w:tc>
        <w:tc>
          <w:tcPr>
            <w:tcW w:w="1437" w:type="pct"/>
            <w:vMerge/>
            <w:shd w:val="clear" w:color="auto" w:fill="FFFFFF" w:themeFill="background1"/>
          </w:tcPr>
          <w:p w14:paraId="299BA5B1" w14:textId="77777777" w:rsidR="007D2E70" w:rsidRPr="001A6B03" w:rsidRDefault="007D2E70" w:rsidP="00CC59B3">
            <w:pPr>
              <w:pStyle w:val="TableText0"/>
              <w:keepNext w:val="0"/>
              <w:rPr>
                <w:szCs w:val="20"/>
              </w:rPr>
            </w:pPr>
          </w:p>
        </w:tc>
        <w:tc>
          <w:tcPr>
            <w:tcW w:w="1719" w:type="pct"/>
            <w:shd w:val="clear" w:color="auto" w:fill="FFFFFF" w:themeFill="background1"/>
          </w:tcPr>
          <w:p w14:paraId="53303830" w14:textId="55912864" w:rsidR="007D2E70" w:rsidRPr="001A6B03" w:rsidRDefault="005A5132" w:rsidP="00CC59B3">
            <w:pPr>
              <w:pStyle w:val="TableText0"/>
              <w:keepNext w:val="0"/>
              <w:rPr>
                <w:iCs/>
                <w:szCs w:val="20"/>
              </w:rPr>
            </w:pPr>
            <w:r w:rsidRPr="001A6B03">
              <w:rPr>
                <w:iCs/>
                <w:szCs w:val="20"/>
              </w:rPr>
              <w:t xml:space="preserve">Reasonable, and </w:t>
            </w:r>
            <w:r w:rsidR="00AC1351" w:rsidRPr="001A6B03">
              <w:rPr>
                <w:iCs/>
                <w:szCs w:val="20"/>
              </w:rPr>
              <w:t xml:space="preserve">generally </w:t>
            </w:r>
            <w:r w:rsidRPr="001A6B03">
              <w:rPr>
                <w:iCs/>
                <w:szCs w:val="20"/>
              </w:rPr>
              <w:t xml:space="preserve">consistent with adjuvant atezolizumab </w:t>
            </w:r>
            <w:r w:rsidR="00A92EAB" w:rsidRPr="001A6B03">
              <w:rPr>
                <w:iCs/>
                <w:szCs w:val="20"/>
              </w:rPr>
              <w:t xml:space="preserve">PBAC </w:t>
            </w:r>
            <w:r w:rsidRPr="001A6B03">
              <w:rPr>
                <w:iCs/>
                <w:szCs w:val="20"/>
              </w:rPr>
              <w:t>submission (</w:t>
            </w:r>
            <w:r w:rsidR="00A92EAB" w:rsidRPr="001A6B03">
              <w:rPr>
                <w:iCs/>
                <w:szCs w:val="20"/>
              </w:rPr>
              <w:t xml:space="preserve">Table 20, atezolizumab PSD, </w:t>
            </w:r>
            <w:r w:rsidRPr="001A6B03">
              <w:rPr>
                <w:iCs/>
                <w:szCs w:val="20"/>
              </w:rPr>
              <w:t>July 2022</w:t>
            </w:r>
            <w:r w:rsidR="00A92EAB" w:rsidRPr="001A6B03">
              <w:rPr>
                <w:iCs/>
                <w:szCs w:val="20"/>
              </w:rPr>
              <w:t xml:space="preserve"> PBAC Meeting</w:t>
            </w:r>
            <w:r w:rsidRPr="001A6B03">
              <w:rPr>
                <w:iCs/>
                <w:szCs w:val="20"/>
              </w:rPr>
              <w:t>) which assumed 55.8%</w:t>
            </w:r>
            <w:r w:rsidR="00A92EAB" w:rsidRPr="001A6B03">
              <w:rPr>
                <w:iCs/>
                <w:szCs w:val="20"/>
              </w:rPr>
              <w:t xml:space="preserve"> </w:t>
            </w:r>
            <w:r w:rsidR="00B82B8C" w:rsidRPr="001A6B03">
              <w:rPr>
                <w:iCs/>
                <w:szCs w:val="20"/>
              </w:rPr>
              <w:t xml:space="preserve">of early stage </w:t>
            </w:r>
            <w:r w:rsidR="00E9674C" w:rsidRPr="001A6B03">
              <w:rPr>
                <w:iCs/>
                <w:szCs w:val="20"/>
              </w:rPr>
              <w:t xml:space="preserve">(Stage II-IIIA) </w:t>
            </w:r>
            <w:r w:rsidR="00B82B8C" w:rsidRPr="001A6B03">
              <w:rPr>
                <w:iCs/>
                <w:szCs w:val="20"/>
              </w:rPr>
              <w:t xml:space="preserve">NSCLC patients </w:t>
            </w:r>
            <w:r w:rsidR="00A92EAB" w:rsidRPr="001A6B03">
              <w:rPr>
                <w:iCs/>
                <w:szCs w:val="20"/>
              </w:rPr>
              <w:t>received surgical resection</w:t>
            </w:r>
            <w:r w:rsidRPr="001A6B03">
              <w:rPr>
                <w:iCs/>
                <w:szCs w:val="20"/>
              </w:rPr>
              <w:t>.</w:t>
            </w:r>
          </w:p>
        </w:tc>
      </w:tr>
      <w:tr w:rsidR="007D2E70" w:rsidRPr="00174F86" w14:paraId="4B340125" w14:textId="77777777" w:rsidTr="00CC59B3">
        <w:tc>
          <w:tcPr>
            <w:tcW w:w="1136" w:type="pct"/>
            <w:shd w:val="clear" w:color="auto" w:fill="FFFFFF" w:themeFill="background1"/>
          </w:tcPr>
          <w:p w14:paraId="1EF0188D" w14:textId="77777777" w:rsidR="007D2E70" w:rsidRPr="001A6B03" w:rsidRDefault="007D2E70" w:rsidP="00CC59B3">
            <w:pPr>
              <w:pStyle w:val="TableText0"/>
              <w:keepNext w:val="0"/>
              <w:rPr>
                <w:szCs w:val="20"/>
              </w:rPr>
            </w:pPr>
            <w:r w:rsidRPr="001A6B03">
              <w:rPr>
                <w:szCs w:val="20"/>
              </w:rPr>
              <w:t xml:space="preserve">Proportion of patients with </w:t>
            </w:r>
            <w:r w:rsidRPr="001A6B03">
              <w:rPr>
                <w:i/>
                <w:szCs w:val="20"/>
              </w:rPr>
              <w:t>EGFR</w:t>
            </w:r>
            <w:r w:rsidRPr="001A6B03">
              <w:rPr>
                <w:szCs w:val="20"/>
              </w:rPr>
              <w:t xml:space="preserve"> pathogenic variant</w:t>
            </w:r>
          </w:p>
        </w:tc>
        <w:tc>
          <w:tcPr>
            <w:tcW w:w="708" w:type="pct"/>
            <w:shd w:val="clear" w:color="auto" w:fill="FFFFFF" w:themeFill="background1"/>
          </w:tcPr>
          <w:p w14:paraId="7BEA9DC7" w14:textId="77777777" w:rsidR="007D2E70" w:rsidRPr="001A6B03" w:rsidRDefault="007D2E70" w:rsidP="00CC59B3">
            <w:pPr>
              <w:pStyle w:val="TableText0"/>
              <w:keepNext w:val="0"/>
              <w:rPr>
                <w:szCs w:val="20"/>
              </w:rPr>
            </w:pPr>
            <w:r w:rsidRPr="001A6B03">
              <w:rPr>
                <w:szCs w:val="20"/>
              </w:rPr>
              <w:t>17.9%</w:t>
            </w:r>
          </w:p>
        </w:tc>
        <w:tc>
          <w:tcPr>
            <w:tcW w:w="1437" w:type="pct"/>
            <w:shd w:val="clear" w:color="auto" w:fill="FFFFFF" w:themeFill="background1"/>
          </w:tcPr>
          <w:p w14:paraId="72B3E336" w14:textId="77777777" w:rsidR="007D2E70" w:rsidRPr="001A6B03" w:rsidRDefault="007D2E70" w:rsidP="00CC59B3">
            <w:pPr>
              <w:pStyle w:val="TableText0"/>
              <w:keepNext w:val="0"/>
              <w:rPr>
                <w:szCs w:val="20"/>
              </w:rPr>
            </w:pPr>
            <w:r w:rsidRPr="001A6B03">
              <w:rPr>
                <w:szCs w:val="20"/>
              </w:rPr>
              <w:t xml:space="preserve">DUSC review of TKIs for NSCLC (2017); prevalence of activating </w:t>
            </w:r>
            <w:r w:rsidRPr="001A6B03">
              <w:rPr>
                <w:i/>
                <w:szCs w:val="20"/>
              </w:rPr>
              <w:t>EGFR</w:t>
            </w:r>
            <w:r w:rsidRPr="001A6B03">
              <w:rPr>
                <w:szCs w:val="20"/>
              </w:rPr>
              <w:t xml:space="preserve"> pathogenic variant in the tested and treated NSCLC population.</w:t>
            </w:r>
          </w:p>
        </w:tc>
        <w:tc>
          <w:tcPr>
            <w:tcW w:w="1719" w:type="pct"/>
            <w:shd w:val="clear" w:color="auto" w:fill="FFFFFF" w:themeFill="background1"/>
          </w:tcPr>
          <w:p w14:paraId="7A207BA2" w14:textId="77777777" w:rsidR="007D2E70" w:rsidRPr="001A6B03" w:rsidRDefault="007D2E70" w:rsidP="00CC59B3">
            <w:pPr>
              <w:pStyle w:val="TableText0"/>
              <w:keepNext w:val="0"/>
              <w:rPr>
                <w:iCs/>
                <w:szCs w:val="20"/>
              </w:rPr>
            </w:pPr>
            <w:r w:rsidRPr="001A6B03">
              <w:rPr>
                <w:iCs/>
                <w:szCs w:val="20"/>
              </w:rPr>
              <w:t>Reasonable.</w:t>
            </w:r>
          </w:p>
        </w:tc>
      </w:tr>
      <w:tr w:rsidR="007D2E70" w:rsidRPr="00174F86" w14:paraId="526C8D7D" w14:textId="77777777" w:rsidTr="00CC59B3">
        <w:tc>
          <w:tcPr>
            <w:tcW w:w="1136" w:type="pct"/>
            <w:shd w:val="clear" w:color="auto" w:fill="FFFFFF" w:themeFill="background1"/>
          </w:tcPr>
          <w:p w14:paraId="251CB5B2" w14:textId="77777777" w:rsidR="007D2E70" w:rsidRPr="001A6B03" w:rsidRDefault="007D2E70" w:rsidP="00CC59B3">
            <w:pPr>
              <w:pStyle w:val="TableText0"/>
              <w:keepNext w:val="0"/>
              <w:rPr>
                <w:szCs w:val="20"/>
              </w:rPr>
            </w:pPr>
            <w:r w:rsidRPr="001A6B03">
              <w:rPr>
                <w:szCs w:val="20"/>
              </w:rPr>
              <w:t>Proportion of patients with WHO performance status (PS) 0-2</w:t>
            </w:r>
          </w:p>
        </w:tc>
        <w:tc>
          <w:tcPr>
            <w:tcW w:w="708" w:type="pct"/>
            <w:shd w:val="clear" w:color="auto" w:fill="FFFFFF" w:themeFill="background1"/>
          </w:tcPr>
          <w:p w14:paraId="59732B8E" w14:textId="77777777" w:rsidR="007D2E70" w:rsidRPr="001A6B03" w:rsidRDefault="007D2E70" w:rsidP="00CC59B3">
            <w:pPr>
              <w:pStyle w:val="TableText0"/>
              <w:keepNext w:val="0"/>
              <w:rPr>
                <w:szCs w:val="20"/>
              </w:rPr>
            </w:pPr>
            <w:r w:rsidRPr="001A6B03">
              <w:rPr>
                <w:szCs w:val="20"/>
              </w:rPr>
              <w:t>100%</w:t>
            </w:r>
          </w:p>
        </w:tc>
        <w:tc>
          <w:tcPr>
            <w:tcW w:w="1437" w:type="pct"/>
            <w:shd w:val="clear" w:color="auto" w:fill="FFFFFF" w:themeFill="background1"/>
          </w:tcPr>
          <w:p w14:paraId="325AC1C6" w14:textId="2D67D3D0" w:rsidR="007D2E70" w:rsidRPr="001A6B03" w:rsidRDefault="007D2E70" w:rsidP="00CC59B3">
            <w:pPr>
              <w:pStyle w:val="TableText0"/>
              <w:keepNext w:val="0"/>
              <w:rPr>
                <w:i/>
                <w:iCs/>
                <w:szCs w:val="20"/>
              </w:rPr>
            </w:pPr>
            <w:r w:rsidRPr="001A6B03">
              <w:rPr>
                <w:szCs w:val="20"/>
              </w:rPr>
              <w:t xml:space="preserve">Assumption based on retrospective chart audit of 96 patients with resected Stage IB-IIIA, </w:t>
            </w:r>
            <w:r w:rsidRPr="001A6B03">
              <w:rPr>
                <w:i/>
                <w:szCs w:val="20"/>
              </w:rPr>
              <w:t>EGFR</w:t>
            </w:r>
            <w:r w:rsidRPr="001A6B03">
              <w:rPr>
                <w:szCs w:val="20"/>
              </w:rPr>
              <w:t xml:space="preserve"> pathogenic variant; ECOG 0-2 at diagnosis</w:t>
            </w:r>
            <w:r w:rsidR="00AD77D1" w:rsidRPr="001A6B03">
              <w:rPr>
                <w:szCs w:val="20"/>
              </w:rPr>
              <w:t>, indicating 99% had WHO PS 0-1.</w:t>
            </w:r>
            <w:r w:rsidRPr="001A6B03">
              <w:rPr>
                <w:szCs w:val="20"/>
              </w:rPr>
              <w:t>).</w:t>
            </w:r>
          </w:p>
        </w:tc>
        <w:tc>
          <w:tcPr>
            <w:tcW w:w="1719" w:type="pct"/>
            <w:shd w:val="clear" w:color="auto" w:fill="FFFFFF" w:themeFill="background1"/>
          </w:tcPr>
          <w:p w14:paraId="5EC8A4F1" w14:textId="77777777" w:rsidR="007D2E70" w:rsidRPr="001A6B03" w:rsidRDefault="007D2E70" w:rsidP="00CC59B3">
            <w:pPr>
              <w:pStyle w:val="TableText0"/>
              <w:keepNext w:val="0"/>
              <w:rPr>
                <w:iCs/>
                <w:szCs w:val="20"/>
              </w:rPr>
            </w:pPr>
            <w:r w:rsidRPr="001A6B03">
              <w:rPr>
                <w:iCs/>
                <w:szCs w:val="20"/>
              </w:rPr>
              <w:t>Reasonable.</w:t>
            </w:r>
          </w:p>
        </w:tc>
      </w:tr>
      <w:tr w:rsidR="007D2E70" w:rsidRPr="00174F86" w14:paraId="6F5DC1F6" w14:textId="77777777" w:rsidTr="00CC59B3">
        <w:tc>
          <w:tcPr>
            <w:tcW w:w="1136" w:type="pct"/>
            <w:shd w:val="clear" w:color="auto" w:fill="FFFFFF" w:themeFill="background1"/>
          </w:tcPr>
          <w:p w14:paraId="297CC961" w14:textId="77777777" w:rsidR="007D2E70" w:rsidRPr="001A6B03" w:rsidRDefault="007D2E70" w:rsidP="00CC59B3">
            <w:pPr>
              <w:pStyle w:val="TableText0"/>
              <w:keepNext w:val="0"/>
              <w:rPr>
                <w:szCs w:val="20"/>
              </w:rPr>
            </w:pPr>
            <w:r w:rsidRPr="001A6B03">
              <w:rPr>
                <w:szCs w:val="20"/>
              </w:rPr>
              <w:t>Proportion of patients within the 6-month timeframe from receiving surgery (proposed listing)</w:t>
            </w:r>
          </w:p>
        </w:tc>
        <w:tc>
          <w:tcPr>
            <w:tcW w:w="708" w:type="pct"/>
            <w:shd w:val="clear" w:color="auto" w:fill="FFFFFF" w:themeFill="background1"/>
          </w:tcPr>
          <w:p w14:paraId="33466754" w14:textId="77777777" w:rsidR="007D2E70" w:rsidRPr="001A6B03" w:rsidRDefault="007D2E70" w:rsidP="00CC59B3">
            <w:pPr>
              <w:pStyle w:val="TableText0"/>
              <w:keepNext w:val="0"/>
              <w:rPr>
                <w:szCs w:val="20"/>
              </w:rPr>
            </w:pPr>
            <w:r w:rsidRPr="001A6B03">
              <w:rPr>
                <w:szCs w:val="20"/>
              </w:rPr>
              <w:t>60%</w:t>
            </w:r>
          </w:p>
        </w:tc>
        <w:tc>
          <w:tcPr>
            <w:tcW w:w="1437" w:type="pct"/>
            <w:shd w:val="clear" w:color="auto" w:fill="FFFFFF" w:themeFill="background1"/>
          </w:tcPr>
          <w:p w14:paraId="2EF6DA3B" w14:textId="77777777" w:rsidR="007D2E70" w:rsidRPr="001A6B03" w:rsidRDefault="007D2E70" w:rsidP="00CC59B3">
            <w:pPr>
              <w:pStyle w:val="TableText0"/>
              <w:keepNext w:val="0"/>
              <w:rPr>
                <w:szCs w:val="20"/>
              </w:rPr>
            </w:pPr>
            <w:r w:rsidRPr="001A6B03">
              <w:rPr>
                <w:szCs w:val="20"/>
              </w:rPr>
              <w:t>Assumption.</w:t>
            </w:r>
          </w:p>
        </w:tc>
        <w:tc>
          <w:tcPr>
            <w:tcW w:w="1719" w:type="pct"/>
            <w:shd w:val="clear" w:color="auto" w:fill="FFFFFF" w:themeFill="background1"/>
          </w:tcPr>
          <w:p w14:paraId="4F1EE5AB" w14:textId="1693B819" w:rsidR="007D2E70" w:rsidRPr="001A6B03" w:rsidRDefault="007D2E70" w:rsidP="00CC59B3">
            <w:pPr>
              <w:pStyle w:val="TableText0"/>
              <w:keepNext w:val="0"/>
              <w:rPr>
                <w:iCs/>
                <w:szCs w:val="20"/>
              </w:rPr>
            </w:pPr>
            <w:r w:rsidRPr="001A6B03">
              <w:rPr>
                <w:iCs/>
                <w:szCs w:val="20"/>
              </w:rPr>
              <w:t>Uncertain, no references or justifications were provided for this assumption.</w:t>
            </w:r>
            <w:r w:rsidR="008016C0" w:rsidRPr="001A6B03">
              <w:rPr>
                <w:iCs/>
                <w:szCs w:val="20"/>
              </w:rPr>
              <w:t xml:space="preserve"> </w:t>
            </w:r>
            <w:r w:rsidR="008016C0" w:rsidRPr="00AA29D4">
              <w:rPr>
                <w:iCs/>
                <w:szCs w:val="20"/>
              </w:rPr>
              <w:t xml:space="preserve">The ESC noted this assumption resulted in 192 </w:t>
            </w:r>
            <w:r w:rsidR="009B14B0" w:rsidRPr="00AA29D4">
              <w:rPr>
                <w:iCs/>
                <w:szCs w:val="20"/>
              </w:rPr>
              <w:t xml:space="preserve">prevalent </w:t>
            </w:r>
            <w:r w:rsidR="008016C0" w:rsidRPr="00AA29D4">
              <w:rPr>
                <w:iCs/>
                <w:szCs w:val="20"/>
              </w:rPr>
              <w:t>patients eligible for treatment in Year 1 of listing</w:t>
            </w:r>
          </w:p>
        </w:tc>
      </w:tr>
      <w:tr w:rsidR="007D2E70" w:rsidRPr="00174F86" w14:paraId="2E08D91E" w14:textId="77777777" w:rsidTr="00CC59B3">
        <w:tc>
          <w:tcPr>
            <w:tcW w:w="1136" w:type="pct"/>
            <w:shd w:val="clear" w:color="auto" w:fill="FFFFFF" w:themeFill="background1"/>
          </w:tcPr>
          <w:p w14:paraId="7AE6E955" w14:textId="77777777" w:rsidR="007D2E70" w:rsidRPr="001A6B03" w:rsidRDefault="007D2E70" w:rsidP="00CC59B3">
            <w:pPr>
              <w:pStyle w:val="TableText0"/>
              <w:keepNext w:val="0"/>
              <w:rPr>
                <w:szCs w:val="20"/>
              </w:rPr>
            </w:pPr>
            <w:r w:rsidRPr="001A6B03">
              <w:rPr>
                <w:szCs w:val="20"/>
              </w:rPr>
              <w:t>Number of grandfathered patients – part-pay program</w:t>
            </w:r>
          </w:p>
        </w:tc>
        <w:tc>
          <w:tcPr>
            <w:tcW w:w="708" w:type="pct"/>
            <w:shd w:val="clear" w:color="auto" w:fill="FFFFFF" w:themeFill="background1"/>
          </w:tcPr>
          <w:p w14:paraId="07926289" w14:textId="02892AE5" w:rsidR="007D2E70" w:rsidRPr="001A6B03" w:rsidRDefault="00E927A0" w:rsidP="00CC59B3">
            <w:pPr>
              <w:pStyle w:val="TableText0"/>
              <w:keepNext w:val="0"/>
              <w:rPr>
                <w:szCs w:val="20"/>
              </w:rPr>
            </w:pPr>
            <w:r w:rsidRPr="00E927A0">
              <w:rPr>
                <w:color w:val="000000"/>
                <w:spacing w:val="53"/>
                <w:szCs w:val="20"/>
                <w:shd w:val="solid" w:color="000000" w:fill="000000"/>
                <w:fitText w:val="332" w:id="-1032092401"/>
                <w14:textFill>
                  <w14:solidFill>
                    <w14:srgbClr w14:val="000000">
                      <w14:alpha w14:val="100000"/>
                    </w14:srgbClr>
                  </w14:solidFill>
                </w14:textFill>
              </w:rPr>
              <w:t>|||</w:t>
            </w:r>
            <w:r w:rsidRPr="00E927A0">
              <w:rPr>
                <w:color w:val="000000"/>
                <w:spacing w:val="3"/>
                <w:szCs w:val="20"/>
                <w:shd w:val="solid" w:color="000000" w:fill="000000"/>
                <w:fitText w:val="332" w:id="-1032092401"/>
                <w14:textFill>
                  <w14:solidFill>
                    <w14:srgbClr w14:val="000000">
                      <w14:alpha w14:val="100000"/>
                    </w14:srgbClr>
                  </w14:solidFill>
                </w14:textFill>
              </w:rPr>
              <w:t>|</w:t>
            </w:r>
            <w:r w:rsidR="003640C0">
              <w:rPr>
                <w:szCs w:val="20"/>
                <w:vertAlign w:val="superscript"/>
              </w:rPr>
              <w:t>1</w:t>
            </w:r>
          </w:p>
        </w:tc>
        <w:tc>
          <w:tcPr>
            <w:tcW w:w="1437" w:type="pct"/>
            <w:shd w:val="clear" w:color="auto" w:fill="FFFFFF" w:themeFill="background1"/>
          </w:tcPr>
          <w:p w14:paraId="15DAD09A" w14:textId="1F32FDC4" w:rsidR="007D2E70" w:rsidRPr="001A6B03" w:rsidRDefault="007D2E70" w:rsidP="00CC59B3">
            <w:pPr>
              <w:pStyle w:val="TableText0"/>
              <w:keepNext w:val="0"/>
              <w:rPr>
                <w:szCs w:val="20"/>
              </w:rPr>
            </w:pPr>
            <w:r w:rsidRPr="001A6B03">
              <w:rPr>
                <w:szCs w:val="20"/>
              </w:rPr>
              <w:t xml:space="preserve">Sponsor </w:t>
            </w:r>
            <w:r w:rsidR="00F51E38" w:rsidRPr="001A6B03">
              <w:rPr>
                <w:szCs w:val="20"/>
              </w:rPr>
              <w:t xml:space="preserve">estimates </w:t>
            </w:r>
            <w:r w:rsidRPr="001A6B03">
              <w:rPr>
                <w:szCs w:val="20"/>
              </w:rPr>
              <w:t>(final number eligible to be confirmed).</w:t>
            </w:r>
            <w:r w:rsidR="001C623B" w:rsidRPr="001A6B03">
              <w:rPr>
                <w:szCs w:val="20"/>
              </w:rPr>
              <w:t xml:space="preserve"> Potentially double counted in</w:t>
            </w:r>
            <w:r w:rsidR="002D3A6B" w:rsidRPr="001A6B03">
              <w:rPr>
                <w:szCs w:val="20"/>
              </w:rPr>
              <w:t xml:space="preserve"> patients treated.</w:t>
            </w:r>
            <w:r w:rsidR="001C623B" w:rsidRPr="001A6B03">
              <w:rPr>
                <w:szCs w:val="20"/>
              </w:rPr>
              <w:t xml:space="preserve"> </w:t>
            </w:r>
          </w:p>
        </w:tc>
        <w:tc>
          <w:tcPr>
            <w:tcW w:w="1719" w:type="pct"/>
            <w:shd w:val="clear" w:color="auto" w:fill="FFFFFF" w:themeFill="background1"/>
          </w:tcPr>
          <w:p w14:paraId="06816B95" w14:textId="331C6944" w:rsidR="007D2E70" w:rsidRPr="001A6B03" w:rsidRDefault="00325004" w:rsidP="00CC59B3">
            <w:pPr>
              <w:pStyle w:val="TableText0"/>
              <w:keepNext w:val="0"/>
              <w:rPr>
                <w:iCs/>
                <w:szCs w:val="20"/>
              </w:rPr>
            </w:pPr>
            <w:r w:rsidRPr="001A6B03">
              <w:rPr>
                <w:iCs/>
                <w:szCs w:val="20"/>
              </w:rPr>
              <w:t>Assum</w:t>
            </w:r>
            <w:r w:rsidR="007B6DEA" w:rsidRPr="001A6B03">
              <w:rPr>
                <w:iCs/>
                <w:szCs w:val="20"/>
              </w:rPr>
              <w:t>ption of</w:t>
            </w:r>
            <w:r w:rsidRPr="001A6B03">
              <w:rPr>
                <w:iCs/>
                <w:szCs w:val="20"/>
              </w:rPr>
              <w:t xml:space="preserve"> 14.5 scripts per patient (i.e. 50% of maximum course)</w:t>
            </w:r>
            <w:r w:rsidR="008B548E" w:rsidRPr="001A6B03">
              <w:rPr>
                <w:iCs/>
                <w:szCs w:val="20"/>
              </w:rPr>
              <w:t>.</w:t>
            </w:r>
          </w:p>
        </w:tc>
      </w:tr>
      <w:tr w:rsidR="007D2E70" w:rsidRPr="00174F86" w14:paraId="35663B58" w14:textId="77777777" w:rsidTr="00CC59B3">
        <w:tc>
          <w:tcPr>
            <w:tcW w:w="1136" w:type="pct"/>
            <w:shd w:val="clear" w:color="auto" w:fill="FFFFFF" w:themeFill="background1"/>
          </w:tcPr>
          <w:p w14:paraId="247E3143" w14:textId="77777777" w:rsidR="007D2E70" w:rsidRPr="001A6B03" w:rsidRDefault="007D2E70" w:rsidP="00CC59B3">
            <w:pPr>
              <w:pStyle w:val="TableText0"/>
              <w:keepNext w:val="0"/>
              <w:rPr>
                <w:szCs w:val="20"/>
              </w:rPr>
            </w:pPr>
            <w:r w:rsidRPr="001A6B03">
              <w:rPr>
                <w:szCs w:val="20"/>
              </w:rPr>
              <w:t>Number of grandfathered patients – free access program</w:t>
            </w:r>
          </w:p>
        </w:tc>
        <w:tc>
          <w:tcPr>
            <w:tcW w:w="708" w:type="pct"/>
            <w:shd w:val="clear" w:color="auto" w:fill="FFFFFF" w:themeFill="background1"/>
          </w:tcPr>
          <w:p w14:paraId="18349742" w14:textId="08303E7D" w:rsidR="007D2E70" w:rsidRPr="001A6B03" w:rsidRDefault="00E927A0" w:rsidP="00CC59B3">
            <w:pPr>
              <w:pStyle w:val="TableText0"/>
              <w:keepNext w:val="0"/>
              <w:rPr>
                <w:szCs w:val="20"/>
              </w:rPr>
            </w:pPr>
            <w:r w:rsidRPr="00E927A0">
              <w:rPr>
                <w:color w:val="000000"/>
                <w:spacing w:val="53"/>
                <w:szCs w:val="20"/>
                <w:shd w:val="solid" w:color="000000" w:fill="000000"/>
                <w:fitText w:val="332" w:id="-1032092400"/>
                <w14:textFill>
                  <w14:solidFill>
                    <w14:srgbClr w14:val="000000">
                      <w14:alpha w14:val="100000"/>
                    </w14:srgbClr>
                  </w14:solidFill>
                </w14:textFill>
              </w:rPr>
              <w:t>|||</w:t>
            </w:r>
            <w:r w:rsidRPr="00E927A0">
              <w:rPr>
                <w:color w:val="000000"/>
                <w:spacing w:val="3"/>
                <w:szCs w:val="20"/>
                <w:shd w:val="solid" w:color="000000" w:fill="000000"/>
                <w:fitText w:val="332" w:id="-1032092400"/>
                <w14:textFill>
                  <w14:solidFill>
                    <w14:srgbClr w14:val="000000">
                      <w14:alpha w14:val="100000"/>
                    </w14:srgbClr>
                  </w14:solidFill>
                </w14:textFill>
              </w:rPr>
              <w:t>|</w:t>
            </w:r>
            <w:r w:rsidR="003640C0">
              <w:rPr>
                <w:szCs w:val="20"/>
                <w:vertAlign w:val="superscript"/>
              </w:rPr>
              <w:t>1</w:t>
            </w:r>
          </w:p>
        </w:tc>
        <w:tc>
          <w:tcPr>
            <w:tcW w:w="1437" w:type="pct"/>
            <w:shd w:val="clear" w:color="auto" w:fill="FFFFFF" w:themeFill="background1"/>
          </w:tcPr>
          <w:p w14:paraId="349B7021" w14:textId="4D12C606" w:rsidR="007D2E70" w:rsidRPr="001A6B03" w:rsidRDefault="007D2E70" w:rsidP="00CC59B3">
            <w:pPr>
              <w:pStyle w:val="TableText0"/>
              <w:keepNext w:val="0"/>
              <w:rPr>
                <w:szCs w:val="20"/>
              </w:rPr>
            </w:pPr>
            <w:r w:rsidRPr="001A6B03">
              <w:rPr>
                <w:szCs w:val="20"/>
              </w:rPr>
              <w:t xml:space="preserve">Assumption </w:t>
            </w:r>
            <w:r w:rsidR="00F51E38" w:rsidRPr="001A6B03">
              <w:rPr>
                <w:szCs w:val="20"/>
              </w:rPr>
              <w:t xml:space="preserve">based on sponsor estimates. </w:t>
            </w:r>
            <w:r w:rsidR="001C623B" w:rsidRPr="001A6B03">
              <w:rPr>
                <w:szCs w:val="20"/>
              </w:rPr>
              <w:t>Potentially double counted in patients</w:t>
            </w:r>
            <w:r w:rsidR="008129A2" w:rsidRPr="001A6B03">
              <w:rPr>
                <w:szCs w:val="20"/>
              </w:rPr>
              <w:t xml:space="preserve"> treated</w:t>
            </w:r>
            <w:r w:rsidR="001C623B" w:rsidRPr="001A6B03">
              <w:rPr>
                <w:szCs w:val="20"/>
              </w:rPr>
              <w:t>.</w:t>
            </w:r>
          </w:p>
        </w:tc>
        <w:tc>
          <w:tcPr>
            <w:tcW w:w="1719" w:type="pct"/>
            <w:shd w:val="clear" w:color="auto" w:fill="FFFFFF" w:themeFill="background1"/>
          </w:tcPr>
          <w:p w14:paraId="4A2981D2" w14:textId="5F9A411C" w:rsidR="007D2E70" w:rsidRPr="001A6B03" w:rsidRDefault="002F09C5" w:rsidP="00CC59B3">
            <w:pPr>
              <w:pStyle w:val="TableText0"/>
              <w:keepNext w:val="0"/>
              <w:rPr>
                <w:b/>
                <w:bCs w:val="0"/>
                <w:iCs/>
                <w:szCs w:val="20"/>
              </w:rPr>
            </w:pPr>
            <w:r w:rsidRPr="001A6B03">
              <w:rPr>
                <w:iCs/>
                <w:szCs w:val="20"/>
              </w:rPr>
              <w:t>Assum</w:t>
            </w:r>
            <w:r w:rsidR="007B6DEA" w:rsidRPr="001A6B03">
              <w:rPr>
                <w:iCs/>
                <w:szCs w:val="20"/>
              </w:rPr>
              <w:t>ption of</w:t>
            </w:r>
            <w:r w:rsidRPr="001A6B03">
              <w:rPr>
                <w:iCs/>
                <w:szCs w:val="20"/>
              </w:rPr>
              <w:t xml:space="preserve"> 23 scripts per patient (i.e. 79% of maximum course) not justified.</w:t>
            </w:r>
          </w:p>
        </w:tc>
      </w:tr>
      <w:tr w:rsidR="006F30CB" w:rsidRPr="00174F86" w14:paraId="4483A3A6" w14:textId="77777777" w:rsidTr="00CC59B3">
        <w:tc>
          <w:tcPr>
            <w:tcW w:w="1136" w:type="pct"/>
            <w:shd w:val="clear" w:color="auto" w:fill="FFFFFF" w:themeFill="background1"/>
          </w:tcPr>
          <w:p w14:paraId="2CE8A24E" w14:textId="0120FBDE" w:rsidR="006F30CB" w:rsidRPr="001A6B03" w:rsidRDefault="006F30CB" w:rsidP="00CC59B3">
            <w:pPr>
              <w:pStyle w:val="TableText0"/>
              <w:keepNext w:val="0"/>
              <w:rPr>
                <w:szCs w:val="20"/>
              </w:rPr>
            </w:pPr>
            <w:r w:rsidRPr="001A6B03">
              <w:rPr>
                <w:szCs w:val="20"/>
              </w:rPr>
              <w:t>Reduced use of osimertinib in the metastatic setting: proportion of patients transitioning to DM1 from DF or LRR health states</w:t>
            </w:r>
          </w:p>
        </w:tc>
        <w:tc>
          <w:tcPr>
            <w:tcW w:w="708" w:type="pct"/>
            <w:shd w:val="clear" w:color="auto" w:fill="FFFFFF" w:themeFill="background1"/>
          </w:tcPr>
          <w:p w14:paraId="3A2CD746" w14:textId="6F7DF045" w:rsidR="006F30CB" w:rsidRPr="001A6B03" w:rsidRDefault="006F30CB" w:rsidP="00CC59B3">
            <w:pPr>
              <w:pStyle w:val="TableText0"/>
              <w:keepNext w:val="0"/>
              <w:rPr>
                <w:szCs w:val="20"/>
              </w:rPr>
            </w:pPr>
            <w:r w:rsidRPr="001A6B03">
              <w:rPr>
                <w:szCs w:val="20"/>
              </w:rPr>
              <w:t>Yr 1: 20%</w:t>
            </w:r>
          </w:p>
          <w:p w14:paraId="5962477B" w14:textId="448306BF" w:rsidR="006F30CB" w:rsidRPr="001A6B03" w:rsidRDefault="006F30CB" w:rsidP="00CC59B3">
            <w:pPr>
              <w:pStyle w:val="TableText0"/>
              <w:keepNext w:val="0"/>
              <w:rPr>
                <w:szCs w:val="20"/>
              </w:rPr>
            </w:pPr>
            <w:r w:rsidRPr="001A6B03">
              <w:rPr>
                <w:szCs w:val="20"/>
              </w:rPr>
              <w:t>Yr 2: 14%</w:t>
            </w:r>
          </w:p>
          <w:p w14:paraId="71A6ACD8" w14:textId="3DE95238" w:rsidR="006F30CB" w:rsidRPr="001A6B03" w:rsidRDefault="006F30CB" w:rsidP="00CC59B3">
            <w:pPr>
              <w:pStyle w:val="TableText0"/>
              <w:keepNext w:val="0"/>
              <w:rPr>
                <w:szCs w:val="20"/>
              </w:rPr>
            </w:pPr>
            <w:r w:rsidRPr="001A6B03">
              <w:rPr>
                <w:szCs w:val="20"/>
              </w:rPr>
              <w:t>Yr 3: 9%</w:t>
            </w:r>
          </w:p>
          <w:p w14:paraId="3B040BB4" w14:textId="7F66511B" w:rsidR="006F30CB" w:rsidRPr="001A6B03" w:rsidRDefault="006F30CB" w:rsidP="00CC59B3">
            <w:pPr>
              <w:pStyle w:val="TableText0"/>
              <w:keepNext w:val="0"/>
              <w:rPr>
                <w:szCs w:val="20"/>
              </w:rPr>
            </w:pPr>
            <w:r w:rsidRPr="001A6B03">
              <w:rPr>
                <w:szCs w:val="20"/>
              </w:rPr>
              <w:t>Yr 4: 8%</w:t>
            </w:r>
          </w:p>
          <w:p w14:paraId="13427AF6" w14:textId="4053336B" w:rsidR="006F30CB" w:rsidRPr="001A6B03" w:rsidRDefault="006F30CB" w:rsidP="00CC59B3">
            <w:pPr>
              <w:pStyle w:val="TableText0"/>
              <w:keepNext w:val="0"/>
              <w:rPr>
                <w:szCs w:val="20"/>
              </w:rPr>
            </w:pPr>
            <w:r w:rsidRPr="001A6B03">
              <w:rPr>
                <w:szCs w:val="20"/>
              </w:rPr>
              <w:t>Yr 5: 4%</w:t>
            </w:r>
          </w:p>
          <w:p w14:paraId="73A7685E" w14:textId="4962B395" w:rsidR="006F30CB" w:rsidRPr="001A6B03" w:rsidRDefault="006F30CB" w:rsidP="00CC59B3">
            <w:pPr>
              <w:pStyle w:val="TableText0"/>
              <w:keepNext w:val="0"/>
              <w:rPr>
                <w:szCs w:val="20"/>
              </w:rPr>
            </w:pPr>
            <w:r w:rsidRPr="001A6B03">
              <w:rPr>
                <w:szCs w:val="20"/>
              </w:rPr>
              <w:t>Yr 6: 1%</w:t>
            </w:r>
          </w:p>
        </w:tc>
        <w:tc>
          <w:tcPr>
            <w:tcW w:w="1437" w:type="pct"/>
            <w:shd w:val="clear" w:color="auto" w:fill="FFFFFF" w:themeFill="background1"/>
          </w:tcPr>
          <w:p w14:paraId="785BDCC6" w14:textId="628FBE3D" w:rsidR="006F30CB" w:rsidRPr="001A6B03" w:rsidRDefault="006F30CB" w:rsidP="00CC59B3">
            <w:pPr>
              <w:pStyle w:val="TableText0"/>
              <w:keepNext w:val="0"/>
              <w:rPr>
                <w:szCs w:val="20"/>
              </w:rPr>
            </w:pPr>
            <w:r w:rsidRPr="001A6B03">
              <w:rPr>
                <w:szCs w:val="20"/>
              </w:rPr>
              <w:t>Economic model</w:t>
            </w:r>
          </w:p>
        </w:tc>
        <w:tc>
          <w:tcPr>
            <w:tcW w:w="1719" w:type="pct"/>
            <w:shd w:val="clear" w:color="auto" w:fill="FFFFFF" w:themeFill="background1"/>
          </w:tcPr>
          <w:p w14:paraId="7731973B" w14:textId="1BFECE78" w:rsidR="006F30CB" w:rsidRPr="001A6B03" w:rsidRDefault="006F30CB" w:rsidP="00CC59B3">
            <w:pPr>
              <w:pStyle w:val="TableText0"/>
              <w:keepNext w:val="0"/>
              <w:rPr>
                <w:iCs/>
                <w:szCs w:val="20"/>
              </w:rPr>
            </w:pPr>
            <w:r w:rsidRPr="001A6B03">
              <w:rPr>
                <w:iCs/>
                <w:szCs w:val="20"/>
              </w:rPr>
              <w:t xml:space="preserve">The submission stated these were sourced from the accumulated proportion of patients transitioning to the DM1 health state (either from DF or LRR health states) in the placebo arm of the economic model. </w:t>
            </w:r>
          </w:p>
        </w:tc>
      </w:tr>
      <w:tr w:rsidR="007D2E70" w:rsidRPr="00174F86" w14:paraId="394F56F6" w14:textId="77777777" w:rsidTr="00CC59B3">
        <w:trPr>
          <w:trHeight w:val="203"/>
        </w:trPr>
        <w:tc>
          <w:tcPr>
            <w:tcW w:w="5000" w:type="pct"/>
            <w:gridSpan w:val="4"/>
            <w:shd w:val="clear" w:color="auto" w:fill="FFFFFF" w:themeFill="background1"/>
          </w:tcPr>
          <w:p w14:paraId="2DFF6195" w14:textId="77777777" w:rsidR="007D2E70" w:rsidRPr="001A6B03" w:rsidRDefault="007D2E70" w:rsidP="00825F47">
            <w:pPr>
              <w:pStyle w:val="TableText0"/>
              <w:rPr>
                <w:b/>
                <w:szCs w:val="20"/>
              </w:rPr>
            </w:pPr>
            <w:r w:rsidRPr="001A6B03">
              <w:rPr>
                <w:b/>
                <w:szCs w:val="20"/>
              </w:rPr>
              <w:t>Treatment utilisation</w:t>
            </w:r>
          </w:p>
        </w:tc>
      </w:tr>
      <w:tr w:rsidR="007D2E70" w:rsidRPr="00174F86" w14:paraId="1FB1913A" w14:textId="77777777" w:rsidTr="00CC59B3">
        <w:tc>
          <w:tcPr>
            <w:tcW w:w="1136" w:type="pct"/>
            <w:shd w:val="clear" w:color="auto" w:fill="FFFFFF" w:themeFill="background1"/>
          </w:tcPr>
          <w:p w14:paraId="33C8004C" w14:textId="77777777" w:rsidR="007D2E70" w:rsidRPr="001A6B03" w:rsidRDefault="007D2E70" w:rsidP="00825F47">
            <w:pPr>
              <w:pStyle w:val="TableText0"/>
              <w:rPr>
                <w:szCs w:val="20"/>
              </w:rPr>
            </w:pPr>
            <w:r w:rsidRPr="001A6B03">
              <w:rPr>
                <w:szCs w:val="20"/>
              </w:rPr>
              <w:t>Uptake rate of adjuvant osimertinib</w:t>
            </w:r>
          </w:p>
        </w:tc>
        <w:tc>
          <w:tcPr>
            <w:tcW w:w="708" w:type="pct"/>
            <w:shd w:val="clear" w:color="auto" w:fill="FFFFFF" w:themeFill="background1"/>
          </w:tcPr>
          <w:p w14:paraId="1AC030CA" w14:textId="77777777" w:rsidR="007D2E70" w:rsidRPr="001A6B03" w:rsidRDefault="007D2E70" w:rsidP="00825F47">
            <w:pPr>
              <w:pStyle w:val="TableText0"/>
              <w:rPr>
                <w:szCs w:val="20"/>
              </w:rPr>
            </w:pPr>
            <w:r w:rsidRPr="001A6B03">
              <w:rPr>
                <w:szCs w:val="20"/>
              </w:rPr>
              <w:t>100%</w:t>
            </w:r>
          </w:p>
        </w:tc>
        <w:tc>
          <w:tcPr>
            <w:tcW w:w="1437" w:type="pct"/>
            <w:shd w:val="clear" w:color="auto" w:fill="FFFFFF" w:themeFill="background1"/>
          </w:tcPr>
          <w:p w14:paraId="5A1C6C4E" w14:textId="77777777" w:rsidR="007D2E70" w:rsidRPr="001A6B03" w:rsidRDefault="007D2E70" w:rsidP="00825F47">
            <w:pPr>
              <w:pStyle w:val="TableText0"/>
              <w:rPr>
                <w:szCs w:val="20"/>
              </w:rPr>
            </w:pPr>
            <w:r w:rsidRPr="001A6B03">
              <w:rPr>
                <w:szCs w:val="20"/>
              </w:rPr>
              <w:t xml:space="preserve">Assumption, based on clinical need and high tolerability. </w:t>
            </w:r>
          </w:p>
        </w:tc>
        <w:tc>
          <w:tcPr>
            <w:tcW w:w="1719" w:type="pct"/>
            <w:shd w:val="clear" w:color="auto" w:fill="FFFFFF" w:themeFill="background1"/>
          </w:tcPr>
          <w:p w14:paraId="0F73CBA6" w14:textId="77777777" w:rsidR="007D2E70" w:rsidRPr="001A6B03" w:rsidRDefault="007D2E70" w:rsidP="00825F47">
            <w:pPr>
              <w:pStyle w:val="TableText0"/>
              <w:rPr>
                <w:iCs/>
                <w:szCs w:val="20"/>
              </w:rPr>
            </w:pPr>
            <w:r w:rsidRPr="001A6B03">
              <w:rPr>
                <w:iCs/>
                <w:szCs w:val="20"/>
              </w:rPr>
              <w:t>Area of uncertainty.</w:t>
            </w:r>
          </w:p>
          <w:p w14:paraId="68585494" w14:textId="1A6EF2DD" w:rsidR="007D2E70" w:rsidRPr="001A6B03" w:rsidRDefault="007D2E70" w:rsidP="00825F47">
            <w:pPr>
              <w:pStyle w:val="TableText0"/>
              <w:rPr>
                <w:iCs/>
                <w:szCs w:val="20"/>
              </w:rPr>
            </w:pPr>
            <w:r w:rsidRPr="001A6B03">
              <w:rPr>
                <w:iCs/>
                <w:szCs w:val="20"/>
              </w:rPr>
              <w:t xml:space="preserve">The submission stated that uptake in Y1 of listing was 95% in the first line metastatic </w:t>
            </w:r>
            <w:proofErr w:type="gramStart"/>
            <w:r w:rsidRPr="001A6B03">
              <w:rPr>
                <w:iCs/>
                <w:szCs w:val="20"/>
              </w:rPr>
              <w:t>setting</w:t>
            </w:r>
            <w:proofErr w:type="gramEnd"/>
            <w:r w:rsidRPr="001A6B03">
              <w:rPr>
                <w:iCs/>
                <w:szCs w:val="20"/>
              </w:rPr>
              <w:t xml:space="preserve"> but this cannot be verified. The July 2019 osimertinib submission assumed a maximum uptake of 90% and the July 2020 osimertinib submission assumed a maximum uptake of 85%.</w:t>
            </w:r>
            <w:r w:rsidR="004D54D3" w:rsidRPr="001A6B03">
              <w:rPr>
                <w:iCs/>
                <w:szCs w:val="20"/>
              </w:rPr>
              <w:t xml:space="preserve"> </w:t>
            </w:r>
            <w:r w:rsidR="004D54D3" w:rsidRPr="00176CF9">
              <w:rPr>
                <w:iCs/>
                <w:szCs w:val="20"/>
              </w:rPr>
              <w:t>The ESC considered an uptake of 100% was overestimated.</w:t>
            </w:r>
            <w:r w:rsidR="004D54D3" w:rsidRPr="001A6B03">
              <w:rPr>
                <w:iCs/>
                <w:szCs w:val="20"/>
              </w:rPr>
              <w:t xml:space="preserve"> </w:t>
            </w:r>
          </w:p>
        </w:tc>
      </w:tr>
      <w:tr w:rsidR="007D2E70" w:rsidRPr="005B43ED" w14:paraId="3839F323" w14:textId="77777777" w:rsidTr="00CC59B3">
        <w:tc>
          <w:tcPr>
            <w:tcW w:w="1136" w:type="pct"/>
            <w:shd w:val="clear" w:color="auto" w:fill="FFFFFF" w:themeFill="background1"/>
          </w:tcPr>
          <w:p w14:paraId="7A1D2147" w14:textId="77777777" w:rsidR="007D2E70" w:rsidRPr="001A6B03" w:rsidRDefault="007D2E70" w:rsidP="00CC59B3">
            <w:pPr>
              <w:pStyle w:val="TableText0"/>
              <w:keepNext w:val="0"/>
              <w:rPr>
                <w:szCs w:val="20"/>
                <w:lang w:val="it-IT"/>
              </w:rPr>
            </w:pPr>
            <w:r w:rsidRPr="001A6B03">
              <w:rPr>
                <w:szCs w:val="20"/>
                <w:lang w:val="it-IT"/>
              </w:rPr>
              <w:t>Osimertinib (adjuvant setting) scripts dispensed per patient</w:t>
            </w:r>
          </w:p>
        </w:tc>
        <w:tc>
          <w:tcPr>
            <w:tcW w:w="708" w:type="pct"/>
            <w:shd w:val="clear" w:color="auto" w:fill="FFFFFF" w:themeFill="background1"/>
          </w:tcPr>
          <w:p w14:paraId="4A929E5F" w14:textId="77777777" w:rsidR="007D2E70" w:rsidRPr="001A6B03" w:rsidRDefault="007D2E70" w:rsidP="00CC59B3">
            <w:pPr>
              <w:pStyle w:val="TableText0"/>
              <w:keepNext w:val="0"/>
              <w:rPr>
                <w:szCs w:val="20"/>
              </w:rPr>
            </w:pPr>
            <w:r w:rsidRPr="001A6B03">
              <w:rPr>
                <w:szCs w:val="20"/>
              </w:rPr>
              <w:t>Yr 1: 12</w:t>
            </w:r>
          </w:p>
          <w:p w14:paraId="75D28CD5" w14:textId="77777777" w:rsidR="007D2E70" w:rsidRPr="001A6B03" w:rsidRDefault="007D2E70" w:rsidP="00CC59B3">
            <w:pPr>
              <w:pStyle w:val="TableText0"/>
              <w:keepNext w:val="0"/>
              <w:rPr>
                <w:szCs w:val="20"/>
              </w:rPr>
            </w:pPr>
            <w:r w:rsidRPr="001A6B03">
              <w:rPr>
                <w:szCs w:val="20"/>
              </w:rPr>
              <w:t>Yr 2: 12</w:t>
            </w:r>
          </w:p>
          <w:p w14:paraId="2971BDEB" w14:textId="77777777" w:rsidR="007D2E70" w:rsidRPr="001A6B03" w:rsidRDefault="007D2E70" w:rsidP="00CC59B3">
            <w:pPr>
              <w:pStyle w:val="TableText0"/>
              <w:keepNext w:val="0"/>
              <w:rPr>
                <w:szCs w:val="20"/>
              </w:rPr>
            </w:pPr>
            <w:r w:rsidRPr="001A6B03">
              <w:rPr>
                <w:szCs w:val="20"/>
              </w:rPr>
              <w:t>Yr 3: 5</w:t>
            </w:r>
          </w:p>
        </w:tc>
        <w:tc>
          <w:tcPr>
            <w:tcW w:w="1437" w:type="pct"/>
            <w:shd w:val="clear" w:color="auto" w:fill="FFFFFF" w:themeFill="background1"/>
          </w:tcPr>
          <w:p w14:paraId="0B8FA1A3" w14:textId="77777777" w:rsidR="007D2E70" w:rsidRPr="001A6B03" w:rsidRDefault="007D2E70" w:rsidP="00CC59B3">
            <w:pPr>
              <w:pStyle w:val="TableText0"/>
              <w:keepNext w:val="0"/>
              <w:rPr>
                <w:szCs w:val="20"/>
              </w:rPr>
            </w:pPr>
            <w:r w:rsidRPr="001A6B03">
              <w:rPr>
                <w:szCs w:val="20"/>
              </w:rPr>
              <w:t>Economic model’s mean treatment duration (based on KM curve for time to treatment discontinuation from ADAURA)</w:t>
            </w:r>
          </w:p>
        </w:tc>
        <w:tc>
          <w:tcPr>
            <w:tcW w:w="1719" w:type="pct"/>
            <w:shd w:val="clear" w:color="auto" w:fill="FFFFFF" w:themeFill="background1"/>
          </w:tcPr>
          <w:p w14:paraId="2038A5B6" w14:textId="15C83047" w:rsidR="007D2E70" w:rsidRPr="001A6B03" w:rsidRDefault="007D2E70" w:rsidP="00CC59B3">
            <w:pPr>
              <w:pStyle w:val="TableText0"/>
              <w:keepNext w:val="0"/>
              <w:rPr>
                <w:iCs/>
                <w:szCs w:val="20"/>
              </w:rPr>
            </w:pPr>
            <w:r w:rsidRPr="001A6B03">
              <w:rPr>
                <w:iCs/>
                <w:szCs w:val="20"/>
              </w:rPr>
              <w:t>Reasonable.</w:t>
            </w:r>
            <w:r w:rsidR="00A60867" w:rsidRPr="001A6B03">
              <w:rPr>
                <w:iCs/>
                <w:szCs w:val="20"/>
              </w:rPr>
              <w:t xml:space="preserve"> However, this data did not include use of osimertinib as subsequent treatment beyond disease progression.</w:t>
            </w:r>
          </w:p>
        </w:tc>
      </w:tr>
      <w:tr w:rsidR="007D2E70" w:rsidRPr="005B43ED" w14:paraId="0BC4F247" w14:textId="77777777" w:rsidTr="00CC59B3">
        <w:tc>
          <w:tcPr>
            <w:tcW w:w="1136" w:type="pct"/>
            <w:shd w:val="clear" w:color="auto" w:fill="FFFFFF" w:themeFill="background1"/>
          </w:tcPr>
          <w:p w14:paraId="55F4397D" w14:textId="77777777" w:rsidR="007D2E70" w:rsidRPr="001A6B03" w:rsidRDefault="007D2E70" w:rsidP="00CC59B3">
            <w:pPr>
              <w:pStyle w:val="TableText0"/>
              <w:keepNext w:val="0"/>
              <w:rPr>
                <w:szCs w:val="20"/>
                <w:lang w:val="it-IT"/>
              </w:rPr>
            </w:pPr>
            <w:r w:rsidRPr="001A6B03">
              <w:rPr>
                <w:szCs w:val="20"/>
                <w:lang w:val="it-IT"/>
              </w:rPr>
              <w:t>Osimertinib (metastatic setting) scripts dispensed per patient</w:t>
            </w:r>
          </w:p>
        </w:tc>
        <w:tc>
          <w:tcPr>
            <w:tcW w:w="708" w:type="pct"/>
            <w:shd w:val="clear" w:color="auto" w:fill="FFFFFF" w:themeFill="background1"/>
          </w:tcPr>
          <w:p w14:paraId="154E47B4" w14:textId="77777777" w:rsidR="007D2E70" w:rsidRPr="001A6B03" w:rsidRDefault="007D2E70" w:rsidP="00CC59B3">
            <w:pPr>
              <w:pStyle w:val="TableText0"/>
              <w:keepNext w:val="0"/>
              <w:rPr>
                <w:szCs w:val="20"/>
              </w:rPr>
            </w:pPr>
            <w:r w:rsidRPr="001A6B03">
              <w:rPr>
                <w:szCs w:val="20"/>
              </w:rPr>
              <w:t>First year of treatment: 12.18</w:t>
            </w:r>
          </w:p>
          <w:p w14:paraId="77218F51" w14:textId="77777777" w:rsidR="007D2E70" w:rsidRPr="001A6B03" w:rsidRDefault="007D2E70" w:rsidP="00CC59B3">
            <w:pPr>
              <w:pStyle w:val="TableText0"/>
              <w:keepNext w:val="0"/>
              <w:rPr>
                <w:szCs w:val="20"/>
              </w:rPr>
            </w:pPr>
            <w:r w:rsidRPr="001A6B03">
              <w:rPr>
                <w:szCs w:val="20"/>
              </w:rPr>
              <w:t>Second year of treatment: 8.82</w:t>
            </w:r>
          </w:p>
        </w:tc>
        <w:tc>
          <w:tcPr>
            <w:tcW w:w="1437" w:type="pct"/>
            <w:shd w:val="clear" w:color="auto" w:fill="FFFFFF" w:themeFill="background1"/>
          </w:tcPr>
          <w:p w14:paraId="5D8408D7" w14:textId="77777777" w:rsidR="007D2E70" w:rsidRPr="001A6B03" w:rsidRDefault="007D2E70" w:rsidP="00CC59B3">
            <w:pPr>
              <w:pStyle w:val="TableText0"/>
              <w:keepNext w:val="0"/>
              <w:rPr>
                <w:szCs w:val="20"/>
              </w:rPr>
            </w:pPr>
            <w:r w:rsidRPr="001A6B03">
              <w:rPr>
                <w:szCs w:val="20"/>
              </w:rPr>
              <w:t>FLAURA (21 months treatment duration reimbursed through RSA). This was consistent with the osimertinib PBAC submissions for 1L treatment in advanced NSCLC (July 2019 and July 2020)</w:t>
            </w:r>
          </w:p>
        </w:tc>
        <w:tc>
          <w:tcPr>
            <w:tcW w:w="1719" w:type="pct"/>
            <w:shd w:val="clear" w:color="auto" w:fill="FFFFFF" w:themeFill="background1"/>
          </w:tcPr>
          <w:p w14:paraId="2D540808" w14:textId="77777777" w:rsidR="007D2E70" w:rsidRPr="001A6B03" w:rsidRDefault="007D2E70" w:rsidP="00CC59B3">
            <w:pPr>
              <w:pStyle w:val="TableText0"/>
              <w:keepNext w:val="0"/>
              <w:rPr>
                <w:szCs w:val="20"/>
              </w:rPr>
            </w:pPr>
            <w:r w:rsidRPr="001A6B03">
              <w:rPr>
                <w:szCs w:val="20"/>
              </w:rPr>
              <w:t>Reasonable.</w:t>
            </w:r>
          </w:p>
        </w:tc>
      </w:tr>
      <w:tr w:rsidR="007D2E70" w:rsidRPr="00174F86" w14:paraId="3F895697" w14:textId="77777777" w:rsidTr="00CC59B3">
        <w:tc>
          <w:tcPr>
            <w:tcW w:w="5000" w:type="pct"/>
            <w:gridSpan w:val="4"/>
            <w:shd w:val="clear" w:color="auto" w:fill="FFFFFF" w:themeFill="background1"/>
          </w:tcPr>
          <w:p w14:paraId="587C9C69" w14:textId="77777777" w:rsidR="007D2E70" w:rsidRPr="001A6B03" w:rsidRDefault="007D2E70" w:rsidP="00CC59B3">
            <w:pPr>
              <w:pStyle w:val="TableText0"/>
              <w:keepNext w:val="0"/>
              <w:rPr>
                <w:b/>
                <w:szCs w:val="20"/>
              </w:rPr>
            </w:pPr>
            <w:r w:rsidRPr="001A6B03">
              <w:rPr>
                <w:b/>
                <w:szCs w:val="20"/>
              </w:rPr>
              <w:t xml:space="preserve">Drug cost </w:t>
            </w:r>
          </w:p>
        </w:tc>
      </w:tr>
      <w:tr w:rsidR="007D2E70" w:rsidRPr="00174F86" w14:paraId="235A2BE3" w14:textId="77777777" w:rsidTr="00CC59B3">
        <w:tc>
          <w:tcPr>
            <w:tcW w:w="1136" w:type="pct"/>
            <w:shd w:val="clear" w:color="auto" w:fill="FFFFFF" w:themeFill="background1"/>
          </w:tcPr>
          <w:p w14:paraId="350DA455" w14:textId="77777777" w:rsidR="007D2E70" w:rsidRPr="001A6B03" w:rsidRDefault="007D2E70" w:rsidP="00CC59B3">
            <w:pPr>
              <w:pStyle w:val="TableText0"/>
              <w:keepNext w:val="0"/>
              <w:rPr>
                <w:szCs w:val="20"/>
              </w:rPr>
            </w:pPr>
            <w:r w:rsidRPr="001A6B03">
              <w:rPr>
                <w:szCs w:val="20"/>
              </w:rPr>
              <w:t>Substituted PBS costs</w:t>
            </w:r>
          </w:p>
        </w:tc>
        <w:tc>
          <w:tcPr>
            <w:tcW w:w="708" w:type="pct"/>
            <w:shd w:val="clear" w:color="auto" w:fill="FFFFFF" w:themeFill="background1"/>
          </w:tcPr>
          <w:p w14:paraId="67661CEE" w14:textId="77777777" w:rsidR="007D2E70" w:rsidRPr="001A6B03" w:rsidRDefault="007D2E70" w:rsidP="00CC59B3">
            <w:pPr>
              <w:pStyle w:val="TableText0"/>
              <w:keepNext w:val="0"/>
              <w:rPr>
                <w:szCs w:val="20"/>
              </w:rPr>
            </w:pPr>
            <w:r w:rsidRPr="001A6B03">
              <w:rPr>
                <w:szCs w:val="20"/>
              </w:rPr>
              <w:t>Osimertinib (metastatic setting)</w:t>
            </w:r>
          </w:p>
        </w:tc>
        <w:tc>
          <w:tcPr>
            <w:tcW w:w="1437" w:type="pct"/>
            <w:shd w:val="clear" w:color="auto" w:fill="FFFFFF" w:themeFill="background1"/>
          </w:tcPr>
          <w:p w14:paraId="5370BE50" w14:textId="77777777" w:rsidR="007D2E70" w:rsidRPr="001A6B03" w:rsidRDefault="007D2E70" w:rsidP="00CC59B3">
            <w:pPr>
              <w:pStyle w:val="TableText0"/>
              <w:keepNext w:val="0"/>
              <w:rPr>
                <w:szCs w:val="20"/>
              </w:rPr>
            </w:pPr>
            <w:r w:rsidRPr="001A6B03">
              <w:rPr>
                <w:szCs w:val="20"/>
              </w:rPr>
              <w:t>Assumption.</w:t>
            </w:r>
          </w:p>
        </w:tc>
        <w:tc>
          <w:tcPr>
            <w:tcW w:w="1719" w:type="pct"/>
            <w:shd w:val="clear" w:color="auto" w:fill="FFFFFF" w:themeFill="background1"/>
          </w:tcPr>
          <w:p w14:paraId="2741D376" w14:textId="422DB5F9" w:rsidR="007D2E70" w:rsidRPr="001A6B03" w:rsidRDefault="007D2E70" w:rsidP="00CC59B3">
            <w:pPr>
              <w:pStyle w:val="TableText0"/>
              <w:keepNext w:val="0"/>
              <w:rPr>
                <w:iCs/>
                <w:szCs w:val="20"/>
              </w:rPr>
            </w:pPr>
            <w:r w:rsidRPr="001A6B03">
              <w:rPr>
                <w:iCs/>
                <w:szCs w:val="20"/>
              </w:rPr>
              <w:t>The submission only costed osimertinib (metastatic) scripts expected to be offset by adjuvant osimertinib and did not cost chemotherapy scripts or scripts for targeted therapies such as atezolizumab + bevacizumab (in Stage IV) or durvalumab (in Stage III) post progression with osimertinib..</w:t>
            </w:r>
          </w:p>
        </w:tc>
      </w:tr>
      <w:tr w:rsidR="007D2E70" w:rsidRPr="00174F86" w14:paraId="4889B758" w14:textId="77777777" w:rsidTr="00CC59B3">
        <w:tc>
          <w:tcPr>
            <w:tcW w:w="1136" w:type="pct"/>
            <w:shd w:val="clear" w:color="auto" w:fill="FFFFFF" w:themeFill="background1"/>
          </w:tcPr>
          <w:p w14:paraId="55526B05" w14:textId="77777777" w:rsidR="007D2E70" w:rsidRPr="001A6B03" w:rsidRDefault="007D2E70" w:rsidP="00CC59B3">
            <w:pPr>
              <w:pStyle w:val="TableText0"/>
              <w:keepNext w:val="0"/>
              <w:rPr>
                <w:szCs w:val="20"/>
              </w:rPr>
            </w:pPr>
            <w:r w:rsidRPr="001A6B03">
              <w:rPr>
                <w:szCs w:val="20"/>
              </w:rPr>
              <w:t>Osimertinib (metastatic setting) effective DPMQ</w:t>
            </w:r>
          </w:p>
        </w:tc>
        <w:tc>
          <w:tcPr>
            <w:tcW w:w="708" w:type="pct"/>
            <w:shd w:val="clear" w:color="auto" w:fill="FFFFFF" w:themeFill="background1"/>
          </w:tcPr>
          <w:p w14:paraId="55E08A90" w14:textId="15F5E63B" w:rsidR="007D2E70" w:rsidRPr="001A6B03" w:rsidRDefault="007D2E70" w:rsidP="00CC59B3">
            <w:pPr>
              <w:pStyle w:val="TableText0"/>
              <w:keepNext w:val="0"/>
              <w:rPr>
                <w:szCs w:val="20"/>
              </w:rPr>
            </w:pPr>
            <w:r w:rsidRPr="001A6B03">
              <w:rPr>
                <w:szCs w:val="20"/>
              </w:rPr>
              <w:t>$</w:t>
            </w:r>
            <w:r w:rsidR="00E927A0" w:rsidRPr="00E927A0">
              <w:rPr>
                <w:color w:val="000000"/>
                <w:spacing w:val="53"/>
                <w:szCs w:val="20"/>
                <w:shd w:val="solid" w:color="000000" w:fill="000000"/>
                <w:fitText w:val="332" w:id="-1032092416"/>
                <w14:textFill>
                  <w14:solidFill>
                    <w14:srgbClr w14:val="000000">
                      <w14:alpha w14:val="100000"/>
                    </w14:srgbClr>
                  </w14:solidFill>
                </w14:textFill>
              </w:rPr>
              <w:t>|||</w:t>
            </w:r>
            <w:r w:rsidR="00E927A0" w:rsidRPr="00E927A0">
              <w:rPr>
                <w:color w:val="000000"/>
                <w:spacing w:val="3"/>
                <w:szCs w:val="20"/>
                <w:shd w:val="solid" w:color="000000" w:fill="000000"/>
                <w:fitText w:val="332" w:id="-1032092416"/>
                <w14:textFill>
                  <w14:solidFill>
                    <w14:srgbClr w14:val="000000">
                      <w14:alpha w14:val="100000"/>
                    </w14:srgbClr>
                  </w14:solidFill>
                </w14:textFill>
              </w:rPr>
              <w:t>|</w:t>
            </w:r>
          </w:p>
        </w:tc>
        <w:tc>
          <w:tcPr>
            <w:tcW w:w="1437" w:type="pct"/>
            <w:shd w:val="clear" w:color="auto" w:fill="FFFFFF" w:themeFill="background1"/>
          </w:tcPr>
          <w:p w14:paraId="223097CC" w14:textId="77777777" w:rsidR="007D2E70" w:rsidRPr="001A6B03" w:rsidRDefault="007D2E70" w:rsidP="00CC59B3">
            <w:pPr>
              <w:pStyle w:val="TableText0"/>
              <w:keepNext w:val="0"/>
              <w:rPr>
                <w:szCs w:val="20"/>
              </w:rPr>
            </w:pPr>
            <w:r w:rsidRPr="001A6B03">
              <w:rPr>
                <w:szCs w:val="20"/>
              </w:rPr>
              <w:t>Current effective DPMQ</w:t>
            </w:r>
          </w:p>
        </w:tc>
        <w:tc>
          <w:tcPr>
            <w:tcW w:w="1719" w:type="pct"/>
            <w:shd w:val="clear" w:color="auto" w:fill="FFFFFF" w:themeFill="background1"/>
          </w:tcPr>
          <w:p w14:paraId="3D3C2CA6" w14:textId="77777777" w:rsidR="007D2E70" w:rsidRPr="001A6B03" w:rsidRDefault="007D2E70" w:rsidP="00CC59B3">
            <w:pPr>
              <w:pStyle w:val="TableText0"/>
              <w:keepNext w:val="0"/>
              <w:rPr>
                <w:iCs/>
                <w:szCs w:val="20"/>
              </w:rPr>
            </w:pPr>
            <w:r w:rsidRPr="001A6B03">
              <w:rPr>
                <w:iCs/>
                <w:szCs w:val="20"/>
              </w:rPr>
              <w:t>Appropriate, consistent with Section 3 model.</w:t>
            </w:r>
          </w:p>
        </w:tc>
      </w:tr>
      <w:tr w:rsidR="007D2E70" w:rsidRPr="00326807" w14:paraId="786F7F2C" w14:textId="77777777" w:rsidTr="00CC59B3">
        <w:tc>
          <w:tcPr>
            <w:tcW w:w="5000" w:type="pct"/>
            <w:gridSpan w:val="4"/>
            <w:shd w:val="clear" w:color="auto" w:fill="FFFFFF" w:themeFill="background1"/>
          </w:tcPr>
          <w:p w14:paraId="664B790B" w14:textId="77777777" w:rsidR="007D2E70" w:rsidRPr="001A6B03" w:rsidRDefault="007D2E70" w:rsidP="00CC59B3">
            <w:pPr>
              <w:pStyle w:val="TableText0"/>
              <w:keepNext w:val="0"/>
              <w:rPr>
                <w:b/>
                <w:szCs w:val="20"/>
              </w:rPr>
            </w:pPr>
            <w:r w:rsidRPr="001A6B03">
              <w:rPr>
                <w:b/>
                <w:szCs w:val="20"/>
              </w:rPr>
              <w:t>MBS costs</w:t>
            </w:r>
          </w:p>
        </w:tc>
      </w:tr>
      <w:tr w:rsidR="007D2E70" w:rsidRPr="00174F86" w14:paraId="7CF217F3" w14:textId="77777777" w:rsidTr="00CC59B3">
        <w:tc>
          <w:tcPr>
            <w:tcW w:w="1136" w:type="pct"/>
            <w:shd w:val="clear" w:color="auto" w:fill="FFFFFF" w:themeFill="background1"/>
          </w:tcPr>
          <w:p w14:paraId="686EB591" w14:textId="77777777" w:rsidR="007D2E70" w:rsidRPr="001A6B03" w:rsidRDefault="007D2E70" w:rsidP="00CC59B3">
            <w:pPr>
              <w:pStyle w:val="TableText0"/>
              <w:keepNext w:val="0"/>
              <w:rPr>
                <w:szCs w:val="20"/>
              </w:rPr>
            </w:pPr>
            <w:r w:rsidRPr="001A6B03">
              <w:rPr>
                <w:szCs w:val="20"/>
              </w:rPr>
              <w:t>Substituted MBS costs</w:t>
            </w:r>
          </w:p>
        </w:tc>
        <w:tc>
          <w:tcPr>
            <w:tcW w:w="708" w:type="pct"/>
            <w:shd w:val="clear" w:color="auto" w:fill="FFFFFF" w:themeFill="background1"/>
          </w:tcPr>
          <w:p w14:paraId="7A385BCE" w14:textId="77777777" w:rsidR="007D2E70" w:rsidRPr="001A6B03" w:rsidRDefault="007D2E70" w:rsidP="00CC59B3">
            <w:pPr>
              <w:pStyle w:val="TableText0"/>
              <w:keepNext w:val="0"/>
              <w:rPr>
                <w:szCs w:val="20"/>
              </w:rPr>
            </w:pPr>
            <w:r w:rsidRPr="001A6B03">
              <w:rPr>
                <w:szCs w:val="20"/>
              </w:rPr>
              <w:t>Costs of radiation therapy</w:t>
            </w:r>
          </w:p>
        </w:tc>
        <w:tc>
          <w:tcPr>
            <w:tcW w:w="1437" w:type="pct"/>
            <w:shd w:val="clear" w:color="auto" w:fill="FFFFFF" w:themeFill="background1"/>
          </w:tcPr>
          <w:p w14:paraId="5F26EFC3" w14:textId="77777777" w:rsidR="007D2E70" w:rsidRPr="001A6B03" w:rsidRDefault="007D2E70" w:rsidP="00CC59B3">
            <w:pPr>
              <w:pStyle w:val="TableText0"/>
              <w:keepNext w:val="0"/>
              <w:rPr>
                <w:szCs w:val="20"/>
              </w:rPr>
            </w:pPr>
            <w:r w:rsidRPr="001A6B03">
              <w:rPr>
                <w:szCs w:val="20"/>
              </w:rPr>
              <w:t>Assumption</w:t>
            </w:r>
          </w:p>
        </w:tc>
        <w:tc>
          <w:tcPr>
            <w:tcW w:w="1719" w:type="pct"/>
            <w:shd w:val="clear" w:color="auto" w:fill="FFFFFF" w:themeFill="background1"/>
          </w:tcPr>
          <w:p w14:paraId="73C8E47A" w14:textId="77777777" w:rsidR="007D2E70" w:rsidRPr="001A6B03" w:rsidRDefault="007D2E70" w:rsidP="00CC59B3">
            <w:pPr>
              <w:pStyle w:val="TableText0"/>
              <w:keepNext w:val="0"/>
              <w:rPr>
                <w:i/>
                <w:szCs w:val="20"/>
              </w:rPr>
            </w:pPr>
            <w:r w:rsidRPr="001A6B03">
              <w:rPr>
                <w:iCs/>
                <w:szCs w:val="20"/>
              </w:rPr>
              <w:t xml:space="preserve">The submission did not include cost for drug administration, monitoring and disease management outside of radiation therapy (e.g., regular specialist check-ups, chest and brain scans). These costs are </w:t>
            </w:r>
            <w:r w:rsidRPr="001A6B03">
              <w:rPr>
                <w:iCs/>
                <w:color w:val="000000" w:themeColor="text1"/>
                <w:szCs w:val="20"/>
              </w:rPr>
              <w:t>expected to be higher due to adjuvant osimertinib in the DF</w:t>
            </w:r>
            <w:r w:rsidRPr="001A6B03">
              <w:rPr>
                <w:i/>
                <w:iCs/>
                <w:color w:val="000000" w:themeColor="text1"/>
                <w:szCs w:val="20"/>
              </w:rPr>
              <w:t xml:space="preserve"> </w:t>
            </w:r>
            <w:r w:rsidRPr="001A6B03">
              <w:rPr>
                <w:color w:val="000000" w:themeColor="text1"/>
                <w:szCs w:val="20"/>
              </w:rPr>
              <w:t>health state but reduced in the LRR and DM health states due to fewer disease progression.</w:t>
            </w:r>
          </w:p>
        </w:tc>
      </w:tr>
    </w:tbl>
    <w:p w14:paraId="1356F7F6" w14:textId="77777777" w:rsidR="007D2E70" w:rsidRPr="0031733F" w:rsidRDefault="007D2E70" w:rsidP="007D2E70">
      <w:pPr>
        <w:pStyle w:val="TableFigureFooter"/>
        <w:rPr>
          <w:sz w:val="16"/>
          <w:szCs w:val="16"/>
        </w:rPr>
      </w:pPr>
      <w:r w:rsidRPr="0031733F">
        <w:rPr>
          <w:sz w:val="16"/>
          <w:szCs w:val="16"/>
        </w:rPr>
        <w:t>Source: Table 4.2-1, p186 of the submission</w:t>
      </w:r>
    </w:p>
    <w:p w14:paraId="0A734A7F" w14:textId="69DE060E" w:rsidR="007D2E70" w:rsidRPr="0031733F" w:rsidRDefault="007D2E70" w:rsidP="003640C0">
      <w:pPr>
        <w:pStyle w:val="TableFigureFooter"/>
        <w:spacing w:after="0"/>
        <w:rPr>
          <w:sz w:val="16"/>
          <w:szCs w:val="16"/>
        </w:rPr>
      </w:pPr>
      <w:r w:rsidRPr="0031733F">
        <w:rPr>
          <w:sz w:val="16"/>
          <w:szCs w:val="16"/>
        </w:rPr>
        <w:t xml:space="preserve">AIHW = Australian Institute of Health and Welfare; DF = disease-free; DM1 = first-line treatment for distant metastatic NSCLC; DM2 = second-line treatment for distant metastatic NSCLC; </w:t>
      </w:r>
      <w:r>
        <w:rPr>
          <w:sz w:val="16"/>
          <w:szCs w:val="16"/>
        </w:rPr>
        <w:t xml:space="preserve">DPMQ=dispensed price for maximum quantity, </w:t>
      </w:r>
      <w:r w:rsidRPr="0031733F">
        <w:rPr>
          <w:sz w:val="16"/>
          <w:szCs w:val="16"/>
        </w:rPr>
        <w:t xml:space="preserve">ECOG = Eastern Cooperative Oncology Group; </w:t>
      </w:r>
      <w:r w:rsidRPr="00921CDF">
        <w:rPr>
          <w:i/>
          <w:sz w:val="16"/>
          <w:szCs w:val="16"/>
        </w:rPr>
        <w:t>EGFR</w:t>
      </w:r>
      <w:r w:rsidRPr="0031733F">
        <w:rPr>
          <w:sz w:val="16"/>
          <w:szCs w:val="16"/>
        </w:rPr>
        <w:t xml:space="preserve"> = epidermal growth factor receptor; KM = Kaplan-Meier; LRR = loco/regional recurrence; MBS = Medicare Benefits Schedule; NSCLC = non-small cell lung cancer; PBS = Pharmaceutical Benefits Scheme; RPBS = Repatriation Pharmaceutical Benefits Scheme; RSA = risk-share arrangement; WHO = World Health Organisation; VLCR = Victorian Lung Cancer Registry</w:t>
      </w:r>
      <w:r>
        <w:rPr>
          <w:sz w:val="16"/>
          <w:szCs w:val="16"/>
        </w:rPr>
        <w:t>, Yr=year</w:t>
      </w:r>
      <w:r w:rsidR="006223FA">
        <w:rPr>
          <w:sz w:val="16"/>
          <w:szCs w:val="16"/>
        </w:rPr>
        <w:t>.</w:t>
      </w:r>
    </w:p>
    <w:p w14:paraId="31B9B697" w14:textId="77777777" w:rsidR="003640C0" w:rsidRPr="007665CA" w:rsidRDefault="003640C0" w:rsidP="003640C0">
      <w:pPr>
        <w:pStyle w:val="FooterTableFigure"/>
        <w:spacing w:after="0"/>
        <w:ind w:left="165" w:hanging="165"/>
        <w:rPr>
          <w:i/>
          <w:iCs/>
        </w:rPr>
      </w:pPr>
      <w:r w:rsidRPr="007665CA">
        <w:rPr>
          <w:i/>
          <w:iCs/>
        </w:rPr>
        <w:t>The redacted values correspond to the following ranges:</w:t>
      </w:r>
    </w:p>
    <w:p w14:paraId="03FDB179" w14:textId="733EF361" w:rsidR="007D2E70" w:rsidRPr="003640C0" w:rsidRDefault="003640C0" w:rsidP="003640C0">
      <w:pPr>
        <w:pStyle w:val="FooterTableFigure"/>
        <w:rPr>
          <w:i/>
          <w:iCs/>
        </w:rPr>
      </w:pPr>
      <w:r>
        <w:rPr>
          <w:i/>
          <w:iCs/>
          <w:vertAlign w:val="superscript"/>
        </w:rPr>
        <w:t>1</w:t>
      </w:r>
      <w:r w:rsidRPr="00E61A6C">
        <w:rPr>
          <w:i/>
          <w:iCs/>
        </w:rPr>
        <w:t> &lt; 500</w:t>
      </w:r>
    </w:p>
    <w:p w14:paraId="26FB6670" w14:textId="08899C22" w:rsidR="00B505C8" w:rsidRPr="000436F7" w:rsidRDefault="000436F7" w:rsidP="002455B7">
      <w:pPr>
        <w:pStyle w:val="3-BodyText"/>
      </w:pPr>
      <w:r>
        <w:t>The predicted use of adjuvant osimertinib</w:t>
      </w:r>
      <w:r w:rsidRPr="004A16E0">
        <w:t xml:space="preserve"> and financial implications associated with the proposed listing </w:t>
      </w:r>
      <w:r>
        <w:t>a</w:t>
      </w:r>
      <w:r w:rsidRPr="004A16E0">
        <w:t>re summarised in</w:t>
      </w:r>
      <w:r w:rsidR="002455B7">
        <w:t xml:space="preserve"> </w:t>
      </w:r>
      <w:r w:rsidR="002455B7">
        <w:fldChar w:fldCharType="begin" w:fldLock="1"/>
      </w:r>
      <w:r w:rsidR="002455B7">
        <w:instrText xml:space="preserve"> REF _Ref104805295 \h </w:instrText>
      </w:r>
      <w:r w:rsidR="002455B7">
        <w:fldChar w:fldCharType="separate"/>
      </w:r>
      <w:r w:rsidR="002455B7" w:rsidRPr="002455B7">
        <w:t xml:space="preserve">Table </w:t>
      </w:r>
      <w:r w:rsidR="002455B7">
        <w:rPr>
          <w:noProof/>
        </w:rPr>
        <w:t>15</w:t>
      </w:r>
      <w:r w:rsidR="002455B7">
        <w:fldChar w:fldCharType="end"/>
      </w:r>
      <w:r w:rsidRPr="004A16E0">
        <w:t>.</w:t>
      </w:r>
      <w:r>
        <w:t xml:space="preserve"> </w:t>
      </w:r>
    </w:p>
    <w:p w14:paraId="38EC053C" w14:textId="2D4133DE" w:rsidR="00C25D9C" w:rsidRPr="00606FBA" w:rsidRDefault="00E16AD8" w:rsidP="00E16AD8">
      <w:pPr>
        <w:pStyle w:val="Caption"/>
      </w:pPr>
      <w:bookmarkStart w:id="68" w:name="_Ref104805295"/>
      <w:r w:rsidRPr="002455B7">
        <w:t xml:space="preserve">Table </w:t>
      </w:r>
      <w:r w:rsidR="001E77BF">
        <w:fldChar w:fldCharType="begin" w:fldLock="1"/>
      </w:r>
      <w:r w:rsidR="001E77BF">
        <w:instrText xml:space="preserve"> SEQ Table \* ARABIC </w:instrText>
      </w:r>
      <w:r w:rsidR="001E77BF">
        <w:fldChar w:fldCharType="separate"/>
      </w:r>
      <w:r w:rsidR="002455B7">
        <w:rPr>
          <w:noProof/>
        </w:rPr>
        <w:t>15</w:t>
      </w:r>
      <w:r w:rsidR="001E77BF">
        <w:rPr>
          <w:noProof/>
        </w:rPr>
        <w:fldChar w:fldCharType="end"/>
      </w:r>
      <w:bookmarkEnd w:id="68"/>
      <w:r w:rsidRPr="002455B7">
        <w:t>:</w:t>
      </w:r>
      <w:r w:rsidR="002A2F50" w:rsidRPr="00606FBA">
        <w:rPr>
          <w:rStyle w:val="CommentReference"/>
          <w:b/>
          <w:szCs w:val="24"/>
        </w:rPr>
        <w:t xml:space="preserve"> Estimated use and financial implications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2405"/>
        <w:gridCol w:w="1102"/>
        <w:gridCol w:w="1102"/>
        <w:gridCol w:w="1102"/>
        <w:gridCol w:w="1102"/>
        <w:gridCol w:w="1102"/>
        <w:gridCol w:w="1102"/>
      </w:tblGrid>
      <w:tr w:rsidR="00385A9D" w:rsidRPr="00D1078F" w14:paraId="43A2A3A1" w14:textId="77777777" w:rsidTr="008A3158">
        <w:trPr>
          <w:tblHeader/>
        </w:trPr>
        <w:tc>
          <w:tcPr>
            <w:tcW w:w="1334" w:type="pct"/>
            <w:shd w:val="clear" w:color="auto" w:fill="auto"/>
            <w:vAlign w:val="center"/>
          </w:tcPr>
          <w:p w14:paraId="0A4E41E1" w14:textId="77777777" w:rsidR="00385A9D" w:rsidRPr="003639A6" w:rsidRDefault="00385A9D" w:rsidP="00606FBA">
            <w:pPr>
              <w:pStyle w:val="In-tableHeading"/>
              <w:jc w:val="center"/>
            </w:pPr>
          </w:p>
        </w:tc>
        <w:tc>
          <w:tcPr>
            <w:tcW w:w="611" w:type="pct"/>
            <w:shd w:val="clear" w:color="auto" w:fill="auto"/>
            <w:vAlign w:val="center"/>
          </w:tcPr>
          <w:p w14:paraId="77420B6F" w14:textId="77777777" w:rsidR="00385A9D" w:rsidRPr="00D1078F" w:rsidRDefault="00385A9D" w:rsidP="00606FBA">
            <w:pPr>
              <w:pStyle w:val="In-tableHeading"/>
              <w:jc w:val="center"/>
            </w:pPr>
            <w:r w:rsidRPr="00D1078F">
              <w:t>Year 1</w:t>
            </w:r>
          </w:p>
        </w:tc>
        <w:tc>
          <w:tcPr>
            <w:tcW w:w="611" w:type="pct"/>
            <w:shd w:val="clear" w:color="auto" w:fill="auto"/>
            <w:vAlign w:val="center"/>
          </w:tcPr>
          <w:p w14:paraId="3BBD9218" w14:textId="77777777" w:rsidR="00385A9D" w:rsidRPr="00D1078F" w:rsidRDefault="00385A9D" w:rsidP="00606FBA">
            <w:pPr>
              <w:pStyle w:val="In-tableHeading"/>
              <w:jc w:val="center"/>
            </w:pPr>
            <w:r w:rsidRPr="00D1078F">
              <w:t>Year 2</w:t>
            </w:r>
          </w:p>
        </w:tc>
        <w:tc>
          <w:tcPr>
            <w:tcW w:w="611" w:type="pct"/>
            <w:shd w:val="clear" w:color="auto" w:fill="auto"/>
            <w:vAlign w:val="center"/>
          </w:tcPr>
          <w:p w14:paraId="729A646E" w14:textId="77777777" w:rsidR="00385A9D" w:rsidRPr="00D1078F" w:rsidRDefault="00385A9D" w:rsidP="00606FBA">
            <w:pPr>
              <w:pStyle w:val="In-tableHeading"/>
              <w:jc w:val="center"/>
            </w:pPr>
            <w:r w:rsidRPr="00D1078F">
              <w:t>Year 3</w:t>
            </w:r>
          </w:p>
        </w:tc>
        <w:tc>
          <w:tcPr>
            <w:tcW w:w="611" w:type="pct"/>
            <w:shd w:val="clear" w:color="auto" w:fill="auto"/>
            <w:vAlign w:val="center"/>
          </w:tcPr>
          <w:p w14:paraId="280BB544" w14:textId="77777777" w:rsidR="00385A9D" w:rsidRPr="00D1078F" w:rsidRDefault="00385A9D" w:rsidP="00606FBA">
            <w:pPr>
              <w:pStyle w:val="In-tableHeading"/>
              <w:jc w:val="center"/>
            </w:pPr>
            <w:r w:rsidRPr="00D1078F">
              <w:t>Year 4</w:t>
            </w:r>
          </w:p>
        </w:tc>
        <w:tc>
          <w:tcPr>
            <w:tcW w:w="611" w:type="pct"/>
            <w:shd w:val="clear" w:color="auto" w:fill="auto"/>
            <w:vAlign w:val="center"/>
          </w:tcPr>
          <w:p w14:paraId="6435BB5B" w14:textId="77777777" w:rsidR="00385A9D" w:rsidRPr="00D1078F" w:rsidRDefault="00385A9D" w:rsidP="00606FBA">
            <w:pPr>
              <w:pStyle w:val="In-tableHeading"/>
              <w:jc w:val="center"/>
            </w:pPr>
            <w:r w:rsidRPr="00D1078F">
              <w:t>Year 5</w:t>
            </w:r>
          </w:p>
        </w:tc>
        <w:tc>
          <w:tcPr>
            <w:tcW w:w="611" w:type="pct"/>
          </w:tcPr>
          <w:p w14:paraId="7C618119" w14:textId="77777777" w:rsidR="00385A9D" w:rsidRPr="00D1078F" w:rsidRDefault="00385A9D" w:rsidP="00606FBA">
            <w:pPr>
              <w:pStyle w:val="In-tableHeading"/>
              <w:jc w:val="center"/>
            </w:pPr>
            <w:r w:rsidRPr="00D1078F">
              <w:t>Year 6</w:t>
            </w:r>
          </w:p>
        </w:tc>
      </w:tr>
      <w:tr w:rsidR="00385A9D" w:rsidRPr="00D1078F" w14:paraId="3C519059" w14:textId="77777777" w:rsidTr="009C3A3A">
        <w:tc>
          <w:tcPr>
            <w:tcW w:w="5000" w:type="pct"/>
            <w:gridSpan w:val="7"/>
            <w:shd w:val="clear" w:color="auto" w:fill="auto"/>
            <w:vAlign w:val="center"/>
          </w:tcPr>
          <w:p w14:paraId="516C2197" w14:textId="77777777" w:rsidR="00385A9D" w:rsidRPr="00D1078F" w:rsidRDefault="00385A9D" w:rsidP="00606FBA">
            <w:pPr>
              <w:pStyle w:val="In-tableHeading"/>
              <w:rPr>
                <w:bCs/>
                <w:color w:val="000000"/>
              </w:rPr>
            </w:pPr>
            <w:r w:rsidRPr="00D1078F">
              <w:rPr>
                <w:bCs/>
                <w:color w:val="000000"/>
              </w:rPr>
              <w:t>Estimated extent of use</w:t>
            </w:r>
          </w:p>
        </w:tc>
      </w:tr>
      <w:tr w:rsidR="00EB7C31" w:rsidRPr="003639A6" w14:paraId="148A8EEF" w14:textId="77777777" w:rsidTr="00CC59B3">
        <w:tc>
          <w:tcPr>
            <w:tcW w:w="1334" w:type="pct"/>
            <w:shd w:val="clear" w:color="auto" w:fill="auto"/>
            <w:vAlign w:val="center"/>
          </w:tcPr>
          <w:p w14:paraId="201B6ECA" w14:textId="77777777" w:rsidR="00EB7C31" w:rsidRPr="003639A6" w:rsidRDefault="00EB7C31" w:rsidP="00EB7C31">
            <w:pPr>
              <w:pStyle w:val="TableText0"/>
              <w:rPr>
                <w:rFonts w:ascii="Times" w:hAnsi="Times"/>
              </w:rPr>
            </w:pPr>
            <w:r w:rsidRPr="003639A6">
              <w:t>Number of patients treated</w:t>
            </w:r>
          </w:p>
        </w:tc>
        <w:tc>
          <w:tcPr>
            <w:tcW w:w="611" w:type="pct"/>
          </w:tcPr>
          <w:p w14:paraId="577607A9" w14:textId="497F87AD" w:rsidR="00EB7C31" w:rsidRPr="00EB7C31" w:rsidRDefault="00E927A0" w:rsidP="00EB7C31">
            <w:pPr>
              <w:pStyle w:val="TableText0"/>
              <w:jc w:val="center"/>
              <w:rPr>
                <w:color w:val="000000"/>
              </w:rPr>
            </w:pPr>
            <w:r w:rsidRPr="00E927A0">
              <w:rPr>
                <w:rFonts w:hint="eastAsia"/>
                <w:color w:val="000000"/>
                <w:w w:val="15"/>
                <w:sz w:val="18"/>
                <w:szCs w:val="18"/>
                <w:shd w:val="solid" w:color="000000" w:fill="000000"/>
                <w:fitText w:val="28" w:id="-1032092415"/>
                <w14:textFill>
                  <w14:solidFill>
                    <w14:srgbClr w14:val="000000">
                      <w14:alpha w14:val="100000"/>
                    </w14:srgbClr>
                  </w14:solidFill>
                </w14:textFill>
              </w:rPr>
              <w:t xml:space="preserve">　</w:t>
            </w:r>
            <w:r w:rsidRPr="00E927A0">
              <w:rPr>
                <w:color w:val="000000"/>
                <w:w w:val="15"/>
                <w:sz w:val="18"/>
                <w:szCs w:val="18"/>
                <w:shd w:val="solid" w:color="000000" w:fill="000000"/>
                <w:fitText w:val="28" w:id="-1032092415"/>
                <w14:textFill>
                  <w14:solidFill>
                    <w14:srgbClr w14:val="000000">
                      <w14:alpha w14:val="100000"/>
                    </w14:srgbClr>
                  </w14:solidFill>
                </w14:textFill>
              </w:rPr>
              <w:t>|</w:t>
            </w:r>
            <w:r w:rsidRPr="00E927A0">
              <w:rPr>
                <w:rFonts w:hint="eastAsia"/>
                <w:color w:val="000000"/>
                <w:spacing w:val="-31"/>
                <w:w w:val="15"/>
                <w:sz w:val="18"/>
                <w:szCs w:val="18"/>
                <w:shd w:val="solid" w:color="000000" w:fill="000000"/>
                <w:fitText w:val="28" w:id="-1032092415"/>
                <w14:textFill>
                  <w14:solidFill>
                    <w14:srgbClr w14:val="000000">
                      <w14:alpha w14:val="100000"/>
                    </w14:srgbClr>
                  </w14:solidFill>
                </w14:textFill>
              </w:rPr>
              <w:t xml:space="preserve">　</w:t>
            </w:r>
            <w:r w:rsidR="00922D8C" w:rsidRPr="00922D8C">
              <w:rPr>
                <w:sz w:val="18"/>
                <w:szCs w:val="18"/>
                <w:vertAlign w:val="superscript"/>
              </w:rPr>
              <w:t>1</w:t>
            </w:r>
            <w:r w:rsidR="00C2539D">
              <w:rPr>
                <w:sz w:val="18"/>
                <w:szCs w:val="18"/>
                <w:vertAlign w:val="superscript"/>
              </w:rPr>
              <w:t>,</w:t>
            </w:r>
            <w:r w:rsidR="00BE52F5" w:rsidRPr="00BE52F5">
              <w:rPr>
                <w:sz w:val="18"/>
                <w:szCs w:val="18"/>
                <w:vertAlign w:val="superscript"/>
              </w:rPr>
              <w:t>b</w:t>
            </w:r>
          </w:p>
        </w:tc>
        <w:tc>
          <w:tcPr>
            <w:tcW w:w="611" w:type="pct"/>
          </w:tcPr>
          <w:p w14:paraId="6610B4C9" w14:textId="104EA92D" w:rsidR="00EB7C31" w:rsidRPr="007665CA" w:rsidRDefault="00E927A0" w:rsidP="00EB7C31">
            <w:pPr>
              <w:pStyle w:val="TableText0"/>
              <w:jc w:val="center"/>
              <w:rPr>
                <w:color w:val="000000"/>
                <w:highlight w:val="darkGray"/>
              </w:rPr>
            </w:pPr>
            <w:r w:rsidRPr="00E927A0">
              <w:rPr>
                <w:color w:val="000000"/>
                <w:sz w:val="18"/>
                <w:szCs w:val="18"/>
                <w:shd w:val="solid" w:color="000000" w:fill="000000"/>
                <w14:textFill>
                  <w14:solidFill>
                    <w14:srgbClr w14:val="000000">
                      <w14:alpha w14:val="100000"/>
                    </w14:srgbClr>
                  </w14:solidFill>
                </w14:textFill>
              </w:rPr>
              <w:t>|</w:t>
            </w:r>
            <w:r w:rsidR="00922D8C" w:rsidRPr="00922D8C">
              <w:rPr>
                <w:sz w:val="18"/>
                <w:szCs w:val="18"/>
                <w:vertAlign w:val="superscript"/>
              </w:rPr>
              <w:t>2</w:t>
            </w:r>
          </w:p>
        </w:tc>
        <w:tc>
          <w:tcPr>
            <w:tcW w:w="611" w:type="pct"/>
          </w:tcPr>
          <w:p w14:paraId="29F46D6B" w14:textId="39A624F8" w:rsidR="00EB7C31" w:rsidRPr="007665CA" w:rsidRDefault="00E927A0" w:rsidP="00EB7C31">
            <w:pPr>
              <w:pStyle w:val="TableText0"/>
              <w:jc w:val="center"/>
              <w:rPr>
                <w:color w:val="000000"/>
                <w:highlight w:val="darkGray"/>
              </w:rPr>
            </w:pPr>
            <w:r w:rsidRPr="00E927A0">
              <w:rPr>
                <w:color w:val="000000"/>
                <w:sz w:val="18"/>
                <w:szCs w:val="18"/>
                <w:shd w:val="solid" w:color="000000" w:fill="000000"/>
                <w14:textFill>
                  <w14:solidFill>
                    <w14:srgbClr w14:val="000000">
                      <w14:alpha w14:val="100000"/>
                    </w14:srgbClr>
                  </w14:solidFill>
                </w14:textFill>
              </w:rPr>
              <w:t>|</w:t>
            </w:r>
            <w:r w:rsidR="00922D8C" w:rsidRPr="00922D8C">
              <w:rPr>
                <w:sz w:val="18"/>
                <w:szCs w:val="18"/>
                <w:vertAlign w:val="superscript"/>
              </w:rPr>
              <w:t>2</w:t>
            </w:r>
          </w:p>
        </w:tc>
        <w:tc>
          <w:tcPr>
            <w:tcW w:w="611" w:type="pct"/>
          </w:tcPr>
          <w:p w14:paraId="21167904" w14:textId="31768D04" w:rsidR="00EB7C31" w:rsidRPr="007665CA" w:rsidRDefault="00E927A0" w:rsidP="00EB7C31">
            <w:pPr>
              <w:pStyle w:val="TableText0"/>
              <w:jc w:val="center"/>
              <w:rPr>
                <w:color w:val="000000"/>
                <w:highlight w:val="darkGray"/>
              </w:rPr>
            </w:pPr>
            <w:r w:rsidRPr="00E927A0">
              <w:rPr>
                <w:color w:val="000000"/>
                <w:sz w:val="18"/>
                <w:szCs w:val="18"/>
                <w:shd w:val="solid" w:color="000000" w:fill="000000"/>
                <w14:textFill>
                  <w14:solidFill>
                    <w14:srgbClr w14:val="000000">
                      <w14:alpha w14:val="100000"/>
                    </w14:srgbClr>
                  </w14:solidFill>
                </w14:textFill>
              </w:rPr>
              <w:t>|</w:t>
            </w:r>
            <w:r w:rsidR="00922D8C" w:rsidRPr="00922D8C">
              <w:rPr>
                <w:sz w:val="18"/>
                <w:szCs w:val="18"/>
                <w:vertAlign w:val="superscript"/>
              </w:rPr>
              <w:t>2</w:t>
            </w:r>
          </w:p>
        </w:tc>
        <w:tc>
          <w:tcPr>
            <w:tcW w:w="611" w:type="pct"/>
          </w:tcPr>
          <w:p w14:paraId="762D4B71" w14:textId="3E3219F6" w:rsidR="00EB7C31" w:rsidRPr="007665CA" w:rsidRDefault="00E927A0" w:rsidP="00EB7C31">
            <w:pPr>
              <w:pStyle w:val="TableText0"/>
              <w:jc w:val="center"/>
              <w:rPr>
                <w:color w:val="000000"/>
                <w:highlight w:val="darkGray"/>
              </w:rPr>
            </w:pPr>
            <w:r w:rsidRPr="00E927A0">
              <w:rPr>
                <w:color w:val="000000"/>
                <w:sz w:val="18"/>
                <w:szCs w:val="18"/>
                <w:shd w:val="solid" w:color="000000" w:fill="000000"/>
                <w14:textFill>
                  <w14:solidFill>
                    <w14:srgbClr w14:val="000000">
                      <w14:alpha w14:val="100000"/>
                    </w14:srgbClr>
                  </w14:solidFill>
                </w14:textFill>
              </w:rPr>
              <w:t>|</w:t>
            </w:r>
            <w:r w:rsidR="00922D8C" w:rsidRPr="00922D8C">
              <w:rPr>
                <w:sz w:val="18"/>
                <w:szCs w:val="18"/>
                <w:vertAlign w:val="superscript"/>
              </w:rPr>
              <w:t>2</w:t>
            </w:r>
          </w:p>
        </w:tc>
        <w:tc>
          <w:tcPr>
            <w:tcW w:w="611" w:type="pct"/>
          </w:tcPr>
          <w:p w14:paraId="42B428B5" w14:textId="561C251E" w:rsidR="00EB7C31" w:rsidRPr="007665CA" w:rsidRDefault="00E927A0" w:rsidP="00EB7C31">
            <w:pPr>
              <w:pStyle w:val="TableText0"/>
              <w:jc w:val="center"/>
              <w:rPr>
                <w:color w:val="000000"/>
                <w:highlight w:val="darkGray"/>
              </w:rPr>
            </w:pPr>
            <w:r w:rsidRPr="00E927A0">
              <w:rPr>
                <w:color w:val="000000"/>
                <w:sz w:val="18"/>
                <w:szCs w:val="18"/>
                <w:shd w:val="solid" w:color="000000" w:fill="000000"/>
                <w14:textFill>
                  <w14:solidFill>
                    <w14:srgbClr w14:val="000000">
                      <w14:alpha w14:val="100000"/>
                    </w14:srgbClr>
                  </w14:solidFill>
                </w14:textFill>
              </w:rPr>
              <w:t>|</w:t>
            </w:r>
            <w:r w:rsidR="00922D8C" w:rsidRPr="00922D8C">
              <w:rPr>
                <w:sz w:val="18"/>
                <w:szCs w:val="18"/>
                <w:vertAlign w:val="superscript"/>
              </w:rPr>
              <w:t>2</w:t>
            </w:r>
          </w:p>
        </w:tc>
      </w:tr>
      <w:tr w:rsidR="00EB7C31" w:rsidRPr="003639A6" w14:paraId="1CEE4D09" w14:textId="77777777" w:rsidTr="00CC59B3">
        <w:tc>
          <w:tcPr>
            <w:tcW w:w="1334" w:type="pct"/>
            <w:shd w:val="clear" w:color="auto" w:fill="auto"/>
            <w:vAlign w:val="center"/>
          </w:tcPr>
          <w:p w14:paraId="229A1EDF" w14:textId="77777777" w:rsidR="00EB7C31" w:rsidRPr="003639A6" w:rsidRDefault="00EB7C31" w:rsidP="00EB7C31">
            <w:pPr>
              <w:pStyle w:val="TableText0"/>
              <w:rPr>
                <w:rFonts w:ascii="Times" w:hAnsi="Times"/>
              </w:rPr>
            </w:pPr>
            <w:r w:rsidRPr="003639A6">
              <w:t xml:space="preserve">Number of </w:t>
            </w:r>
            <w:r>
              <w:t>scripts</w:t>
            </w:r>
            <w:r w:rsidRPr="003639A6">
              <w:t xml:space="preserve"> dispensed</w:t>
            </w:r>
            <w:r w:rsidRPr="003639A6">
              <w:rPr>
                <w:vertAlign w:val="superscript"/>
              </w:rPr>
              <w:t>a</w:t>
            </w:r>
          </w:p>
        </w:tc>
        <w:tc>
          <w:tcPr>
            <w:tcW w:w="611" w:type="pct"/>
          </w:tcPr>
          <w:p w14:paraId="0D9F25C2" w14:textId="532A35FA" w:rsidR="00EB7C31" w:rsidRPr="00EB7C31" w:rsidRDefault="00E927A0" w:rsidP="00EB7C31">
            <w:pPr>
              <w:pStyle w:val="TableText0"/>
              <w:jc w:val="center"/>
              <w:rPr>
                <w:color w:val="000000"/>
              </w:rPr>
            </w:pPr>
            <w:r w:rsidRPr="00E927A0">
              <w:rPr>
                <w:color w:val="000000"/>
                <w:sz w:val="18"/>
                <w:szCs w:val="18"/>
                <w:shd w:val="solid" w:color="000000" w:fill="000000"/>
                <w14:textFill>
                  <w14:solidFill>
                    <w14:srgbClr w14:val="000000">
                      <w14:alpha w14:val="100000"/>
                    </w14:srgbClr>
                  </w14:solidFill>
                </w14:textFill>
              </w:rPr>
              <w:t>|</w:t>
            </w:r>
            <w:r w:rsidR="00E61A6C" w:rsidRPr="00E61A6C">
              <w:rPr>
                <w:sz w:val="18"/>
                <w:szCs w:val="18"/>
                <w:vertAlign w:val="superscript"/>
              </w:rPr>
              <w:t>3</w:t>
            </w:r>
          </w:p>
        </w:tc>
        <w:tc>
          <w:tcPr>
            <w:tcW w:w="611" w:type="pct"/>
          </w:tcPr>
          <w:p w14:paraId="2D7847AA" w14:textId="3ED417B4" w:rsidR="00EB7C31" w:rsidRPr="007665CA" w:rsidRDefault="00E927A0" w:rsidP="00EB7C31">
            <w:pPr>
              <w:pStyle w:val="TableText0"/>
              <w:jc w:val="center"/>
              <w:rPr>
                <w:color w:val="000000"/>
                <w:highlight w:val="darkGray"/>
              </w:rPr>
            </w:pPr>
            <w:r w:rsidRPr="00E927A0">
              <w:rPr>
                <w:color w:val="000000"/>
                <w:sz w:val="18"/>
                <w:szCs w:val="18"/>
                <w:shd w:val="solid" w:color="000000" w:fill="000000"/>
                <w14:textFill>
                  <w14:solidFill>
                    <w14:srgbClr w14:val="000000">
                      <w14:alpha w14:val="100000"/>
                    </w14:srgbClr>
                  </w14:solidFill>
                </w14:textFill>
              </w:rPr>
              <w:t>|</w:t>
            </w:r>
            <w:r w:rsidR="00E61A6C">
              <w:rPr>
                <w:sz w:val="18"/>
                <w:szCs w:val="18"/>
                <w:vertAlign w:val="superscript"/>
              </w:rPr>
              <w:t>4</w:t>
            </w:r>
          </w:p>
        </w:tc>
        <w:tc>
          <w:tcPr>
            <w:tcW w:w="611" w:type="pct"/>
          </w:tcPr>
          <w:p w14:paraId="7A620378" w14:textId="7AEE72C4" w:rsidR="00EB7C31" w:rsidRPr="007665CA" w:rsidRDefault="00E927A0" w:rsidP="00EB7C31">
            <w:pPr>
              <w:pStyle w:val="TableText0"/>
              <w:jc w:val="center"/>
              <w:rPr>
                <w:color w:val="000000"/>
                <w:highlight w:val="darkGray"/>
              </w:rPr>
            </w:pPr>
            <w:r w:rsidRPr="00E927A0">
              <w:rPr>
                <w:color w:val="000000"/>
                <w:sz w:val="18"/>
                <w:szCs w:val="18"/>
                <w:shd w:val="solid" w:color="000000" w:fill="000000"/>
                <w14:textFill>
                  <w14:solidFill>
                    <w14:srgbClr w14:val="000000">
                      <w14:alpha w14:val="100000"/>
                    </w14:srgbClr>
                  </w14:solidFill>
                </w14:textFill>
              </w:rPr>
              <w:t>|</w:t>
            </w:r>
            <w:r w:rsidR="00E61A6C">
              <w:rPr>
                <w:sz w:val="18"/>
                <w:szCs w:val="18"/>
                <w:vertAlign w:val="superscript"/>
              </w:rPr>
              <w:t>4</w:t>
            </w:r>
          </w:p>
        </w:tc>
        <w:tc>
          <w:tcPr>
            <w:tcW w:w="611" w:type="pct"/>
          </w:tcPr>
          <w:p w14:paraId="1D2C1413" w14:textId="42C753A6" w:rsidR="00EB7C31" w:rsidRPr="007665CA" w:rsidRDefault="00E927A0" w:rsidP="00EB7C31">
            <w:pPr>
              <w:pStyle w:val="TableText0"/>
              <w:jc w:val="center"/>
              <w:rPr>
                <w:color w:val="000000"/>
                <w:highlight w:val="darkGray"/>
              </w:rPr>
            </w:pPr>
            <w:r w:rsidRPr="00E927A0">
              <w:rPr>
                <w:color w:val="000000"/>
                <w:sz w:val="18"/>
                <w:szCs w:val="18"/>
                <w:shd w:val="solid" w:color="000000" w:fill="000000"/>
                <w14:textFill>
                  <w14:solidFill>
                    <w14:srgbClr w14:val="000000">
                      <w14:alpha w14:val="100000"/>
                    </w14:srgbClr>
                  </w14:solidFill>
                </w14:textFill>
              </w:rPr>
              <w:t>|</w:t>
            </w:r>
            <w:r w:rsidR="00E61A6C">
              <w:rPr>
                <w:sz w:val="18"/>
                <w:szCs w:val="18"/>
                <w:vertAlign w:val="superscript"/>
              </w:rPr>
              <w:t>4</w:t>
            </w:r>
          </w:p>
        </w:tc>
        <w:tc>
          <w:tcPr>
            <w:tcW w:w="611" w:type="pct"/>
          </w:tcPr>
          <w:p w14:paraId="3F0ACB95" w14:textId="19915FDF" w:rsidR="00EB7C31" w:rsidRPr="007665CA" w:rsidRDefault="00E927A0" w:rsidP="00EB7C31">
            <w:pPr>
              <w:pStyle w:val="TableText0"/>
              <w:jc w:val="center"/>
              <w:rPr>
                <w:color w:val="000000"/>
                <w:highlight w:val="darkGray"/>
              </w:rPr>
            </w:pPr>
            <w:r w:rsidRPr="00E927A0">
              <w:rPr>
                <w:color w:val="000000"/>
                <w:sz w:val="18"/>
                <w:szCs w:val="18"/>
                <w:shd w:val="solid" w:color="000000" w:fill="000000"/>
                <w14:textFill>
                  <w14:solidFill>
                    <w14:srgbClr w14:val="000000">
                      <w14:alpha w14:val="100000"/>
                    </w14:srgbClr>
                  </w14:solidFill>
                </w14:textFill>
              </w:rPr>
              <w:t>|</w:t>
            </w:r>
            <w:r w:rsidR="00E61A6C">
              <w:rPr>
                <w:sz w:val="18"/>
                <w:szCs w:val="18"/>
                <w:vertAlign w:val="superscript"/>
              </w:rPr>
              <w:t>4</w:t>
            </w:r>
          </w:p>
        </w:tc>
        <w:tc>
          <w:tcPr>
            <w:tcW w:w="611" w:type="pct"/>
          </w:tcPr>
          <w:p w14:paraId="1C30F331" w14:textId="03043F60" w:rsidR="00EB7C31" w:rsidRPr="007665CA" w:rsidRDefault="00E927A0" w:rsidP="00EB7C31">
            <w:pPr>
              <w:pStyle w:val="TableText0"/>
              <w:jc w:val="center"/>
              <w:rPr>
                <w:color w:val="000000"/>
                <w:highlight w:val="darkGray"/>
              </w:rPr>
            </w:pPr>
            <w:r w:rsidRPr="00E927A0">
              <w:rPr>
                <w:color w:val="000000"/>
                <w:sz w:val="18"/>
                <w:szCs w:val="18"/>
                <w:shd w:val="solid" w:color="000000" w:fill="000000"/>
                <w14:textFill>
                  <w14:solidFill>
                    <w14:srgbClr w14:val="000000">
                      <w14:alpha w14:val="100000"/>
                    </w14:srgbClr>
                  </w14:solidFill>
                </w14:textFill>
              </w:rPr>
              <w:t>|</w:t>
            </w:r>
            <w:r w:rsidR="00E61A6C">
              <w:rPr>
                <w:sz w:val="18"/>
                <w:szCs w:val="18"/>
                <w:vertAlign w:val="superscript"/>
              </w:rPr>
              <w:t>4</w:t>
            </w:r>
          </w:p>
        </w:tc>
      </w:tr>
      <w:tr w:rsidR="00385A9D" w:rsidRPr="00D1078F" w14:paraId="1E699D47" w14:textId="77777777" w:rsidTr="009C3A3A">
        <w:tc>
          <w:tcPr>
            <w:tcW w:w="5000" w:type="pct"/>
            <w:gridSpan w:val="7"/>
            <w:shd w:val="clear" w:color="auto" w:fill="auto"/>
            <w:vAlign w:val="center"/>
          </w:tcPr>
          <w:p w14:paraId="7D0E0884" w14:textId="43D0F86F" w:rsidR="00385A9D" w:rsidRPr="00D1078F" w:rsidRDefault="00385A9D" w:rsidP="00606FBA">
            <w:pPr>
              <w:pStyle w:val="In-tableHeading"/>
            </w:pPr>
            <w:r w:rsidRPr="00D1078F">
              <w:t xml:space="preserve">Estimated </w:t>
            </w:r>
            <w:r>
              <w:t xml:space="preserve">financial implications of </w:t>
            </w:r>
            <w:r w:rsidR="00E740FA">
              <w:t>adjuvant osimertinib</w:t>
            </w:r>
          </w:p>
        </w:tc>
      </w:tr>
      <w:tr w:rsidR="00E740FA" w:rsidRPr="003639A6" w14:paraId="4B4ACF1A" w14:textId="77777777" w:rsidTr="00CC59B3">
        <w:tc>
          <w:tcPr>
            <w:tcW w:w="1334" w:type="pct"/>
            <w:shd w:val="clear" w:color="auto" w:fill="auto"/>
            <w:vAlign w:val="center"/>
          </w:tcPr>
          <w:p w14:paraId="467993BD" w14:textId="618A57F1" w:rsidR="00E740FA" w:rsidRDefault="00E740FA" w:rsidP="00E740FA">
            <w:pPr>
              <w:pStyle w:val="TableText0"/>
              <w:rPr>
                <w:sz w:val="19"/>
                <w:szCs w:val="19"/>
              </w:rPr>
            </w:pPr>
            <w:r>
              <w:rPr>
                <w:sz w:val="19"/>
                <w:szCs w:val="19"/>
              </w:rPr>
              <w:t>Cost to PBS/RPBS less copayments</w:t>
            </w:r>
          </w:p>
        </w:tc>
        <w:tc>
          <w:tcPr>
            <w:tcW w:w="611" w:type="pct"/>
            <w:tcBorders>
              <w:top w:val="nil"/>
              <w:left w:val="nil"/>
              <w:bottom w:val="single" w:sz="4" w:space="0" w:color="auto"/>
              <w:right w:val="single" w:sz="4" w:space="0" w:color="auto"/>
            </w:tcBorders>
            <w:shd w:val="clear" w:color="auto" w:fill="auto"/>
            <w:vAlign w:val="center"/>
          </w:tcPr>
          <w:p w14:paraId="4125A2B6" w14:textId="497A7ECC" w:rsidR="00E740FA" w:rsidRPr="007665CA" w:rsidRDefault="00E927A0" w:rsidP="00E740FA">
            <w:pPr>
              <w:pStyle w:val="TableText0"/>
              <w:jc w:val="center"/>
              <w:rPr>
                <w:sz w:val="18"/>
                <w:szCs w:val="18"/>
                <w:highlight w:val="darkGray"/>
              </w:rPr>
            </w:pPr>
            <w:r w:rsidRPr="00E927A0">
              <w:rPr>
                <w:color w:val="000000"/>
                <w:sz w:val="18"/>
                <w:szCs w:val="18"/>
                <w:shd w:val="solid" w:color="000000" w:fill="000000"/>
                <w14:textFill>
                  <w14:solidFill>
                    <w14:srgbClr w14:val="000000">
                      <w14:alpha w14:val="100000"/>
                    </w14:srgbClr>
                  </w14:solidFill>
                </w14:textFill>
              </w:rPr>
              <w:t>|</w:t>
            </w:r>
            <w:r w:rsidR="00E61A6C" w:rsidRPr="00E61A6C">
              <w:rPr>
                <w:bCs w:val="0"/>
                <w:sz w:val="18"/>
                <w:szCs w:val="18"/>
                <w:vertAlign w:val="superscript"/>
              </w:rPr>
              <w:t>5</w:t>
            </w:r>
          </w:p>
        </w:tc>
        <w:tc>
          <w:tcPr>
            <w:tcW w:w="611" w:type="pct"/>
            <w:tcBorders>
              <w:top w:val="nil"/>
              <w:left w:val="nil"/>
              <w:bottom w:val="single" w:sz="4" w:space="0" w:color="auto"/>
              <w:right w:val="single" w:sz="4" w:space="0" w:color="auto"/>
            </w:tcBorders>
            <w:shd w:val="clear" w:color="auto" w:fill="auto"/>
            <w:vAlign w:val="center"/>
          </w:tcPr>
          <w:p w14:paraId="5BDFECEB" w14:textId="24B611BE" w:rsidR="00E740FA" w:rsidRPr="007665CA" w:rsidRDefault="00E927A0" w:rsidP="00E740FA">
            <w:pPr>
              <w:pStyle w:val="TableText0"/>
              <w:jc w:val="center"/>
              <w:rPr>
                <w:sz w:val="18"/>
                <w:szCs w:val="18"/>
                <w:highlight w:val="darkGray"/>
              </w:rPr>
            </w:pPr>
            <w:r w:rsidRPr="00E927A0">
              <w:rPr>
                <w:color w:val="000000"/>
                <w:sz w:val="18"/>
                <w:szCs w:val="18"/>
                <w:shd w:val="solid" w:color="000000" w:fill="000000"/>
                <w14:textFill>
                  <w14:solidFill>
                    <w14:srgbClr w14:val="000000">
                      <w14:alpha w14:val="100000"/>
                    </w14:srgbClr>
                  </w14:solidFill>
                </w14:textFill>
              </w:rPr>
              <w:t>|</w:t>
            </w:r>
            <w:r w:rsidR="00922D8C">
              <w:rPr>
                <w:sz w:val="18"/>
                <w:szCs w:val="18"/>
                <w:vertAlign w:val="superscript"/>
              </w:rPr>
              <w:t>6</w:t>
            </w:r>
          </w:p>
        </w:tc>
        <w:tc>
          <w:tcPr>
            <w:tcW w:w="611" w:type="pct"/>
            <w:tcBorders>
              <w:top w:val="nil"/>
              <w:left w:val="nil"/>
              <w:bottom w:val="single" w:sz="4" w:space="0" w:color="auto"/>
              <w:right w:val="single" w:sz="4" w:space="0" w:color="auto"/>
            </w:tcBorders>
            <w:shd w:val="clear" w:color="auto" w:fill="auto"/>
            <w:vAlign w:val="center"/>
          </w:tcPr>
          <w:p w14:paraId="3890D42E" w14:textId="0C97DA3E" w:rsidR="00E740FA" w:rsidRPr="007665CA" w:rsidRDefault="00E927A0" w:rsidP="00E740FA">
            <w:pPr>
              <w:pStyle w:val="TableText0"/>
              <w:jc w:val="center"/>
              <w:rPr>
                <w:sz w:val="18"/>
                <w:szCs w:val="18"/>
                <w:highlight w:val="darkGray"/>
              </w:rPr>
            </w:pPr>
            <w:r w:rsidRPr="00E927A0">
              <w:rPr>
                <w:color w:val="000000"/>
                <w:sz w:val="18"/>
                <w:szCs w:val="18"/>
                <w:shd w:val="solid" w:color="000000" w:fill="000000"/>
                <w14:textFill>
                  <w14:solidFill>
                    <w14:srgbClr w14:val="000000">
                      <w14:alpha w14:val="100000"/>
                    </w14:srgbClr>
                  </w14:solidFill>
                </w14:textFill>
              </w:rPr>
              <w:t>|</w:t>
            </w:r>
            <w:r w:rsidR="00922D8C">
              <w:rPr>
                <w:bCs w:val="0"/>
                <w:sz w:val="18"/>
                <w:szCs w:val="18"/>
                <w:vertAlign w:val="superscript"/>
              </w:rPr>
              <w:t>7</w:t>
            </w:r>
          </w:p>
        </w:tc>
        <w:tc>
          <w:tcPr>
            <w:tcW w:w="611" w:type="pct"/>
            <w:tcBorders>
              <w:top w:val="nil"/>
              <w:left w:val="nil"/>
              <w:bottom w:val="single" w:sz="4" w:space="0" w:color="auto"/>
              <w:right w:val="single" w:sz="4" w:space="0" w:color="auto"/>
            </w:tcBorders>
            <w:shd w:val="clear" w:color="auto" w:fill="auto"/>
            <w:vAlign w:val="center"/>
          </w:tcPr>
          <w:p w14:paraId="2728B643" w14:textId="37110A26" w:rsidR="00E740FA" w:rsidRPr="007665CA" w:rsidRDefault="00E927A0" w:rsidP="00E740FA">
            <w:pPr>
              <w:pStyle w:val="TableText0"/>
              <w:jc w:val="center"/>
              <w:rPr>
                <w:sz w:val="18"/>
                <w:szCs w:val="18"/>
                <w:highlight w:val="darkGray"/>
              </w:rPr>
            </w:pPr>
            <w:r w:rsidRPr="00E927A0">
              <w:rPr>
                <w:color w:val="000000"/>
                <w:sz w:val="18"/>
                <w:szCs w:val="18"/>
                <w:shd w:val="solid" w:color="000000" w:fill="000000"/>
                <w14:textFill>
                  <w14:solidFill>
                    <w14:srgbClr w14:val="000000">
                      <w14:alpha w14:val="100000"/>
                    </w14:srgbClr>
                  </w14:solidFill>
                </w14:textFill>
              </w:rPr>
              <w:t>|</w:t>
            </w:r>
            <w:r w:rsidR="00922D8C">
              <w:rPr>
                <w:bCs w:val="0"/>
                <w:sz w:val="18"/>
                <w:szCs w:val="18"/>
                <w:vertAlign w:val="superscript"/>
              </w:rPr>
              <w:t>7</w:t>
            </w:r>
          </w:p>
        </w:tc>
        <w:tc>
          <w:tcPr>
            <w:tcW w:w="611" w:type="pct"/>
            <w:tcBorders>
              <w:top w:val="nil"/>
              <w:left w:val="nil"/>
              <w:bottom w:val="single" w:sz="4" w:space="0" w:color="auto"/>
              <w:right w:val="single" w:sz="4" w:space="0" w:color="auto"/>
            </w:tcBorders>
            <w:shd w:val="clear" w:color="auto" w:fill="auto"/>
            <w:vAlign w:val="center"/>
          </w:tcPr>
          <w:p w14:paraId="5FE5021A" w14:textId="3FDE5709" w:rsidR="00E740FA" w:rsidRPr="007665CA" w:rsidRDefault="00E927A0" w:rsidP="00E740FA">
            <w:pPr>
              <w:pStyle w:val="TableText0"/>
              <w:jc w:val="center"/>
              <w:rPr>
                <w:sz w:val="18"/>
                <w:szCs w:val="18"/>
                <w:highlight w:val="darkGray"/>
              </w:rPr>
            </w:pPr>
            <w:r w:rsidRPr="00E927A0">
              <w:rPr>
                <w:color w:val="000000"/>
                <w:sz w:val="18"/>
                <w:szCs w:val="18"/>
                <w:shd w:val="solid" w:color="000000" w:fill="000000"/>
                <w14:textFill>
                  <w14:solidFill>
                    <w14:srgbClr w14:val="000000">
                      <w14:alpha w14:val="100000"/>
                    </w14:srgbClr>
                  </w14:solidFill>
                </w14:textFill>
              </w:rPr>
              <w:t>|</w:t>
            </w:r>
            <w:r w:rsidR="00922D8C">
              <w:rPr>
                <w:bCs w:val="0"/>
                <w:sz w:val="18"/>
                <w:szCs w:val="18"/>
                <w:vertAlign w:val="superscript"/>
              </w:rPr>
              <w:t>7</w:t>
            </w:r>
          </w:p>
        </w:tc>
        <w:tc>
          <w:tcPr>
            <w:tcW w:w="611" w:type="pct"/>
            <w:tcBorders>
              <w:top w:val="nil"/>
              <w:left w:val="nil"/>
              <w:bottom w:val="single" w:sz="4" w:space="0" w:color="auto"/>
              <w:right w:val="single" w:sz="4" w:space="0" w:color="auto"/>
            </w:tcBorders>
            <w:shd w:val="clear" w:color="auto" w:fill="auto"/>
            <w:vAlign w:val="center"/>
          </w:tcPr>
          <w:p w14:paraId="6F8E9082" w14:textId="3D400077" w:rsidR="00E740FA" w:rsidRPr="007665CA" w:rsidRDefault="00E927A0" w:rsidP="00E740FA">
            <w:pPr>
              <w:pStyle w:val="TableText0"/>
              <w:jc w:val="center"/>
              <w:rPr>
                <w:sz w:val="18"/>
                <w:szCs w:val="18"/>
                <w:highlight w:val="darkGray"/>
              </w:rPr>
            </w:pPr>
            <w:r w:rsidRPr="00E927A0">
              <w:rPr>
                <w:color w:val="000000"/>
                <w:sz w:val="18"/>
                <w:szCs w:val="18"/>
                <w:shd w:val="solid" w:color="000000" w:fill="000000"/>
                <w14:textFill>
                  <w14:solidFill>
                    <w14:srgbClr w14:val="000000">
                      <w14:alpha w14:val="100000"/>
                    </w14:srgbClr>
                  </w14:solidFill>
                </w14:textFill>
              </w:rPr>
              <w:t>|</w:t>
            </w:r>
            <w:r w:rsidR="00922D8C">
              <w:rPr>
                <w:bCs w:val="0"/>
                <w:sz w:val="18"/>
                <w:szCs w:val="18"/>
                <w:vertAlign w:val="superscript"/>
              </w:rPr>
              <w:t>7</w:t>
            </w:r>
          </w:p>
        </w:tc>
      </w:tr>
      <w:tr w:rsidR="00385A9D" w:rsidRPr="001A6BC9" w14:paraId="344AC0E2" w14:textId="77777777" w:rsidTr="009C3A3A">
        <w:tc>
          <w:tcPr>
            <w:tcW w:w="5000" w:type="pct"/>
            <w:gridSpan w:val="7"/>
            <w:shd w:val="clear" w:color="auto" w:fill="auto"/>
            <w:vAlign w:val="center"/>
          </w:tcPr>
          <w:p w14:paraId="0FF7E64D" w14:textId="04BF302C" w:rsidR="00385A9D" w:rsidRPr="001A6BC9" w:rsidRDefault="00385A9D" w:rsidP="00606FBA">
            <w:pPr>
              <w:pStyle w:val="TableText0"/>
              <w:rPr>
                <w:b/>
                <w:bCs w:val="0"/>
              </w:rPr>
            </w:pPr>
            <w:r w:rsidRPr="001A6BC9">
              <w:rPr>
                <w:b/>
                <w:bCs w:val="0"/>
              </w:rPr>
              <w:t xml:space="preserve">Estimated financial implications for </w:t>
            </w:r>
            <w:r w:rsidR="00E740FA" w:rsidRPr="001A6BC9">
              <w:rPr>
                <w:b/>
                <w:bCs w:val="0"/>
              </w:rPr>
              <w:t>osimertinib scripts in first-line metastatic setting</w:t>
            </w:r>
          </w:p>
        </w:tc>
      </w:tr>
      <w:tr w:rsidR="00BE52F5" w:rsidRPr="003639A6" w14:paraId="00A99EF3" w14:textId="77777777" w:rsidTr="00050EC8">
        <w:tc>
          <w:tcPr>
            <w:tcW w:w="1334" w:type="pct"/>
            <w:shd w:val="clear" w:color="auto" w:fill="auto"/>
            <w:vAlign w:val="center"/>
          </w:tcPr>
          <w:p w14:paraId="21854907" w14:textId="34BAB8F6" w:rsidR="00BE52F5" w:rsidRPr="00BE52F5" w:rsidRDefault="00BE52F5" w:rsidP="00BE52F5">
            <w:pPr>
              <w:pStyle w:val="TableText0"/>
              <w:rPr>
                <w:szCs w:val="20"/>
              </w:rPr>
            </w:pPr>
            <w:r w:rsidRPr="00BE52F5">
              <w:rPr>
                <w:szCs w:val="20"/>
              </w:rPr>
              <w:t>Change in patients in first-line metastatic setting</w:t>
            </w:r>
            <w:r w:rsidR="00D406E5" w:rsidRPr="00D406E5">
              <w:rPr>
                <w:szCs w:val="20"/>
                <w:vertAlign w:val="superscript"/>
              </w:rPr>
              <w:t>c</w:t>
            </w:r>
          </w:p>
        </w:tc>
        <w:tc>
          <w:tcPr>
            <w:tcW w:w="611" w:type="pct"/>
            <w:shd w:val="clear" w:color="auto" w:fill="auto"/>
          </w:tcPr>
          <w:p w14:paraId="114F688A" w14:textId="4F7C6444" w:rsidR="00BE52F5" w:rsidRPr="00BE52F5" w:rsidRDefault="00BE52F5" w:rsidP="00BE52F5">
            <w:pPr>
              <w:pStyle w:val="TableText0"/>
              <w:jc w:val="center"/>
              <w:rPr>
                <w:rFonts w:cs="Arial"/>
                <w:szCs w:val="20"/>
              </w:rPr>
            </w:pPr>
            <w:r w:rsidRPr="00BE52F5">
              <w:rPr>
                <w:szCs w:val="20"/>
              </w:rPr>
              <w:t>-</w:t>
            </w:r>
            <w:r w:rsidR="00E927A0" w:rsidRPr="00E927A0">
              <w:rPr>
                <w:rFonts w:hint="eastAsia"/>
                <w:color w:val="000000"/>
                <w:w w:val="15"/>
                <w:szCs w:val="20"/>
                <w:shd w:val="solid" w:color="000000" w:fill="000000"/>
                <w:fitText w:val="70" w:id="-1032092414"/>
                <w14:textFill>
                  <w14:solidFill>
                    <w14:srgbClr w14:val="000000">
                      <w14:alpha w14:val="100000"/>
                    </w14:srgbClr>
                  </w14:solidFill>
                </w14:textFill>
              </w:rPr>
              <w:t xml:space="preserve">　</w:t>
            </w:r>
            <w:r w:rsidR="00E927A0" w:rsidRPr="00E927A0">
              <w:rPr>
                <w:color w:val="000000"/>
                <w:w w:val="15"/>
                <w:szCs w:val="20"/>
                <w:shd w:val="solid" w:color="000000" w:fill="000000"/>
                <w:fitText w:val="70" w:id="-1032092414"/>
                <w14:textFill>
                  <w14:solidFill>
                    <w14:srgbClr w14:val="000000">
                      <w14:alpha w14:val="100000"/>
                    </w14:srgbClr>
                  </w14:solidFill>
                </w14:textFill>
              </w:rPr>
              <w:t>|</w:t>
            </w:r>
            <w:r w:rsidR="00E927A0" w:rsidRPr="00E927A0">
              <w:rPr>
                <w:rFonts w:hint="eastAsia"/>
                <w:color w:val="000000"/>
                <w:spacing w:val="4"/>
                <w:w w:val="15"/>
                <w:szCs w:val="20"/>
                <w:shd w:val="solid" w:color="000000" w:fill="000000"/>
                <w:fitText w:val="70" w:id="-1032092414"/>
                <w14:textFill>
                  <w14:solidFill>
                    <w14:srgbClr w14:val="000000">
                      <w14:alpha w14:val="100000"/>
                    </w14:srgbClr>
                  </w14:solidFill>
                </w14:textFill>
              </w:rPr>
              <w:t xml:space="preserve">　</w:t>
            </w:r>
            <w:r w:rsidR="00922D8C">
              <w:rPr>
                <w:szCs w:val="20"/>
                <w:vertAlign w:val="superscript"/>
              </w:rPr>
              <w:t>2</w:t>
            </w:r>
          </w:p>
        </w:tc>
        <w:tc>
          <w:tcPr>
            <w:tcW w:w="611" w:type="pct"/>
            <w:shd w:val="clear" w:color="auto" w:fill="auto"/>
          </w:tcPr>
          <w:p w14:paraId="2E6A2530" w14:textId="615DA26D" w:rsidR="00BE52F5" w:rsidRPr="00BE52F5" w:rsidRDefault="00BE52F5" w:rsidP="00BE52F5">
            <w:pPr>
              <w:pStyle w:val="TableText0"/>
              <w:jc w:val="center"/>
              <w:rPr>
                <w:rFonts w:cs="Arial"/>
                <w:szCs w:val="20"/>
              </w:rPr>
            </w:pPr>
            <w:r w:rsidRPr="00BE52F5">
              <w:rPr>
                <w:szCs w:val="20"/>
              </w:rPr>
              <w:t>-</w:t>
            </w:r>
            <w:r w:rsidR="00E927A0" w:rsidRPr="00E927A0">
              <w:rPr>
                <w:rFonts w:hint="eastAsia"/>
                <w:color w:val="000000"/>
                <w:w w:val="15"/>
                <w:szCs w:val="20"/>
                <w:shd w:val="solid" w:color="000000" w:fill="000000"/>
                <w:fitText w:val="69" w:id="-1032092413"/>
                <w14:textFill>
                  <w14:solidFill>
                    <w14:srgbClr w14:val="000000">
                      <w14:alpha w14:val="100000"/>
                    </w14:srgbClr>
                  </w14:solidFill>
                </w14:textFill>
              </w:rPr>
              <w:t xml:space="preserve">　</w:t>
            </w:r>
            <w:r w:rsidR="00E927A0" w:rsidRPr="00E927A0">
              <w:rPr>
                <w:color w:val="000000"/>
                <w:w w:val="15"/>
                <w:szCs w:val="20"/>
                <w:shd w:val="solid" w:color="000000" w:fill="000000"/>
                <w:fitText w:val="69" w:id="-1032092413"/>
                <w14:textFill>
                  <w14:solidFill>
                    <w14:srgbClr w14:val="000000">
                      <w14:alpha w14:val="100000"/>
                    </w14:srgbClr>
                  </w14:solidFill>
                </w14:textFill>
              </w:rPr>
              <w:t>|</w:t>
            </w:r>
            <w:r w:rsidR="00E927A0" w:rsidRPr="00E927A0">
              <w:rPr>
                <w:rFonts w:hint="eastAsia"/>
                <w:color w:val="000000"/>
                <w:spacing w:val="3"/>
                <w:w w:val="15"/>
                <w:szCs w:val="20"/>
                <w:shd w:val="solid" w:color="000000" w:fill="000000"/>
                <w:fitText w:val="69" w:id="-1032092413"/>
                <w14:textFill>
                  <w14:solidFill>
                    <w14:srgbClr w14:val="000000">
                      <w14:alpha w14:val="100000"/>
                    </w14:srgbClr>
                  </w14:solidFill>
                </w14:textFill>
              </w:rPr>
              <w:t xml:space="preserve">　</w:t>
            </w:r>
            <w:r w:rsidR="00922D8C" w:rsidRPr="009D3E87">
              <w:rPr>
                <w:szCs w:val="20"/>
                <w:vertAlign w:val="superscript"/>
              </w:rPr>
              <w:t>2</w:t>
            </w:r>
          </w:p>
        </w:tc>
        <w:tc>
          <w:tcPr>
            <w:tcW w:w="611" w:type="pct"/>
            <w:shd w:val="clear" w:color="auto" w:fill="auto"/>
          </w:tcPr>
          <w:p w14:paraId="39217EFA" w14:textId="58D01924" w:rsidR="00BE52F5" w:rsidRPr="00BE52F5" w:rsidRDefault="00BE52F5" w:rsidP="00BE52F5">
            <w:pPr>
              <w:pStyle w:val="TableText0"/>
              <w:jc w:val="center"/>
              <w:rPr>
                <w:rFonts w:cs="Arial"/>
                <w:szCs w:val="20"/>
              </w:rPr>
            </w:pPr>
            <w:r w:rsidRPr="00BE52F5">
              <w:rPr>
                <w:szCs w:val="20"/>
              </w:rPr>
              <w:t>-</w:t>
            </w:r>
            <w:r w:rsidR="00E927A0" w:rsidRPr="00E927A0">
              <w:rPr>
                <w:rFonts w:hint="eastAsia"/>
                <w:color w:val="000000"/>
                <w:w w:val="15"/>
                <w:szCs w:val="20"/>
                <w:shd w:val="solid" w:color="000000" w:fill="000000"/>
                <w:fitText w:val="69" w:id="-1032092412"/>
                <w14:textFill>
                  <w14:solidFill>
                    <w14:srgbClr w14:val="000000">
                      <w14:alpha w14:val="100000"/>
                    </w14:srgbClr>
                  </w14:solidFill>
                </w14:textFill>
              </w:rPr>
              <w:t xml:space="preserve">　</w:t>
            </w:r>
            <w:r w:rsidR="00E927A0" w:rsidRPr="00E927A0">
              <w:rPr>
                <w:color w:val="000000"/>
                <w:w w:val="15"/>
                <w:szCs w:val="20"/>
                <w:shd w:val="solid" w:color="000000" w:fill="000000"/>
                <w:fitText w:val="69" w:id="-1032092412"/>
                <w14:textFill>
                  <w14:solidFill>
                    <w14:srgbClr w14:val="000000">
                      <w14:alpha w14:val="100000"/>
                    </w14:srgbClr>
                  </w14:solidFill>
                </w14:textFill>
              </w:rPr>
              <w:t>|</w:t>
            </w:r>
            <w:r w:rsidR="00E927A0" w:rsidRPr="00E927A0">
              <w:rPr>
                <w:rFonts w:hint="eastAsia"/>
                <w:color w:val="000000"/>
                <w:spacing w:val="3"/>
                <w:w w:val="15"/>
                <w:szCs w:val="20"/>
                <w:shd w:val="solid" w:color="000000" w:fill="000000"/>
                <w:fitText w:val="69" w:id="-1032092412"/>
                <w14:textFill>
                  <w14:solidFill>
                    <w14:srgbClr w14:val="000000">
                      <w14:alpha w14:val="100000"/>
                    </w14:srgbClr>
                  </w14:solidFill>
                </w14:textFill>
              </w:rPr>
              <w:t xml:space="preserve">　</w:t>
            </w:r>
            <w:r w:rsidR="009D3E87" w:rsidRPr="009D3E87">
              <w:rPr>
                <w:szCs w:val="20"/>
                <w:vertAlign w:val="superscript"/>
              </w:rPr>
              <w:t>2</w:t>
            </w:r>
          </w:p>
        </w:tc>
        <w:tc>
          <w:tcPr>
            <w:tcW w:w="611" w:type="pct"/>
            <w:shd w:val="clear" w:color="auto" w:fill="auto"/>
          </w:tcPr>
          <w:p w14:paraId="5510FCCF" w14:textId="6895799B" w:rsidR="00BE52F5" w:rsidRPr="00BE52F5" w:rsidRDefault="00BE52F5" w:rsidP="00BE52F5">
            <w:pPr>
              <w:pStyle w:val="TableText0"/>
              <w:jc w:val="center"/>
              <w:rPr>
                <w:rFonts w:cs="Arial"/>
                <w:szCs w:val="20"/>
              </w:rPr>
            </w:pPr>
            <w:r w:rsidRPr="00BE52F5">
              <w:rPr>
                <w:szCs w:val="20"/>
              </w:rPr>
              <w:t>-</w:t>
            </w:r>
            <w:r w:rsidR="00E927A0" w:rsidRPr="00E927A0">
              <w:rPr>
                <w:rFonts w:hint="eastAsia"/>
                <w:color w:val="000000"/>
                <w:w w:val="15"/>
                <w:szCs w:val="20"/>
                <w:shd w:val="solid" w:color="000000" w:fill="000000"/>
                <w:fitText w:val="69" w:id="-1032092411"/>
                <w14:textFill>
                  <w14:solidFill>
                    <w14:srgbClr w14:val="000000">
                      <w14:alpha w14:val="100000"/>
                    </w14:srgbClr>
                  </w14:solidFill>
                </w14:textFill>
              </w:rPr>
              <w:t xml:space="preserve">　</w:t>
            </w:r>
            <w:r w:rsidR="00E927A0" w:rsidRPr="00E927A0">
              <w:rPr>
                <w:color w:val="000000"/>
                <w:w w:val="15"/>
                <w:szCs w:val="20"/>
                <w:shd w:val="solid" w:color="000000" w:fill="000000"/>
                <w:fitText w:val="69" w:id="-1032092411"/>
                <w14:textFill>
                  <w14:solidFill>
                    <w14:srgbClr w14:val="000000">
                      <w14:alpha w14:val="100000"/>
                    </w14:srgbClr>
                  </w14:solidFill>
                </w14:textFill>
              </w:rPr>
              <w:t>|</w:t>
            </w:r>
            <w:r w:rsidR="00E927A0" w:rsidRPr="00E927A0">
              <w:rPr>
                <w:rFonts w:hint="eastAsia"/>
                <w:color w:val="000000"/>
                <w:spacing w:val="3"/>
                <w:w w:val="15"/>
                <w:szCs w:val="20"/>
                <w:shd w:val="solid" w:color="000000" w:fill="000000"/>
                <w:fitText w:val="69" w:id="-1032092411"/>
                <w14:textFill>
                  <w14:solidFill>
                    <w14:srgbClr w14:val="000000">
                      <w14:alpha w14:val="100000"/>
                    </w14:srgbClr>
                  </w14:solidFill>
                </w14:textFill>
              </w:rPr>
              <w:t xml:space="preserve">　</w:t>
            </w:r>
            <w:r w:rsidR="009D3E87" w:rsidRPr="009D3E87">
              <w:rPr>
                <w:szCs w:val="20"/>
                <w:vertAlign w:val="superscript"/>
              </w:rPr>
              <w:t>2</w:t>
            </w:r>
          </w:p>
        </w:tc>
        <w:tc>
          <w:tcPr>
            <w:tcW w:w="611" w:type="pct"/>
            <w:shd w:val="clear" w:color="auto" w:fill="auto"/>
          </w:tcPr>
          <w:p w14:paraId="07BF6FB0" w14:textId="6BE32EE8" w:rsidR="00BE52F5" w:rsidRPr="00BE52F5" w:rsidRDefault="00BE52F5" w:rsidP="00BE52F5">
            <w:pPr>
              <w:pStyle w:val="TableText0"/>
              <w:jc w:val="center"/>
              <w:rPr>
                <w:rFonts w:cs="Arial"/>
                <w:szCs w:val="20"/>
              </w:rPr>
            </w:pPr>
            <w:r w:rsidRPr="00BE52F5">
              <w:rPr>
                <w:szCs w:val="20"/>
              </w:rPr>
              <w:t>-</w:t>
            </w:r>
            <w:r w:rsidR="00E927A0" w:rsidRPr="00E927A0">
              <w:rPr>
                <w:rFonts w:hint="eastAsia"/>
                <w:color w:val="000000"/>
                <w:w w:val="15"/>
                <w:szCs w:val="20"/>
                <w:shd w:val="solid" w:color="000000" w:fill="000000"/>
                <w:fitText w:val="70" w:id="-1032092410"/>
                <w14:textFill>
                  <w14:solidFill>
                    <w14:srgbClr w14:val="000000">
                      <w14:alpha w14:val="100000"/>
                    </w14:srgbClr>
                  </w14:solidFill>
                </w14:textFill>
              </w:rPr>
              <w:t xml:space="preserve">　</w:t>
            </w:r>
            <w:r w:rsidR="00E927A0" w:rsidRPr="00E927A0">
              <w:rPr>
                <w:color w:val="000000"/>
                <w:w w:val="15"/>
                <w:szCs w:val="20"/>
                <w:shd w:val="solid" w:color="000000" w:fill="000000"/>
                <w:fitText w:val="70" w:id="-1032092410"/>
                <w14:textFill>
                  <w14:solidFill>
                    <w14:srgbClr w14:val="000000">
                      <w14:alpha w14:val="100000"/>
                    </w14:srgbClr>
                  </w14:solidFill>
                </w14:textFill>
              </w:rPr>
              <w:t>|</w:t>
            </w:r>
            <w:r w:rsidR="00E927A0" w:rsidRPr="00E927A0">
              <w:rPr>
                <w:rFonts w:hint="eastAsia"/>
                <w:color w:val="000000"/>
                <w:spacing w:val="4"/>
                <w:w w:val="15"/>
                <w:szCs w:val="20"/>
                <w:shd w:val="solid" w:color="000000" w:fill="000000"/>
                <w:fitText w:val="70" w:id="-1032092410"/>
                <w14:textFill>
                  <w14:solidFill>
                    <w14:srgbClr w14:val="000000">
                      <w14:alpha w14:val="100000"/>
                    </w14:srgbClr>
                  </w14:solidFill>
                </w14:textFill>
              </w:rPr>
              <w:t xml:space="preserve">　</w:t>
            </w:r>
            <w:r w:rsidR="009D3E87" w:rsidRPr="009D3E87">
              <w:rPr>
                <w:szCs w:val="20"/>
                <w:vertAlign w:val="superscript"/>
              </w:rPr>
              <w:t>2</w:t>
            </w:r>
          </w:p>
        </w:tc>
        <w:tc>
          <w:tcPr>
            <w:tcW w:w="611" w:type="pct"/>
            <w:shd w:val="clear" w:color="auto" w:fill="auto"/>
          </w:tcPr>
          <w:p w14:paraId="562C6849" w14:textId="161CF391" w:rsidR="00BE52F5" w:rsidRPr="00BE52F5" w:rsidRDefault="00BE52F5" w:rsidP="00BE52F5">
            <w:pPr>
              <w:pStyle w:val="TableText0"/>
              <w:jc w:val="center"/>
              <w:rPr>
                <w:rFonts w:cs="Arial"/>
                <w:szCs w:val="20"/>
              </w:rPr>
            </w:pPr>
            <w:r w:rsidRPr="00BE52F5">
              <w:rPr>
                <w:szCs w:val="20"/>
              </w:rPr>
              <w:t>-</w:t>
            </w:r>
            <w:r w:rsidR="00E927A0" w:rsidRPr="00E927A0">
              <w:rPr>
                <w:rFonts w:hint="eastAsia"/>
                <w:color w:val="000000"/>
                <w:w w:val="15"/>
                <w:szCs w:val="20"/>
                <w:shd w:val="solid" w:color="000000" w:fill="000000"/>
                <w:fitText w:val="69" w:id="-1032092409"/>
                <w14:textFill>
                  <w14:solidFill>
                    <w14:srgbClr w14:val="000000">
                      <w14:alpha w14:val="100000"/>
                    </w14:srgbClr>
                  </w14:solidFill>
                </w14:textFill>
              </w:rPr>
              <w:t xml:space="preserve">　</w:t>
            </w:r>
            <w:r w:rsidR="00E927A0" w:rsidRPr="00E927A0">
              <w:rPr>
                <w:color w:val="000000"/>
                <w:w w:val="15"/>
                <w:szCs w:val="20"/>
                <w:shd w:val="solid" w:color="000000" w:fill="000000"/>
                <w:fitText w:val="69" w:id="-1032092409"/>
                <w14:textFill>
                  <w14:solidFill>
                    <w14:srgbClr w14:val="000000">
                      <w14:alpha w14:val="100000"/>
                    </w14:srgbClr>
                  </w14:solidFill>
                </w14:textFill>
              </w:rPr>
              <w:t>|</w:t>
            </w:r>
            <w:r w:rsidR="00E927A0" w:rsidRPr="00E927A0">
              <w:rPr>
                <w:rFonts w:hint="eastAsia"/>
                <w:color w:val="000000"/>
                <w:spacing w:val="3"/>
                <w:w w:val="15"/>
                <w:szCs w:val="20"/>
                <w:shd w:val="solid" w:color="000000" w:fill="000000"/>
                <w:fitText w:val="69" w:id="-1032092409"/>
                <w14:textFill>
                  <w14:solidFill>
                    <w14:srgbClr w14:val="000000">
                      <w14:alpha w14:val="100000"/>
                    </w14:srgbClr>
                  </w14:solidFill>
                </w14:textFill>
              </w:rPr>
              <w:t xml:space="preserve">　</w:t>
            </w:r>
            <w:r w:rsidR="009D3E87" w:rsidRPr="009D3E87">
              <w:rPr>
                <w:szCs w:val="20"/>
                <w:vertAlign w:val="superscript"/>
              </w:rPr>
              <w:t>2</w:t>
            </w:r>
          </w:p>
        </w:tc>
      </w:tr>
      <w:tr w:rsidR="00E740FA" w:rsidRPr="003639A6" w14:paraId="0CE077D9" w14:textId="77777777" w:rsidTr="00CC59B3">
        <w:tc>
          <w:tcPr>
            <w:tcW w:w="1334" w:type="pct"/>
            <w:shd w:val="clear" w:color="auto" w:fill="auto"/>
            <w:vAlign w:val="center"/>
          </w:tcPr>
          <w:p w14:paraId="40F6A2C5" w14:textId="1DD31051" w:rsidR="00E740FA" w:rsidRDefault="00E740FA" w:rsidP="00E740FA">
            <w:pPr>
              <w:pStyle w:val="TableText0"/>
              <w:rPr>
                <w:sz w:val="19"/>
                <w:szCs w:val="19"/>
              </w:rPr>
            </w:pPr>
            <w:r>
              <w:rPr>
                <w:sz w:val="19"/>
                <w:szCs w:val="19"/>
              </w:rPr>
              <w:t>Cost to PBS/RPBS less copayments</w:t>
            </w:r>
            <w:r w:rsidR="00D406E5" w:rsidRPr="00D406E5">
              <w:rPr>
                <w:sz w:val="19"/>
                <w:szCs w:val="19"/>
                <w:vertAlign w:val="superscript"/>
              </w:rPr>
              <w:t>d</w:t>
            </w:r>
          </w:p>
        </w:tc>
        <w:tc>
          <w:tcPr>
            <w:tcW w:w="611" w:type="pct"/>
            <w:tcBorders>
              <w:top w:val="single" w:sz="4" w:space="0" w:color="auto"/>
              <w:left w:val="single" w:sz="4" w:space="0" w:color="auto"/>
              <w:bottom w:val="single" w:sz="4" w:space="0" w:color="auto"/>
              <w:right w:val="single" w:sz="4" w:space="0" w:color="auto"/>
            </w:tcBorders>
            <w:shd w:val="clear" w:color="auto" w:fill="auto"/>
            <w:vAlign w:val="center"/>
          </w:tcPr>
          <w:p w14:paraId="50CF2446" w14:textId="3CCA5C41" w:rsidR="00E740FA" w:rsidRPr="007665CA" w:rsidRDefault="00E927A0" w:rsidP="00E740FA">
            <w:pPr>
              <w:pStyle w:val="TableText0"/>
              <w:jc w:val="center"/>
              <w:rPr>
                <w:sz w:val="18"/>
                <w:szCs w:val="18"/>
                <w:highlight w:val="darkGray"/>
              </w:rPr>
            </w:pPr>
            <w:r w:rsidRPr="00E927A0">
              <w:rPr>
                <w:rFonts w:cs="Arial"/>
                <w:color w:val="000000"/>
                <w:sz w:val="18"/>
                <w:szCs w:val="18"/>
                <w:shd w:val="solid" w:color="000000" w:fill="000000"/>
                <w14:textFill>
                  <w14:solidFill>
                    <w14:srgbClr w14:val="000000">
                      <w14:alpha w14:val="100000"/>
                    </w14:srgbClr>
                  </w14:solidFill>
                </w14:textFill>
              </w:rPr>
              <w:t>|</w:t>
            </w:r>
            <w:r w:rsidR="004C2AA0" w:rsidRPr="004C2AA0">
              <w:rPr>
                <w:rFonts w:cs="Arial"/>
                <w:sz w:val="18"/>
                <w:szCs w:val="18"/>
                <w:vertAlign w:val="superscript"/>
              </w:rPr>
              <w:t>8</w:t>
            </w:r>
          </w:p>
        </w:tc>
        <w:tc>
          <w:tcPr>
            <w:tcW w:w="611" w:type="pct"/>
            <w:tcBorders>
              <w:top w:val="single" w:sz="4" w:space="0" w:color="auto"/>
              <w:left w:val="nil"/>
              <w:bottom w:val="single" w:sz="4" w:space="0" w:color="auto"/>
              <w:right w:val="single" w:sz="4" w:space="0" w:color="auto"/>
            </w:tcBorders>
            <w:shd w:val="clear" w:color="auto" w:fill="auto"/>
            <w:vAlign w:val="center"/>
          </w:tcPr>
          <w:p w14:paraId="35AF80ED" w14:textId="3C39A7A9" w:rsidR="00E740FA" w:rsidRPr="007665CA" w:rsidRDefault="00E927A0" w:rsidP="00E740FA">
            <w:pPr>
              <w:pStyle w:val="TableText0"/>
              <w:jc w:val="center"/>
              <w:rPr>
                <w:sz w:val="18"/>
                <w:szCs w:val="18"/>
                <w:highlight w:val="darkGray"/>
              </w:rPr>
            </w:pPr>
            <w:r w:rsidRPr="00E927A0">
              <w:rPr>
                <w:rFonts w:cs="Arial"/>
                <w:color w:val="000000"/>
                <w:sz w:val="18"/>
                <w:szCs w:val="18"/>
                <w:shd w:val="solid" w:color="000000" w:fill="000000"/>
                <w14:textFill>
                  <w14:solidFill>
                    <w14:srgbClr w14:val="000000">
                      <w14:alpha w14:val="100000"/>
                    </w14:srgbClr>
                  </w14:solidFill>
                </w14:textFill>
              </w:rPr>
              <w:t>|</w:t>
            </w:r>
            <w:r w:rsidR="004C2AA0" w:rsidRPr="004C2AA0">
              <w:rPr>
                <w:rFonts w:cs="Arial"/>
                <w:sz w:val="18"/>
                <w:szCs w:val="18"/>
                <w:vertAlign w:val="superscript"/>
              </w:rPr>
              <w:t>8</w:t>
            </w:r>
          </w:p>
        </w:tc>
        <w:tc>
          <w:tcPr>
            <w:tcW w:w="611" w:type="pct"/>
            <w:tcBorders>
              <w:top w:val="single" w:sz="4" w:space="0" w:color="auto"/>
              <w:left w:val="nil"/>
              <w:bottom w:val="single" w:sz="4" w:space="0" w:color="auto"/>
              <w:right w:val="single" w:sz="4" w:space="0" w:color="auto"/>
            </w:tcBorders>
            <w:shd w:val="clear" w:color="auto" w:fill="auto"/>
            <w:vAlign w:val="center"/>
          </w:tcPr>
          <w:p w14:paraId="28F1C25D" w14:textId="50BB8B65" w:rsidR="00E740FA" w:rsidRPr="007665CA" w:rsidRDefault="00E927A0" w:rsidP="00E740FA">
            <w:pPr>
              <w:pStyle w:val="TableText0"/>
              <w:jc w:val="center"/>
              <w:rPr>
                <w:sz w:val="18"/>
                <w:szCs w:val="18"/>
                <w:highlight w:val="darkGray"/>
              </w:rPr>
            </w:pPr>
            <w:r w:rsidRPr="00E927A0">
              <w:rPr>
                <w:rFonts w:cs="Arial"/>
                <w:color w:val="000000"/>
                <w:sz w:val="18"/>
                <w:szCs w:val="18"/>
                <w:shd w:val="solid" w:color="000000" w:fill="000000"/>
                <w14:textFill>
                  <w14:solidFill>
                    <w14:srgbClr w14:val="000000">
                      <w14:alpha w14:val="100000"/>
                    </w14:srgbClr>
                  </w14:solidFill>
                </w14:textFill>
              </w:rPr>
              <w:t>|</w:t>
            </w:r>
            <w:r w:rsidR="004C2AA0" w:rsidRPr="004C2AA0">
              <w:rPr>
                <w:rFonts w:cs="Arial"/>
                <w:sz w:val="18"/>
                <w:szCs w:val="18"/>
                <w:vertAlign w:val="superscript"/>
              </w:rPr>
              <w:t>8</w:t>
            </w:r>
          </w:p>
        </w:tc>
        <w:tc>
          <w:tcPr>
            <w:tcW w:w="611" w:type="pct"/>
            <w:tcBorders>
              <w:top w:val="single" w:sz="4" w:space="0" w:color="auto"/>
              <w:left w:val="nil"/>
              <w:bottom w:val="single" w:sz="4" w:space="0" w:color="auto"/>
              <w:right w:val="single" w:sz="4" w:space="0" w:color="auto"/>
            </w:tcBorders>
            <w:shd w:val="clear" w:color="auto" w:fill="auto"/>
            <w:vAlign w:val="center"/>
          </w:tcPr>
          <w:p w14:paraId="5DBA4173" w14:textId="3D95BD6C" w:rsidR="00E740FA" w:rsidRPr="007665CA" w:rsidRDefault="00E927A0" w:rsidP="00E740FA">
            <w:pPr>
              <w:pStyle w:val="TableText0"/>
              <w:jc w:val="center"/>
              <w:rPr>
                <w:sz w:val="18"/>
                <w:szCs w:val="18"/>
                <w:highlight w:val="darkGray"/>
              </w:rPr>
            </w:pPr>
            <w:r w:rsidRPr="00E927A0">
              <w:rPr>
                <w:rFonts w:cs="Arial"/>
                <w:color w:val="000000"/>
                <w:sz w:val="18"/>
                <w:szCs w:val="18"/>
                <w:shd w:val="solid" w:color="000000" w:fill="000000"/>
                <w14:textFill>
                  <w14:solidFill>
                    <w14:srgbClr w14:val="000000">
                      <w14:alpha w14:val="100000"/>
                    </w14:srgbClr>
                  </w14:solidFill>
                </w14:textFill>
              </w:rPr>
              <w:t>|</w:t>
            </w:r>
            <w:r w:rsidR="004C2AA0" w:rsidRPr="004C2AA0">
              <w:rPr>
                <w:rFonts w:cs="Arial"/>
                <w:sz w:val="18"/>
                <w:szCs w:val="18"/>
                <w:vertAlign w:val="superscript"/>
              </w:rPr>
              <w:t>8</w:t>
            </w:r>
          </w:p>
        </w:tc>
        <w:tc>
          <w:tcPr>
            <w:tcW w:w="611" w:type="pct"/>
            <w:tcBorders>
              <w:top w:val="single" w:sz="4" w:space="0" w:color="auto"/>
              <w:left w:val="nil"/>
              <w:bottom w:val="single" w:sz="4" w:space="0" w:color="auto"/>
              <w:right w:val="single" w:sz="4" w:space="0" w:color="auto"/>
            </w:tcBorders>
            <w:shd w:val="clear" w:color="auto" w:fill="auto"/>
            <w:vAlign w:val="center"/>
          </w:tcPr>
          <w:p w14:paraId="4D6DC68C" w14:textId="355B450E" w:rsidR="00E740FA" w:rsidRPr="007665CA" w:rsidRDefault="00E927A0" w:rsidP="00E740FA">
            <w:pPr>
              <w:pStyle w:val="TableText0"/>
              <w:jc w:val="center"/>
              <w:rPr>
                <w:sz w:val="18"/>
                <w:szCs w:val="18"/>
                <w:highlight w:val="darkGray"/>
              </w:rPr>
            </w:pPr>
            <w:r w:rsidRPr="00E927A0">
              <w:rPr>
                <w:rFonts w:cs="Arial"/>
                <w:color w:val="000000"/>
                <w:sz w:val="18"/>
                <w:szCs w:val="18"/>
                <w:shd w:val="solid" w:color="000000" w:fill="000000"/>
                <w14:textFill>
                  <w14:solidFill>
                    <w14:srgbClr w14:val="000000">
                      <w14:alpha w14:val="100000"/>
                    </w14:srgbClr>
                  </w14:solidFill>
                </w14:textFill>
              </w:rPr>
              <w:t>|</w:t>
            </w:r>
            <w:r w:rsidR="004C2AA0" w:rsidRPr="004C2AA0">
              <w:rPr>
                <w:rFonts w:cs="Arial"/>
                <w:sz w:val="18"/>
                <w:szCs w:val="18"/>
                <w:vertAlign w:val="superscript"/>
              </w:rPr>
              <w:t>8</w:t>
            </w:r>
          </w:p>
        </w:tc>
        <w:tc>
          <w:tcPr>
            <w:tcW w:w="611" w:type="pct"/>
            <w:tcBorders>
              <w:top w:val="single" w:sz="4" w:space="0" w:color="auto"/>
              <w:left w:val="nil"/>
              <w:bottom w:val="single" w:sz="4" w:space="0" w:color="auto"/>
              <w:right w:val="single" w:sz="4" w:space="0" w:color="auto"/>
            </w:tcBorders>
            <w:shd w:val="clear" w:color="auto" w:fill="auto"/>
            <w:vAlign w:val="center"/>
          </w:tcPr>
          <w:p w14:paraId="0766C6AC" w14:textId="75718451" w:rsidR="00E740FA" w:rsidRPr="007665CA" w:rsidRDefault="00E927A0" w:rsidP="00E740FA">
            <w:pPr>
              <w:pStyle w:val="TableText0"/>
              <w:jc w:val="center"/>
              <w:rPr>
                <w:sz w:val="18"/>
                <w:szCs w:val="18"/>
                <w:highlight w:val="darkGray"/>
              </w:rPr>
            </w:pPr>
            <w:r w:rsidRPr="00E927A0">
              <w:rPr>
                <w:rFonts w:cs="Arial"/>
                <w:color w:val="000000"/>
                <w:sz w:val="18"/>
                <w:szCs w:val="18"/>
                <w:shd w:val="solid" w:color="000000" w:fill="000000"/>
                <w14:textFill>
                  <w14:solidFill>
                    <w14:srgbClr w14:val="000000">
                      <w14:alpha w14:val="100000"/>
                    </w14:srgbClr>
                  </w14:solidFill>
                </w14:textFill>
              </w:rPr>
              <w:t>|</w:t>
            </w:r>
            <w:r w:rsidR="004C2AA0" w:rsidRPr="004C2AA0">
              <w:rPr>
                <w:rFonts w:cs="Arial"/>
                <w:sz w:val="18"/>
                <w:szCs w:val="18"/>
                <w:vertAlign w:val="superscript"/>
              </w:rPr>
              <w:t>8</w:t>
            </w:r>
          </w:p>
        </w:tc>
      </w:tr>
      <w:tr w:rsidR="00385A9D" w:rsidRPr="00FC22AB" w14:paraId="4FA07BD8" w14:textId="77777777" w:rsidTr="009C3A3A">
        <w:tc>
          <w:tcPr>
            <w:tcW w:w="5000" w:type="pct"/>
            <w:gridSpan w:val="7"/>
            <w:shd w:val="clear" w:color="auto" w:fill="auto"/>
            <w:vAlign w:val="center"/>
          </w:tcPr>
          <w:p w14:paraId="1A627EA0" w14:textId="7CCB4544" w:rsidR="00385A9D" w:rsidRPr="00FC22AB" w:rsidRDefault="00385A9D" w:rsidP="00606FBA">
            <w:pPr>
              <w:pStyle w:val="In-tableHeading"/>
            </w:pPr>
            <w:r w:rsidRPr="00FC22AB">
              <w:t>Net financial implications</w:t>
            </w:r>
          </w:p>
        </w:tc>
      </w:tr>
      <w:tr w:rsidR="00E740FA" w:rsidRPr="003639A6" w14:paraId="3F33D4C6" w14:textId="77777777" w:rsidTr="00CC59B3">
        <w:tc>
          <w:tcPr>
            <w:tcW w:w="1334" w:type="pct"/>
            <w:shd w:val="clear" w:color="auto" w:fill="auto"/>
            <w:vAlign w:val="center"/>
          </w:tcPr>
          <w:p w14:paraId="5ABBDE64" w14:textId="77777777" w:rsidR="00E740FA" w:rsidRDefault="00E740FA" w:rsidP="00E740FA">
            <w:pPr>
              <w:pStyle w:val="TableText0"/>
              <w:rPr>
                <w:sz w:val="19"/>
                <w:szCs w:val="19"/>
              </w:rPr>
            </w:pPr>
            <w:r>
              <w:rPr>
                <w:sz w:val="19"/>
                <w:szCs w:val="19"/>
              </w:rPr>
              <w:t>Net cost to PBS/RPBS</w:t>
            </w:r>
          </w:p>
        </w:tc>
        <w:tc>
          <w:tcPr>
            <w:tcW w:w="611" w:type="pct"/>
            <w:tcBorders>
              <w:top w:val="single" w:sz="4" w:space="0" w:color="auto"/>
              <w:left w:val="single" w:sz="4" w:space="0" w:color="auto"/>
              <w:bottom w:val="single" w:sz="4" w:space="0" w:color="auto"/>
              <w:right w:val="single" w:sz="4" w:space="0" w:color="auto"/>
            </w:tcBorders>
            <w:shd w:val="clear" w:color="auto" w:fill="auto"/>
            <w:vAlign w:val="center"/>
          </w:tcPr>
          <w:p w14:paraId="744F82C2" w14:textId="32179A6B" w:rsidR="00E740FA" w:rsidRPr="007665CA" w:rsidRDefault="00E927A0" w:rsidP="00E740FA">
            <w:pPr>
              <w:pStyle w:val="TableText0"/>
              <w:jc w:val="center"/>
              <w:rPr>
                <w:bCs w:val="0"/>
                <w:sz w:val="18"/>
                <w:szCs w:val="18"/>
                <w:highlight w:val="darkGray"/>
              </w:rPr>
            </w:pPr>
            <w:r w:rsidRPr="00E927A0">
              <w:rPr>
                <w:rFonts w:cs="Arial"/>
                <w:bCs w:val="0"/>
                <w:color w:val="000000"/>
                <w:sz w:val="18"/>
                <w:szCs w:val="18"/>
                <w:shd w:val="solid" w:color="000000" w:fill="000000"/>
                <w14:textFill>
                  <w14:solidFill>
                    <w14:srgbClr w14:val="000000">
                      <w14:alpha w14:val="100000"/>
                    </w14:srgbClr>
                  </w14:solidFill>
                </w14:textFill>
              </w:rPr>
              <w:t>|</w:t>
            </w:r>
            <w:r w:rsidR="00E61A6C" w:rsidRPr="00E61A6C">
              <w:rPr>
                <w:bCs w:val="0"/>
                <w:sz w:val="18"/>
                <w:szCs w:val="18"/>
                <w:vertAlign w:val="superscript"/>
              </w:rPr>
              <w:t>5</w:t>
            </w:r>
          </w:p>
        </w:tc>
        <w:tc>
          <w:tcPr>
            <w:tcW w:w="611" w:type="pct"/>
            <w:tcBorders>
              <w:top w:val="single" w:sz="4" w:space="0" w:color="auto"/>
              <w:left w:val="nil"/>
              <w:bottom w:val="single" w:sz="4" w:space="0" w:color="auto"/>
              <w:right w:val="single" w:sz="4" w:space="0" w:color="auto"/>
            </w:tcBorders>
            <w:shd w:val="clear" w:color="auto" w:fill="auto"/>
            <w:vAlign w:val="center"/>
          </w:tcPr>
          <w:p w14:paraId="295843EA" w14:textId="234275CC" w:rsidR="00E740FA" w:rsidRPr="007665CA" w:rsidRDefault="00E927A0" w:rsidP="00E740FA">
            <w:pPr>
              <w:pStyle w:val="TableText0"/>
              <w:jc w:val="center"/>
              <w:rPr>
                <w:bCs w:val="0"/>
                <w:sz w:val="18"/>
                <w:szCs w:val="18"/>
                <w:highlight w:val="darkGray"/>
              </w:rPr>
            </w:pPr>
            <w:r w:rsidRPr="00E927A0">
              <w:rPr>
                <w:rFonts w:cs="Arial"/>
                <w:bCs w:val="0"/>
                <w:color w:val="000000"/>
                <w:sz w:val="18"/>
                <w:szCs w:val="18"/>
                <w:shd w:val="solid" w:color="000000" w:fill="000000"/>
                <w14:textFill>
                  <w14:solidFill>
                    <w14:srgbClr w14:val="000000">
                      <w14:alpha w14:val="100000"/>
                    </w14:srgbClr>
                  </w14:solidFill>
                </w14:textFill>
              </w:rPr>
              <w:t>|</w:t>
            </w:r>
            <w:r w:rsidR="00922D8C">
              <w:rPr>
                <w:bCs w:val="0"/>
                <w:sz w:val="18"/>
                <w:szCs w:val="18"/>
                <w:vertAlign w:val="superscript"/>
              </w:rPr>
              <w:t>7</w:t>
            </w:r>
          </w:p>
        </w:tc>
        <w:tc>
          <w:tcPr>
            <w:tcW w:w="611" w:type="pct"/>
            <w:tcBorders>
              <w:top w:val="single" w:sz="4" w:space="0" w:color="auto"/>
              <w:left w:val="nil"/>
              <w:bottom w:val="single" w:sz="4" w:space="0" w:color="auto"/>
              <w:right w:val="single" w:sz="4" w:space="0" w:color="auto"/>
            </w:tcBorders>
            <w:shd w:val="clear" w:color="auto" w:fill="auto"/>
            <w:vAlign w:val="center"/>
          </w:tcPr>
          <w:p w14:paraId="3A32302A" w14:textId="70C52F6F" w:rsidR="00E740FA" w:rsidRPr="007665CA" w:rsidRDefault="00E927A0" w:rsidP="00E740FA">
            <w:pPr>
              <w:pStyle w:val="TableText0"/>
              <w:jc w:val="center"/>
              <w:rPr>
                <w:bCs w:val="0"/>
                <w:sz w:val="18"/>
                <w:szCs w:val="18"/>
                <w:highlight w:val="darkGray"/>
              </w:rPr>
            </w:pPr>
            <w:r w:rsidRPr="00E927A0">
              <w:rPr>
                <w:rFonts w:cs="Arial"/>
                <w:bCs w:val="0"/>
                <w:color w:val="000000"/>
                <w:sz w:val="18"/>
                <w:szCs w:val="18"/>
                <w:shd w:val="solid" w:color="000000" w:fill="000000"/>
                <w14:textFill>
                  <w14:solidFill>
                    <w14:srgbClr w14:val="000000">
                      <w14:alpha w14:val="100000"/>
                    </w14:srgbClr>
                  </w14:solidFill>
                </w14:textFill>
              </w:rPr>
              <w:t>|</w:t>
            </w:r>
            <w:r w:rsidR="00E61A6C" w:rsidRPr="00E61A6C">
              <w:rPr>
                <w:bCs w:val="0"/>
                <w:sz w:val="18"/>
                <w:szCs w:val="18"/>
                <w:vertAlign w:val="superscript"/>
              </w:rPr>
              <w:t>5</w:t>
            </w:r>
            <w:r w:rsidRPr="00E927A0">
              <w:rPr>
                <w:rFonts w:cs="Arial"/>
                <w:bCs w:val="0"/>
                <w:color w:val="000000"/>
                <w:sz w:val="18"/>
                <w:szCs w:val="18"/>
              </w:rPr>
              <w:t xml:space="preserve"> </w:t>
            </w:r>
          </w:p>
        </w:tc>
        <w:tc>
          <w:tcPr>
            <w:tcW w:w="611" w:type="pct"/>
            <w:tcBorders>
              <w:top w:val="single" w:sz="4" w:space="0" w:color="auto"/>
              <w:left w:val="nil"/>
              <w:bottom w:val="single" w:sz="4" w:space="0" w:color="auto"/>
              <w:right w:val="single" w:sz="4" w:space="0" w:color="auto"/>
            </w:tcBorders>
            <w:shd w:val="clear" w:color="auto" w:fill="auto"/>
            <w:vAlign w:val="center"/>
          </w:tcPr>
          <w:p w14:paraId="326E9207" w14:textId="253275C1" w:rsidR="00E740FA" w:rsidRPr="007665CA" w:rsidRDefault="00E927A0" w:rsidP="00E740FA">
            <w:pPr>
              <w:pStyle w:val="TableText0"/>
              <w:jc w:val="center"/>
              <w:rPr>
                <w:bCs w:val="0"/>
                <w:sz w:val="18"/>
                <w:szCs w:val="18"/>
                <w:highlight w:val="darkGray"/>
              </w:rPr>
            </w:pPr>
            <w:r w:rsidRPr="00E927A0">
              <w:rPr>
                <w:rFonts w:cs="Arial"/>
                <w:bCs w:val="0"/>
                <w:color w:val="000000"/>
                <w:sz w:val="18"/>
                <w:szCs w:val="18"/>
                <w:shd w:val="solid" w:color="000000" w:fill="000000"/>
                <w14:textFill>
                  <w14:solidFill>
                    <w14:srgbClr w14:val="000000">
                      <w14:alpha w14:val="100000"/>
                    </w14:srgbClr>
                  </w14:solidFill>
                </w14:textFill>
              </w:rPr>
              <w:t>|</w:t>
            </w:r>
            <w:r w:rsidR="00E61A6C" w:rsidRPr="00E61A6C">
              <w:rPr>
                <w:bCs w:val="0"/>
                <w:sz w:val="18"/>
                <w:szCs w:val="18"/>
                <w:vertAlign w:val="superscript"/>
              </w:rPr>
              <w:t>5</w:t>
            </w:r>
            <w:r w:rsidRPr="00E927A0">
              <w:rPr>
                <w:rFonts w:cs="Arial"/>
                <w:bCs w:val="0"/>
                <w:color w:val="000000"/>
                <w:sz w:val="18"/>
                <w:szCs w:val="18"/>
              </w:rPr>
              <w:t xml:space="preserve"> </w:t>
            </w:r>
          </w:p>
        </w:tc>
        <w:tc>
          <w:tcPr>
            <w:tcW w:w="611" w:type="pct"/>
            <w:tcBorders>
              <w:top w:val="single" w:sz="4" w:space="0" w:color="auto"/>
              <w:left w:val="nil"/>
              <w:bottom w:val="single" w:sz="4" w:space="0" w:color="auto"/>
              <w:right w:val="single" w:sz="4" w:space="0" w:color="auto"/>
            </w:tcBorders>
            <w:shd w:val="clear" w:color="auto" w:fill="auto"/>
            <w:vAlign w:val="center"/>
          </w:tcPr>
          <w:p w14:paraId="56E4D70E" w14:textId="01632DB4" w:rsidR="00E740FA" w:rsidRPr="007665CA" w:rsidRDefault="00E927A0" w:rsidP="00E740FA">
            <w:pPr>
              <w:pStyle w:val="TableText0"/>
              <w:jc w:val="center"/>
              <w:rPr>
                <w:bCs w:val="0"/>
                <w:sz w:val="18"/>
                <w:szCs w:val="18"/>
                <w:highlight w:val="darkGray"/>
              </w:rPr>
            </w:pPr>
            <w:r w:rsidRPr="00E927A0">
              <w:rPr>
                <w:rFonts w:cs="Arial"/>
                <w:bCs w:val="0"/>
                <w:color w:val="000000"/>
                <w:sz w:val="18"/>
                <w:szCs w:val="18"/>
                <w:shd w:val="solid" w:color="000000" w:fill="000000"/>
                <w14:textFill>
                  <w14:solidFill>
                    <w14:srgbClr w14:val="000000">
                      <w14:alpha w14:val="100000"/>
                    </w14:srgbClr>
                  </w14:solidFill>
                </w14:textFill>
              </w:rPr>
              <w:t>|</w:t>
            </w:r>
            <w:r w:rsidR="00E61A6C" w:rsidRPr="00E61A6C">
              <w:rPr>
                <w:bCs w:val="0"/>
                <w:sz w:val="18"/>
                <w:szCs w:val="18"/>
                <w:vertAlign w:val="superscript"/>
              </w:rPr>
              <w:t>5</w:t>
            </w:r>
          </w:p>
        </w:tc>
        <w:tc>
          <w:tcPr>
            <w:tcW w:w="611" w:type="pct"/>
            <w:tcBorders>
              <w:top w:val="single" w:sz="4" w:space="0" w:color="auto"/>
              <w:left w:val="nil"/>
              <w:bottom w:val="single" w:sz="4" w:space="0" w:color="auto"/>
              <w:right w:val="single" w:sz="4" w:space="0" w:color="auto"/>
            </w:tcBorders>
            <w:shd w:val="clear" w:color="auto" w:fill="auto"/>
            <w:vAlign w:val="center"/>
          </w:tcPr>
          <w:p w14:paraId="241B1CFD" w14:textId="2A566FA8" w:rsidR="00E740FA" w:rsidRPr="007665CA" w:rsidRDefault="00E927A0" w:rsidP="00E740FA">
            <w:pPr>
              <w:pStyle w:val="TableText0"/>
              <w:jc w:val="center"/>
              <w:rPr>
                <w:bCs w:val="0"/>
                <w:sz w:val="18"/>
                <w:szCs w:val="18"/>
                <w:highlight w:val="darkGray"/>
              </w:rPr>
            </w:pPr>
            <w:r w:rsidRPr="00E927A0">
              <w:rPr>
                <w:rFonts w:cs="Arial"/>
                <w:bCs w:val="0"/>
                <w:color w:val="000000"/>
                <w:sz w:val="18"/>
                <w:szCs w:val="18"/>
                <w:shd w:val="solid" w:color="000000" w:fill="000000"/>
                <w14:textFill>
                  <w14:solidFill>
                    <w14:srgbClr w14:val="000000">
                      <w14:alpha w14:val="100000"/>
                    </w14:srgbClr>
                  </w14:solidFill>
                </w14:textFill>
              </w:rPr>
              <w:t>|</w:t>
            </w:r>
            <w:r w:rsidR="00E61A6C" w:rsidRPr="00E61A6C">
              <w:rPr>
                <w:bCs w:val="0"/>
                <w:sz w:val="18"/>
                <w:szCs w:val="18"/>
                <w:vertAlign w:val="superscript"/>
              </w:rPr>
              <w:t>5</w:t>
            </w:r>
          </w:p>
        </w:tc>
      </w:tr>
      <w:tr w:rsidR="00E740FA" w:rsidRPr="003639A6" w14:paraId="571B64F4" w14:textId="77777777" w:rsidTr="00CC59B3">
        <w:tc>
          <w:tcPr>
            <w:tcW w:w="1334" w:type="pct"/>
            <w:shd w:val="clear" w:color="auto" w:fill="auto"/>
            <w:vAlign w:val="center"/>
          </w:tcPr>
          <w:p w14:paraId="427698FB" w14:textId="473E5EAE" w:rsidR="00E740FA" w:rsidRPr="003639A6" w:rsidRDefault="00E740FA" w:rsidP="00E740FA">
            <w:pPr>
              <w:pStyle w:val="TableText0"/>
              <w:rPr>
                <w:rFonts w:ascii="Times" w:hAnsi="Times"/>
              </w:rPr>
            </w:pPr>
            <w:r>
              <w:rPr>
                <w:sz w:val="19"/>
                <w:szCs w:val="19"/>
              </w:rPr>
              <w:t>Net cost to</w:t>
            </w:r>
            <w:r w:rsidRPr="003639A6">
              <w:rPr>
                <w:sz w:val="19"/>
                <w:szCs w:val="19"/>
              </w:rPr>
              <w:t xml:space="preserve"> MBS</w:t>
            </w:r>
          </w:p>
        </w:tc>
        <w:tc>
          <w:tcPr>
            <w:tcW w:w="611" w:type="pct"/>
            <w:tcBorders>
              <w:top w:val="single" w:sz="4" w:space="0" w:color="auto"/>
              <w:left w:val="nil"/>
              <w:bottom w:val="single" w:sz="4" w:space="0" w:color="auto"/>
              <w:right w:val="single" w:sz="4" w:space="0" w:color="auto"/>
            </w:tcBorders>
            <w:shd w:val="clear" w:color="000000" w:fill="FFFFFF"/>
            <w:vAlign w:val="center"/>
          </w:tcPr>
          <w:p w14:paraId="5AD7A1FC" w14:textId="0A04858D" w:rsidR="00E740FA" w:rsidRPr="007665CA" w:rsidRDefault="00E927A0" w:rsidP="00E740FA">
            <w:pPr>
              <w:pStyle w:val="TableText0"/>
              <w:jc w:val="center"/>
              <w:rPr>
                <w:bCs w:val="0"/>
                <w:sz w:val="18"/>
                <w:szCs w:val="18"/>
                <w:highlight w:val="darkGray"/>
              </w:rPr>
            </w:pPr>
            <w:r w:rsidRPr="00E927A0">
              <w:rPr>
                <w:bCs w:val="0"/>
                <w:iCs/>
                <w:color w:val="000000"/>
                <w:sz w:val="18"/>
                <w:szCs w:val="18"/>
                <w:shd w:val="solid" w:color="000000" w:fill="000000"/>
                <w14:textFill>
                  <w14:solidFill>
                    <w14:srgbClr w14:val="000000">
                      <w14:alpha w14:val="100000"/>
                    </w14:srgbClr>
                  </w14:solidFill>
                </w14:textFill>
              </w:rPr>
              <w:t>|</w:t>
            </w:r>
            <w:r w:rsidR="004C2AA0" w:rsidRPr="004C2AA0">
              <w:rPr>
                <w:rFonts w:cs="Arial"/>
                <w:sz w:val="18"/>
                <w:szCs w:val="18"/>
                <w:vertAlign w:val="superscript"/>
              </w:rPr>
              <w:t>8</w:t>
            </w:r>
          </w:p>
        </w:tc>
        <w:tc>
          <w:tcPr>
            <w:tcW w:w="611" w:type="pct"/>
            <w:tcBorders>
              <w:top w:val="single" w:sz="4" w:space="0" w:color="auto"/>
              <w:left w:val="nil"/>
              <w:bottom w:val="single" w:sz="4" w:space="0" w:color="auto"/>
              <w:right w:val="single" w:sz="4" w:space="0" w:color="auto"/>
            </w:tcBorders>
            <w:shd w:val="clear" w:color="000000" w:fill="FFFFFF"/>
            <w:vAlign w:val="center"/>
          </w:tcPr>
          <w:p w14:paraId="1D6E215B" w14:textId="77E6397E" w:rsidR="00E740FA" w:rsidRPr="007665CA" w:rsidRDefault="00E927A0" w:rsidP="00E740FA">
            <w:pPr>
              <w:pStyle w:val="TableText0"/>
              <w:jc w:val="center"/>
              <w:rPr>
                <w:bCs w:val="0"/>
                <w:sz w:val="18"/>
                <w:szCs w:val="18"/>
                <w:highlight w:val="darkGray"/>
              </w:rPr>
            </w:pPr>
            <w:r w:rsidRPr="00E927A0">
              <w:rPr>
                <w:bCs w:val="0"/>
                <w:iCs/>
                <w:color w:val="000000"/>
                <w:sz w:val="18"/>
                <w:szCs w:val="18"/>
                <w:shd w:val="solid" w:color="000000" w:fill="000000"/>
                <w14:textFill>
                  <w14:solidFill>
                    <w14:srgbClr w14:val="000000">
                      <w14:alpha w14:val="100000"/>
                    </w14:srgbClr>
                  </w14:solidFill>
                </w14:textFill>
              </w:rPr>
              <w:t>|</w:t>
            </w:r>
            <w:r w:rsidR="004C2AA0" w:rsidRPr="004C2AA0">
              <w:rPr>
                <w:rFonts w:cs="Arial"/>
                <w:sz w:val="18"/>
                <w:szCs w:val="18"/>
                <w:vertAlign w:val="superscript"/>
              </w:rPr>
              <w:t>8</w:t>
            </w:r>
          </w:p>
        </w:tc>
        <w:tc>
          <w:tcPr>
            <w:tcW w:w="611" w:type="pct"/>
            <w:tcBorders>
              <w:top w:val="single" w:sz="4" w:space="0" w:color="auto"/>
              <w:left w:val="nil"/>
              <w:bottom w:val="single" w:sz="4" w:space="0" w:color="auto"/>
              <w:right w:val="single" w:sz="4" w:space="0" w:color="auto"/>
            </w:tcBorders>
            <w:shd w:val="clear" w:color="000000" w:fill="FFFFFF"/>
            <w:vAlign w:val="center"/>
          </w:tcPr>
          <w:p w14:paraId="25026D9D" w14:textId="152EEDB8" w:rsidR="00E740FA" w:rsidRPr="007665CA" w:rsidRDefault="00E927A0" w:rsidP="00E740FA">
            <w:pPr>
              <w:pStyle w:val="TableText0"/>
              <w:jc w:val="center"/>
              <w:rPr>
                <w:bCs w:val="0"/>
                <w:sz w:val="18"/>
                <w:szCs w:val="18"/>
                <w:highlight w:val="darkGray"/>
              </w:rPr>
            </w:pPr>
            <w:r w:rsidRPr="00E927A0">
              <w:rPr>
                <w:bCs w:val="0"/>
                <w:iCs/>
                <w:color w:val="000000"/>
                <w:sz w:val="18"/>
                <w:szCs w:val="18"/>
                <w:shd w:val="solid" w:color="000000" w:fill="000000"/>
                <w14:textFill>
                  <w14:solidFill>
                    <w14:srgbClr w14:val="000000">
                      <w14:alpha w14:val="100000"/>
                    </w14:srgbClr>
                  </w14:solidFill>
                </w14:textFill>
              </w:rPr>
              <w:t>|</w:t>
            </w:r>
            <w:r w:rsidR="004C2AA0" w:rsidRPr="004C2AA0">
              <w:rPr>
                <w:rFonts w:cs="Arial"/>
                <w:sz w:val="18"/>
                <w:szCs w:val="18"/>
                <w:vertAlign w:val="superscript"/>
              </w:rPr>
              <w:t>8</w:t>
            </w:r>
          </w:p>
        </w:tc>
        <w:tc>
          <w:tcPr>
            <w:tcW w:w="611" w:type="pct"/>
            <w:tcBorders>
              <w:top w:val="single" w:sz="4" w:space="0" w:color="auto"/>
              <w:left w:val="nil"/>
              <w:bottom w:val="single" w:sz="4" w:space="0" w:color="auto"/>
              <w:right w:val="single" w:sz="4" w:space="0" w:color="auto"/>
            </w:tcBorders>
            <w:shd w:val="clear" w:color="000000" w:fill="FFFFFF"/>
            <w:vAlign w:val="center"/>
          </w:tcPr>
          <w:p w14:paraId="6933D36F" w14:textId="43FBF994" w:rsidR="00E740FA" w:rsidRPr="007665CA" w:rsidRDefault="00E927A0" w:rsidP="00E740FA">
            <w:pPr>
              <w:pStyle w:val="TableText0"/>
              <w:jc w:val="center"/>
              <w:rPr>
                <w:bCs w:val="0"/>
                <w:sz w:val="18"/>
                <w:szCs w:val="18"/>
                <w:highlight w:val="darkGray"/>
              </w:rPr>
            </w:pPr>
            <w:r w:rsidRPr="00E927A0">
              <w:rPr>
                <w:bCs w:val="0"/>
                <w:iCs/>
                <w:color w:val="000000"/>
                <w:sz w:val="18"/>
                <w:szCs w:val="18"/>
                <w:shd w:val="solid" w:color="000000" w:fill="000000"/>
                <w14:textFill>
                  <w14:solidFill>
                    <w14:srgbClr w14:val="000000">
                      <w14:alpha w14:val="100000"/>
                    </w14:srgbClr>
                  </w14:solidFill>
                </w14:textFill>
              </w:rPr>
              <w:t>|</w:t>
            </w:r>
            <w:r w:rsidR="004C2AA0" w:rsidRPr="004C2AA0">
              <w:rPr>
                <w:rFonts w:cs="Arial"/>
                <w:sz w:val="18"/>
                <w:szCs w:val="18"/>
                <w:vertAlign w:val="superscript"/>
              </w:rPr>
              <w:t>8</w:t>
            </w:r>
          </w:p>
        </w:tc>
        <w:tc>
          <w:tcPr>
            <w:tcW w:w="611" w:type="pct"/>
            <w:tcBorders>
              <w:top w:val="single" w:sz="4" w:space="0" w:color="auto"/>
              <w:left w:val="nil"/>
              <w:bottom w:val="single" w:sz="4" w:space="0" w:color="auto"/>
              <w:right w:val="single" w:sz="4" w:space="0" w:color="auto"/>
            </w:tcBorders>
            <w:shd w:val="clear" w:color="000000" w:fill="FFFFFF"/>
            <w:vAlign w:val="center"/>
          </w:tcPr>
          <w:p w14:paraId="04433A65" w14:textId="4A2BFC65" w:rsidR="00E740FA" w:rsidRPr="007665CA" w:rsidRDefault="00E927A0" w:rsidP="00E740FA">
            <w:pPr>
              <w:pStyle w:val="TableText0"/>
              <w:jc w:val="center"/>
              <w:rPr>
                <w:bCs w:val="0"/>
                <w:sz w:val="18"/>
                <w:szCs w:val="18"/>
                <w:highlight w:val="darkGray"/>
              </w:rPr>
            </w:pPr>
            <w:r w:rsidRPr="00E927A0">
              <w:rPr>
                <w:bCs w:val="0"/>
                <w:iCs/>
                <w:color w:val="000000"/>
                <w:sz w:val="18"/>
                <w:szCs w:val="18"/>
                <w:shd w:val="solid" w:color="000000" w:fill="000000"/>
                <w14:textFill>
                  <w14:solidFill>
                    <w14:srgbClr w14:val="000000">
                      <w14:alpha w14:val="100000"/>
                    </w14:srgbClr>
                  </w14:solidFill>
                </w14:textFill>
              </w:rPr>
              <w:t>|</w:t>
            </w:r>
            <w:r w:rsidR="004C2AA0" w:rsidRPr="004C2AA0">
              <w:rPr>
                <w:rFonts w:cs="Arial"/>
                <w:sz w:val="18"/>
                <w:szCs w:val="18"/>
                <w:vertAlign w:val="superscript"/>
              </w:rPr>
              <w:t>8</w:t>
            </w:r>
          </w:p>
        </w:tc>
        <w:tc>
          <w:tcPr>
            <w:tcW w:w="611" w:type="pct"/>
            <w:tcBorders>
              <w:top w:val="single" w:sz="4" w:space="0" w:color="auto"/>
              <w:left w:val="nil"/>
              <w:bottom w:val="single" w:sz="4" w:space="0" w:color="auto"/>
              <w:right w:val="single" w:sz="4" w:space="0" w:color="auto"/>
            </w:tcBorders>
            <w:shd w:val="clear" w:color="000000" w:fill="FFFFFF"/>
            <w:vAlign w:val="center"/>
          </w:tcPr>
          <w:p w14:paraId="2223EBD7" w14:textId="05ABD284" w:rsidR="00E740FA" w:rsidRPr="007665CA" w:rsidRDefault="00E927A0" w:rsidP="00E740FA">
            <w:pPr>
              <w:pStyle w:val="TableText0"/>
              <w:jc w:val="center"/>
              <w:rPr>
                <w:bCs w:val="0"/>
                <w:sz w:val="18"/>
                <w:szCs w:val="18"/>
                <w:highlight w:val="darkGray"/>
              </w:rPr>
            </w:pPr>
            <w:r w:rsidRPr="00E927A0">
              <w:rPr>
                <w:bCs w:val="0"/>
                <w:iCs/>
                <w:color w:val="000000"/>
                <w:sz w:val="18"/>
                <w:szCs w:val="18"/>
                <w:shd w:val="solid" w:color="000000" w:fill="000000"/>
                <w14:textFill>
                  <w14:solidFill>
                    <w14:srgbClr w14:val="000000">
                      <w14:alpha w14:val="100000"/>
                    </w14:srgbClr>
                  </w14:solidFill>
                </w14:textFill>
              </w:rPr>
              <w:t>|</w:t>
            </w:r>
            <w:r w:rsidR="004C2AA0" w:rsidRPr="004C2AA0">
              <w:rPr>
                <w:rFonts w:cs="Arial"/>
                <w:sz w:val="18"/>
                <w:szCs w:val="18"/>
                <w:vertAlign w:val="superscript"/>
              </w:rPr>
              <w:t>8</w:t>
            </w:r>
          </w:p>
        </w:tc>
      </w:tr>
      <w:tr w:rsidR="00E740FA" w:rsidRPr="003639A6" w14:paraId="123830C0" w14:textId="77777777" w:rsidTr="00CC59B3">
        <w:tc>
          <w:tcPr>
            <w:tcW w:w="1334" w:type="pct"/>
            <w:shd w:val="clear" w:color="auto" w:fill="auto"/>
            <w:vAlign w:val="center"/>
          </w:tcPr>
          <w:p w14:paraId="50FCDA47" w14:textId="31E05E60" w:rsidR="00E740FA" w:rsidRPr="003639A6" w:rsidRDefault="00E740FA" w:rsidP="00E740FA">
            <w:pPr>
              <w:pStyle w:val="TableText0"/>
              <w:rPr>
                <w:sz w:val="19"/>
                <w:szCs w:val="19"/>
              </w:rPr>
            </w:pPr>
            <w:r>
              <w:rPr>
                <w:sz w:val="19"/>
                <w:szCs w:val="19"/>
              </w:rPr>
              <w:t>Net cost to PBS/RPBS/MBS</w:t>
            </w:r>
          </w:p>
        </w:tc>
        <w:tc>
          <w:tcPr>
            <w:tcW w:w="611" w:type="pct"/>
            <w:tcBorders>
              <w:top w:val="single" w:sz="4" w:space="0" w:color="auto"/>
              <w:left w:val="nil"/>
              <w:bottom w:val="single" w:sz="4" w:space="0" w:color="auto"/>
              <w:right w:val="single" w:sz="4" w:space="0" w:color="auto"/>
            </w:tcBorders>
            <w:shd w:val="clear" w:color="000000" w:fill="FFFFFF"/>
            <w:vAlign w:val="center"/>
          </w:tcPr>
          <w:p w14:paraId="0F4EB661" w14:textId="149BC3BE" w:rsidR="00E740FA" w:rsidRPr="007665CA" w:rsidRDefault="00E927A0" w:rsidP="00E740FA">
            <w:pPr>
              <w:pStyle w:val="TableText0"/>
              <w:jc w:val="center"/>
              <w:rPr>
                <w:bCs w:val="0"/>
                <w:sz w:val="18"/>
                <w:szCs w:val="18"/>
                <w:highlight w:val="darkGray"/>
              </w:rPr>
            </w:pPr>
            <w:r w:rsidRPr="00E927A0">
              <w:rPr>
                <w:bCs w:val="0"/>
                <w:color w:val="000000"/>
                <w:sz w:val="18"/>
                <w:szCs w:val="18"/>
                <w:shd w:val="solid" w:color="000000" w:fill="000000"/>
                <w14:textFill>
                  <w14:solidFill>
                    <w14:srgbClr w14:val="000000">
                      <w14:alpha w14:val="100000"/>
                    </w14:srgbClr>
                  </w14:solidFill>
                </w14:textFill>
              </w:rPr>
              <w:t>|</w:t>
            </w:r>
            <w:r w:rsidR="00E61A6C" w:rsidRPr="00E61A6C">
              <w:rPr>
                <w:bCs w:val="0"/>
                <w:sz w:val="18"/>
                <w:szCs w:val="18"/>
                <w:vertAlign w:val="superscript"/>
              </w:rPr>
              <w:t>5</w:t>
            </w:r>
          </w:p>
        </w:tc>
        <w:tc>
          <w:tcPr>
            <w:tcW w:w="611" w:type="pct"/>
            <w:tcBorders>
              <w:top w:val="single" w:sz="4" w:space="0" w:color="auto"/>
              <w:left w:val="nil"/>
              <w:bottom w:val="single" w:sz="4" w:space="0" w:color="auto"/>
              <w:right w:val="single" w:sz="4" w:space="0" w:color="auto"/>
            </w:tcBorders>
            <w:shd w:val="clear" w:color="000000" w:fill="FFFFFF"/>
            <w:vAlign w:val="center"/>
          </w:tcPr>
          <w:p w14:paraId="59B75FE2" w14:textId="7F0ADD57" w:rsidR="00E740FA" w:rsidRPr="007665CA" w:rsidRDefault="00E927A0" w:rsidP="00E740FA">
            <w:pPr>
              <w:pStyle w:val="TableText0"/>
              <w:jc w:val="center"/>
              <w:rPr>
                <w:bCs w:val="0"/>
                <w:sz w:val="18"/>
                <w:szCs w:val="18"/>
                <w:highlight w:val="darkGray"/>
              </w:rPr>
            </w:pPr>
            <w:r w:rsidRPr="00E927A0">
              <w:rPr>
                <w:bCs w:val="0"/>
                <w:color w:val="000000"/>
                <w:sz w:val="18"/>
                <w:szCs w:val="18"/>
                <w:shd w:val="solid" w:color="000000" w:fill="000000"/>
                <w14:textFill>
                  <w14:solidFill>
                    <w14:srgbClr w14:val="000000">
                      <w14:alpha w14:val="100000"/>
                    </w14:srgbClr>
                  </w14:solidFill>
                </w14:textFill>
              </w:rPr>
              <w:t>|</w:t>
            </w:r>
            <w:r w:rsidR="00922D8C">
              <w:rPr>
                <w:bCs w:val="0"/>
                <w:sz w:val="18"/>
                <w:szCs w:val="18"/>
                <w:vertAlign w:val="superscript"/>
              </w:rPr>
              <w:t>7</w:t>
            </w:r>
          </w:p>
        </w:tc>
        <w:tc>
          <w:tcPr>
            <w:tcW w:w="611" w:type="pct"/>
            <w:tcBorders>
              <w:top w:val="single" w:sz="4" w:space="0" w:color="auto"/>
              <w:left w:val="nil"/>
              <w:bottom w:val="single" w:sz="4" w:space="0" w:color="auto"/>
              <w:right w:val="single" w:sz="4" w:space="0" w:color="auto"/>
            </w:tcBorders>
            <w:shd w:val="clear" w:color="000000" w:fill="FFFFFF"/>
            <w:vAlign w:val="center"/>
          </w:tcPr>
          <w:p w14:paraId="6AE6473A" w14:textId="45357F47" w:rsidR="00E740FA" w:rsidRPr="007665CA" w:rsidRDefault="00E927A0" w:rsidP="00E740FA">
            <w:pPr>
              <w:pStyle w:val="TableText0"/>
              <w:jc w:val="center"/>
              <w:rPr>
                <w:bCs w:val="0"/>
                <w:sz w:val="18"/>
                <w:szCs w:val="18"/>
                <w:highlight w:val="darkGray"/>
              </w:rPr>
            </w:pPr>
            <w:r w:rsidRPr="00E927A0">
              <w:rPr>
                <w:bCs w:val="0"/>
                <w:color w:val="000000"/>
                <w:sz w:val="18"/>
                <w:szCs w:val="18"/>
                <w:shd w:val="solid" w:color="000000" w:fill="000000"/>
                <w14:textFill>
                  <w14:solidFill>
                    <w14:srgbClr w14:val="000000">
                      <w14:alpha w14:val="100000"/>
                    </w14:srgbClr>
                  </w14:solidFill>
                </w14:textFill>
              </w:rPr>
              <w:t>|</w:t>
            </w:r>
            <w:r w:rsidR="00E61A6C" w:rsidRPr="00E61A6C">
              <w:rPr>
                <w:bCs w:val="0"/>
                <w:sz w:val="18"/>
                <w:szCs w:val="18"/>
                <w:vertAlign w:val="superscript"/>
              </w:rPr>
              <w:t>5</w:t>
            </w:r>
          </w:p>
        </w:tc>
        <w:tc>
          <w:tcPr>
            <w:tcW w:w="611" w:type="pct"/>
            <w:tcBorders>
              <w:top w:val="single" w:sz="4" w:space="0" w:color="auto"/>
              <w:left w:val="nil"/>
              <w:bottom w:val="single" w:sz="4" w:space="0" w:color="auto"/>
              <w:right w:val="single" w:sz="4" w:space="0" w:color="auto"/>
            </w:tcBorders>
            <w:shd w:val="clear" w:color="000000" w:fill="FFFFFF"/>
            <w:vAlign w:val="center"/>
          </w:tcPr>
          <w:p w14:paraId="1F476C04" w14:textId="30FDFAC2" w:rsidR="00E740FA" w:rsidRPr="007665CA" w:rsidRDefault="00E927A0" w:rsidP="00E740FA">
            <w:pPr>
              <w:pStyle w:val="TableText0"/>
              <w:jc w:val="center"/>
              <w:rPr>
                <w:bCs w:val="0"/>
                <w:sz w:val="18"/>
                <w:szCs w:val="18"/>
                <w:highlight w:val="darkGray"/>
              </w:rPr>
            </w:pPr>
            <w:r w:rsidRPr="00E927A0">
              <w:rPr>
                <w:bCs w:val="0"/>
                <w:color w:val="000000"/>
                <w:sz w:val="18"/>
                <w:szCs w:val="18"/>
                <w:shd w:val="solid" w:color="000000" w:fill="000000"/>
                <w14:textFill>
                  <w14:solidFill>
                    <w14:srgbClr w14:val="000000">
                      <w14:alpha w14:val="100000"/>
                    </w14:srgbClr>
                  </w14:solidFill>
                </w14:textFill>
              </w:rPr>
              <w:t>|</w:t>
            </w:r>
            <w:r w:rsidR="00E61A6C" w:rsidRPr="00E61A6C">
              <w:rPr>
                <w:bCs w:val="0"/>
                <w:sz w:val="18"/>
                <w:szCs w:val="18"/>
                <w:vertAlign w:val="superscript"/>
              </w:rPr>
              <w:t>5</w:t>
            </w:r>
          </w:p>
        </w:tc>
        <w:tc>
          <w:tcPr>
            <w:tcW w:w="611" w:type="pct"/>
            <w:tcBorders>
              <w:top w:val="single" w:sz="4" w:space="0" w:color="auto"/>
              <w:left w:val="nil"/>
              <w:bottom w:val="single" w:sz="4" w:space="0" w:color="auto"/>
              <w:right w:val="single" w:sz="4" w:space="0" w:color="auto"/>
            </w:tcBorders>
            <w:shd w:val="clear" w:color="000000" w:fill="FFFFFF"/>
            <w:vAlign w:val="center"/>
          </w:tcPr>
          <w:p w14:paraId="12079751" w14:textId="6F86167C" w:rsidR="00E740FA" w:rsidRPr="007665CA" w:rsidRDefault="00E927A0" w:rsidP="00E740FA">
            <w:pPr>
              <w:pStyle w:val="TableText0"/>
              <w:jc w:val="center"/>
              <w:rPr>
                <w:bCs w:val="0"/>
                <w:sz w:val="18"/>
                <w:szCs w:val="18"/>
                <w:highlight w:val="darkGray"/>
              </w:rPr>
            </w:pPr>
            <w:r w:rsidRPr="00E927A0">
              <w:rPr>
                <w:bCs w:val="0"/>
                <w:color w:val="000000"/>
                <w:sz w:val="18"/>
                <w:szCs w:val="18"/>
                <w:shd w:val="solid" w:color="000000" w:fill="000000"/>
                <w14:textFill>
                  <w14:solidFill>
                    <w14:srgbClr w14:val="000000">
                      <w14:alpha w14:val="100000"/>
                    </w14:srgbClr>
                  </w14:solidFill>
                </w14:textFill>
              </w:rPr>
              <w:t>|</w:t>
            </w:r>
            <w:r w:rsidR="00E61A6C" w:rsidRPr="00E61A6C">
              <w:rPr>
                <w:bCs w:val="0"/>
                <w:sz w:val="18"/>
                <w:szCs w:val="18"/>
                <w:vertAlign w:val="superscript"/>
              </w:rPr>
              <w:t>5</w:t>
            </w:r>
          </w:p>
        </w:tc>
        <w:tc>
          <w:tcPr>
            <w:tcW w:w="611" w:type="pct"/>
            <w:tcBorders>
              <w:top w:val="single" w:sz="4" w:space="0" w:color="auto"/>
              <w:left w:val="nil"/>
              <w:bottom w:val="single" w:sz="4" w:space="0" w:color="auto"/>
              <w:right w:val="single" w:sz="4" w:space="0" w:color="auto"/>
            </w:tcBorders>
            <w:shd w:val="clear" w:color="000000" w:fill="FFFFFF"/>
            <w:vAlign w:val="center"/>
          </w:tcPr>
          <w:p w14:paraId="4844CB4D" w14:textId="1D87473B" w:rsidR="00E740FA" w:rsidRPr="007665CA" w:rsidRDefault="00E927A0" w:rsidP="00E740FA">
            <w:pPr>
              <w:pStyle w:val="TableText0"/>
              <w:jc w:val="center"/>
              <w:rPr>
                <w:bCs w:val="0"/>
                <w:sz w:val="18"/>
                <w:szCs w:val="18"/>
                <w:highlight w:val="darkGray"/>
              </w:rPr>
            </w:pPr>
            <w:r w:rsidRPr="00E927A0">
              <w:rPr>
                <w:bCs w:val="0"/>
                <w:color w:val="000000"/>
                <w:sz w:val="18"/>
                <w:szCs w:val="18"/>
                <w:shd w:val="solid" w:color="000000" w:fill="000000"/>
                <w14:textFill>
                  <w14:solidFill>
                    <w14:srgbClr w14:val="000000">
                      <w14:alpha w14:val="100000"/>
                    </w14:srgbClr>
                  </w14:solidFill>
                </w14:textFill>
              </w:rPr>
              <w:t>|</w:t>
            </w:r>
            <w:r w:rsidR="00E61A6C" w:rsidRPr="00E61A6C">
              <w:rPr>
                <w:bCs w:val="0"/>
                <w:sz w:val="18"/>
                <w:szCs w:val="18"/>
                <w:vertAlign w:val="superscript"/>
              </w:rPr>
              <w:t>5</w:t>
            </w:r>
          </w:p>
        </w:tc>
      </w:tr>
    </w:tbl>
    <w:p w14:paraId="4E824150" w14:textId="77777777" w:rsidR="00E740FA" w:rsidRDefault="00E740FA" w:rsidP="00E740FA">
      <w:pPr>
        <w:pStyle w:val="TableFigureFooter"/>
        <w:rPr>
          <w:sz w:val="16"/>
          <w:szCs w:val="16"/>
        </w:rPr>
      </w:pPr>
      <w:r w:rsidRPr="00E740FA">
        <w:rPr>
          <w:sz w:val="16"/>
          <w:szCs w:val="16"/>
        </w:rPr>
        <w:t>Source: Table 4.3-2 to 4.9-5, pp.189-200 of the submission.</w:t>
      </w:r>
    </w:p>
    <w:p w14:paraId="37B5FBA6" w14:textId="25D83FDD" w:rsidR="00D406E5" w:rsidRPr="00E740FA" w:rsidRDefault="00C05E39" w:rsidP="00E740FA">
      <w:pPr>
        <w:pStyle w:val="TableFigureFooter"/>
        <w:rPr>
          <w:sz w:val="16"/>
          <w:szCs w:val="16"/>
        </w:rPr>
      </w:pPr>
      <w:r w:rsidRPr="0031733F">
        <w:rPr>
          <w:sz w:val="16"/>
          <w:szCs w:val="16"/>
        </w:rPr>
        <w:t>DF = disease-free; DM1 = first-line treatment for distant metastatic NSCLC; LRR = loco/regional recurrence;</w:t>
      </w:r>
    </w:p>
    <w:p w14:paraId="65E99FBE" w14:textId="5B022B56" w:rsidR="00E466F3" w:rsidRPr="00371D43" w:rsidRDefault="00E466F3" w:rsidP="00E740FA">
      <w:pPr>
        <w:pStyle w:val="TableFigureFooter"/>
        <w:rPr>
          <w:sz w:val="16"/>
          <w:szCs w:val="16"/>
        </w:rPr>
      </w:pPr>
      <w:proofErr w:type="gramStart"/>
      <w:r w:rsidRPr="00E740FA">
        <w:rPr>
          <w:sz w:val="16"/>
          <w:szCs w:val="16"/>
          <w:vertAlign w:val="superscript"/>
        </w:rPr>
        <w:t>a</w:t>
      </w:r>
      <w:proofErr w:type="gramEnd"/>
      <w:r w:rsidR="00606FBA" w:rsidRPr="00E740FA">
        <w:rPr>
          <w:sz w:val="16"/>
          <w:szCs w:val="16"/>
        </w:rPr>
        <w:t xml:space="preserve"> </w:t>
      </w:r>
      <w:r w:rsidR="00050EC8">
        <w:rPr>
          <w:sz w:val="16"/>
          <w:szCs w:val="16"/>
        </w:rPr>
        <w:tab/>
      </w:r>
      <w:r w:rsidRPr="00371D43">
        <w:rPr>
          <w:sz w:val="16"/>
          <w:szCs w:val="16"/>
        </w:rPr>
        <w:t>Assuming</w:t>
      </w:r>
      <w:r w:rsidR="00EB7C31" w:rsidRPr="00371D43">
        <w:rPr>
          <w:sz w:val="16"/>
          <w:szCs w:val="16"/>
        </w:rPr>
        <w:t xml:space="preserve"> 29 scripts per patient (12 in the first year, 12 in the second year, and 5 in the third year)</w:t>
      </w:r>
      <w:r w:rsidRPr="00371D43">
        <w:rPr>
          <w:sz w:val="16"/>
          <w:szCs w:val="16"/>
        </w:rPr>
        <w:t xml:space="preserve"> as estimated by the submission.</w:t>
      </w:r>
    </w:p>
    <w:p w14:paraId="5590C5D9" w14:textId="71065133" w:rsidR="00BE52F5" w:rsidRDefault="00BE52F5" w:rsidP="00050EC8">
      <w:pPr>
        <w:pStyle w:val="TableFigureFooter"/>
        <w:ind w:left="170" w:hanging="170"/>
        <w:rPr>
          <w:sz w:val="16"/>
          <w:szCs w:val="16"/>
        </w:rPr>
      </w:pPr>
      <w:r w:rsidRPr="00371D43">
        <w:rPr>
          <w:sz w:val="16"/>
          <w:szCs w:val="16"/>
          <w:vertAlign w:val="superscript"/>
        </w:rPr>
        <w:t>b</w:t>
      </w:r>
      <w:r w:rsidR="00050EC8" w:rsidRPr="00371D43">
        <w:rPr>
          <w:sz w:val="16"/>
          <w:szCs w:val="16"/>
          <w:vertAlign w:val="superscript"/>
        </w:rPr>
        <w:tab/>
      </w:r>
      <w:r w:rsidRPr="00371D43">
        <w:rPr>
          <w:sz w:val="16"/>
          <w:szCs w:val="16"/>
        </w:rPr>
        <w:t xml:space="preserve">Assuming </w:t>
      </w:r>
      <w:r w:rsidR="00371D43">
        <w:rPr>
          <w:sz w:val="16"/>
          <w:szCs w:val="16"/>
        </w:rPr>
        <w:t>&lt; 500</w:t>
      </w:r>
      <w:r w:rsidR="00444B99" w:rsidRPr="00371D43">
        <w:rPr>
          <w:sz w:val="16"/>
          <w:szCs w:val="16"/>
        </w:rPr>
        <w:t xml:space="preserve"> incident patients, </w:t>
      </w:r>
      <w:r w:rsidR="00371D43">
        <w:rPr>
          <w:sz w:val="16"/>
          <w:szCs w:val="16"/>
        </w:rPr>
        <w:t>&lt; 500</w:t>
      </w:r>
      <w:r w:rsidR="00444B99" w:rsidRPr="00371D43">
        <w:rPr>
          <w:sz w:val="16"/>
          <w:szCs w:val="16"/>
        </w:rPr>
        <w:t xml:space="preserve"> prevalent patients, and </w:t>
      </w:r>
      <w:r w:rsidR="00371D43">
        <w:rPr>
          <w:sz w:val="16"/>
          <w:szCs w:val="16"/>
        </w:rPr>
        <w:t>&lt; 500</w:t>
      </w:r>
      <w:r w:rsidR="00444B99" w:rsidRPr="00371D43">
        <w:rPr>
          <w:sz w:val="16"/>
          <w:szCs w:val="16"/>
        </w:rPr>
        <w:t xml:space="preserve"> grandfathered patients</w:t>
      </w:r>
      <w:r w:rsidR="00ED422E" w:rsidRPr="00371D43">
        <w:rPr>
          <w:sz w:val="16"/>
          <w:szCs w:val="16"/>
        </w:rPr>
        <w:t xml:space="preserve"> (</w:t>
      </w:r>
      <w:r w:rsidR="00371D43">
        <w:rPr>
          <w:sz w:val="16"/>
          <w:szCs w:val="16"/>
        </w:rPr>
        <w:t>&lt; 500</w:t>
      </w:r>
      <w:r w:rsidR="00ED422E" w:rsidRPr="00371D43">
        <w:rPr>
          <w:sz w:val="16"/>
          <w:szCs w:val="16"/>
        </w:rPr>
        <w:t xml:space="preserve"> currently enrolled in the part-pay program and </w:t>
      </w:r>
      <w:r w:rsidR="00371D43">
        <w:rPr>
          <w:sz w:val="16"/>
          <w:szCs w:val="16"/>
        </w:rPr>
        <w:t>&lt; 500</w:t>
      </w:r>
      <w:r w:rsidR="00ED422E" w:rsidRPr="00371D43">
        <w:rPr>
          <w:sz w:val="16"/>
          <w:szCs w:val="16"/>
        </w:rPr>
        <w:t xml:space="preserve"> to be eligible from the free access program)</w:t>
      </w:r>
      <w:r w:rsidR="00444B99" w:rsidRPr="00371D43">
        <w:rPr>
          <w:sz w:val="16"/>
          <w:szCs w:val="16"/>
        </w:rPr>
        <w:t>.</w:t>
      </w:r>
    </w:p>
    <w:p w14:paraId="00DE70CC" w14:textId="0E636402" w:rsidR="00D406E5" w:rsidRDefault="00D406E5" w:rsidP="00E740FA">
      <w:pPr>
        <w:pStyle w:val="TableFigureFooter"/>
        <w:rPr>
          <w:sz w:val="16"/>
          <w:szCs w:val="16"/>
        </w:rPr>
      </w:pPr>
      <w:r>
        <w:rPr>
          <w:sz w:val="16"/>
          <w:szCs w:val="16"/>
          <w:vertAlign w:val="superscript"/>
        </w:rPr>
        <w:t>c</w:t>
      </w:r>
      <w:r w:rsidRPr="00E740FA">
        <w:rPr>
          <w:sz w:val="16"/>
          <w:szCs w:val="16"/>
        </w:rPr>
        <w:t xml:space="preserve"> </w:t>
      </w:r>
      <w:r w:rsidR="00050EC8">
        <w:rPr>
          <w:sz w:val="16"/>
          <w:szCs w:val="16"/>
        </w:rPr>
        <w:tab/>
      </w:r>
      <w:r w:rsidRPr="00E740FA">
        <w:rPr>
          <w:sz w:val="16"/>
          <w:szCs w:val="16"/>
        </w:rPr>
        <w:t>Assum</w:t>
      </w:r>
      <w:r>
        <w:rPr>
          <w:sz w:val="16"/>
          <w:szCs w:val="16"/>
        </w:rPr>
        <w:t>ed proportion of patients transitioning to DM1 from DF or LRR health states in the placebo arm of the economic model.</w:t>
      </w:r>
    </w:p>
    <w:p w14:paraId="23B3E834" w14:textId="6189F301" w:rsidR="00D406E5" w:rsidRPr="00E740FA" w:rsidRDefault="00D406E5" w:rsidP="00371D43">
      <w:pPr>
        <w:pStyle w:val="TableFigureFooter"/>
        <w:spacing w:after="0"/>
        <w:rPr>
          <w:sz w:val="16"/>
          <w:szCs w:val="16"/>
        </w:rPr>
      </w:pPr>
      <w:r>
        <w:rPr>
          <w:sz w:val="16"/>
          <w:szCs w:val="16"/>
          <w:vertAlign w:val="superscript"/>
        </w:rPr>
        <w:t>d</w:t>
      </w:r>
      <w:r w:rsidR="00050EC8">
        <w:rPr>
          <w:sz w:val="16"/>
          <w:szCs w:val="16"/>
          <w:vertAlign w:val="superscript"/>
        </w:rPr>
        <w:tab/>
      </w:r>
      <w:r>
        <w:rPr>
          <w:sz w:val="16"/>
          <w:szCs w:val="16"/>
        </w:rPr>
        <w:t>Only osimertinib (metastatic) scripts expected as cost offsets</w:t>
      </w:r>
      <w:r w:rsidR="00A24887">
        <w:rPr>
          <w:sz w:val="16"/>
          <w:szCs w:val="16"/>
        </w:rPr>
        <w:t>; assumed 21 months treatment duration</w:t>
      </w:r>
      <w:r w:rsidR="00377CA6">
        <w:rPr>
          <w:sz w:val="16"/>
          <w:szCs w:val="16"/>
        </w:rPr>
        <w:t xml:space="preserve"> for osimertinib use (metastatic)</w:t>
      </w:r>
      <w:r>
        <w:rPr>
          <w:sz w:val="16"/>
          <w:szCs w:val="16"/>
        </w:rPr>
        <w:t xml:space="preserve">. </w:t>
      </w:r>
    </w:p>
    <w:p w14:paraId="7476891F" w14:textId="77777777" w:rsidR="007665CA" w:rsidRPr="007665CA" w:rsidRDefault="007665CA" w:rsidP="00371D43">
      <w:pPr>
        <w:pStyle w:val="FooterTableFigure"/>
        <w:spacing w:after="0"/>
        <w:ind w:left="165" w:hanging="165"/>
        <w:rPr>
          <w:i/>
          <w:iCs/>
        </w:rPr>
      </w:pPr>
      <w:r w:rsidRPr="007665CA">
        <w:rPr>
          <w:i/>
          <w:iCs/>
        </w:rPr>
        <w:t>The redacted values correspond to the following ranges:</w:t>
      </w:r>
    </w:p>
    <w:p w14:paraId="2E26DEA5" w14:textId="3A27E53B" w:rsidR="00E61A6C" w:rsidRDefault="00922D8C" w:rsidP="00371D43">
      <w:pPr>
        <w:pStyle w:val="FooterTableFigure"/>
        <w:spacing w:after="0"/>
        <w:rPr>
          <w:i/>
          <w:iCs/>
        </w:rPr>
      </w:pPr>
      <w:r>
        <w:rPr>
          <w:i/>
          <w:iCs/>
          <w:vertAlign w:val="superscript"/>
        </w:rPr>
        <w:t>1</w:t>
      </w:r>
      <w:r w:rsidR="00E61A6C">
        <w:rPr>
          <w:i/>
          <w:iCs/>
        </w:rPr>
        <w:t xml:space="preserve"> </w:t>
      </w:r>
      <w:r w:rsidR="00E61A6C" w:rsidRPr="00E61A6C">
        <w:rPr>
          <w:i/>
          <w:iCs/>
        </w:rPr>
        <w:t>500 to &lt; 5,000</w:t>
      </w:r>
    </w:p>
    <w:p w14:paraId="3B8D5D6E" w14:textId="6934896F" w:rsidR="00922D8C" w:rsidRPr="00922D8C" w:rsidRDefault="00922D8C" w:rsidP="00371D43">
      <w:pPr>
        <w:pStyle w:val="FooterTableFigure"/>
        <w:spacing w:after="0"/>
        <w:rPr>
          <w:i/>
          <w:iCs/>
        </w:rPr>
      </w:pPr>
      <w:r>
        <w:rPr>
          <w:i/>
          <w:iCs/>
          <w:vertAlign w:val="superscript"/>
        </w:rPr>
        <w:t>2</w:t>
      </w:r>
      <w:r w:rsidRPr="00922D8C">
        <w:rPr>
          <w:i/>
          <w:iCs/>
        </w:rPr>
        <w:t xml:space="preserve"> &lt; 500</w:t>
      </w:r>
    </w:p>
    <w:p w14:paraId="24383DE7" w14:textId="34B6C201" w:rsidR="00E61A6C" w:rsidRPr="00E61A6C" w:rsidRDefault="00E61A6C" w:rsidP="00371D43">
      <w:pPr>
        <w:pStyle w:val="FooterTableFigure"/>
        <w:spacing w:after="0"/>
        <w:ind w:left="165" w:hanging="165"/>
        <w:rPr>
          <w:i/>
          <w:iCs/>
        </w:rPr>
      </w:pPr>
      <w:r w:rsidRPr="00E61A6C">
        <w:rPr>
          <w:i/>
          <w:iCs/>
          <w:vertAlign w:val="superscript"/>
        </w:rPr>
        <w:t>3</w:t>
      </w:r>
      <w:r>
        <w:rPr>
          <w:i/>
          <w:iCs/>
        </w:rPr>
        <w:t xml:space="preserve"> </w:t>
      </w:r>
      <w:r w:rsidRPr="00E61A6C">
        <w:rPr>
          <w:i/>
          <w:iCs/>
        </w:rPr>
        <w:t>5,000 to &lt; 10,000</w:t>
      </w:r>
    </w:p>
    <w:p w14:paraId="1CAB9838" w14:textId="15CDB278" w:rsidR="00E61A6C" w:rsidRDefault="00E61A6C" w:rsidP="00371D43">
      <w:pPr>
        <w:pStyle w:val="FooterTableFigure"/>
        <w:spacing w:after="0"/>
        <w:ind w:left="165" w:hanging="165"/>
        <w:rPr>
          <w:i/>
          <w:iCs/>
        </w:rPr>
      </w:pPr>
      <w:r w:rsidRPr="00E61A6C">
        <w:rPr>
          <w:i/>
          <w:iCs/>
          <w:vertAlign w:val="superscript"/>
        </w:rPr>
        <w:t xml:space="preserve">4 </w:t>
      </w:r>
      <w:r w:rsidRPr="00E61A6C">
        <w:rPr>
          <w:i/>
          <w:iCs/>
        </w:rPr>
        <w:t>10,000 to &lt; 20,000</w:t>
      </w:r>
    </w:p>
    <w:p w14:paraId="492A9F95" w14:textId="774A21A0" w:rsidR="00E61A6C" w:rsidRDefault="00E61A6C" w:rsidP="00371D43">
      <w:pPr>
        <w:pStyle w:val="FooterTableFigure"/>
        <w:spacing w:after="0"/>
        <w:ind w:left="165" w:hanging="165"/>
        <w:rPr>
          <w:i/>
          <w:iCs/>
        </w:rPr>
      </w:pPr>
      <w:r w:rsidRPr="00E61A6C">
        <w:rPr>
          <w:i/>
          <w:iCs/>
          <w:vertAlign w:val="superscript"/>
        </w:rPr>
        <w:t xml:space="preserve">5 </w:t>
      </w:r>
      <w:r w:rsidRPr="00E61A6C">
        <w:rPr>
          <w:i/>
          <w:iCs/>
        </w:rPr>
        <w:t>$30 million to &lt; $40 million</w:t>
      </w:r>
    </w:p>
    <w:p w14:paraId="1C32EDE0" w14:textId="72B05F03" w:rsidR="00922D8C" w:rsidRPr="00922D8C" w:rsidRDefault="00922D8C" w:rsidP="00371D43">
      <w:pPr>
        <w:pStyle w:val="FooterTableFigure"/>
        <w:spacing w:after="0"/>
        <w:rPr>
          <w:i/>
          <w:iCs/>
        </w:rPr>
      </w:pPr>
      <w:r>
        <w:rPr>
          <w:i/>
          <w:iCs/>
          <w:vertAlign w:val="superscript"/>
        </w:rPr>
        <w:t>6</w:t>
      </w:r>
      <w:r w:rsidRPr="00922D8C">
        <w:rPr>
          <w:i/>
          <w:iCs/>
        </w:rPr>
        <w:t xml:space="preserve"> $50 million to &lt; $60 million</w:t>
      </w:r>
    </w:p>
    <w:p w14:paraId="0338F013" w14:textId="16F60AAE" w:rsidR="00E61A6C" w:rsidRPr="00E61A6C" w:rsidRDefault="00922D8C" w:rsidP="00371D43">
      <w:pPr>
        <w:pStyle w:val="FooterTableFigure"/>
        <w:spacing w:after="0"/>
        <w:ind w:left="165" w:hanging="165"/>
        <w:rPr>
          <w:i/>
          <w:iCs/>
        </w:rPr>
      </w:pPr>
      <w:r>
        <w:rPr>
          <w:i/>
          <w:iCs/>
          <w:vertAlign w:val="superscript"/>
        </w:rPr>
        <w:t>7</w:t>
      </w:r>
      <w:r w:rsidR="00E61A6C">
        <w:rPr>
          <w:i/>
          <w:iCs/>
        </w:rPr>
        <w:t xml:space="preserve"> </w:t>
      </w:r>
      <w:r w:rsidR="00E61A6C" w:rsidRPr="00E61A6C">
        <w:rPr>
          <w:i/>
          <w:iCs/>
        </w:rPr>
        <w:t>$40 million to &lt; $50 million</w:t>
      </w:r>
    </w:p>
    <w:p w14:paraId="5E68ECB0" w14:textId="1A65FCC1" w:rsidR="00D406E5" w:rsidRPr="00E740FA" w:rsidRDefault="004C2AA0" w:rsidP="00825F47">
      <w:pPr>
        <w:pStyle w:val="FooterTableFigure"/>
        <w:spacing w:after="0"/>
        <w:ind w:left="165" w:hanging="165"/>
      </w:pPr>
      <w:r w:rsidRPr="004C2AA0">
        <w:rPr>
          <w:i/>
          <w:iCs/>
          <w:vertAlign w:val="superscript"/>
        </w:rPr>
        <w:t xml:space="preserve">8 </w:t>
      </w:r>
      <w:r w:rsidR="00600EEE">
        <w:rPr>
          <w:i/>
          <w:iCs/>
        </w:rPr>
        <w:t xml:space="preserve">net </w:t>
      </w:r>
      <w:r w:rsidRPr="004C2AA0">
        <w:rPr>
          <w:i/>
          <w:iCs/>
        </w:rPr>
        <w:t>cost saving</w:t>
      </w:r>
    </w:p>
    <w:p w14:paraId="3FB42DE6" w14:textId="23AF75C1" w:rsidR="00E740FA" w:rsidRPr="00140986" w:rsidRDefault="000902D9" w:rsidP="00E740FA">
      <w:pPr>
        <w:pStyle w:val="3-BodyText"/>
      </w:pPr>
      <w:r w:rsidRPr="00140986">
        <w:t xml:space="preserve">The total </w:t>
      </w:r>
      <w:r w:rsidR="00E740FA" w:rsidRPr="00140986">
        <w:t xml:space="preserve">net </w:t>
      </w:r>
      <w:r w:rsidRPr="00140986">
        <w:t xml:space="preserve">cost to the PBS/RPBS of listing </w:t>
      </w:r>
      <w:r w:rsidR="00E740FA" w:rsidRPr="00140986">
        <w:t>adjuvant osimertinib</w:t>
      </w:r>
      <w:r w:rsidRPr="00140986">
        <w:t xml:space="preserve"> was estimated </w:t>
      </w:r>
      <w:r w:rsidR="00A05C32" w:rsidRPr="00140986">
        <w:t>to be</w:t>
      </w:r>
      <w:r w:rsidRPr="00140986">
        <w:t xml:space="preserve"> $</w:t>
      </w:r>
      <w:r w:rsidR="004C2AA0" w:rsidRPr="004C2AA0">
        <w:t>30</w:t>
      </w:r>
      <w:r w:rsidR="00A75CE9">
        <w:t> </w:t>
      </w:r>
      <w:r w:rsidR="004C2AA0" w:rsidRPr="004C2AA0">
        <w:t>million</w:t>
      </w:r>
      <w:r w:rsidR="00A75CE9">
        <w:t> </w:t>
      </w:r>
      <w:r w:rsidR="004C2AA0" w:rsidRPr="004C2AA0">
        <w:t>to</w:t>
      </w:r>
      <w:r w:rsidR="00A75CE9">
        <w:t> </w:t>
      </w:r>
      <w:r w:rsidR="004C2AA0" w:rsidRPr="004C2AA0">
        <w:t>&lt;</w:t>
      </w:r>
      <w:r w:rsidR="00A75CE9">
        <w:t> </w:t>
      </w:r>
      <w:r w:rsidR="004C2AA0" w:rsidRPr="004C2AA0">
        <w:t xml:space="preserve">$40 </w:t>
      </w:r>
      <w:r w:rsidRPr="00140986">
        <w:t xml:space="preserve"> </w:t>
      </w:r>
      <w:r w:rsidR="004C2AA0" w:rsidRPr="004C2AA0">
        <w:t xml:space="preserve">million </w:t>
      </w:r>
      <w:r w:rsidRPr="00140986">
        <w:t>in Year 6, and a total of $</w:t>
      </w:r>
      <w:r w:rsidR="004C2AA0" w:rsidRPr="004C2AA0">
        <w:t>200</w:t>
      </w:r>
      <w:r w:rsidR="00A75CE9">
        <w:t> </w:t>
      </w:r>
      <w:r w:rsidR="004C2AA0" w:rsidRPr="004C2AA0">
        <w:t>million</w:t>
      </w:r>
      <w:r w:rsidR="00A75CE9">
        <w:t> </w:t>
      </w:r>
      <w:r w:rsidR="004C2AA0" w:rsidRPr="004C2AA0">
        <w:t>to</w:t>
      </w:r>
      <w:r w:rsidR="00A75CE9">
        <w:t> </w:t>
      </w:r>
      <w:r w:rsidR="004C2AA0" w:rsidRPr="004C2AA0">
        <w:t>&lt;</w:t>
      </w:r>
      <w:r w:rsidR="00A75CE9">
        <w:t> </w:t>
      </w:r>
      <w:r w:rsidR="004C2AA0" w:rsidRPr="004C2AA0">
        <w:t>$300</w:t>
      </w:r>
      <w:r w:rsidR="00AB4D6C">
        <w:t> </w:t>
      </w:r>
      <w:r w:rsidRPr="00140986">
        <w:t>million in the first 6 years of listing</w:t>
      </w:r>
      <w:r w:rsidR="00E740FA" w:rsidRPr="00140986">
        <w:t>, based on the effective price of adjuvant osimertinib</w:t>
      </w:r>
      <w:r w:rsidRPr="00140986">
        <w:t xml:space="preserve">. </w:t>
      </w:r>
    </w:p>
    <w:p w14:paraId="29A2923F" w14:textId="3FBDD6E5" w:rsidR="001A6BC9" w:rsidRPr="00AA29D4" w:rsidRDefault="00E740FA" w:rsidP="00AA29D4">
      <w:pPr>
        <w:pStyle w:val="3-BodyText"/>
      </w:pPr>
      <w:bookmarkStart w:id="69" w:name="_Ref147926004"/>
      <w:r w:rsidRPr="000853E6">
        <w:t xml:space="preserve">The </w:t>
      </w:r>
      <w:r w:rsidR="009B14B0" w:rsidRPr="005D24B0">
        <w:t xml:space="preserve">evaluation considered the </w:t>
      </w:r>
      <w:r w:rsidRPr="005D24B0">
        <w:t>main</w:t>
      </w:r>
      <w:r w:rsidRPr="000853E6">
        <w:t xml:space="preserve"> uncertainties were</w:t>
      </w:r>
      <w:bookmarkEnd w:id="69"/>
      <w:r w:rsidR="00AA29D4">
        <w:t xml:space="preserve"> </w:t>
      </w:r>
      <w:r w:rsidR="001A6BC9" w:rsidRPr="00AA29D4">
        <w:t xml:space="preserve">the </w:t>
      </w:r>
      <w:r w:rsidR="00735C0A" w:rsidRPr="00AA29D4">
        <w:t>cost for adjuvant osimertinib</w:t>
      </w:r>
      <w:r w:rsidR="001A6BC9" w:rsidRPr="00AA29D4">
        <w:t xml:space="preserve"> due to uncertainties in the uptake of osimertinib</w:t>
      </w:r>
      <w:r w:rsidR="00735C0A" w:rsidRPr="00AA29D4">
        <w:t xml:space="preserve"> and use beyond</w:t>
      </w:r>
      <w:r w:rsidR="00B35C28" w:rsidRPr="00AA29D4">
        <w:t xml:space="preserve"> recurrence/</w:t>
      </w:r>
      <w:r w:rsidR="00735C0A" w:rsidRPr="00AA29D4">
        <w:t xml:space="preserve"> progression.</w:t>
      </w:r>
      <w:r w:rsidR="003E2DD2" w:rsidRPr="00AA29D4">
        <w:t xml:space="preserve"> The ESC considered </w:t>
      </w:r>
      <w:r w:rsidR="000076B1" w:rsidRPr="00AA29D4">
        <w:t>an uptake of 100% was overestimated</w:t>
      </w:r>
      <w:r w:rsidR="00B35C28" w:rsidRPr="00AA29D4">
        <w:t xml:space="preserve"> and </w:t>
      </w:r>
      <w:r w:rsidR="009E4A95" w:rsidRPr="00AA29D4">
        <w:t xml:space="preserve">while use beyond </w:t>
      </w:r>
      <w:r w:rsidR="00B35C28" w:rsidRPr="00AA29D4">
        <w:t xml:space="preserve">recurrence/ </w:t>
      </w:r>
      <w:r w:rsidR="009E4A95" w:rsidRPr="00AA29D4">
        <w:t>progression could not be quantified</w:t>
      </w:r>
      <w:r w:rsidR="00B35C28" w:rsidRPr="00AA29D4">
        <w:t>, it was unlikely to have a significant impact</w:t>
      </w:r>
      <w:r w:rsidR="00AA29D4">
        <w:t>.</w:t>
      </w:r>
    </w:p>
    <w:p w14:paraId="6015A395" w14:textId="2EDB6A4E" w:rsidR="00576972" w:rsidRPr="00C9624D" w:rsidRDefault="00576972" w:rsidP="00606FBA">
      <w:pPr>
        <w:pStyle w:val="4-SubsectionHeading"/>
      </w:pPr>
      <w:bookmarkStart w:id="70" w:name="_Toc22897649"/>
      <w:bookmarkStart w:id="71" w:name="_Toc145434792"/>
      <w:r w:rsidRPr="00C9624D">
        <w:t>Financial Management – Risk Sharing Arrangements</w:t>
      </w:r>
      <w:bookmarkEnd w:id="70"/>
      <w:bookmarkEnd w:id="71"/>
    </w:p>
    <w:p w14:paraId="5E55D4DD" w14:textId="631B35A5" w:rsidR="001C57DA" w:rsidRPr="00CF1100" w:rsidRDefault="001C57DA" w:rsidP="001C57DA">
      <w:pPr>
        <w:pStyle w:val="3-BodyText"/>
        <w:rPr>
          <w:i/>
          <w:iCs/>
        </w:rPr>
      </w:pPr>
      <w:r w:rsidRPr="00A22B1E">
        <w:t xml:space="preserve">No risk-sharing arrangements were proposed by the submission. The Sponsor stated that they were willing to work with the PBAC and Department of Health to determine appropriate </w:t>
      </w:r>
      <w:r w:rsidR="008602F5">
        <w:t xml:space="preserve">terms for listing </w:t>
      </w:r>
      <w:r w:rsidRPr="00A22B1E">
        <w:t>that share the risk of uncertainty in utilisation and budget impact.</w:t>
      </w:r>
      <w:r w:rsidR="00713789">
        <w:t xml:space="preserve"> </w:t>
      </w:r>
      <w:r w:rsidR="00713789" w:rsidRPr="005D24B0">
        <w:t>The ESC considered it may be reasonable to add the incremental cost</w:t>
      </w:r>
      <w:r w:rsidR="008016C0" w:rsidRPr="005D24B0">
        <w:t xml:space="preserve"> of listing osimertinib on the PBS for adjuvant treatment to the current osimertinib RSA. </w:t>
      </w:r>
    </w:p>
    <w:p w14:paraId="25E5D8AE" w14:textId="07CFE9F1" w:rsidR="00CF1100" w:rsidRPr="008016C0" w:rsidRDefault="00CF1100" w:rsidP="00CF1100">
      <w:pPr>
        <w:pStyle w:val="3-BodyText"/>
        <w:numPr>
          <w:ilvl w:val="0"/>
          <w:numId w:val="0"/>
        </w:numPr>
        <w:ind w:left="720"/>
        <w:rPr>
          <w:i/>
          <w:iCs/>
        </w:rPr>
      </w:pPr>
      <w:r w:rsidRPr="00CF1100">
        <w:rPr>
          <w:i/>
          <w:iCs/>
        </w:rPr>
        <w:t>For more detail on PBAC’s view, see section 7 PBAC outcome.</w:t>
      </w:r>
    </w:p>
    <w:p w14:paraId="4DD44C2A" w14:textId="77777777" w:rsidR="009B5C04" w:rsidRPr="0090150D" w:rsidRDefault="009B5C04" w:rsidP="00BC7C0F">
      <w:pPr>
        <w:pStyle w:val="2-SectionHeading"/>
      </w:pPr>
      <w:r w:rsidRPr="0090150D">
        <w:t>PBAC Outcome</w:t>
      </w:r>
    </w:p>
    <w:p w14:paraId="0691E332" w14:textId="3B481532" w:rsidR="0008038B" w:rsidRPr="0008038B" w:rsidRDefault="0008038B" w:rsidP="0008038B">
      <w:pPr>
        <w:pStyle w:val="3-BodyText"/>
        <w:rPr>
          <w:lang w:val="en-GB"/>
        </w:rPr>
      </w:pPr>
      <w:bookmarkStart w:id="72" w:name="_Hlk151466719"/>
      <w:r w:rsidRPr="0008038B">
        <w:rPr>
          <w:lang w:val="en-GB"/>
        </w:rPr>
        <w:t>The PBAC recommended the listing of osimertinib for the treatment of Stage IB to IIIA epidermal growth factor receptor (EGFR) mutation positive non-small cell lung cancer (NSCLC) as adjuvant therapy after surgical resection.</w:t>
      </w:r>
      <w:r>
        <w:rPr>
          <w:lang w:val="en-GB"/>
        </w:rPr>
        <w:t xml:space="preserve"> </w:t>
      </w:r>
      <w:r w:rsidRPr="0008038B">
        <w:rPr>
          <w:lang w:val="en-GB"/>
        </w:rPr>
        <w:t xml:space="preserve">The PBAC considered that osimertinib provided a substantial benefit in terms of </w:t>
      </w:r>
      <w:proofErr w:type="gramStart"/>
      <w:r w:rsidRPr="0008038B">
        <w:rPr>
          <w:lang w:val="en-GB"/>
        </w:rPr>
        <w:t>disease free</w:t>
      </w:r>
      <w:proofErr w:type="gramEnd"/>
      <w:r w:rsidRPr="0008038B">
        <w:rPr>
          <w:lang w:val="en-GB"/>
        </w:rPr>
        <w:t xml:space="preserve"> survival compared to standard of care but the magnitude of overall survival benefit remained uncertain. The PBAC considered osimertinib would be cost effective at a price lower than offered in the pre-PBAC response. The PBAC advised the </w:t>
      </w:r>
      <w:r>
        <w:rPr>
          <w:lang w:val="en-GB"/>
        </w:rPr>
        <w:t xml:space="preserve">net </w:t>
      </w:r>
      <w:r w:rsidRPr="0008038B">
        <w:rPr>
          <w:lang w:val="en-GB"/>
        </w:rPr>
        <w:t xml:space="preserve">cost of listing osimertinib in the adjuvant treatment setting (accounting for reduced use in the metastatic treatment setting) could be added to the risk sharing arrangement currently in place for osimertinib. </w:t>
      </w:r>
    </w:p>
    <w:bookmarkEnd w:id="72"/>
    <w:p w14:paraId="32EDF07B" w14:textId="1DCC2E2E" w:rsidR="00BE5FC7" w:rsidRPr="00BE5FC7" w:rsidRDefault="00BE5FC7" w:rsidP="00BE5FC7">
      <w:pPr>
        <w:pStyle w:val="3-BodyText"/>
        <w:rPr>
          <w:lang w:val="en-GB"/>
        </w:rPr>
      </w:pPr>
      <w:r w:rsidRPr="00BE5FC7">
        <w:rPr>
          <w:lang w:val="en-GB"/>
        </w:rPr>
        <w:t xml:space="preserve">The PBAC </w:t>
      </w:r>
      <w:r>
        <w:rPr>
          <w:lang w:val="en-GB"/>
        </w:rPr>
        <w:t>acknowledged the consumer comments</w:t>
      </w:r>
      <w:r w:rsidRPr="00BE5FC7">
        <w:rPr>
          <w:lang w:val="en-GB"/>
        </w:rPr>
        <w:t xml:space="preserve"> </w:t>
      </w:r>
      <w:r w:rsidR="00D33CD0">
        <w:rPr>
          <w:lang w:val="en-GB"/>
        </w:rPr>
        <w:t xml:space="preserve">and noted </w:t>
      </w:r>
      <w:r w:rsidR="004C6403">
        <w:rPr>
          <w:lang w:val="en-GB"/>
        </w:rPr>
        <w:t xml:space="preserve">the benefits </w:t>
      </w:r>
      <w:r>
        <w:rPr>
          <w:lang w:val="en-GB"/>
        </w:rPr>
        <w:t>of osimertinib</w:t>
      </w:r>
      <w:r w:rsidR="004C6403">
        <w:rPr>
          <w:lang w:val="en-GB"/>
        </w:rPr>
        <w:t xml:space="preserve"> included reducing the risk of recurrence and death and the manageable safety profile. </w:t>
      </w:r>
    </w:p>
    <w:p w14:paraId="282C91D7" w14:textId="4C509FA1" w:rsidR="00BE5FC7" w:rsidRPr="00D8553E" w:rsidRDefault="00BE5FC7" w:rsidP="00D33C4D">
      <w:pPr>
        <w:widowControl w:val="0"/>
        <w:numPr>
          <w:ilvl w:val="1"/>
          <w:numId w:val="1"/>
        </w:numPr>
        <w:spacing w:after="120"/>
        <w:rPr>
          <w:rFonts w:asciiTheme="minorHAnsi" w:hAnsiTheme="minorHAnsi"/>
          <w:bCs/>
          <w:snapToGrid w:val="0"/>
          <w:lang w:val="en-GB"/>
        </w:rPr>
      </w:pPr>
      <w:r w:rsidRPr="00D8553E">
        <w:rPr>
          <w:rFonts w:asciiTheme="minorHAnsi" w:hAnsiTheme="minorHAnsi"/>
          <w:bCs/>
          <w:snapToGrid w:val="0"/>
          <w:lang w:val="en-GB"/>
        </w:rPr>
        <w:t xml:space="preserve">The PBAC is satisfied that </w:t>
      </w:r>
      <w:r>
        <w:rPr>
          <w:rFonts w:asciiTheme="minorHAnsi" w:hAnsiTheme="minorHAnsi"/>
          <w:bCs/>
          <w:snapToGrid w:val="0"/>
          <w:lang w:val="en-GB"/>
        </w:rPr>
        <w:t xml:space="preserve">osimertinib </w:t>
      </w:r>
      <w:r w:rsidRPr="00D8553E">
        <w:rPr>
          <w:rFonts w:asciiTheme="minorHAnsi" w:hAnsiTheme="minorHAnsi"/>
          <w:bCs/>
          <w:snapToGrid w:val="0"/>
          <w:lang w:val="en-GB"/>
        </w:rPr>
        <w:t xml:space="preserve">provides, for some patients, a significant improvement in efficacy over </w:t>
      </w:r>
      <w:r>
        <w:rPr>
          <w:rFonts w:asciiTheme="minorHAnsi" w:hAnsiTheme="minorHAnsi"/>
          <w:bCs/>
          <w:snapToGrid w:val="0"/>
          <w:lang w:val="en-GB"/>
        </w:rPr>
        <w:t>standard of care</w:t>
      </w:r>
      <w:r w:rsidRPr="00D8553E">
        <w:rPr>
          <w:rFonts w:asciiTheme="minorHAnsi" w:hAnsiTheme="minorHAnsi"/>
          <w:bCs/>
          <w:snapToGrid w:val="0"/>
          <w:lang w:val="en-GB"/>
        </w:rPr>
        <w:t>.</w:t>
      </w:r>
    </w:p>
    <w:p w14:paraId="127EEC0A" w14:textId="3993ABBE" w:rsidR="009B5C04" w:rsidRPr="00BB0769" w:rsidRDefault="004C6403" w:rsidP="00BB0769">
      <w:pPr>
        <w:pStyle w:val="3-BodyText"/>
      </w:pPr>
      <w:r>
        <w:rPr>
          <w:lang w:val="en-GB"/>
        </w:rPr>
        <w:t>The PBAC noted the submission nominated standard of care as the comparator and considered this was reasonable</w:t>
      </w:r>
      <w:r w:rsidRPr="00BB0769">
        <w:t xml:space="preserve">. </w:t>
      </w:r>
    </w:p>
    <w:p w14:paraId="5F673BC1" w14:textId="3C20030A" w:rsidR="004C6403" w:rsidRPr="00BB0769" w:rsidRDefault="004C6403" w:rsidP="00D33C4D">
      <w:pPr>
        <w:pStyle w:val="3-BodyText"/>
      </w:pPr>
      <w:bookmarkStart w:id="73" w:name="_Ref151466860"/>
      <w:r>
        <w:rPr>
          <w:lang w:val="en-GB"/>
        </w:rPr>
        <w:t>The PBAC noted the submission was based on the AD</w:t>
      </w:r>
      <w:r w:rsidR="00D33CD0">
        <w:rPr>
          <w:lang w:val="en-GB"/>
        </w:rPr>
        <w:t>AU</w:t>
      </w:r>
      <w:r>
        <w:rPr>
          <w:lang w:val="en-GB"/>
        </w:rPr>
        <w:t xml:space="preserve">RA study, a double-blind, randomised controlled trial comparing osimertinib and placebo in patients </w:t>
      </w:r>
      <w:r w:rsidR="00D33C4D">
        <w:rPr>
          <w:lang w:val="en-GB"/>
        </w:rPr>
        <w:t xml:space="preserve">(n=682) </w:t>
      </w:r>
      <w:r>
        <w:rPr>
          <w:lang w:val="en-GB"/>
        </w:rPr>
        <w:t xml:space="preserve">with EGFR mutation positive Stage IB - IIIA NSCLC following complete tumour resection. </w:t>
      </w:r>
      <w:r w:rsidR="00D33C4D">
        <w:rPr>
          <w:lang w:val="en-GB"/>
        </w:rPr>
        <w:t xml:space="preserve">The PBAC noted median disease-free survival (DFS) in the osimertinib arm was 65.8 months compared to 28.1 months in the placebo arm [HR 0.27 (95%CI: 0.21, 0.34)]. The PBAC noted </w:t>
      </w:r>
      <w:r w:rsidR="00E11596">
        <w:rPr>
          <w:lang w:val="en-GB"/>
        </w:rPr>
        <w:t xml:space="preserve">the </w:t>
      </w:r>
      <w:r w:rsidR="00D33C4D">
        <w:rPr>
          <w:lang w:val="en-GB"/>
        </w:rPr>
        <w:t>overall survival data was immature with an event rate of 15% in the osimertinib arm and 27.4% in the placebo arm. The PBAC noted the hazard ratio for OS was 0.27 (95%CI: 0.21,0.34). The PBAC considered DFS may not be a reliable surrogate for OS in this population but acknowledge</w:t>
      </w:r>
      <w:r w:rsidR="00272CEC">
        <w:rPr>
          <w:lang w:val="en-GB"/>
        </w:rPr>
        <w:t>d</w:t>
      </w:r>
      <w:r w:rsidR="00D33C4D">
        <w:rPr>
          <w:lang w:val="en-GB"/>
        </w:rPr>
        <w:t xml:space="preserve"> DFS is a patient-relevant outcome. </w:t>
      </w:r>
      <w:r w:rsidR="00272CEC">
        <w:rPr>
          <w:lang w:val="en-GB"/>
        </w:rPr>
        <w:t>The PBAC considered the durability of the DFS benefit, particularly after ceasing adjuvant therapy, remained uncertain.</w:t>
      </w:r>
      <w:bookmarkEnd w:id="73"/>
    </w:p>
    <w:p w14:paraId="596692D7" w14:textId="08A5175F" w:rsidR="00D33C4D" w:rsidRDefault="00D33C4D" w:rsidP="00D33C4D">
      <w:pPr>
        <w:pStyle w:val="3-BodyText"/>
      </w:pPr>
      <w:r>
        <w:t>The PBAC noted</w:t>
      </w:r>
      <w:r w:rsidR="007F56AB">
        <w:t xml:space="preserve"> of the 184/343 patients in the placebo arm that received a first subsequent anticancer therapy, most received an EGFR TKI (154/184) but </w:t>
      </w:r>
      <w:r w:rsidR="00D33CD0">
        <w:t>less than a third</w:t>
      </w:r>
      <w:r w:rsidR="007F56AB">
        <w:t xml:space="preserve"> (50/154) received osimertinib. The PBAC considered this does not reflect Australian clinical practice where osimertinib would be standard of care</w:t>
      </w:r>
      <w:r w:rsidR="00D33CD0">
        <w:t xml:space="preserve"> </w:t>
      </w:r>
      <w:r w:rsidR="00272CEC">
        <w:t xml:space="preserve">in the first line metastatic setting </w:t>
      </w:r>
      <w:r w:rsidR="00D33CD0">
        <w:t xml:space="preserve">and the overall survival benefit observed in the ADAURA study may not be realised in clinical practice. However, the PBAC noted the economic model does not rely on data from ADAURA to model overall survival </w:t>
      </w:r>
      <w:r w:rsidR="00E11596">
        <w:t xml:space="preserve">rather it </w:t>
      </w:r>
      <w:r w:rsidR="00D33CD0">
        <w:t xml:space="preserve">uses external data that </w:t>
      </w:r>
      <w:r w:rsidR="00E11596">
        <w:t>incorporates</w:t>
      </w:r>
      <w:r w:rsidR="00D33CD0">
        <w:t xml:space="preserve"> the effectiveness of osimertinib in the metastatic setting. </w:t>
      </w:r>
    </w:p>
    <w:p w14:paraId="5B874E76" w14:textId="6917381E" w:rsidR="00272CEC" w:rsidRDefault="00272CEC" w:rsidP="00D33C4D">
      <w:pPr>
        <w:pStyle w:val="3-BodyText"/>
      </w:pPr>
      <w:r>
        <w:t xml:space="preserve">The PBAC noted the </w:t>
      </w:r>
      <w:r w:rsidR="00EC3DB3" w:rsidRPr="00E4387D">
        <w:t>substantial</w:t>
      </w:r>
      <w:r>
        <w:t xml:space="preserve"> DFS benefit observed in the ADAURA trial and considered the claim of superior effectiveness was supported</w:t>
      </w:r>
      <w:r w:rsidR="00A87D66">
        <w:t>, despite the uncertainties raised in the paragraphs above</w:t>
      </w:r>
      <w:r>
        <w:t xml:space="preserve">.  </w:t>
      </w:r>
    </w:p>
    <w:p w14:paraId="254BB6D5" w14:textId="4658B10B" w:rsidR="007F56AB" w:rsidRPr="00272CEC" w:rsidRDefault="00272CEC" w:rsidP="00D33C4D">
      <w:pPr>
        <w:pStyle w:val="3-BodyText"/>
      </w:pPr>
      <w:r w:rsidRPr="00272CEC">
        <w:t xml:space="preserve">The PBAC </w:t>
      </w:r>
      <w:r>
        <w:t xml:space="preserve">noted the adverse events observed in the ADAURA trial were largely consistent with the known safety profile of osimertinib, with the exception of decreased appetite and decreased ejection fraction. The PBAC </w:t>
      </w:r>
      <w:r w:rsidRPr="00272CEC">
        <w:t xml:space="preserve">considered the claim of </w:t>
      </w:r>
      <w:r>
        <w:t xml:space="preserve">inferior safety was reasonable.  </w:t>
      </w:r>
    </w:p>
    <w:p w14:paraId="7D89624E" w14:textId="60E0E9A7" w:rsidR="00D33C4D" w:rsidRPr="00D33C4D" w:rsidRDefault="00272CEC" w:rsidP="00A87D66">
      <w:pPr>
        <w:pStyle w:val="3-BodyText"/>
      </w:pPr>
      <w:r>
        <w:t>The PBAC noted the submission presented a cost utility analysis based on the DFS outcomes of the ADAURA study with extrapolation to 25 years</w:t>
      </w:r>
      <w:r w:rsidR="00A87D66">
        <w:t xml:space="preserve"> and a base case ICER was $</w:t>
      </w:r>
      <w:r w:rsidR="004C2AA0" w:rsidRPr="004C2AA0">
        <w:t>35,000</w:t>
      </w:r>
      <w:r w:rsidR="00A75CE9">
        <w:t> </w:t>
      </w:r>
      <w:r w:rsidR="004C2AA0" w:rsidRPr="004C2AA0">
        <w:t>to</w:t>
      </w:r>
      <w:r w:rsidR="00A75CE9">
        <w:t> </w:t>
      </w:r>
      <w:r w:rsidR="004C2AA0" w:rsidRPr="004C2AA0">
        <w:t>&lt;</w:t>
      </w:r>
      <w:r w:rsidR="00A75CE9">
        <w:t> </w:t>
      </w:r>
      <w:r w:rsidR="004C2AA0" w:rsidRPr="004C2AA0">
        <w:t>$45,000</w:t>
      </w:r>
      <w:r w:rsidR="004C2AA0">
        <w:t xml:space="preserve"> </w:t>
      </w:r>
      <w:r w:rsidR="00A87D66">
        <w:t xml:space="preserve">per QALY. The base case model </w:t>
      </w:r>
      <w:r w:rsidR="00A87D66" w:rsidRPr="00A87D66">
        <w:t>assum</w:t>
      </w:r>
      <w:r w:rsidR="00A87D66">
        <w:t xml:space="preserve">ed </w:t>
      </w:r>
      <w:r w:rsidR="00A87D66" w:rsidRPr="00A87D66">
        <w:t xml:space="preserve">that patients in the </w:t>
      </w:r>
      <w:r w:rsidR="00A87D66">
        <w:t>disease free (</w:t>
      </w:r>
      <w:r w:rsidR="00A87D66" w:rsidRPr="00A87D66">
        <w:t>DF</w:t>
      </w:r>
      <w:r w:rsidR="00A87D66">
        <w:t>)</w:t>
      </w:r>
      <w:r w:rsidR="00A87D66" w:rsidRPr="00A87D66">
        <w:t xml:space="preserve"> and </w:t>
      </w:r>
      <w:r w:rsidR="00A87D66">
        <w:t xml:space="preserve">local regional recurrence (LRR) </w:t>
      </w:r>
      <w:r w:rsidR="00A87D66" w:rsidRPr="00A87D66">
        <w:t>health states c</w:t>
      </w:r>
      <w:r w:rsidR="00A87D66">
        <w:t>ould</w:t>
      </w:r>
      <w:r w:rsidR="00A87D66" w:rsidRPr="00A87D66">
        <w:t xml:space="preserve"> be cured </w:t>
      </w:r>
      <w:r w:rsidR="00A87D66">
        <w:t xml:space="preserve">of </w:t>
      </w:r>
      <w:r w:rsidR="00A87D66" w:rsidRPr="00A87D66">
        <w:t>NSCLC</w:t>
      </w:r>
      <w:r w:rsidR="00A87D66">
        <w:t>.</w:t>
      </w:r>
      <w:r w:rsidR="00A87D66" w:rsidRPr="00A87D66">
        <w:t xml:space="preserve"> </w:t>
      </w:r>
      <w:r w:rsidR="00A87D66">
        <w:t xml:space="preserve">The model assumed that, </w:t>
      </w:r>
      <w:r w:rsidR="00383A3F">
        <w:t>from</w:t>
      </w:r>
      <w:r w:rsidR="00A87D66">
        <w:t xml:space="preserve"> Year 4 in both treatment arms, patients in the DF health state would be cured with a maximum of 92% </w:t>
      </w:r>
      <w:r w:rsidR="00383A3F">
        <w:t xml:space="preserve">cured </w:t>
      </w:r>
      <w:r w:rsidR="00A87D66">
        <w:t>at Year 5</w:t>
      </w:r>
      <w:r w:rsidR="00E769F9">
        <w:t xml:space="preserve"> and 25% of patients in the LRR health state would be cured from Year 5.</w:t>
      </w:r>
      <w:r w:rsidR="00A87D66">
        <w:t xml:space="preserve">  </w:t>
      </w:r>
      <w:r w:rsidR="00E769F9" w:rsidRPr="00E769F9">
        <w:t>Patients who were cured remained in the DF</w:t>
      </w:r>
      <w:r w:rsidR="00E769F9">
        <w:t xml:space="preserve"> </w:t>
      </w:r>
      <w:r w:rsidR="00E769F9" w:rsidRPr="00E769F9">
        <w:t>health state and were assumed to no longer be at risk of transitioning from DF to LRR or DM1 and followed general population mortality for the remainder of the model duration</w:t>
      </w:r>
      <w:r w:rsidR="00E769F9">
        <w:t xml:space="preserve">. </w:t>
      </w:r>
      <w:r w:rsidR="00A87D66">
        <w:t xml:space="preserve">The PBAC agreed with the ESC that the time horizon and cure assumptions in the base case model were not well supported and the model was sensitive to these parameters.  The PBAC noted the ESC proposed revising the model to </w:t>
      </w:r>
      <w:r w:rsidR="00A87D66" w:rsidRPr="00A87D66">
        <w:t>(i) include a 15 year time horizon (ii) remove</w:t>
      </w:r>
      <w:r w:rsidR="00383A3F">
        <w:t xml:space="preserve"> the</w:t>
      </w:r>
      <w:r w:rsidR="00A87D66" w:rsidRPr="00A87D66">
        <w:t xml:space="preserve"> cure assumption from </w:t>
      </w:r>
      <w:r w:rsidR="00383A3F">
        <w:t xml:space="preserve">the </w:t>
      </w:r>
      <w:r w:rsidR="00A87D66" w:rsidRPr="00A87D66">
        <w:t xml:space="preserve">LRR health state and (iii) assume </w:t>
      </w:r>
      <w:r w:rsidR="00383A3F">
        <w:t xml:space="preserve">a </w:t>
      </w:r>
      <w:r w:rsidR="00A87D66" w:rsidRPr="00A87D66">
        <w:t xml:space="preserve">cure </w:t>
      </w:r>
      <w:r w:rsidR="00383A3F">
        <w:t>for patients</w:t>
      </w:r>
      <w:r w:rsidR="00383A3F" w:rsidRPr="00A87D66">
        <w:t xml:space="preserve"> </w:t>
      </w:r>
      <w:r w:rsidR="00A87D66">
        <w:t xml:space="preserve">in the DF health state at </w:t>
      </w:r>
      <w:r w:rsidR="00A87D66" w:rsidRPr="00A87D66">
        <w:t xml:space="preserve">Year 8 for osimertinib and Year 5 for placebo with </w:t>
      </w:r>
      <w:r w:rsidR="00383A3F">
        <w:t xml:space="preserve">a maximum of 92% cured at </w:t>
      </w:r>
      <w:r w:rsidR="00E769F9">
        <w:t>Y</w:t>
      </w:r>
      <w:r w:rsidR="00383A3F">
        <w:t xml:space="preserve">ear 9 and </w:t>
      </w:r>
      <w:r w:rsidR="00E769F9">
        <w:t xml:space="preserve">Year </w:t>
      </w:r>
      <w:r w:rsidR="00383A3F">
        <w:t>6, respectively</w:t>
      </w:r>
      <w:r w:rsidR="00A87D66">
        <w:t xml:space="preserve">. The PBAC noted this resulted in an ICER of </w:t>
      </w:r>
      <w:r w:rsidR="00A87D66" w:rsidRPr="00A87D66">
        <w:t>$</w:t>
      </w:r>
      <w:r w:rsidR="004C2AA0" w:rsidRPr="004C2AA0">
        <w:t>95,000</w:t>
      </w:r>
      <w:r w:rsidR="00A75CE9">
        <w:t> </w:t>
      </w:r>
      <w:r w:rsidR="004C2AA0" w:rsidRPr="004C2AA0">
        <w:t>to</w:t>
      </w:r>
      <w:r w:rsidR="00A75CE9">
        <w:t> </w:t>
      </w:r>
      <w:r w:rsidR="004C2AA0" w:rsidRPr="004C2AA0">
        <w:t>&lt;</w:t>
      </w:r>
      <w:r w:rsidR="00A75CE9">
        <w:t> </w:t>
      </w:r>
      <w:r w:rsidR="004C2AA0" w:rsidRPr="004C2AA0">
        <w:t xml:space="preserve">$115,000 </w:t>
      </w:r>
      <w:r w:rsidR="00A87D66" w:rsidRPr="00A87D66">
        <w:t>per QALY.</w:t>
      </w:r>
      <w:r w:rsidR="00A87D66">
        <w:t xml:space="preserve"> </w:t>
      </w:r>
      <w:r w:rsidR="00D33CD0">
        <w:t xml:space="preserve">The PBAC noted the pre-PBAC response </w:t>
      </w:r>
      <w:r w:rsidR="00A87D66">
        <w:t xml:space="preserve">stated the cure </w:t>
      </w:r>
      <w:r w:rsidR="00383A3F">
        <w:t xml:space="preserve">assumptions </w:t>
      </w:r>
      <w:r w:rsidR="00D33CD0">
        <w:t>propose</w:t>
      </w:r>
      <w:r>
        <w:t>d</w:t>
      </w:r>
      <w:r w:rsidR="00D33CD0">
        <w:t xml:space="preserve"> </w:t>
      </w:r>
      <w:r w:rsidR="00A87D66">
        <w:t xml:space="preserve">by the ESC </w:t>
      </w:r>
      <w:r w:rsidR="00383A3F">
        <w:t xml:space="preserve">were </w:t>
      </w:r>
      <w:r w:rsidR="00A87D66">
        <w:t>highly conservative</w:t>
      </w:r>
      <w:r w:rsidR="007F37F7">
        <w:t xml:space="preserve"> and resulted in </w:t>
      </w:r>
      <w:r w:rsidR="007F37F7" w:rsidRPr="00855966">
        <w:rPr>
          <w:lang w:val="en-GB"/>
        </w:rPr>
        <w:t xml:space="preserve">an absolute difference of </w:t>
      </w:r>
      <w:r w:rsidR="007F37F7">
        <w:rPr>
          <w:lang w:val="en-GB"/>
        </w:rPr>
        <w:t xml:space="preserve">only </w:t>
      </w:r>
      <w:r w:rsidR="007F37F7" w:rsidRPr="00855966">
        <w:rPr>
          <w:lang w:val="en-GB"/>
        </w:rPr>
        <w:t>0.7% in the proportion of patients</w:t>
      </w:r>
      <w:r w:rsidR="007F37F7">
        <w:rPr>
          <w:lang w:val="en-GB"/>
        </w:rPr>
        <w:t xml:space="preserve"> developing distant recurrence over the modelled time horizon</w:t>
      </w:r>
      <w:r w:rsidR="00A87D66">
        <w:t xml:space="preserve">. The pre-PBAC response proposed a revised base case that assumed </w:t>
      </w:r>
      <w:r w:rsidR="00A87D66" w:rsidRPr="00A87D66">
        <w:t xml:space="preserve">(i) a 15 year time horizon (ii) removal of the cure assumption from the LRR health state (iii)  </w:t>
      </w:r>
      <w:r w:rsidR="000871A6">
        <w:t xml:space="preserve">assumed a </w:t>
      </w:r>
      <w:r w:rsidR="00A87D66" w:rsidRPr="00A87D66">
        <w:t xml:space="preserve">cure </w:t>
      </w:r>
      <w:r w:rsidR="00804A1E">
        <w:t xml:space="preserve">in the DFS health state </w:t>
      </w:r>
      <w:r w:rsidR="000871A6">
        <w:t xml:space="preserve">at Year 4 with maximum cure at Year 6 </w:t>
      </w:r>
      <w:r w:rsidR="00A87D66" w:rsidRPr="00A87D66">
        <w:t xml:space="preserve">in the osimertinib arm, with no change to the placebo arm </w:t>
      </w:r>
      <w:r w:rsidR="000871A6">
        <w:t xml:space="preserve">(cure at Year 4 with maximum cure at Year 5) </w:t>
      </w:r>
      <w:r w:rsidR="00A87D66" w:rsidRPr="00A87D66">
        <w:t>and (iv) a 22% reduction in the price per pack of osimertini</w:t>
      </w:r>
      <w:r w:rsidR="00A87D66">
        <w:t>b to maintain</w:t>
      </w:r>
      <w:r w:rsidR="00804A1E">
        <w:t xml:space="preserve"> an ICER consistent with that presented in the submission</w:t>
      </w:r>
      <w:r w:rsidR="00A87D66">
        <w:t xml:space="preserve">.   </w:t>
      </w:r>
    </w:p>
    <w:p w14:paraId="09D10B60" w14:textId="12896623" w:rsidR="00EC3DB3" w:rsidRPr="00EC3DB3" w:rsidRDefault="00220469" w:rsidP="00CB61C5">
      <w:pPr>
        <w:pStyle w:val="3-BodyText"/>
        <w:rPr>
          <w:i/>
          <w:iCs/>
        </w:rPr>
      </w:pPr>
      <w:r w:rsidRPr="00855966">
        <w:rPr>
          <w:lang w:val="en-GB"/>
        </w:rPr>
        <w:t xml:space="preserve">The PBAC </w:t>
      </w:r>
      <w:r w:rsidR="00855966" w:rsidRPr="00855966">
        <w:rPr>
          <w:lang w:val="en-GB"/>
        </w:rPr>
        <w:t xml:space="preserve">agreed with the </w:t>
      </w:r>
      <w:r w:rsidRPr="00855966">
        <w:rPr>
          <w:lang w:val="en-GB"/>
        </w:rPr>
        <w:t xml:space="preserve">ESC </w:t>
      </w:r>
      <w:r w:rsidR="00F25D4B">
        <w:rPr>
          <w:lang w:val="en-GB"/>
        </w:rPr>
        <w:t xml:space="preserve">that, </w:t>
      </w:r>
      <w:r w:rsidR="004C6403">
        <w:rPr>
          <w:lang w:val="en-GB"/>
        </w:rPr>
        <w:t xml:space="preserve">from a </w:t>
      </w:r>
      <w:r w:rsidR="00F25D4B">
        <w:rPr>
          <w:lang w:val="en-GB"/>
        </w:rPr>
        <w:t>clinical</w:t>
      </w:r>
      <w:r w:rsidR="004C6403">
        <w:rPr>
          <w:lang w:val="en-GB"/>
        </w:rPr>
        <w:t xml:space="preserve"> perspective</w:t>
      </w:r>
      <w:r w:rsidR="00F25D4B">
        <w:rPr>
          <w:lang w:val="en-GB"/>
        </w:rPr>
        <w:t xml:space="preserve">, </w:t>
      </w:r>
      <w:r w:rsidR="00855966" w:rsidRPr="00855966">
        <w:rPr>
          <w:lang w:val="en-GB"/>
        </w:rPr>
        <w:t xml:space="preserve">a </w:t>
      </w:r>
      <w:r w:rsidR="00F25D4B">
        <w:rPr>
          <w:lang w:val="en-GB"/>
        </w:rPr>
        <w:t xml:space="preserve">patient would only be considered </w:t>
      </w:r>
      <w:r w:rsidR="00855966" w:rsidRPr="00855966">
        <w:rPr>
          <w:lang w:val="en-GB"/>
        </w:rPr>
        <w:t>cure</w:t>
      </w:r>
      <w:r w:rsidR="00F25D4B">
        <w:rPr>
          <w:lang w:val="en-GB"/>
        </w:rPr>
        <w:t>d</w:t>
      </w:r>
      <w:r w:rsidR="00855966" w:rsidRPr="00855966">
        <w:rPr>
          <w:lang w:val="en-GB"/>
        </w:rPr>
        <w:t xml:space="preserve"> </w:t>
      </w:r>
      <w:r w:rsidR="00F25D4B">
        <w:rPr>
          <w:lang w:val="en-GB"/>
        </w:rPr>
        <w:t xml:space="preserve">if disease-free 5 years after ceasing active treatment i.e., </w:t>
      </w:r>
      <w:r w:rsidR="00F554EC">
        <w:rPr>
          <w:lang w:val="en-GB"/>
        </w:rPr>
        <w:t xml:space="preserve">from </w:t>
      </w:r>
      <w:r w:rsidR="00855966" w:rsidRPr="00855966">
        <w:rPr>
          <w:lang w:val="en-GB"/>
        </w:rPr>
        <w:t>Year 8</w:t>
      </w:r>
      <w:r w:rsidR="004C6403">
        <w:rPr>
          <w:lang w:val="en-GB"/>
        </w:rPr>
        <w:t xml:space="preserve"> for patients treated with osimertinib</w:t>
      </w:r>
      <w:r w:rsidR="00F25D4B">
        <w:rPr>
          <w:lang w:val="en-GB"/>
        </w:rPr>
        <w:t xml:space="preserve"> </w:t>
      </w:r>
      <w:r w:rsidR="00855966" w:rsidRPr="00855966">
        <w:rPr>
          <w:lang w:val="en-GB"/>
        </w:rPr>
        <w:t xml:space="preserve">(as discussed in paragraph </w:t>
      </w:r>
      <w:r w:rsidR="00855966" w:rsidRPr="00855966">
        <w:rPr>
          <w:lang w:val="en-GB"/>
        </w:rPr>
        <w:fldChar w:fldCharType="begin" w:fldLock="1"/>
      </w:r>
      <w:r w:rsidR="00855966" w:rsidRPr="00855966">
        <w:rPr>
          <w:lang w:val="en-GB"/>
        </w:rPr>
        <w:instrText xml:space="preserve"> REF _Ref151120555 \r \h </w:instrText>
      </w:r>
      <w:r w:rsidR="00855966">
        <w:rPr>
          <w:lang w:val="en-GB"/>
        </w:rPr>
        <w:instrText xml:space="preserve"> \* MERGEFORMAT </w:instrText>
      </w:r>
      <w:r w:rsidR="00855966" w:rsidRPr="00855966">
        <w:rPr>
          <w:lang w:val="en-GB"/>
        </w:rPr>
      </w:r>
      <w:r w:rsidR="00855966" w:rsidRPr="00855966">
        <w:rPr>
          <w:lang w:val="en-GB"/>
        </w:rPr>
        <w:fldChar w:fldCharType="separate"/>
      </w:r>
      <w:r w:rsidR="00855966" w:rsidRPr="00855966">
        <w:rPr>
          <w:lang w:val="en-GB"/>
        </w:rPr>
        <w:t>6.37</w:t>
      </w:r>
      <w:r w:rsidR="00855966" w:rsidRPr="00855966">
        <w:rPr>
          <w:lang w:val="en-GB"/>
        </w:rPr>
        <w:fldChar w:fldCharType="end"/>
      </w:r>
      <w:r w:rsidR="00855966" w:rsidRPr="00855966">
        <w:rPr>
          <w:lang w:val="en-GB"/>
        </w:rPr>
        <w:t>)</w:t>
      </w:r>
      <w:r w:rsidRPr="00855966">
        <w:rPr>
          <w:lang w:val="en-GB"/>
        </w:rPr>
        <w:t>. However, the PBAC considered an absolute difference of 0.7% in the proportion of patients</w:t>
      </w:r>
      <w:r>
        <w:rPr>
          <w:lang w:val="en-GB"/>
        </w:rPr>
        <w:t xml:space="preserve"> developing distant recurrence over the modelled time horizon </w:t>
      </w:r>
      <w:r w:rsidR="00855966">
        <w:rPr>
          <w:lang w:val="en-GB"/>
        </w:rPr>
        <w:t>(</w:t>
      </w:r>
      <w:r w:rsidR="00CE323C">
        <w:rPr>
          <w:lang w:val="en-GB"/>
        </w:rPr>
        <w:t xml:space="preserve">when </w:t>
      </w:r>
      <w:r w:rsidR="00855966">
        <w:rPr>
          <w:lang w:val="en-GB"/>
        </w:rPr>
        <w:t xml:space="preserve">applying a cure from Year 8) </w:t>
      </w:r>
      <w:r>
        <w:rPr>
          <w:lang w:val="en-GB"/>
        </w:rPr>
        <w:t xml:space="preserve">was conservative in the context of the DFS </w:t>
      </w:r>
      <w:r w:rsidR="00855966">
        <w:rPr>
          <w:lang w:val="en-GB"/>
        </w:rPr>
        <w:t xml:space="preserve">benefit </w:t>
      </w:r>
      <w:r>
        <w:rPr>
          <w:lang w:val="en-GB"/>
        </w:rPr>
        <w:t>observed in AD</w:t>
      </w:r>
      <w:r w:rsidR="00F84E83">
        <w:rPr>
          <w:lang w:val="en-GB"/>
        </w:rPr>
        <w:t>AU</w:t>
      </w:r>
      <w:r>
        <w:rPr>
          <w:lang w:val="en-GB"/>
        </w:rPr>
        <w:t xml:space="preserve">RA. </w:t>
      </w:r>
      <w:r w:rsidR="007D3712">
        <w:rPr>
          <w:lang w:val="en-GB"/>
        </w:rPr>
        <w:t xml:space="preserve">The PBAC </w:t>
      </w:r>
      <w:r w:rsidR="00F25D4B">
        <w:rPr>
          <w:lang w:val="en-GB"/>
        </w:rPr>
        <w:t xml:space="preserve">noted the absolute difference in the proportion of patients developing distant recurrence over a time horizon of 15 years assuming a cure from Year </w:t>
      </w:r>
      <w:r w:rsidR="009D7D17">
        <w:rPr>
          <w:lang w:val="en-GB"/>
        </w:rPr>
        <w:t>4</w:t>
      </w:r>
      <w:r w:rsidR="00F25D4B">
        <w:rPr>
          <w:lang w:val="en-GB"/>
        </w:rPr>
        <w:t xml:space="preserve"> with </w:t>
      </w:r>
      <w:r w:rsidR="00CE323C">
        <w:rPr>
          <w:lang w:val="en-GB"/>
        </w:rPr>
        <w:t xml:space="preserve">the maximum </w:t>
      </w:r>
      <w:r w:rsidR="00777063">
        <w:rPr>
          <w:lang w:val="en-GB"/>
        </w:rPr>
        <w:t xml:space="preserve">at Year 6 </w:t>
      </w:r>
      <w:r w:rsidR="009D7D17">
        <w:rPr>
          <w:lang w:val="en-GB"/>
        </w:rPr>
        <w:t xml:space="preserve">(as proposed in the pre-PBAC response) </w:t>
      </w:r>
      <w:r w:rsidR="00F25D4B">
        <w:rPr>
          <w:lang w:val="en-GB"/>
        </w:rPr>
        <w:t xml:space="preserve">was </w:t>
      </w:r>
      <w:r w:rsidR="009D7D17">
        <w:rPr>
          <w:lang w:val="en-GB"/>
        </w:rPr>
        <w:t>20</w:t>
      </w:r>
      <w:r w:rsidR="00F25D4B">
        <w:rPr>
          <w:lang w:val="en-GB"/>
        </w:rPr>
        <w:t>% which it considered</w:t>
      </w:r>
      <w:r w:rsidR="009D7D17">
        <w:rPr>
          <w:lang w:val="en-GB"/>
        </w:rPr>
        <w:t xml:space="preserve"> was </w:t>
      </w:r>
      <w:r w:rsidR="00F84E83">
        <w:rPr>
          <w:lang w:val="en-GB"/>
        </w:rPr>
        <w:t xml:space="preserve">likely to be </w:t>
      </w:r>
      <w:r w:rsidR="009D7D17">
        <w:rPr>
          <w:lang w:val="en-GB"/>
        </w:rPr>
        <w:t>an overestimate of the benefit</w:t>
      </w:r>
      <w:r w:rsidR="00F25D4B">
        <w:rPr>
          <w:lang w:val="en-GB"/>
        </w:rPr>
        <w:t xml:space="preserve">. </w:t>
      </w:r>
      <w:r w:rsidR="009D7D17">
        <w:rPr>
          <w:lang w:val="en-GB"/>
        </w:rPr>
        <w:t xml:space="preserve">The PBAC considered assuming a cure from Year 5 with </w:t>
      </w:r>
      <w:r w:rsidR="00CE323C">
        <w:rPr>
          <w:lang w:val="en-GB"/>
        </w:rPr>
        <w:t xml:space="preserve">the maximum </w:t>
      </w:r>
      <w:r w:rsidR="00777063">
        <w:rPr>
          <w:lang w:val="en-GB"/>
        </w:rPr>
        <w:t>cure at Year 7</w:t>
      </w:r>
      <w:r w:rsidR="009D7D17">
        <w:rPr>
          <w:lang w:val="en-GB"/>
        </w:rPr>
        <w:t>, which resulted in an absolute difference in the proportion of patients developing distant recurrence of 11% was more reasonabl</w:t>
      </w:r>
      <w:r w:rsidR="00CB61C5">
        <w:rPr>
          <w:lang w:val="en-GB"/>
        </w:rPr>
        <w:t>e</w:t>
      </w:r>
      <w:r w:rsidR="009D7D17">
        <w:rPr>
          <w:lang w:val="en-GB"/>
        </w:rPr>
        <w:t xml:space="preserve"> in the context of the </w:t>
      </w:r>
      <w:r w:rsidR="00CB61C5">
        <w:rPr>
          <w:lang w:val="en-GB"/>
        </w:rPr>
        <w:t xml:space="preserve">remaining </w:t>
      </w:r>
      <w:r w:rsidR="009D7D17">
        <w:rPr>
          <w:lang w:val="en-GB"/>
        </w:rPr>
        <w:t xml:space="preserve">uncertainties associated with the durability of the DFS response (as discussed in paragraph </w:t>
      </w:r>
      <w:r w:rsidR="009D7D17">
        <w:rPr>
          <w:lang w:val="en-GB"/>
        </w:rPr>
        <w:fldChar w:fldCharType="begin" w:fldLock="1"/>
      </w:r>
      <w:r w:rsidR="009D7D17">
        <w:rPr>
          <w:lang w:val="en-GB"/>
        </w:rPr>
        <w:instrText xml:space="preserve"> REF _Ref151466860 \r \h </w:instrText>
      </w:r>
      <w:r w:rsidR="009D7D17">
        <w:rPr>
          <w:lang w:val="en-GB"/>
        </w:rPr>
      </w:r>
      <w:r w:rsidR="009D7D17">
        <w:rPr>
          <w:lang w:val="en-GB"/>
        </w:rPr>
        <w:fldChar w:fldCharType="separate"/>
      </w:r>
      <w:r w:rsidR="009D7D17">
        <w:rPr>
          <w:lang w:val="en-GB"/>
        </w:rPr>
        <w:t>7.5</w:t>
      </w:r>
      <w:r w:rsidR="009D7D17">
        <w:rPr>
          <w:lang w:val="en-GB"/>
        </w:rPr>
        <w:fldChar w:fldCharType="end"/>
      </w:r>
      <w:r w:rsidR="009D7D17">
        <w:rPr>
          <w:lang w:val="en-GB"/>
        </w:rPr>
        <w:t>).</w:t>
      </w:r>
      <w:r w:rsidR="00CB61C5">
        <w:rPr>
          <w:lang w:val="en-GB"/>
        </w:rPr>
        <w:t xml:space="preserve"> The PBAC noted applying this cure assumption to the economic model proposed in the pre-PBAC response (i.e., 15 year time horizon, no cure assumption in the LRR health state) resulted in an ICER of $</w:t>
      </w:r>
      <w:r w:rsidR="0035602E" w:rsidRPr="0035602E">
        <w:rPr>
          <w:lang w:val="en-GB"/>
        </w:rPr>
        <w:t>45,000</w:t>
      </w:r>
      <w:r w:rsidR="00A75CE9">
        <w:rPr>
          <w:lang w:val="en-GB"/>
        </w:rPr>
        <w:t> </w:t>
      </w:r>
      <w:r w:rsidR="0035602E" w:rsidRPr="0035602E">
        <w:rPr>
          <w:lang w:val="en-GB"/>
        </w:rPr>
        <w:t>to</w:t>
      </w:r>
      <w:r w:rsidR="00A75CE9">
        <w:rPr>
          <w:lang w:val="en-GB"/>
        </w:rPr>
        <w:t> </w:t>
      </w:r>
      <w:r w:rsidR="0035602E" w:rsidRPr="0035602E">
        <w:rPr>
          <w:lang w:val="en-GB"/>
        </w:rPr>
        <w:t>&lt;</w:t>
      </w:r>
      <w:r w:rsidR="00A75CE9">
        <w:rPr>
          <w:lang w:val="en-GB"/>
        </w:rPr>
        <w:t> </w:t>
      </w:r>
      <w:r w:rsidR="0035602E" w:rsidRPr="0035602E">
        <w:rPr>
          <w:lang w:val="en-GB"/>
        </w:rPr>
        <w:t>$</w:t>
      </w:r>
      <w:proofErr w:type="gramStart"/>
      <w:r w:rsidR="0035602E" w:rsidRPr="0035602E">
        <w:rPr>
          <w:lang w:val="en-GB"/>
        </w:rPr>
        <w:t>55,000</w:t>
      </w:r>
      <w:r w:rsidR="0035602E">
        <w:rPr>
          <w:lang w:val="en-GB"/>
        </w:rPr>
        <w:t xml:space="preserve"> </w:t>
      </w:r>
      <w:r w:rsidR="00CB61C5">
        <w:rPr>
          <w:lang w:val="en-GB"/>
        </w:rPr>
        <w:t xml:space="preserve"> per</w:t>
      </w:r>
      <w:proofErr w:type="gramEnd"/>
      <w:r w:rsidR="00CB61C5">
        <w:rPr>
          <w:lang w:val="en-GB"/>
        </w:rPr>
        <w:t xml:space="preserve"> QALY. The PBAC considered osimertinib would be cost effective in the adjuvant treatment setting with </w:t>
      </w:r>
      <w:r w:rsidR="00EC3DB3">
        <w:rPr>
          <w:lang w:val="en-GB"/>
        </w:rPr>
        <w:t xml:space="preserve">a price reduction to </w:t>
      </w:r>
      <w:r w:rsidR="000101EC">
        <w:rPr>
          <w:lang w:val="en-GB"/>
        </w:rPr>
        <w:t xml:space="preserve">maintain an ICER of </w:t>
      </w:r>
      <w:r w:rsidR="000101EC">
        <w:t>$</w:t>
      </w:r>
      <w:r w:rsidR="0035602E" w:rsidRPr="0035602E">
        <w:t>35,000</w:t>
      </w:r>
      <w:r w:rsidR="00A75CE9">
        <w:t> </w:t>
      </w:r>
      <w:r w:rsidR="0035602E" w:rsidRPr="0035602E">
        <w:t>to</w:t>
      </w:r>
      <w:r w:rsidR="00A75CE9">
        <w:t> </w:t>
      </w:r>
      <w:r w:rsidR="0035602E" w:rsidRPr="0035602E">
        <w:t>&lt;</w:t>
      </w:r>
      <w:r w:rsidR="00A75CE9">
        <w:t> </w:t>
      </w:r>
      <w:r w:rsidR="0035602E" w:rsidRPr="0035602E">
        <w:t>$</w:t>
      </w:r>
      <w:proofErr w:type="gramStart"/>
      <w:r w:rsidR="0035602E" w:rsidRPr="0035602E">
        <w:t>45,000</w:t>
      </w:r>
      <w:r w:rsidR="0035602E">
        <w:t xml:space="preserve"> </w:t>
      </w:r>
      <w:r w:rsidR="000101EC">
        <w:t xml:space="preserve"> per</w:t>
      </w:r>
      <w:proofErr w:type="gramEnd"/>
      <w:r w:rsidR="000101EC">
        <w:t xml:space="preserve"> QALY</w:t>
      </w:r>
      <w:r w:rsidR="00CB61C5">
        <w:rPr>
          <w:lang w:val="en-GB"/>
        </w:rPr>
        <w:t xml:space="preserve">. </w:t>
      </w:r>
    </w:p>
    <w:p w14:paraId="46A9D16F" w14:textId="0B5500C6" w:rsidR="00CB61C5" w:rsidRPr="00220469" w:rsidRDefault="00CB61C5" w:rsidP="00CB61C5">
      <w:pPr>
        <w:pStyle w:val="3-BodyText"/>
        <w:rPr>
          <w:i/>
          <w:iCs/>
        </w:rPr>
      </w:pPr>
      <w:r>
        <w:t xml:space="preserve"> </w:t>
      </w:r>
      <w:r w:rsidR="00EC3DB3" w:rsidRPr="00EC3DB3">
        <w:t>The PBAC noted that the submission took an epidemiological approach to estimating the utilisation and financial implications of listing</w:t>
      </w:r>
      <w:r w:rsidR="00EC3DB3">
        <w:t xml:space="preserve"> osimertinib</w:t>
      </w:r>
      <w:r w:rsidR="00EC3DB3" w:rsidRPr="00EC3DB3">
        <w:t xml:space="preserve"> for </w:t>
      </w:r>
      <w:r w:rsidR="00EC3DB3">
        <w:t xml:space="preserve">the adjuvant treatment of NSCLC. The PBAC considered that the estimated number of eligible patients was </w:t>
      </w:r>
      <w:proofErr w:type="gramStart"/>
      <w:r w:rsidR="00EC3DB3">
        <w:t>reasonable</w:t>
      </w:r>
      <w:proofErr w:type="gramEnd"/>
      <w:r w:rsidR="00EC3DB3">
        <w:t xml:space="preserve"> but the uptake (100%) was overestimated. The PBAC considered an uptake of 85% in Year 1, increasing to 95% in Year 6 would be reasonable. The PBAC noted the net financial implications appropriately accounted for reduced use of osimertinib in the metastatic treatment setting.  </w:t>
      </w:r>
      <w:bookmarkStart w:id="74" w:name="_Hlk151705846"/>
      <w:r w:rsidR="000101EC">
        <w:t>The PBAC noted the proportion of patients with reduced use of osimertinib in the metastatic setting should be recalculated using the revised economic model</w:t>
      </w:r>
      <w:bookmarkStart w:id="75" w:name="_Hlk151705863"/>
      <w:r w:rsidR="00433DB0">
        <w:t>.</w:t>
      </w:r>
      <w:r w:rsidR="00E076F5">
        <w:t xml:space="preserve"> </w:t>
      </w:r>
      <w:r w:rsidR="00E076F5" w:rsidRPr="00E076F5">
        <w:t>The PBAC considered any outstanding uncertainty regarding utilisation (including the extent of offsets) would be managed by inclusion in the risk share arrangement (RSA) (see next paragraph).</w:t>
      </w:r>
      <w:r w:rsidR="00E076F5">
        <w:t xml:space="preserve"> </w:t>
      </w:r>
      <w:bookmarkEnd w:id="74"/>
      <w:bookmarkEnd w:id="75"/>
    </w:p>
    <w:p w14:paraId="112A5CD0" w14:textId="2F4F5C01" w:rsidR="00F25D4B" w:rsidRDefault="00EC3DB3" w:rsidP="00EC3DB3">
      <w:pPr>
        <w:pStyle w:val="3-BodyText"/>
        <w:rPr>
          <w:lang w:val="en-GB"/>
        </w:rPr>
      </w:pPr>
      <w:r w:rsidRPr="00EC3DB3">
        <w:rPr>
          <w:lang w:val="en-GB"/>
        </w:rPr>
        <w:t xml:space="preserve">The PBAC advised the net cost of listing osimertinib in the adjuvant treatment setting (accounting for reduced use in the metastatic treatment setting) could be added to the </w:t>
      </w:r>
      <w:r w:rsidR="00E076F5">
        <w:rPr>
          <w:lang w:val="en-GB"/>
        </w:rPr>
        <w:t xml:space="preserve">RSA </w:t>
      </w:r>
      <w:r w:rsidRPr="00EC3DB3">
        <w:rPr>
          <w:lang w:val="en-GB"/>
        </w:rPr>
        <w:t>currently in place for osimertinib</w:t>
      </w:r>
      <w:r w:rsidR="00E076F5">
        <w:rPr>
          <w:lang w:val="en-GB"/>
        </w:rPr>
        <w:t xml:space="preserve"> with an increase in the expenditure caps</w:t>
      </w:r>
      <w:r w:rsidRPr="00EC3DB3">
        <w:rPr>
          <w:lang w:val="en-GB"/>
        </w:rPr>
        <w:t xml:space="preserve">. </w:t>
      </w:r>
    </w:p>
    <w:p w14:paraId="693049A5" w14:textId="0476E1A1" w:rsidR="00E4387D" w:rsidRDefault="00E4387D" w:rsidP="00EC3DB3">
      <w:pPr>
        <w:pStyle w:val="3-BodyText"/>
        <w:rPr>
          <w:lang w:val="en-GB"/>
        </w:rPr>
      </w:pPr>
      <w:r>
        <w:rPr>
          <w:lang w:val="en-GB"/>
        </w:rPr>
        <w:t>The PBAC advised the following with regards to the restriction criteria:</w:t>
      </w:r>
    </w:p>
    <w:p w14:paraId="46E8DA22" w14:textId="50014C5D" w:rsidR="00E4387D" w:rsidRDefault="00E4387D" w:rsidP="00225B21">
      <w:pPr>
        <w:pStyle w:val="3-BodyText"/>
        <w:numPr>
          <w:ilvl w:val="0"/>
          <w:numId w:val="24"/>
        </w:numPr>
        <w:ind w:left="1134"/>
        <w:rPr>
          <w:lang w:val="en-GB"/>
        </w:rPr>
      </w:pPr>
      <w:r>
        <w:rPr>
          <w:lang w:val="en-GB"/>
        </w:rPr>
        <w:t xml:space="preserve">A single restriction, rather than separate initial, continuing and grandfather criteria, </w:t>
      </w:r>
      <w:r w:rsidR="00777063">
        <w:rPr>
          <w:lang w:val="en-GB"/>
        </w:rPr>
        <w:t xml:space="preserve">as proposed by the Secretariat in Section 3 </w:t>
      </w:r>
      <w:r>
        <w:rPr>
          <w:lang w:val="en-GB"/>
        </w:rPr>
        <w:t xml:space="preserve">was appropriate. </w:t>
      </w:r>
    </w:p>
    <w:p w14:paraId="7FAF830C" w14:textId="045412F7" w:rsidR="00E4387D" w:rsidRDefault="00E4387D" w:rsidP="00225B21">
      <w:pPr>
        <w:pStyle w:val="ListParagraph"/>
        <w:numPr>
          <w:ilvl w:val="0"/>
          <w:numId w:val="24"/>
        </w:numPr>
        <w:ind w:left="1134"/>
        <w:rPr>
          <w:lang w:val="en-GB"/>
        </w:rPr>
      </w:pPr>
      <w:r w:rsidRPr="00E4387D">
        <w:rPr>
          <w:lang w:val="en-GB"/>
        </w:rPr>
        <w:t>The clinical criterion ‘Patient must have a WHO performance status of no greater than 2 at treatment initiation of this drug’ should be amended to ‘Patient must have/have had a WHO performance status score of no greater than 1 at treatment initiation with this drug</w:t>
      </w:r>
      <w:r>
        <w:rPr>
          <w:lang w:val="en-GB"/>
        </w:rPr>
        <w:t xml:space="preserve">’, consistent with the inclusion criteria of the ADAURA trial. </w:t>
      </w:r>
    </w:p>
    <w:p w14:paraId="286838D1" w14:textId="61113680" w:rsidR="00777063" w:rsidRPr="00777063" w:rsidRDefault="00777063" w:rsidP="00777063">
      <w:pPr>
        <w:pStyle w:val="3-BodyText"/>
        <w:rPr>
          <w:lang w:val="en-GB"/>
        </w:rPr>
      </w:pPr>
      <w:r>
        <w:rPr>
          <w:lang w:val="en-GB"/>
        </w:rPr>
        <w:t>The PBAC considered it would be appropriate to include the Prescriber Instruction: ‘</w:t>
      </w:r>
      <w:r w:rsidRPr="00777063">
        <w:rPr>
          <w:lang w:val="en-GB"/>
        </w:rPr>
        <w:t>PBS subsidised treatment with this drug is restricted to one line of therapy at any disease staging for NSCLC (i.e. if therapy has been prescribed for early disease, subsidy under locally advance or metastatic disease is no longer available)</w:t>
      </w:r>
      <w:r>
        <w:rPr>
          <w:lang w:val="en-GB"/>
        </w:rPr>
        <w:t xml:space="preserve">’ in the current restrictions for osimertinib in the metastatic treatment setting to limit </w:t>
      </w:r>
      <w:r>
        <w:t>sequential use</w:t>
      </w:r>
      <w:r w:rsidRPr="00777063">
        <w:rPr>
          <w:lang w:val="en-GB"/>
        </w:rPr>
        <w:t>.</w:t>
      </w:r>
    </w:p>
    <w:p w14:paraId="6BDD4323" w14:textId="4EFC90A2" w:rsidR="00EC3DB3" w:rsidRPr="00EC3DB3" w:rsidRDefault="00EC3DB3" w:rsidP="00EC3DB3">
      <w:pPr>
        <w:pStyle w:val="3-BodyText"/>
        <w:rPr>
          <w:lang w:val="en-GB"/>
        </w:rPr>
      </w:pPr>
      <w:r w:rsidRPr="00EC3DB3">
        <w:rPr>
          <w:lang w:val="en-GB"/>
        </w:rPr>
        <w:t xml:space="preserve">The PBAC found that the criteria prescribed by the National Health (Pharmaceuticals and Vaccines – Cost Recovery) Regulations 2022 for Pricing Pathway A were </w:t>
      </w:r>
      <w:r w:rsidR="00176CF9">
        <w:rPr>
          <w:lang w:val="en-GB"/>
        </w:rPr>
        <w:t xml:space="preserve">not </w:t>
      </w:r>
      <w:r w:rsidRPr="00EC3DB3">
        <w:rPr>
          <w:lang w:val="en-GB"/>
        </w:rPr>
        <w:t xml:space="preserve">met. </w:t>
      </w:r>
      <w:proofErr w:type="gramStart"/>
      <w:r w:rsidRPr="00EC3DB3">
        <w:rPr>
          <w:lang w:val="en-GB"/>
        </w:rPr>
        <w:t>Specifically</w:t>
      </w:r>
      <w:proofErr w:type="gramEnd"/>
      <w:r w:rsidRPr="00EC3DB3">
        <w:rPr>
          <w:lang w:val="en-GB"/>
        </w:rPr>
        <w:t xml:space="preserve"> the PBAC found that in the circumstances of its recommendation for</w:t>
      </w:r>
      <w:r>
        <w:rPr>
          <w:lang w:val="en-GB"/>
        </w:rPr>
        <w:t xml:space="preserve"> osimertinib</w:t>
      </w:r>
      <w:r w:rsidRPr="00EC3DB3">
        <w:rPr>
          <w:lang w:val="en-GB"/>
        </w:rPr>
        <w:t>:</w:t>
      </w:r>
    </w:p>
    <w:p w14:paraId="226575DA" w14:textId="2D714586" w:rsidR="00EC3DB3" w:rsidRPr="00EC3DB3" w:rsidRDefault="00EC3DB3" w:rsidP="00225B21">
      <w:pPr>
        <w:pStyle w:val="Bulletpoints"/>
        <w:numPr>
          <w:ilvl w:val="1"/>
          <w:numId w:val="23"/>
        </w:numPr>
        <w:ind w:left="1134"/>
        <w:rPr>
          <w:lang w:val="en-GB"/>
        </w:rPr>
      </w:pPr>
      <w:r w:rsidRPr="00EC3DB3">
        <w:rPr>
          <w:lang w:val="en-GB"/>
        </w:rPr>
        <w:t>The treatment is expected to provide a substantial and clinically relevant improvement in efficacy</w:t>
      </w:r>
      <w:r>
        <w:rPr>
          <w:lang w:val="en-GB"/>
        </w:rPr>
        <w:t xml:space="preserve"> (disease free survival)</w:t>
      </w:r>
      <w:r w:rsidRPr="00EC3DB3">
        <w:rPr>
          <w:lang w:val="en-GB"/>
        </w:rPr>
        <w:t xml:space="preserve">, </w:t>
      </w:r>
      <w:r>
        <w:rPr>
          <w:lang w:val="en-GB"/>
        </w:rPr>
        <w:t>over standard of care</w:t>
      </w:r>
      <w:r w:rsidRPr="00EC3DB3">
        <w:rPr>
          <w:lang w:val="en-GB"/>
        </w:rPr>
        <w:t xml:space="preserve">, on the basis of the </w:t>
      </w:r>
      <w:r>
        <w:rPr>
          <w:lang w:val="en-GB"/>
        </w:rPr>
        <w:t xml:space="preserve">ADAURA </w:t>
      </w:r>
      <w:proofErr w:type="gramStart"/>
      <w:r>
        <w:rPr>
          <w:lang w:val="en-GB"/>
        </w:rPr>
        <w:t>trial</w:t>
      </w:r>
      <w:r w:rsidRPr="00EC3DB3">
        <w:rPr>
          <w:lang w:val="en-GB"/>
        </w:rPr>
        <w:t>;</w:t>
      </w:r>
      <w:proofErr w:type="gramEnd"/>
      <w:r w:rsidRPr="00EC3DB3">
        <w:rPr>
          <w:lang w:val="en-GB"/>
        </w:rPr>
        <w:t xml:space="preserve"> </w:t>
      </w:r>
    </w:p>
    <w:p w14:paraId="2966E179" w14:textId="51657B64" w:rsidR="00EC3DB3" w:rsidRDefault="00EC3DB3" w:rsidP="00225B21">
      <w:pPr>
        <w:pStyle w:val="Bulletpoints"/>
        <w:numPr>
          <w:ilvl w:val="1"/>
          <w:numId w:val="23"/>
        </w:numPr>
        <w:ind w:left="1134"/>
        <w:rPr>
          <w:lang w:val="en-GB"/>
        </w:rPr>
      </w:pPr>
      <w:r w:rsidRPr="00EC3DB3">
        <w:rPr>
          <w:lang w:val="en-GB"/>
        </w:rPr>
        <w:t xml:space="preserve">The treatment is </w:t>
      </w:r>
      <w:r>
        <w:rPr>
          <w:lang w:val="en-GB"/>
        </w:rPr>
        <w:t xml:space="preserve">not </w:t>
      </w:r>
      <w:r w:rsidRPr="00EC3DB3">
        <w:rPr>
          <w:lang w:val="en-GB"/>
        </w:rPr>
        <w:t>expected to address a high and urgent unmet clinical need</w:t>
      </w:r>
      <w:r>
        <w:rPr>
          <w:lang w:val="en-GB"/>
        </w:rPr>
        <w:t xml:space="preserve"> given osimertinib is available in the metastatic treatment </w:t>
      </w:r>
      <w:proofErr w:type="gramStart"/>
      <w:r>
        <w:rPr>
          <w:lang w:val="en-GB"/>
        </w:rPr>
        <w:t>setting</w:t>
      </w:r>
      <w:r w:rsidRPr="00EC3DB3">
        <w:rPr>
          <w:lang w:val="en-GB"/>
        </w:rPr>
        <w:t>;</w:t>
      </w:r>
      <w:proofErr w:type="gramEnd"/>
    </w:p>
    <w:p w14:paraId="3B6FD7C4" w14:textId="77777777" w:rsidR="00EC3DB3" w:rsidRPr="002C3702" w:rsidRDefault="00EC3DB3" w:rsidP="00225B21">
      <w:pPr>
        <w:widowControl w:val="0"/>
        <w:numPr>
          <w:ilvl w:val="1"/>
          <w:numId w:val="23"/>
        </w:numPr>
        <w:spacing w:after="120"/>
        <w:ind w:left="1134"/>
        <w:rPr>
          <w:rFonts w:asciiTheme="minorHAnsi" w:hAnsiTheme="minorHAnsi" w:cstheme="minorHAnsi"/>
        </w:rPr>
      </w:pPr>
      <w:r w:rsidRPr="002C3702">
        <w:rPr>
          <w:rFonts w:asciiTheme="minorHAnsi" w:hAnsiTheme="minorHAnsi" w:cstheme="minorHAnsi"/>
        </w:rPr>
        <w:t>It was not necessary to make a finding in relation to whether it would be in the public interest for the subsequent pricing application to be progressed under Pricing Pathway A because one or more of the preceding tests had failed.</w:t>
      </w:r>
    </w:p>
    <w:p w14:paraId="523EBFC9" w14:textId="630B403D" w:rsidR="00533F82" w:rsidRPr="00AF4F7D" w:rsidRDefault="00533F82" w:rsidP="00533F82">
      <w:pPr>
        <w:pStyle w:val="3-BodyText"/>
      </w:pPr>
      <w:r w:rsidRPr="00C93348">
        <w:t xml:space="preserve">The PBAC noted that this submission is not eligible for an Independent Review as it was recommended for listing. </w:t>
      </w:r>
    </w:p>
    <w:p w14:paraId="145510F4" w14:textId="77777777" w:rsidR="009B5C04" w:rsidRPr="00525B39" w:rsidRDefault="009B5C04" w:rsidP="009B5C04">
      <w:pPr>
        <w:spacing w:before="240"/>
        <w:rPr>
          <w:rFonts w:asciiTheme="minorHAnsi" w:hAnsiTheme="minorHAnsi"/>
          <w:b/>
          <w:bCs/>
          <w:snapToGrid w:val="0"/>
          <w:lang w:val="en-GB"/>
        </w:rPr>
      </w:pPr>
      <w:r w:rsidRPr="00525B39">
        <w:rPr>
          <w:rFonts w:asciiTheme="minorHAnsi" w:hAnsiTheme="minorHAnsi"/>
          <w:b/>
          <w:bCs/>
          <w:snapToGrid w:val="0"/>
          <w:lang w:val="en-GB"/>
        </w:rPr>
        <w:t>Outcome:</w:t>
      </w:r>
    </w:p>
    <w:p w14:paraId="1E7814A5" w14:textId="62894787" w:rsidR="009B5C04" w:rsidRPr="00525B39" w:rsidRDefault="009B5C04" w:rsidP="009B5C04">
      <w:pPr>
        <w:rPr>
          <w:rFonts w:asciiTheme="minorHAnsi" w:hAnsiTheme="minorHAnsi"/>
          <w:bCs/>
          <w:snapToGrid w:val="0"/>
          <w:lang w:val="en-GB"/>
        </w:rPr>
      </w:pPr>
      <w:r w:rsidRPr="00525B39">
        <w:rPr>
          <w:rFonts w:asciiTheme="minorHAnsi" w:hAnsiTheme="minorHAnsi"/>
          <w:bCs/>
          <w:snapToGrid w:val="0"/>
          <w:lang w:val="en-GB"/>
        </w:rPr>
        <w:t>Recommended</w:t>
      </w:r>
    </w:p>
    <w:p w14:paraId="7085BC2E" w14:textId="77777777" w:rsidR="009B5C04" w:rsidRPr="00BC7C0F" w:rsidRDefault="009B5C04" w:rsidP="00BC7C0F">
      <w:pPr>
        <w:pStyle w:val="2-SectionHeading"/>
      </w:pPr>
      <w:r w:rsidRPr="00BC7C0F">
        <w:t>Recommended listing</w:t>
      </w:r>
    </w:p>
    <w:p w14:paraId="253B2183" w14:textId="1C77DD98" w:rsidR="009B5C04" w:rsidRPr="00954536" w:rsidRDefault="009B5C04" w:rsidP="009B5C04">
      <w:pPr>
        <w:pStyle w:val="3-BodyText"/>
        <w:rPr>
          <w:bCs/>
          <w:lang w:val="en-GB"/>
        </w:rPr>
      </w:pPr>
      <w:r w:rsidRPr="00525B39">
        <w:t>Add new item:</w:t>
      </w:r>
    </w:p>
    <w:tbl>
      <w:tblPr>
        <w:tblW w:w="5031"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419"/>
        <w:gridCol w:w="3325"/>
        <w:gridCol w:w="812"/>
        <w:gridCol w:w="812"/>
        <w:gridCol w:w="811"/>
        <w:gridCol w:w="812"/>
        <w:gridCol w:w="1082"/>
      </w:tblGrid>
      <w:tr w:rsidR="009B5C04" w:rsidRPr="009B5C04" w14:paraId="7828E382" w14:textId="77777777" w:rsidTr="001F408B">
        <w:trPr>
          <w:cantSplit/>
          <w:trHeight w:val="20"/>
        </w:trPr>
        <w:tc>
          <w:tcPr>
            <w:tcW w:w="4744" w:type="dxa"/>
            <w:gridSpan w:val="2"/>
            <w:vAlign w:val="center"/>
          </w:tcPr>
          <w:p w14:paraId="48E7B1CA" w14:textId="77777777" w:rsidR="009B5C04" w:rsidRPr="009B5C04" w:rsidRDefault="009B5C04" w:rsidP="004305CF">
            <w:pPr>
              <w:keepNext/>
              <w:keepLines/>
              <w:rPr>
                <w:rFonts w:ascii="Arial Narrow" w:hAnsi="Arial Narrow"/>
                <w:b/>
                <w:bCs/>
                <w:sz w:val="20"/>
                <w:szCs w:val="20"/>
              </w:rPr>
            </w:pPr>
            <w:r w:rsidRPr="009B5C04">
              <w:rPr>
                <w:rFonts w:ascii="Arial Narrow" w:hAnsi="Arial Narrow"/>
                <w:b/>
                <w:bCs/>
                <w:sz w:val="20"/>
                <w:szCs w:val="20"/>
              </w:rPr>
              <w:t>MEDICINAL PRODUCT</w:t>
            </w:r>
          </w:p>
          <w:p w14:paraId="7B9C6F84" w14:textId="77777777" w:rsidR="009B5C04" w:rsidRPr="009B5C04" w:rsidRDefault="009B5C04" w:rsidP="004305CF">
            <w:pPr>
              <w:pStyle w:val="TableText0"/>
              <w:keepLines/>
              <w:rPr>
                <w:b/>
                <w:bCs w:val="0"/>
                <w:szCs w:val="20"/>
              </w:rPr>
            </w:pPr>
            <w:r w:rsidRPr="009B5C04">
              <w:rPr>
                <w:b/>
                <w:szCs w:val="20"/>
              </w:rPr>
              <w:t>medicinal product pack</w:t>
            </w:r>
          </w:p>
        </w:tc>
        <w:tc>
          <w:tcPr>
            <w:tcW w:w="812" w:type="dxa"/>
          </w:tcPr>
          <w:p w14:paraId="3B6F12B0" w14:textId="77777777" w:rsidR="009B5C04" w:rsidRPr="009B5C04" w:rsidRDefault="009B5C04" w:rsidP="004305CF">
            <w:pPr>
              <w:keepNext/>
              <w:keepLines/>
              <w:jc w:val="center"/>
              <w:rPr>
                <w:rFonts w:ascii="Arial Narrow" w:hAnsi="Arial Narrow"/>
                <w:b/>
                <w:sz w:val="20"/>
                <w:szCs w:val="20"/>
              </w:rPr>
            </w:pPr>
            <w:r w:rsidRPr="009B5C04">
              <w:rPr>
                <w:rFonts w:ascii="Arial Narrow" w:hAnsi="Arial Narrow"/>
                <w:b/>
                <w:sz w:val="20"/>
                <w:szCs w:val="20"/>
              </w:rPr>
              <w:t>PBS item code</w:t>
            </w:r>
          </w:p>
        </w:tc>
        <w:tc>
          <w:tcPr>
            <w:tcW w:w="812" w:type="dxa"/>
            <w:vAlign w:val="center"/>
          </w:tcPr>
          <w:p w14:paraId="2F2CCDF8" w14:textId="77777777" w:rsidR="009B5C04" w:rsidRPr="009B5C04" w:rsidRDefault="009B5C04" w:rsidP="004305CF">
            <w:pPr>
              <w:keepNext/>
              <w:keepLines/>
              <w:jc w:val="center"/>
              <w:rPr>
                <w:rFonts w:ascii="Arial Narrow" w:hAnsi="Arial Narrow"/>
                <w:b/>
                <w:sz w:val="20"/>
                <w:szCs w:val="20"/>
              </w:rPr>
            </w:pPr>
            <w:r w:rsidRPr="009B5C04">
              <w:rPr>
                <w:rFonts w:ascii="Arial Narrow" w:hAnsi="Arial Narrow"/>
                <w:b/>
                <w:sz w:val="20"/>
                <w:szCs w:val="20"/>
              </w:rPr>
              <w:t>Max. qty packs</w:t>
            </w:r>
          </w:p>
        </w:tc>
        <w:tc>
          <w:tcPr>
            <w:tcW w:w="811" w:type="dxa"/>
            <w:vAlign w:val="center"/>
          </w:tcPr>
          <w:p w14:paraId="64E66960" w14:textId="77777777" w:rsidR="009B5C04" w:rsidRPr="009B5C04" w:rsidRDefault="009B5C04" w:rsidP="004305CF">
            <w:pPr>
              <w:keepNext/>
              <w:keepLines/>
              <w:jc w:val="center"/>
              <w:rPr>
                <w:rFonts w:ascii="Arial Narrow" w:hAnsi="Arial Narrow"/>
                <w:b/>
                <w:sz w:val="20"/>
                <w:szCs w:val="20"/>
              </w:rPr>
            </w:pPr>
            <w:r w:rsidRPr="009B5C04">
              <w:rPr>
                <w:rFonts w:ascii="Arial Narrow" w:hAnsi="Arial Narrow"/>
                <w:b/>
                <w:sz w:val="20"/>
                <w:szCs w:val="20"/>
              </w:rPr>
              <w:t>Max. qty units</w:t>
            </w:r>
          </w:p>
        </w:tc>
        <w:tc>
          <w:tcPr>
            <w:tcW w:w="812" w:type="dxa"/>
            <w:vAlign w:val="center"/>
          </w:tcPr>
          <w:p w14:paraId="7665703F" w14:textId="77777777" w:rsidR="009B5C04" w:rsidRPr="009B5C04" w:rsidRDefault="009B5C04" w:rsidP="004305CF">
            <w:pPr>
              <w:keepNext/>
              <w:keepLines/>
              <w:jc w:val="center"/>
              <w:rPr>
                <w:rFonts w:ascii="Arial Narrow" w:hAnsi="Arial Narrow"/>
                <w:b/>
                <w:sz w:val="20"/>
                <w:szCs w:val="20"/>
              </w:rPr>
            </w:pPr>
            <w:r w:rsidRPr="009B5C04">
              <w:rPr>
                <w:rFonts w:ascii="Arial Narrow" w:hAnsi="Arial Narrow"/>
                <w:b/>
                <w:sz w:val="20"/>
                <w:szCs w:val="20"/>
              </w:rPr>
              <w:t>№.of</w:t>
            </w:r>
          </w:p>
          <w:p w14:paraId="2C902211" w14:textId="77777777" w:rsidR="009B5C04" w:rsidRPr="009B5C04" w:rsidRDefault="009B5C04" w:rsidP="004305CF">
            <w:pPr>
              <w:keepNext/>
              <w:keepLines/>
              <w:jc w:val="center"/>
              <w:rPr>
                <w:rFonts w:ascii="Arial Narrow" w:hAnsi="Arial Narrow"/>
                <w:b/>
                <w:sz w:val="20"/>
                <w:szCs w:val="20"/>
              </w:rPr>
            </w:pPr>
            <w:r w:rsidRPr="009B5C04">
              <w:rPr>
                <w:rFonts w:ascii="Arial Narrow" w:hAnsi="Arial Narrow"/>
                <w:b/>
                <w:sz w:val="20"/>
                <w:szCs w:val="20"/>
              </w:rPr>
              <w:t>Rpts</w:t>
            </w:r>
          </w:p>
        </w:tc>
        <w:tc>
          <w:tcPr>
            <w:tcW w:w="1082" w:type="dxa"/>
            <w:vAlign w:val="center"/>
          </w:tcPr>
          <w:p w14:paraId="30779F59" w14:textId="77777777" w:rsidR="009B5C04" w:rsidRPr="009B5C04" w:rsidRDefault="009B5C04" w:rsidP="004305CF">
            <w:pPr>
              <w:keepNext/>
              <w:keepLines/>
              <w:rPr>
                <w:rFonts w:ascii="Arial Narrow" w:hAnsi="Arial Narrow"/>
                <w:b/>
                <w:sz w:val="20"/>
                <w:szCs w:val="20"/>
                <w:lang w:val="fr-FR"/>
              </w:rPr>
            </w:pPr>
            <w:r w:rsidRPr="009B5C04">
              <w:rPr>
                <w:rFonts w:ascii="Arial Narrow" w:hAnsi="Arial Narrow"/>
                <w:b/>
                <w:sz w:val="20"/>
                <w:szCs w:val="20"/>
              </w:rPr>
              <w:t>Available brands</w:t>
            </w:r>
          </w:p>
        </w:tc>
      </w:tr>
      <w:tr w:rsidR="009B5C04" w:rsidRPr="009B5C04" w14:paraId="2BDA8359" w14:textId="77777777" w:rsidTr="001F408B">
        <w:trPr>
          <w:cantSplit/>
          <w:trHeight w:val="20"/>
        </w:trPr>
        <w:tc>
          <w:tcPr>
            <w:tcW w:w="9073" w:type="dxa"/>
            <w:gridSpan w:val="7"/>
          </w:tcPr>
          <w:p w14:paraId="53ACEBAF" w14:textId="77777777" w:rsidR="009B5C04" w:rsidRPr="009B5C04" w:rsidRDefault="009B5C04" w:rsidP="004305CF">
            <w:pPr>
              <w:pStyle w:val="TableText0"/>
              <w:keepLines/>
              <w:rPr>
                <w:rFonts w:cs="Arial"/>
                <w:smallCaps/>
                <w:szCs w:val="20"/>
              </w:rPr>
            </w:pPr>
            <w:r w:rsidRPr="009B5C04">
              <w:rPr>
                <w:smallCaps/>
              </w:rPr>
              <w:t>OSIMERTINIB</w:t>
            </w:r>
            <w:r w:rsidRPr="009B5C04">
              <w:rPr>
                <w:rFonts w:cs="Arial"/>
                <w:smallCaps/>
                <w:color w:val="0066FF"/>
                <w:szCs w:val="20"/>
              </w:rPr>
              <w:t xml:space="preserve"> </w:t>
            </w:r>
          </w:p>
        </w:tc>
      </w:tr>
      <w:tr w:rsidR="009B5C04" w:rsidRPr="009B5C04" w14:paraId="55A1C617" w14:textId="77777777" w:rsidTr="001F408B">
        <w:trPr>
          <w:cantSplit/>
          <w:trHeight w:val="20"/>
        </w:trPr>
        <w:tc>
          <w:tcPr>
            <w:tcW w:w="4744" w:type="dxa"/>
            <w:gridSpan w:val="2"/>
            <w:vAlign w:val="center"/>
          </w:tcPr>
          <w:p w14:paraId="78EDC0F3" w14:textId="77777777" w:rsidR="009B5C04" w:rsidRPr="009B5C04" w:rsidRDefault="009B5C04" w:rsidP="004305CF">
            <w:pPr>
              <w:pStyle w:val="TableText0"/>
              <w:keepLines/>
              <w:rPr>
                <w:szCs w:val="20"/>
              </w:rPr>
            </w:pPr>
            <w:r w:rsidRPr="009B5C04">
              <w:rPr>
                <w:szCs w:val="20"/>
              </w:rPr>
              <w:t xml:space="preserve">Osimertinib 80mg tablets, 30 </w:t>
            </w:r>
          </w:p>
        </w:tc>
        <w:tc>
          <w:tcPr>
            <w:tcW w:w="812" w:type="dxa"/>
          </w:tcPr>
          <w:p w14:paraId="54101F64" w14:textId="77777777" w:rsidR="009B5C04" w:rsidRPr="009B5C04" w:rsidRDefault="009B5C04" w:rsidP="004305CF">
            <w:pPr>
              <w:keepNext/>
              <w:keepLines/>
              <w:jc w:val="center"/>
              <w:rPr>
                <w:rFonts w:ascii="Arial Narrow" w:hAnsi="Arial Narrow"/>
                <w:sz w:val="20"/>
              </w:rPr>
            </w:pPr>
            <w:r w:rsidRPr="009B5C04">
              <w:rPr>
                <w:rFonts w:ascii="Arial Narrow" w:hAnsi="Arial Narrow"/>
                <w:sz w:val="20"/>
              </w:rPr>
              <w:t>NEW</w:t>
            </w:r>
          </w:p>
        </w:tc>
        <w:tc>
          <w:tcPr>
            <w:tcW w:w="812" w:type="dxa"/>
            <w:vAlign w:val="center"/>
          </w:tcPr>
          <w:p w14:paraId="09911593" w14:textId="77777777" w:rsidR="009B5C04" w:rsidRPr="009B5C04" w:rsidRDefault="009B5C04" w:rsidP="004305CF">
            <w:pPr>
              <w:keepNext/>
              <w:keepLines/>
              <w:jc w:val="center"/>
              <w:rPr>
                <w:rFonts w:ascii="Arial Narrow" w:hAnsi="Arial Narrow"/>
                <w:sz w:val="20"/>
                <w:szCs w:val="20"/>
              </w:rPr>
            </w:pPr>
            <w:r w:rsidRPr="009B5C04">
              <w:rPr>
                <w:rFonts w:ascii="Arial Narrow" w:hAnsi="Arial Narrow"/>
                <w:sz w:val="20"/>
              </w:rPr>
              <w:t>1</w:t>
            </w:r>
          </w:p>
        </w:tc>
        <w:tc>
          <w:tcPr>
            <w:tcW w:w="811" w:type="dxa"/>
            <w:vAlign w:val="center"/>
          </w:tcPr>
          <w:p w14:paraId="1DF55E81" w14:textId="77777777" w:rsidR="009B5C04" w:rsidRPr="009B5C04" w:rsidRDefault="009B5C04" w:rsidP="004305CF">
            <w:pPr>
              <w:keepNext/>
              <w:keepLines/>
              <w:jc w:val="center"/>
              <w:rPr>
                <w:rFonts w:ascii="Arial Narrow" w:hAnsi="Arial Narrow"/>
                <w:sz w:val="20"/>
                <w:szCs w:val="20"/>
              </w:rPr>
            </w:pPr>
            <w:r w:rsidRPr="009B5C04">
              <w:rPr>
                <w:rFonts w:ascii="Arial Narrow" w:hAnsi="Arial Narrow"/>
                <w:sz w:val="20"/>
                <w:szCs w:val="20"/>
              </w:rPr>
              <w:t>30</w:t>
            </w:r>
          </w:p>
        </w:tc>
        <w:tc>
          <w:tcPr>
            <w:tcW w:w="812" w:type="dxa"/>
            <w:vAlign w:val="center"/>
          </w:tcPr>
          <w:p w14:paraId="693733E2" w14:textId="77777777" w:rsidR="009B5C04" w:rsidRPr="009B5C04" w:rsidRDefault="009B5C04" w:rsidP="004305CF">
            <w:pPr>
              <w:keepNext/>
              <w:keepLines/>
              <w:jc w:val="center"/>
              <w:rPr>
                <w:rFonts w:ascii="Arial Narrow" w:hAnsi="Arial Narrow"/>
                <w:sz w:val="20"/>
                <w:szCs w:val="20"/>
              </w:rPr>
            </w:pPr>
            <w:r w:rsidRPr="009B5C04">
              <w:rPr>
                <w:rFonts w:ascii="Arial Narrow" w:hAnsi="Arial Narrow"/>
                <w:sz w:val="20"/>
              </w:rPr>
              <w:t>5</w:t>
            </w:r>
          </w:p>
        </w:tc>
        <w:tc>
          <w:tcPr>
            <w:tcW w:w="1082" w:type="dxa"/>
            <w:vAlign w:val="center"/>
          </w:tcPr>
          <w:p w14:paraId="05CE47B6" w14:textId="77777777" w:rsidR="009B5C04" w:rsidRPr="009B5C04" w:rsidRDefault="009B5C04" w:rsidP="004305CF">
            <w:pPr>
              <w:keepNext/>
              <w:keepLines/>
              <w:rPr>
                <w:rFonts w:ascii="Arial Narrow" w:hAnsi="Arial Narrow"/>
                <w:color w:val="0066FF"/>
                <w:sz w:val="20"/>
                <w:szCs w:val="20"/>
              </w:rPr>
            </w:pPr>
            <w:r w:rsidRPr="009B5C04">
              <w:rPr>
                <w:rFonts w:ascii="Arial Narrow" w:hAnsi="Arial Narrow"/>
                <w:sz w:val="20"/>
                <w:szCs w:val="20"/>
              </w:rPr>
              <w:t>Tagrisso</w:t>
            </w:r>
          </w:p>
        </w:tc>
      </w:tr>
      <w:tr w:rsidR="009B5C04" w:rsidRPr="009B5C04" w14:paraId="6EC19BF9" w14:textId="77777777" w:rsidTr="001F408B">
        <w:tblPrEx>
          <w:tblCellMar>
            <w:top w:w="15" w:type="dxa"/>
            <w:left w:w="15" w:type="dxa"/>
            <w:bottom w:w="15" w:type="dxa"/>
            <w:right w:w="15" w:type="dxa"/>
          </w:tblCellMar>
          <w:tblLook w:val="04A0" w:firstRow="1" w:lastRow="0" w:firstColumn="1" w:lastColumn="0" w:noHBand="0" w:noVBand="1"/>
        </w:tblPrEx>
        <w:trPr>
          <w:trHeight w:val="170"/>
        </w:trPr>
        <w:tc>
          <w:tcPr>
            <w:tcW w:w="1419" w:type="dxa"/>
            <w:vMerge w:val="restart"/>
            <w:tcBorders>
              <w:top w:val="single" w:sz="4" w:space="0" w:color="auto"/>
              <w:left w:val="single" w:sz="4" w:space="0" w:color="auto"/>
              <w:bottom w:val="nil"/>
              <w:right w:val="single" w:sz="4" w:space="0" w:color="auto"/>
            </w:tcBorders>
          </w:tcPr>
          <w:p w14:paraId="4FCBCFDA" w14:textId="77777777" w:rsidR="009B5C04" w:rsidRPr="009B5C04" w:rsidRDefault="009B5C04" w:rsidP="004305CF">
            <w:pPr>
              <w:pStyle w:val="PBACcentre"/>
              <w:keepNext/>
              <w:jc w:val="left"/>
              <w:rPr>
                <w:rFonts w:cs="Arial"/>
                <w:sz w:val="20"/>
                <w:szCs w:val="20"/>
              </w:rPr>
            </w:pPr>
          </w:p>
        </w:tc>
        <w:tc>
          <w:tcPr>
            <w:tcW w:w="7654" w:type="dxa"/>
            <w:gridSpan w:val="6"/>
            <w:tcBorders>
              <w:top w:val="single" w:sz="4" w:space="0" w:color="auto"/>
              <w:left w:val="single" w:sz="4" w:space="0" w:color="auto"/>
              <w:bottom w:val="single" w:sz="4" w:space="0" w:color="auto"/>
              <w:right w:val="single" w:sz="4" w:space="0" w:color="auto"/>
            </w:tcBorders>
          </w:tcPr>
          <w:p w14:paraId="58F1BE2D" w14:textId="77777777" w:rsidR="009B5C04" w:rsidRPr="009B5C04" w:rsidRDefault="009B5C04" w:rsidP="004305CF">
            <w:pPr>
              <w:pStyle w:val="PBACbold"/>
              <w:keepNext/>
              <w:ind w:left="720" w:hanging="720"/>
              <w:rPr>
                <w:sz w:val="20"/>
                <w:szCs w:val="20"/>
              </w:rPr>
            </w:pPr>
            <w:r w:rsidRPr="009B5C04">
              <w:rPr>
                <w:sz w:val="20"/>
                <w:szCs w:val="20"/>
              </w:rPr>
              <w:t xml:space="preserve">Category / Program: </w:t>
            </w:r>
          </w:p>
          <w:p w14:paraId="4D19B856" w14:textId="77777777" w:rsidR="009B5C04" w:rsidRPr="009B5C04" w:rsidRDefault="009B5C04" w:rsidP="004305CF">
            <w:pPr>
              <w:pStyle w:val="PBACtext"/>
              <w:keepNext/>
              <w:ind w:left="720" w:hanging="720"/>
              <w:rPr>
                <w:rFonts w:cs="Arial"/>
                <w:sz w:val="20"/>
                <w:szCs w:val="20"/>
              </w:rPr>
            </w:pPr>
            <w:r w:rsidRPr="009B5C04">
              <w:rPr>
                <w:rFonts w:cs="Arial"/>
                <w:sz w:val="20"/>
                <w:szCs w:val="20"/>
              </w:rPr>
              <w:t>GENERAL – General Schedule (Code GE)</w:t>
            </w:r>
          </w:p>
        </w:tc>
      </w:tr>
      <w:tr w:rsidR="009B5C04" w:rsidRPr="009B5C04" w14:paraId="482F1F68" w14:textId="77777777" w:rsidTr="001F408B">
        <w:tblPrEx>
          <w:tblCellMar>
            <w:top w:w="15" w:type="dxa"/>
            <w:left w:w="15" w:type="dxa"/>
            <w:bottom w:w="15" w:type="dxa"/>
            <w:right w:w="15" w:type="dxa"/>
          </w:tblCellMar>
          <w:tblLook w:val="04A0" w:firstRow="1" w:lastRow="0" w:firstColumn="1" w:lastColumn="0" w:noHBand="0" w:noVBand="1"/>
        </w:tblPrEx>
        <w:trPr>
          <w:trHeight w:val="170"/>
        </w:trPr>
        <w:tc>
          <w:tcPr>
            <w:tcW w:w="1419" w:type="dxa"/>
            <w:vMerge/>
            <w:tcBorders>
              <w:top w:val="nil"/>
              <w:left w:val="single" w:sz="4" w:space="0" w:color="auto"/>
              <w:bottom w:val="nil"/>
              <w:right w:val="single" w:sz="4" w:space="0" w:color="auto"/>
            </w:tcBorders>
          </w:tcPr>
          <w:p w14:paraId="14898C68" w14:textId="77777777" w:rsidR="009B5C04" w:rsidRPr="009B5C04" w:rsidRDefault="009B5C04" w:rsidP="004305CF">
            <w:pPr>
              <w:keepNext/>
              <w:ind w:left="720" w:hanging="720"/>
              <w:rPr>
                <w:rFonts w:ascii="Arial Narrow" w:hAnsi="Arial Narrow"/>
                <w:sz w:val="20"/>
                <w:szCs w:val="20"/>
              </w:rPr>
            </w:pPr>
          </w:p>
        </w:tc>
        <w:tc>
          <w:tcPr>
            <w:tcW w:w="7654" w:type="dxa"/>
            <w:gridSpan w:val="6"/>
            <w:tcBorders>
              <w:top w:val="single" w:sz="4" w:space="0" w:color="auto"/>
              <w:left w:val="single" w:sz="4" w:space="0" w:color="auto"/>
              <w:bottom w:val="single" w:sz="4" w:space="0" w:color="auto"/>
              <w:right w:val="single" w:sz="4" w:space="0" w:color="auto"/>
            </w:tcBorders>
          </w:tcPr>
          <w:p w14:paraId="7BDC2973" w14:textId="77777777" w:rsidR="009B5C04" w:rsidRPr="009B5C04" w:rsidRDefault="009B5C04" w:rsidP="004305CF">
            <w:pPr>
              <w:pStyle w:val="PBACtext"/>
              <w:keepNext/>
              <w:ind w:left="720" w:hanging="720"/>
              <w:rPr>
                <w:rFonts w:cs="Arial"/>
                <w:b/>
                <w:sz w:val="20"/>
                <w:szCs w:val="20"/>
              </w:rPr>
            </w:pPr>
            <w:r w:rsidRPr="009B5C04">
              <w:rPr>
                <w:rFonts w:cs="Arial"/>
                <w:b/>
                <w:sz w:val="20"/>
                <w:szCs w:val="20"/>
              </w:rPr>
              <w:t xml:space="preserve">Prescriber type: </w:t>
            </w:r>
            <w:r w:rsidRPr="009B5C04">
              <w:rPr>
                <w:rFonts w:cs="Arial"/>
                <w:sz w:val="20"/>
                <w:szCs w:val="20"/>
              </w:rPr>
              <w:fldChar w:fldCharType="begin" w:fldLock="1">
                <w:ffData>
                  <w:name w:val="Check1"/>
                  <w:enabled/>
                  <w:calcOnExit w:val="0"/>
                  <w:checkBox>
                    <w:sizeAuto/>
                    <w:default w:val="0"/>
                  </w:checkBox>
                </w:ffData>
              </w:fldChar>
            </w:r>
            <w:r w:rsidRPr="009B5C04">
              <w:rPr>
                <w:rFonts w:cs="Arial"/>
                <w:sz w:val="20"/>
                <w:szCs w:val="20"/>
              </w:rPr>
              <w:instrText xml:space="preserve"> FORMCHECKBOX </w:instrText>
            </w:r>
            <w:r w:rsidR="001E77BF">
              <w:rPr>
                <w:rFonts w:cs="Arial"/>
                <w:sz w:val="20"/>
                <w:szCs w:val="20"/>
              </w:rPr>
            </w:r>
            <w:r w:rsidR="001E77BF">
              <w:rPr>
                <w:rFonts w:cs="Arial"/>
                <w:sz w:val="20"/>
                <w:szCs w:val="20"/>
              </w:rPr>
              <w:fldChar w:fldCharType="separate"/>
            </w:r>
            <w:r w:rsidRPr="009B5C04">
              <w:rPr>
                <w:rFonts w:cs="Arial"/>
                <w:sz w:val="20"/>
                <w:szCs w:val="20"/>
              </w:rPr>
              <w:fldChar w:fldCharType="end"/>
            </w:r>
            <w:r w:rsidRPr="009B5C04">
              <w:rPr>
                <w:rFonts w:cs="Arial"/>
                <w:sz w:val="20"/>
                <w:szCs w:val="20"/>
              </w:rPr>
              <w:t xml:space="preserve">Dental </w:t>
            </w:r>
            <w:r w:rsidRPr="009B5C04">
              <w:rPr>
                <w:rFonts w:cs="Arial"/>
                <w:sz w:val="20"/>
                <w:szCs w:val="20"/>
              </w:rPr>
              <w:fldChar w:fldCharType="begin" w:fldLock="1">
                <w:ffData>
                  <w:name w:val=""/>
                  <w:enabled/>
                  <w:calcOnExit w:val="0"/>
                  <w:checkBox>
                    <w:sizeAuto/>
                    <w:default w:val="1"/>
                  </w:checkBox>
                </w:ffData>
              </w:fldChar>
            </w:r>
            <w:r w:rsidRPr="009B5C04">
              <w:rPr>
                <w:rFonts w:cs="Arial"/>
                <w:sz w:val="20"/>
                <w:szCs w:val="20"/>
              </w:rPr>
              <w:instrText xml:space="preserve"> FORMCHECKBOX </w:instrText>
            </w:r>
            <w:r w:rsidR="001E77BF">
              <w:rPr>
                <w:rFonts w:cs="Arial"/>
                <w:sz w:val="20"/>
                <w:szCs w:val="20"/>
              </w:rPr>
            </w:r>
            <w:r w:rsidR="001E77BF">
              <w:rPr>
                <w:rFonts w:cs="Arial"/>
                <w:sz w:val="20"/>
                <w:szCs w:val="20"/>
              </w:rPr>
              <w:fldChar w:fldCharType="separate"/>
            </w:r>
            <w:r w:rsidRPr="009B5C04">
              <w:rPr>
                <w:rFonts w:cs="Arial"/>
                <w:sz w:val="20"/>
                <w:szCs w:val="20"/>
              </w:rPr>
              <w:fldChar w:fldCharType="end"/>
            </w:r>
            <w:r w:rsidRPr="009B5C04">
              <w:rPr>
                <w:rFonts w:cs="Arial"/>
                <w:sz w:val="20"/>
                <w:szCs w:val="20"/>
              </w:rPr>
              <w:t xml:space="preserve">Medical Practitioners </w:t>
            </w:r>
            <w:r w:rsidRPr="009B5C04">
              <w:rPr>
                <w:rFonts w:cs="Arial"/>
                <w:sz w:val="20"/>
                <w:szCs w:val="20"/>
              </w:rPr>
              <w:fldChar w:fldCharType="begin" w:fldLock="1">
                <w:ffData>
                  <w:name w:val="Check3"/>
                  <w:enabled/>
                  <w:calcOnExit w:val="0"/>
                  <w:checkBox>
                    <w:sizeAuto/>
                    <w:default w:val="0"/>
                  </w:checkBox>
                </w:ffData>
              </w:fldChar>
            </w:r>
            <w:r w:rsidRPr="009B5C04">
              <w:rPr>
                <w:rFonts w:cs="Arial"/>
                <w:sz w:val="20"/>
                <w:szCs w:val="20"/>
              </w:rPr>
              <w:instrText xml:space="preserve"> FORMCHECKBOX </w:instrText>
            </w:r>
            <w:r w:rsidR="001E77BF">
              <w:rPr>
                <w:rFonts w:cs="Arial"/>
                <w:sz w:val="20"/>
                <w:szCs w:val="20"/>
              </w:rPr>
            </w:r>
            <w:r w:rsidR="001E77BF">
              <w:rPr>
                <w:rFonts w:cs="Arial"/>
                <w:sz w:val="20"/>
                <w:szCs w:val="20"/>
              </w:rPr>
              <w:fldChar w:fldCharType="separate"/>
            </w:r>
            <w:r w:rsidRPr="009B5C04">
              <w:rPr>
                <w:rFonts w:cs="Arial"/>
                <w:sz w:val="20"/>
                <w:szCs w:val="20"/>
              </w:rPr>
              <w:fldChar w:fldCharType="end"/>
            </w:r>
            <w:r w:rsidRPr="009B5C04">
              <w:rPr>
                <w:rFonts w:cs="Arial"/>
                <w:sz w:val="20"/>
                <w:szCs w:val="20"/>
              </w:rPr>
              <w:t xml:space="preserve">Nurse practitioners </w:t>
            </w:r>
            <w:r w:rsidRPr="009B5C04">
              <w:rPr>
                <w:rFonts w:cs="Arial"/>
                <w:sz w:val="20"/>
                <w:szCs w:val="20"/>
              </w:rPr>
              <w:fldChar w:fldCharType="begin" w:fldLock="1">
                <w:ffData>
                  <w:name w:val=""/>
                  <w:enabled/>
                  <w:calcOnExit w:val="0"/>
                  <w:checkBox>
                    <w:sizeAuto/>
                    <w:default w:val="0"/>
                  </w:checkBox>
                </w:ffData>
              </w:fldChar>
            </w:r>
            <w:r w:rsidRPr="009B5C04">
              <w:rPr>
                <w:rFonts w:cs="Arial"/>
                <w:sz w:val="20"/>
                <w:szCs w:val="20"/>
              </w:rPr>
              <w:instrText xml:space="preserve"> FORMCHECKBOX </w:instrText>
            </w:r>
            <w:r w:rsidR="001E77BF">
              <w:rPr>
                <w:rFonts w:cs="Arial"/>
                <w:sz w:val="20"/>
                <w:szCs w:val="20"/>
              </w:rPr>
            </w:r>
            <w:r w:rsidR="001E77BF">
              <w:rPr>
                <w:rFonts w:cs="Arial"/>
                <w:sz w:val="20"/>
                <w:szCs w:val="20"/>
              </w:rPr>
              <w:fldChar w:fldCharType="separate"/>
            </w:r>
            <w:r w:rsidRPr="009B5C04">
              <w:rPr>
                <w:rFonts w:cs="Arial"/>
                <w:sz w:val="20"/>
                <w:szCs w:val="20"/>
              </w:rPr>
              <w:fldChar w:fldCharType="end"/>
            </w:r>
            <w:r w:rsidRPr="009B5C04">
              <w:rPr>
                <w:rFonts w:cs="Arial"/>
                <w:sz w:val="20"/>
                <w:szCs w:val="20"/>
              </w:rPr>
              <w:t xml:space="preserve">Optometrists </w:t>
            </w:r>
            <w:r w:rsidRPr="009B5C04">
              <w:rPr>
                <w:rFonts w:cs="Arial"/>
                <w:sz w:val="20"/>
                <w:szCs w:val="20"/>
              </w:rPr>
              <w:fldChar w:fldCharType="begin" w:fldLock="1">
                <w:ffData>
                  <w:name w:val="Check5"/>
                  <w:enabled/>
                  <w:calcOnExit w:val="0"/>
                  <w:checkBox>
                    <w:sizeAuto/>
                    <w:default w:val="0"/>
                  </w:checkBox>
                </w:ffData>
              </w:fldChar>
            </w:r>
            <w:r w:rsidRPr="009B5C04">
              <w:rPr>
                <w:rFonts w:cs="Arial"/>
                <w:sz w:val="20"/>
                <w:szCs w:val="20"/>
              </w:rPr>
              <w:instrText xml:space="preserve"> FORMCHECKBOX </w:instrText>
            </w:r>
            <w:r w:rsidR="001E77BF">
              <w:rPr>
                <w:rFonts w:cs="Arial"/>
                <w:sz w:val="20"/>
                <w:szCs w:val="20"/>
              </w:rPr>
            </w:r>
            <w:r w:rsidR="001E77BF">
              <w:rPr>
                <w:rFonts w:cs="Arial"/>
                <w:sz w:val="20"/>
                <w:szCs w:val="20"/>
              </w:rPr>
              <w:fldChar w:fldCharType="separate"/>
            </w:r>
            <w:r w:rsidRPr="009B5C04">
              <w:rPr>
                <w:rFonts w:cs="Arial"/>
                <w:sz w:val="20"/>
                <w:szCs w:val="20"/>
              </w:rPr>
              <w:fldChar w:fldCharType="end"/>
            </w:r>
            <w:r w:rsidRPr="009B5C04">
              <w:rPr>
                <w:rFonts w:cs="Arial"/>
                <w:sz w:val="20"/>
                <w:szCs w:val="20"/>
              </w:rPr>
              <w:t>Midwives</w:t>
            </w:r>
          </w:p>
        </w:tc>
      </w:tr>
      <w:tr w:rsidR="009B5C04" w:rsidRPr="009B5C04" w14:paraId="255A2E46" w14:textId="77777777" w:rsidTr="001F408B">
        <w:tblPrEx>
          <w:tblCellMar>
            <w:top w:w="15" w:type="dxa"/>
            <w:left w:w="15" w:type="dxa"/>
            <w:bottom w:w="15" w:type="dxa"/>
            <w:right w:w="15" w:type="dxa"/>
          </w:tblCellMar>
          <w:tblLook w:val="04A0" w:firstRow="1" w:lastRow="0" w:firstColumn="1" w:lastColumn="0" w:noHBand="0" w:noVBand="1"/>
        </w:tblPrEx>
        <w:trPr>
          <w:trHeight w:val="170"/>
        </w:trPr>
        <w:tc>
          <w:tcPr>
            <w:tcW w:w="1419" w:type="dxa"/>
            <w:vMerge/>
            <w:tcBorders>
              <w:top w:val="nil"/>
              <w:left w:val="single" w:sz="4" w:space="0" w:color="auto"/>
              <w:bottom w:val="single" w:sz="4" w:space="0" w:color="auto"/>
              <w:right w:val="single" w:sz="4" w:space="0" w:color="auto"/>
            </w:tcBorders>
          </w:tcPr>
          <w:p w14:paraId="52D4B1B8" w14:textId="77777777" w:rsidR="009B5C04" w:rsidRPr="009B5C04" w:rsidRDefault="009B5C04" w:rsidP="004305CF">
            <w:pPr>
              <w:keepNext/>
              <w:ind w:left="720" w:hanging="720"/>
              <w:rPr>
                <w:rFonts w:ascii="Arial Narrow" w:hAnsi="Arial Narrow"/>
                <w:sz w:val="20"/>
                <w:szCs w:val="20"/>
              </w:rPr>
            </w:pPr>
          </w:p>
        </w:tc>
        <w:tc>
          <w:tcPr>
            <w:tcW w:w="7654" w:type="dxa"/>
            <w:gridSpan w:val="6"/>
            <w:tcBorders>
              <w:top w:val="single" w:sz="4" w:space="0" w:color="auto"/>
              <w:left w:val="single" w:sz="4" w:space="0" w:color="auto"/>
              <w:bottom w:val="single" w:sz="4" w:space="0" w:color="auto"/>
              <w:right w:val="single" w:sz="4" w:space="0" w:color="auto"/>
            </w:tcBorders>
          </w:tcPr>
          <w:p w14:paraId="44B2D0FC" w14:textId="77777777" w:rsidR="009B5C04" w:rsidRPr="009B5C04" w:rsidRDefault="009B5C04" w:rsidP="004305CF">
            <w:pPr>
              <w:pStyle w:val="PBACbold"/>
              <w:keepNext/>
              <w:ind w:left="720" w:hanging="720"/>
              <w:rPr>
                <w:sz w:val="20"/>
                <w:szCs w:val="20"/>
              </w:rPr>
            </w:pPr>
            <w:r w:rsidRPr="009B5C04">
              <w:rPr>
                <w:sz w:val="20"/>
                <w:szCs w:val="20"/>
              </w:rPr>
              <w:t>Restriction Type – assessment time by Services Australia</w:t>
            </w:r>
          </w:p>
          <w:p w14:paraId="1B083807" w14:textId="77777777" w:rsidR="009B5C04" w:rsidRPr="009B5C04" w:rsidRDefault="009B5C04" w:rsidP="004305CF">
            <w:pPr>
              <w:pStyle w:val="PBACtext"/>
              <w:keepNext/>
              <w:ind w:left="720" w:hanging="720"/>
              <w:jc w:val="left"/>
              <w:rPr>
                <w:rFonts w:cs="Arial"/>
                <w:sz w:val="20"/>
                <w:szCs w:val="20"/>
              </w:rPr>
            </w:pPr>
            <w:r w:rsidRPr="009B5C04">
              <w:rPr>
                <w:rFonts w:cs="Arial"/>
                <w:sz w:val="20"/>
                <w:szCs w:val="20"/>
              </w:rPr>
              <w:fldChar w:fldCharType="begin" w:fldLock="1">
                <w:ffData>
                  <w:name w:val="Check3"/>
                  <w:enabled/>
                  <w:calcOnExit w:val="0"/>
                  <w:checkBox>
                    <w:sizeAuto/>
                    <w:default w:val="1"/>
                  </w:checkBox>
                </w:ffData>
              </w:fldChar>
            </w:r>
            <w:r w:rsidRPr="009B5C04">
              <w:rPr>
                <w:rFonts w:cs="Arial"/>
                <w:sz w:val="20"/>
                <w:szCs w:val="20"/>
              </w:rPr>
              <w:instrText xml:space="preserve"> FORMCHECKBOX </w:instrText>
            </w:r>
            <w:r w:rsidR="001E77BF">
              <w:rPr>
                <w:rFonts w:cs="Arial"/>
                <w:sz w:val="20"/>
                <w:szCs w:val="20"/>
              </w:rPr>
            </w:r>
            <w:r w:rsidR="001E77BF">
              <w:rPr>
                <w:rFonts w:cs="Arial"/>
                <w:sz w:val="20"/>
                <w:szCs w:val="20"/>
              </w:rPr>
              <w:fldChar w:fldCharType="separate"/>
            </w:r>
            <w:r w:rsidRPr="009B5C04">
              <w:rPr>
                <w:rFonts w:cs="Arial"/>
                <w:sz w:val="20"/>
                <w:szCs w:val="20"/>
              </w:rPr>
              <w:fldChar w:fldCharType="end"/>
            </w:r>
            <w:r w:rsidRPr="009B5C04">
              <w:rPr>
                <w:rFonts w:cs="Arial"/>
                <w:sz w:val="20"/>
                <w:szCs w:val="20"/>
              </w:rPr>
              <w:t>Authority Required – immediate/real time assessment by Services Australia (telephone/online application avenues)</w:t>
            </w:r>
          </w:p>
        </w:tc>
      </w:tr>
      <w:tr w:rsidR="009B5C04" w:rsidRPr="009B5C04" w14:paraId="4F5BA7EB" w14:textId="77777777" w:rsidTr="001F408B">
        <w:tblPrEx>
          <w:tblCellMar>
            <w:top w:w="15" w:type="dxa"/>
            <w:bottom w:w="15" w:type="dxa"/>
          </w:tblCellMar>
          <w:tblLook w:val="04A0" w:firstRow="1" w:lastRow="0" w:firstColumn="1" w:lastColumn="0" w:noHBand="0" w:noVBand="1"/>
        </w:tblPrEx>
        <w:trPr>
          <w:cantSplit/>
          <w:trHeight w:val="20"/>
        </w:trPr>
        <w:tc>
          <w:tcPr>
            <w:tcW w:w="1419" w:type="dxa"/>
          </w:tcPr>
          <w:p w14:paraId="0FAE0315" w14:textId="77777777" w:rsidR="009B5C04" w:rsidRPr="009B5C04" w:rsidRDefault="009B5C04" w:rsidP="004305CF">
            <w:pPr>
              <w:pStyle w:val="PBACtext"/>
              <w:rPr>
                <w:b/>
                <w:sz w:val="20"/>
                <w:szCs w:val="20"/>
              </w:rPr>
            </w:pPr>
          </w:p>
        </w:tc>
        <w:tc>
          <w:tcPr>
            <w:tcW w:w="7654" w:type="dxa"/>
            <w:gridSpan w:val="6"/>
          </w:tcPr>
          <w:p w14:paraId="21B8F354" w14:textId="77777777" w:rsidR="009B5C04" w:rsidRPr="009B5C04" w:rsidRDefault="009B5C04" w:rsidP="004305CF">
            <w:pPr>
              <w:pStyle w:val="PBACtext"/>
              <w:rPr>
                <w:rFonts w:cs="Arial"/>
                <w:sz w:val="20"/>
                <w:szCs w:val="20"/>
              </w:rPr>
            </w:pPr>
            <w:r w:rsidRPr="009B5C04">
              <w:rPr>
                <w:b/>
                <w:sz w:val="20"/>
                <w:szCs w:val="20"/>
              </w:rPr>
              <w:t xml:space="preserve">Category / Program: </w:t>
            </w:r>
            <w:r w:rsidRPr="009B5C04">
              <w:rPr>
                <w:sz w:val="20"/>
                <w:szCs w:val="20"/>
              </w:rPr>
              <w:t>General Schedule</w:t>
            </w:r>
          </w:p>
        </w:tc>
      </w:tr>
      <w:tr w:rsidR="009B5C04" w:rsidRPr="009B5C04" w14:paraId="46CF5E9C" w14:textId="77777777" w:rsidTr="001F408B">
        <w:tblPrEx>
          <w:tblCellMar>
            <w:top w:w="15" w:type="dxa"/>
            <w:bottom w:w="15" w:type="dxa"/>
          </w:tblCellMar>
          <w:tblLook w:val="04A0" w:firstRow="1" w:lastRow="0" w:firstColumn="1" w:lastColumn="0" w:noHBand="0" w:noVBand="1"/>
        </w:tblPrEx>
        <w:trPr>
          <w:cantSplit/>
          <w:trHeight w:val="20"/>
        </w:trPr>
        <w:tc>
          <w:tcPr>
            <w:tcW w:w="1419" w:type="dxa"/>
          </w:tcPr>
          <w:p w14:paraId="0A45CA60" w14:textId="77777777" w:rsidR="009B5C04" w:rsidRPr="009B5C04" w:rsidRDefault="009B5C04" w:rsidP="004305CF">
            <w:pPr>
              <w:pStyle w:val="PBACtext"/>
              <w:rPr>
                <w:b/>
                <w:sz w:val="20"/>
                <w:szCs w:val="20"/>
              </w:rPr>
            </w:pPr>
          </w:p>
        </w:tc>
        <w:tc>
          <w:tcPr>
            <w:tcW w:w="7654" w:type="dxa"/>
            <w:gridSpan w:val="6"/>
          </w:tcPr>
          <w:p w14:paraId="32717CD9" w14:textId="77777777" w:rsidR="009B5C04" w:rsidRPr="009B5C04" w:rsidRDefault="009B5C04" w:rsidP="004305CF">
            <w:pPr>
              <w:pStyle w:val="PBACtext"/>
              <w:rPr>
                <w:rFonts w:cs="Arial"/>
                <w:sz w:val="20"/>
                <w:szCs w:val="20"/>
              </w:rPr>
            </w:pPr>
            <w:r w:rsidRPr="009B5C04">
              <w:rPr>
                <w:b/>
                <w:sz w:val="20"/>
                <w:szCs w:val="20"/>
              </w:rPr>
              <w:t xml:space="preserve">Prescriber type: </w:t>
            </w:r>
            <w:r w:rsidRPr="009B5C04">
              <w:rPr>
                <w:sz w:val="20"/>
                <w:szCs w:val="20"/>
              </w:rPr>
              <w:fldChar w:fldCharType="begin" w:fldLock="1">
                <w:ffData>
                  <w:name w:val=""/>
                  <w:enabled/>
                  <w:calcOnExit w:val="0"/>
                  <w:checkBox>
                    <w:sizeAuto/>
                    <w:default w:val="1"/>
                  </w:checkBox>
                </w:ffData>
              </w:fldChar>
            </w:r>
            <w:r w:rsidRPr="009B5C04">
              <w:rPr>
                <w:sz w:val="20"/>
                <w:szCs w:val="20"/>
              </w:rPr>
              <w:instrText xml:space="preserve"> FORMCHECKBOX </w:instrText>
            </w:r>
            <w:r w:rsidR="001E77BF">
              <w:rPr>
                <w:sz w:val="20"/>
                <w:szCs w:val="20"/>
              </w:rPr>
            </w:r>
            <w:r w:rsidR="001E77BF">
              <w:rPr>
                <w:sz w:val="20"/>
                <w:szCs w:val="20"/>
              </w:rPr>
              <w:fldChar w:fldCharType="separate"/>
            </w:r>
            <w:r w:rsidRPr="009B5C04">
              <w:rPr>
                <w:sz w:val="20"/>
                <w:szCs w:val="20"/>
              </w:rPr>
              <w:fldChar w:fldCharType="end"/>
            </w:r>
            <w:r w:rsidRPr="009B5C04">
              <w:rPr>
                <w:sz w:val="20"/>
                <w:szCs w:val="20"/>
              </w:rPr>
              <w:t>Medical Practitioners</w:t>
            </w:r>
          </w:p>
        </w:tc>
      </w:tr>
      <w:tr w:rsidR="009B5C04" w:rsidRPr="009B5C04" w14:paraId="2C564051" w14:textId="77777777" w:rsidTr="001F408B">
        <w:tblPrEx>
          <w:tblCellMar>
            <w:top w:w="15" w:type="dxa"/>
            <w:bottom w:w="15" w:type="dxa"/>
          </w:tblCellMar>
          <w:tblLook w:val="04A0" w:firstRow="1" w:lastRow="0" w:firstColumn="1" w:lastColumn="0" w:noHBand="0" w:noVBand="1"/>
        </w:tblPrEx>
        <w:trPr>
          <w:cantSplit/>
          <w:trHeight w:val="20"/>
        </w:trPr>
        <w:tc>
          <w:tcPr>
            <w:tcW w:w="1419" w:type="dxa"/>
          </w:tcPr>
          <w:p w14:paraId="1C6D4EFB" w14:textId="77777777" w:rsidR="009B5C04" w:rsidRPr="009B5C04" w:rsidRDefault="009B5C04" w:rsidP="004305CF">
            <w:pPr>
              <w:pStyle w:val="PBACtext"/>
              <w:jc w:val="center"/>
              <w:rPr>
                <w:b/>
                <w:sz w:val="20"/>
                <w:szCs w:val="20"/>
              </w:rPr>
            </w:pPr>
          </w:p>
        </w:tc>
        <w:tc>
          <w:tcPr>
            <w:tcW w:w="7654" w:type="dxa"/>
            <w:gridSpan w:val="6"/>
          </w:tcPr>
          <w:p w14:paraId="287BB187" w14:textId="77777777" w:rsidR="009B5C04" w:rsidRPr="009B5C04" w:rsidRDefault="009B5C04" w:rsidP="004305CF">
            <w:pPr>
              <w:pStyle w:val="PBACtext"/>
              <w:rPr>
                <w:rFonts w:cs="Arial"/>
                <w:sz w:val="20"/>
                <w:szCs w:val="20"/>
              </w:rPr>
            </w:pPr>
            <w:r w:rsidRPr="009B5C04">
              <w:rPr>
                <w:b/>
                <w:sz w:val="20"/>
                <w:szCs w:val="20"/>
              </w:rPr>
              <w:t xml:space="preserve">Restriction type: </w:t>
            </w:r>
            <w:r w:rsidRPr="009B5C04">
              <w:rPr>
                <w:rFonts w:eastAsia="Times New Roman"/>
                <w:sz w:val="20"/>
                <w:szCs w:val="20"/>
              </w:rPr>
              <w:fldChar w:fldCharType="begin" w:fldLock="1">
                <w:ffData>
                  <w:name w:val="Check3"/>
                  <w:enabled/>
                  <w:calcOnExit w:val="0"/>
                  <w:checkBox>
                    <w:sizeAuto/>
                    <w:default w:val="1"/>
                  </w:checkBox>
                </w:ffData>
              </w:fldChar>
            </w:r>
            <w:r w:rsidRPr="009B5C04">
              <w:rPr>
                <w:rFonts w:eastAsia="Times New Roman"/>
                <w:sz w:val="20"/>
                <w:szCs w:val="20"/>
              </w:rPr>
              <w:instrText xml:space="preserve"> FORMCHECKBOX </w:instrText>
            </w:r>
            <w:r w:rsidR="001E77BF">
              <w:rPr>
                <w:rFonts w:eastAsia="Times New Roman"/>
                <w:sz w:val="20"/>
                <w:szCs w:val="20"/>
              </w:rPr>
            </w:r>
            <w:r w:rsidR="001E77BF">
              <w:rPr>
                <w:rFonts w:eastAsia="Times New Roman"/>
                <w:sz w:val="20"/>
                <w:szCs w:val="20"/>
              </w:rPr>
              <w:fldChar w:fldCharType="separate"/>
            </w:r>
            <w:r w:rsidRPr="009B5C04">
              <w:rPr>
                <w:rFonts w:eastAsia="Times New Roman"/>
                <w:sz w:val="20"/>
                <w:szCs w:val="20"/>
              </w:rPr>
              <w:fldChar w:fldCharType="end"/>
            </w:r>
            <w:r w:rsidRPr="009B5C04">
              <w:rPr>
                <w:rFonts w:eastAsia="Times New Roman"/>
                <w:sz w:val="20"/>
                <w:szCs w:val="20"/>
              </w:rPr>
              <w:t>Authority Required (telephone/online PBS Authorities system)</w:t>
            </w:r>
          </w:p>
        </w:tc>
      </w:tr>
      <w:tr w:rsidR="009B5C04" w:rsidRPr="009B5C04" w14:paraId="300F5A2D" w14:textId="77777777" w:rsidTr="001F408B">
        <w:tblPrEx>
          <w:tblCellMar>
            <w:top w:w="15" w:type="dxa"/>
            <w:bottom w:w="15" w:type="dxa"/>
          </w:tblCellMar>
          <w:tblLook w:val="04A0" w:firstRow="1" w:lastRow="0" w:firstColumn="1" w:lastColumn="0" w:noHBand="0" w:noVBand="1"/>
        </w:tblPrEx>
        <w:trPr>
          <w:cantSplit/>
          <w:trHeight w:val="20"/>
        </w:trPr>
        <w:tc>
          <w:tcPr>
            <w:tcW w:w="1419" w:type="dxa"/>
          </w:tcPr>
          <w:p w14:paraId="03EE26B7" w14:textId="59ABAD44" w:rsidR="009B5C04" w:rsidRPr="009B5C04" w:rsidRDefault="009B5C04" w:rsidP="004305CF">
            <w:pPr>
              <w:pStyle w:val="PBACtext"/>
              <w:jc w:val="center"/>
              <w:rPr>
                <w:rFonts w:cs="Arial"/>
                <w:bCs/>
                <w:sz w:val="20"/>
                <w:szCs w:val="20"/>
                <w:lang w:eastAsia="en-AU"/>
              </w:rPr>
            </w:pPr>
          </w:p>
        </w:tc>
        <w:tc>
          <w:tcPr>
            <w:tcW w:w="7654" w:type="dxa"/>
            <w:gridSpan w:val="6"/>
            <w:vAlign w:val="center"/>
          </w:tcPr>
          <w:p w14:paraId="624FF24D" w14:textId="77777777" w:rsidR="009B5C04" w:rsidRPr="009B5C04" w:rsidRDefault="009B5C04" w:rsidP="004305CF">
            <w:pPr>
              <w:pStyle w:val="PBACtext"/>
              <w:rPr>
                <w:rFonts w:cs="Arial"/>
                <w:sz w:val="20"/>
                <w:szCs w:val="20"/>
              </w:rPr>
            </w:pPr>
            <w:r w:rsidRPr="009B5C04">
              <w:rPr>
                <w:rFonts w:cs="Arial"/>
                <w:b/>
                <w:sz w:val="20"/>
                <w:szCs w:val="20"/>
                <w:lang w:eastAsia="en-AU"/>
              </w:rPr>
              <w:t xml:space="preserve">Severity: </w:t>
            </w:r>
            <w:r w:rsidRPr="009B5C04">
              <w:rPr>
                <w:rFonts w:cs="Arial"/>
                <w:sz w:val="20"/>
                <w:szCs w:val="20"/>
                <w:lang w:eastAsia="en-AU"/>
              </w:rPr>
              <w:t>Stage IB, II or IIIA</w:t>
            </w:r>
          </w:p>
        </w:tc>
      </w:tr>
      <w:tr w:rsidR="009B5C04" w:rsidRPr="009B5C04" w14:paraId="3DE3F21F" w14:textId="77777777" w:rsidTr="001F408B">
        <w:tblPrEx>
          <w:tblCellMar>
            <w:top w:w="15" w:type="dxa"/>
            <w:bottom w:w="15" w:type="dxa"/>
          </w:tblCellMar>
          <w:tblLook w:val="04A0" w:firstRow="1" w:lastRow="0" w:firstColumn="1" w:lastColumn="0" w:noHBand="0" w:noVBand="1"/>
        </w:tblPrEx>
        <w:trPr>
          <w:cantSplit/>
          <w:trHeight w:val="20"/>
        </w:trPr>
        <w:tc>
          <w:tcPr>
            <w:tcW w:w="1419" w:type="dxa"/>
          </w:tcPr>
          <w:p w14:paraId="580340E5" w14:textId="77777777" w:rsidR="009B5C04" w:rsidRPr="009B5C04" w:rsidRDefault="009B5C04" w:rsidP="004305CF">
            <w:pPr>
              <w:pStyle w:val="PBACtext"/>
              <w:jc w:val="center"/>
              <w:rPr>
                <w:rFonts w:cs="Arial"/>
                <w:bCs/>
                <w:sz w:val="20"/>
                <w:szCs w:val="20"/>
                <w:lang w:eastAsia="en-AU"/>
              </w:rPr>
            </w:pPr>
          </w:p>
        </w:tc>
        <w:tc>
          <w:tcPr>
            <w:tcW w:w="7654" w:type="dxa"/>
            <w:gridSpan w:val="6"/>
            <w:vAlign w:val="center"/>
          </w:tcPr>
          <w:p w14:paraId="0FDD7526" w14:textId="77777777" w:rsidR="009B5C04" w:rsidRPr="009B5C04" w:rsidRDefault="009B5C04" w:rsidP="004305CF">
            <w:pPr>
              <w:pStyle w:val="PBACtext"/>
              <w:rPr>
                <w:rFonts w:cs="Arial"/>
                <w:sz w:val="20"/>
                <w:szCs w:val="20"/>
              </w:rPr>
            </w:pPr>
            <w:r w:rsidRPr="009B5C04">
              <w:rPr>
                <w:rFonts w:cs="Arial"/>
                <w:b/>
                <w:sz w:val="20"/>
                <w:szCs w:val="20"/>
                <w:lang w:eastAsia="en-AU"/>
              </w:rPr>
              <w:t xml:space="preserve">Condition: </w:t>
            </w:r>
            <w:r w:rsidRPr="009B5C04">
              <w:rPr>
                <w:rFonts w:cs="Arial"/>
                <w:sz w:val="20"/>
                <w:szCs w:val="20"/>
                <w:lang w:eastAsia="en-AU"/>
              </w:rPr>
              <w:t>non-small cell lung cancer</w:t>
            </w:r>
          </w:p>
        </w:tc>
      </w:tr>
      <w:tr w:rsidR="009B5C04" w:rsidRPr="009B5C04" w14:paraId="4DFA7B1E" w14:textId="77777777" w:rsidTr="001F408B">
        <w:tblPrEx>
          <w:tblCellMar>
            <w:top w:w="15" w:type="dxa"/>
            <w:bottom w:w="15" w:type="dxa"/>
          </w:tblCellMar>
          <w:tblLook w:val="04A0" w:firstRow="1" w:lastRow="0" w:firstColumn="1" w:lastColumn="0" w:noHBand="0" w:noVBand="1"/>
        </w:tblPrEx>
        <w:trPr>
          <w:cantSplit/>
          <w:trHeight w:val="20"/>
        </w:trPr>
        <w:tc>
          <w:tcPr>
            <w:tcW w:w="1419" w:type="dxa"/>
          </w:tcPr>
          <w:p w14:paraId="6CCC5564" w14:textId="2D38D32A" w:rsidR="009B5C04" w:rsidRPr="009B5C04" w:rsidRDefault="009B5C04" w:rsidP="004305CF">
            <w:pPr>
              <w:pStyle w:val="PBACtext"/>
              <w:jc w:val="center"/>
              <w:rPr>
                <w:rFonts w:cs="Arial"/>
                <w:bCs/>
                <w:sz w:val="20"/>
                <w:szCs w:val="20"/>
                <w:lang w:eastAsia="en-AU"/>
              </w:rPr>
            </w:pPr>
          </w:p>
        </w:tc>
        <w:tc>
          <w:tcPr>
            <w:tcW w:w="7654" w:type="dxa"/>
            <w:gridSpan w:val="6"/>
            <w:vAlign w:val="center"/>
          </w:tcPr>
          <w:p w14:paraId="75F4DE20" w14:textId="77777777" w:rsidR="009B5C04" w:rsidRPr="009B5C04" w:rsidRDefault="009B5C04" w:rsidP="004305CF">
            <w:pPr>
              <w:pStyle w:val="PBACtext"/>
              <w:rPr>
                <w:rFonts w:cs="Arial"/>
                <w:sz w:val="20"/>
                <w:szCs w:val="20"/>
              </w:rPr>
            </w:pPr>
            <w:r w:rsidRPr="009B5C04">
              <w:rPr>
                <w:rFonts w:cs="Arial"/>
                <w:b/>
                <w:sz w:val="20"/>
                <w:szCs w:val="20"/>
                <w:lang w:eastAsia="en-AU"/>
              </w:rPr>
              <w:t>Indication:</w:t>
            </w:r>
            <w:r w:rsidRPr="009B5C04">
              <w:rPr>
                <w:rFonts w:cs="Arial"/>
                <w:sz w:val="20"/>
                <w:szCs w:val="20"/>
                <w:lang w:eastAsia="en-AU"/>
              </w:rPr>
              <w:t xml:space="preserve"> Stage IB, II or IIA non-small cell lung cancer </w:t>
            </w:r>
          </w:p>
        </w:tc>
      </w:tr>
      <w:tr w:rsidR="009B5C04" w:rsidRPr="009B5C04" w14:paraId="4DF857C6" w14:textId="77777777" w:rsidTr="001F408B">
        <w:tblPrEx>
          <w:tblCellMar>
            <w:top w:w="15" w:type="dxa"/>
            <w:bottom w:w="15" w:type="dxa"/>
          </w:tblCellMar>
          <w:tblLook w:val="04A0" w:firstRow="1" w:lastRow="0" w:firstColumn="1" w:lastColumn="0" w:noHBand="0" w:noVBand="1"/>
        </w:tblPrEx>
        <w:trPr>
          <w:cantSplit/>
          <w:trHeight w:val="20"/>
        </w:trPr>
        <w:tc>
          <w:tcPr>
            <w:tcW w:w="1419" w:type="dxa"/>
          </w:tcPr>
          <w:p w14:paraId="1D5213BA" w14:textId="77777777" w:rsidR="009B5C04" w:rsidRPr="009B5C04" w:rsidRDefault="009B5C04" w:rsidP="004305CF">
            <w:pPr>
              <w:pStyle w:val="PBACtext"/>
              <w:jc w:val="center"/>
              <w:rPr>
                <w:rFonts w:cs="Arial"/>
                <w:bCs/>
                <w:sz w:val="20"/>
                <w:szCs w:val="20"/>
                <w:lang w:eastAsia="en-AU"/>
              </w:rPr>
            </w:pPr>
          </w:p>
        </w:tc>
        <w:tc>
          <w:tcPr>
            <w:tcW w:w="7654" w:type="dxa"/>
            <w:gridSpan w:val="6"/>
            <w:vAlign w:val="center"/>
          </w:tcPr>
          <w:p w14:paraId="70CB9AA3" w14:textId="77777777" w:rsidR="009B5C04" w:rsidRPr="009B5C04" w:rsidRDefault="009B5C04" w:rsidP="004305CF">
            <w:pPr>
              <w:pStyle w:val="PBACtext"/>
              <w:rPr>
                <w:rFonts w:cs="Arial"/>
                <w:sz w:val="20"/>
                <w:szCs w:val="20"/>
              </w:rPr>
            </w:pPr>
            <w:r w:rsidRPr="009B5C04">
              <w:rPr>
                <w:rFonts w:cs="Arial"/>
                <w:b/>
                <w:sz w:val="20"/>
                <w:szCs w:val="20"/>
                <w:lang w:eastAsia="en-AU"/>
              </w:rPr>
              <w:t>Treatment Phase:</w:t>
            </w:r>
            <w:r w:rsidRPr="009B5C04">
              <w:rPr>
                <w:rFonts w:cs="Arial"/>
                <w:sz w:val="20"/>
                <w:szCs w:val="20"/>
                <w:lang w:eastAsia="en-AU"/>
              </w:rPr>
              <w:t xml:space="preserve"> Adjuvant therapy </w:t>
            </w:r>
          </w:p>
        </w:tc>
      </w:tr>
      <w:tr w:rsidR="009B5C04" w:rsidRPr="009B5C04" w14:paraId="2DA225E6" w14:textId="77777777" w:rsidTr="001F408B">
        <w:tblPrEx>
          <w:tblCellMar>
            <w:top w:w="15" w:type="dxa"/>
            <w:bottom w:w="15" w:type="dxa"/>
          </w:tblCellMar>
          <w:tblLook w:val="04A0" w:firstRow="1" w:lastRow="0" w:firstColumn="1" w:lastColumn="0" w:noHBand="0" w:noVBand="1"/>
        </w:tblPrEx>
        <w:trPr>
          <w:cantSplit/>
          <w:trHeight w:val="20"/>
        </w:trPr>
        <w:tc>
          <w:tcPr>
            <w:tcW w:w="1419" w:type="dxa"/>
          </w:tcPr>
          <w:p w14:paraId="4B4C2ACF" w14:textId="77777777" w:rsidR="009B5C04" w:rsidRPr="009B5C04" w:rsidRDefault="009B5C04" w:rsidP="004305CF">
            <w:pPr>
              <w:pStyle w:val="PBACtext"/>
              <w:jc w:val="center"/>
              <w:rPr>
                <w:rFonts w:cs="Arial"/>
                <w:bCs/>
                <w:sz w:val="20"/>
                <w:szCs w:val="20"/>
                <w:lang w:eastAsia="en-AU"/>
              </w:rPr>
            </w:pPr>
          </w:p>
        </w:tc>
        <w:tc>
          <w:tcPr>
            <w:tcW w:w="7654" w:type="dxa"/>
            <w:gridSpan w:val="6"/>
            <w:vAlign w:val="center"/>
          </w:tcPr>
          <w:p w14:paraId="441325E9" w14:textId="77777777" w:rsidR="009B5C04" w:rsidRPr="009B5C04" w:rsidRDefault="009B5C04" w:rsidP="004305CF">
            <w:pPr>
              <w:pStyle w:val="PBACtext"/>
              <w:rPr>
                <w:rFonts w:cs="Arial"/>
                <w:b/>
                <w:sz w:val="20"/>
                <w:szCs w:val="20"/>
                <w:lang w:eastAsia="en-AU"/>
              </w:rPr>
            </w:pPr>
            <w:r w:rsidRPr="009B5C04">
              <w:rPr>
                <w:rFonts w:cs="Arial"/>
                <w:b/>
                <w:sz w:val="20"/>
                <w:szCs w:val="20"/>
                <w:lang w:eastAsia="en-AU"/>
              </w:rPr>
              <w:t>Population criteria:</w:t>
            </w:r>
          </w:p>
        </w:tc>
      </w:tr>
      <w:tr w:rsidR="009B5C04" w:rsidRPr="009B5C04" w14:paraId="2B53FCD9" w14:textId="77777777" w:rsidTr="001F408B">
        <w:tblPrEx>
          <w:tblCellMar>
            <w:top w:w="15" w:type="dxa"/>
            <w:bottom w:w="15" w:type="dxa"/>
          </w:tblCellMar>
          <w:tblLook w:val="04A0" w:firstRow="1" w:lastRow="0" w:firstColumn="1" w:lastColumn="0" w:noHBand="0" w:noVBand="1"/>
        </w:tblPrEx>
        <w:trPr>
          <w:cantSplit/>
          <w:trHeight w:val="20"/>
        </w:trPr>
        <w:tc>
          <w:tcPr>
            <w:tcW w:w="1419" w:type="dxa"/>
          </w:tcPr>
          <w:p w14:paraId="4094C29E" w14:textId="2863C9BA" w:rsidR="009B5C04" w:rsidRPr="009B5C04" w:rsidRDefault="009B5C04" w:rsidP="004305CF">
            <w:pPr>
              <w:pStyle w:val="PBACtext"/>
              <w:jc w:val="center"/>
              <w:rPr>
                <w:rFonts w:cs="Arial"/>
                <w:bCs/>
                <w:sz w:val="20"/>
                <w:szCs w:val="20"/>
                <w:lang w:eastAsia="en-AU"/>
              </w:rPr>
            </w:pPr>
          </w:p>
        </w:tc>
        <w:tc>
          <w:tcPr>
            <w:tcW w:w="7654" w:type="dxa"/>
            <w:gridSpan w:val="6"/>
            <w:vAlign w:val="center"/>
          </w:tcPr>
          <w:p w14:paraId="25FB0DFA" w14:textId="77777777" w:rsidR="009B5C04" w:rsidRPr="009B5C04" w:rsidRDefault="009B5C04" w:rsidP="004305CF">
            <w:pPr>
              <w:pStyle w:val="PBACtext"/>
              <w:rPr>
                <w:rFonts w:cs="Arial"/>
                <w:bCs/>
                <w:sz w:val="20"/>
                <w:szCs w:val="20"/>
                <w:lang w:eastAsia="en-AU"/>
              </w:rPr>
            </w:pPr>
            <w:r w:rsidRPr="009B5C04">
              <w:rPr>
                <w:rFonts w:cs="Arial"/>
                <w:bCs/>
                <w:sz w:val="20"/>
                <w:szCs w:val="20"/>
                <w:lang w:eastAsia="en-AU"/>
              </w:rPr>
              <w:t>Patient must be both: (i) initiating treatment, (ii) untreated with EGFR-TKI for non small cell lung cancer; or</w:t>
            </w:r>
          </w:p>
        </w:tc>
      </w:tr>
      <w:tr w:rsidR="009B5C04" w:rsidRPr="009B5C04" w14:paraId="04AEE13B" w14:textId="77777777" w:rsidTr="001F408B">
        <w:tblPrEx>
          <w:tblCellMar>
            <w:top w:w="15" w:type="dxa"/>
            <w:bottom w:w="15" w:type="dxa"/>
          </w:tblCellMar>
          <w:tblLook w:val="04A0" w:firstRow="1" w:lastRow="0" w:firstColumn="1" w:lastColumn="0" w:noHBand="0" w:noVBand="1"/>
        </w:tblPrEx>
        <w:trPr>
          <w:cantSplit/>
          <w:trHeight w:val="20"/>
        </w:trPr>
        <w:tc>
          <w:tcPr>
            <w:tcW w:w="1419" w:type="dxa"/>
          </w:tcPr>
          <w:p w14:paraId="5017E02E" w14:textId="173E9A26" w:rsidR="009B5C04" w:rsidRPr="009B5C04" w:rsidRDefault="009B5C04" w:rsidP="004305CF">
            <w:pPr>
              <w:pStyle w:val="PBACtext"/>
              <w:jc w:val="center"/>
              <w:rPr>
                <w:rFonts w:cs="Arial"/>
                <w:bCs/>
                <w:sz w:val="20"/>
                <w:szCs w:val="20"/>
                <w:lang w:eastAsia="en-AU"/>
              </w:rPr>
            </w:pPr>
          </w:p>
        </w:tc>
        <w:tc>
          <w:tcPr>
            <w:tcW w:w="7654" w:type="dxa"/>
            <w:gridSpan w:val="6"/>
            <w:vAlign w:val="center"/>
          </w:tcPr>
          <w:p w14:paraId="3F002C43" w14:textId="77777777" w:rsidR="009B5C04" w:rsidRPr="009B5C04" w:rsidRDefault="009B5C04" w:rsidP="004305CF">
            <w:pPr>
              <w:pStyle w:val="PBACtext"/>
              <w:rPr>
                <w:rFonts w:cs="Arial"/>
                <w:bCs/>
                <w:sz w:val="20"/>
                <w:szCs w:val="20"/>
                <w:lang w:eastAsia="en-AU"/>
              </w:rPr>
            </w:pPr>
            <w:r w:rsidRPr="009B5C04">
              <w:rPr>
                <w:rFonts w:cs="Arial"/>
                <w:bCs/>
                <w:sz w:val="20"/>
                <w:szCs w:val="20"/>
                <w:lang w:eastAsia="en-AU"/>
              </w:rPr>
              <w:t>Patient must be continuing existing PBS-subsidised treatment with this drug; or</w:t>
            </w:r>
          </w:p>
        </w:tc>
      </w:tr>
      <w:tr w:rsidR="009B5C04" w:rsidRPr="009B5C04" w14:paraId="28D1EF57" w14:textId="77777777" w:rsidTr="001F408B">
        <w:tblPrEx>
          <w:tblCellMar>
            <w:top w:w="15" w:type="dxa"/>
            <w:bottom w:w="15" w:type="dxa"/>
          </w:tblCellMar>
          <w:tblLook w:val="04A0" w:firstRow="1" w:lastRow="0" w:firstColumn="1" w:lastColumn="0" w:noHBand="0" w:noVBand="1"/>
        </w:tblPrEx>
        <w:trPr>
          <w:cantSplit/>
          <w:trHeight w:val="20"/>
        </w:trPr>
        <w:tc>
          <w:tcPr>
            <w:tcW w:w="1419" w:type="dxa"/>
          </w:tcPr>
          <w:p w14:paraId="44035493" w14:textId="08E25F3D" w:rsidR="009B5C04" w:rsidRPr="009B5C04" w:rsidRDefault="009B5C04" w:rsidP="004305CF">
            <w:pPr>
              <w:pStyle w:val="PBACtext"/>
              <w:jc w:val="center"/>
              <w:rPr>
                <w:rFonts w:cs="Arial"/>
                <w:bCs/>
                <w:sz w:val="20"/>
                <w:szCs w:val="20"/>
                <w:lang w:eastAsia="en-AU"/>
              </w:rPr>
            </w:pPr>
          </w:p>
        </w:tc>
        <w:tc>
          <w:tcPr>
            <w:tcW w:w="7654" w:type="dxa"/>
            <w:gridSpan w:val="6"/>
            <w:vAlign w:val="center"/>
          </w:tcPr>
          <w:p w14:paraId="4ED05176" w14:textId="77777777" w:rsidR="009B5C04" w:rsidRPr="009B5C04" w:rsidRDefault="009B5C04" w:rsidP="004305CF">
            <w:pPr>
              <w:pStyle w:val="PBACtext"/>
              <w:rPr>
                <w:rFonts w:cs="Arial"/>
                <w:bCs/>
                <w:sz w:val="20"/>
                <w:szCs w:val="20"/>
                <w:lang w:eastAsia="en-AU"/>
              </w:rPr>
            </w:pPr>
            <w:r w:rsidRPr="009B5C04">
              <w:rPr>
                <w:rFonts w:cs="Arial"/>
                <w:bCs/>
                <w:sz w:val="20"/>
                <w:szCs w:val="20"/>
                <w:lang w:eastAsia="en-AU"/>
              </w:rPr>
              <w:t>Patient must be both: (i) transitioning from existing non-PBS to PBS subsidised supply of this drug, (ii) untreated with EGFR-TKI at the time this drug was initiated</w:t>
            </w:r>
          </w:p>
        </w:tc>
      </w:tr>
      <w:tr w:rsidR="009B5C04" w:rsidRPr="009B5C04" w14:paraId="1214CEE7" w14:textId="77777777" w:rsidTr="001F408B">
        <w:tblPrEx>
          <w:tblCellMar>
            <w:top w:w="15" w:type="dxa"/>
            <w:bottom w:w="15" w:type="dxa"/>
          </w:tblCellMar>
          <w:tblLook w:val="04A0" w:firstRow="1" w:lastRow="0" w:firstColumn="1" w:lastColumn="0" w:noHBand="0" w:noVBand="1"/>
        </w:tblPrEx>
        <w:trPr>
          <w:cantSplit/>
          <w:trHeight w:val="20"/>
        </w:trPr>
        <w:tc>
          <w:tcPr>
            <w:tcW w:w="1419" w:type="dxa"/>
          </w:tcPr>
          <w:p w14:paraId="18D79D6C" w14:textId="77777777" w:rsidR="009B5C04" w:rsidRPr="009B5C04" w:rsidRDefault="009B5C04" w:rsidP="004305CF">
            <w:pPr>
              <w:pStyle w:val="PBACtext"/>
              <w:jc w:val="center"/>
              <w:rPr>
                <w:rFonts w:cs="Arial"/>
                <w:bCs/>
                <w:sz w:val="20"/>
                <w:szCs w:val="20"/>
                <w:lang w:eastAsia="en-AU"/>
              </w:rPr>
            </w:pPr>
          </w:p>
        </w:tc>
        <w:tc>
          <w:tcPr>
            <w:tcW w:w="7654" w:type="dxa"/>
            <w:gridSpan w:val="6"/>
            <w:vAlign w:val="center"/>
          </w:tcPr>
          <w:p w14:paraId="22BEF048" w14:textId="77777777" w:rsidR="009B5C04" w:rsidRPr="009B5C04" w:rsidRDefault="009B5C04" w:rsidP="004305CF">
            <w:pPr>
              <w:pStyle w:val="PBACtext"/>
              <w:rPr>
                <w:rFonts w:cs="Arial"/>
                <w:b/>
                <w:sz w:val="20"/>
                <w:szCs w:val="20"/>
                <w:lang w:eastAsia="en-AU"/>
              </w:rPr>
            </w:pPr>
            <w:r w:rsidRPr="009B5C04">
              <w:rPr>
                <w:rFonts w:cs="Arial"/>
                <w:b/>
                <w:sz w:val="20"/>
                <w:szCs w:val="20"/>
                <w:lang w:eastAsia="en-AU"/>
              </w:rPr>
              <w:t>AND</w:t>
            </w:r>
          </w:p>
        </w:tc>
      </w:tr>
      <w:tr w:rsidR="009B5C04" w:rsidRPr="009B5C04" w14:paraId="451C49CB" w14:textId="77777777" w:rsidTr="001F408B">
        <w:tblPrEx>
          <w:tblCellMar>
            <w:top w:w="15" w:type="dxa"/>
            <w:bottom w:w="15" w:type="dxa"/>
          </w:tblCellMar>
          <w:tblLook w:val="04A0" w:firstRow="1" w:lastRow="0" w:firstColumn="1" w:lastColumn="0" w:noHBand="0" w:noVBand="1"/>
        </w:tblPrEx>
        <w:trPr>
          <w:cantSplit/>
          <w:trHeight w:val="20"/>
        </w:trPr>
        <w:tc>
          <w:tcPr>
            <w:tcW w:w="1419" w:type="dxa"/>
          </w:tcPr>
          <w:p w14:paraId="4352381A" w14:textId="77777777" w:rsidR="009B5C04" w:rsidRPr="009B5C04" w:rsidRDefault="009B5C04" w:rsidP="004305CF">
            <w:pPr>
              <w:pStyle w:val="PBACtext"/>
              <w:jc w:val="center"/>
              <w:rPr>
                <w:rFonts w:cs="Arial"/>
                <w:bCs/>
                <w:sz w:val="20"/>
                <w:szCs w:val="20"/>
                <w:lang w:eastAsia="en-AU"/>
              </w:rPr>
            </w:pPr>
          </w:p>
        </w:tc>
        <w:tc>
          <w:tcPr>
            <w:tcW w:w="7654" w:type="dxa"/>
            <w:gridSpan w:val="6"/>
            <w:vAlign w:val="center"/>
          </w:tcPr>
          <w:p w14:paraId="443F2286" w14:textId="77777777" w:rsidR="009B5C04" w:rsidRPr="009B5C04" w:rsidRDefault="009B5C04" w:rsidP="004305CF">
            <w:pPr>
              <w:pStyle w:val="PBACtext"/>
              <w:rPr>
                <w:rFonts w:cs="Arial"/>
                <w:b/>
                <w:sz w:val="20"/>
                <w:szCs w:val="20"/>
                <w:lang w:eastAsia="en-AU"/>
              </w:rPr>
            </w:pPr>
            <w:r w:rsidRPr="009B5C04">
              <w:rPr>
                <w:b/>
                <w:sz w:val="20"/>
                <w:szCs w:val="20"/>
                <w:lang w:eastAsia="en-AU"/>
              </w:rPr>
              <w:t>Clinical criteria:</w:t>
            </w:r>
          </w:p>
        </w:tc>
      </w:tr>
      <w:tr w:rsidR="009B5C04" w:rsidRPr="009B5C04" w14:paraId="0212E1A6" w14:textId="77777777" w:rsidTr="001F408B">
        <w:tblPrEx>
          <w:tblCellMar>
            <w:top w:w="15" w:type="dxa"/>
            <w:bottom w:w="15" w:type="dxa"/>
          </w:tblCellMar>
          <w:tblLook w:val="04A0" w:firstRow="1" w:lastRow="0" w:firstColumn="1" w:lastColumn="0" w:noHBand="0" w:noVBand="1"/>
        </w:tblPrEx>
        <w:trPr>
          <w:cantSplit/>
          <w:trHeight w:val="20"/>
        </w:trPr>
        <w:tc>
          <w:tcPr>
            <w:tcW w:w="1419" w:type="dxa"/>
          </w:tcPr>
          <w:p w14:paraId="6947C5CA" w14:textId="2AB2D2D4" w:rsidR="009B5C04" w:rsidRPr="009B5C04" w:rsidRDefault="009B5C04" w:rsidP="004305CF">
            <w:pPr>
              <w:pStyle w:val="PBACtext"/>
              <w:jc w:val="center"/>
              <w:rPr>
                <w:rFonts w:cs="Arial"/>
                <w:bCs/>
                <w:sz w:val="20"/>
                <w:szCs w:val="20"/>
                <w:lang w:eastAsia="en-AU"/>
              </w:rPr>
            </w:pPr>
          </w:p>
        </w:tc>
        <w:tc>
          <w:tcPr>
            <w:tcW w:w="7654" w:type="dxa"/>
            <w:gridSpan w:val="6"/>
            <w:vAlign w:val="center"/>
          </w:tcPr>
          <w:p w14:paraId="017BB672" w14:textId="77777777" w:rsidR="009B5C04" w:rsidRPr="009B5C04" w:rsidRDefault="009B5C04" w:rsidP="004305CF">
            <w:pPr>
              <w:pStyle w:val="PBACtext"/>
              <w:rPr>
                <w:rFonts w:cs="Arial"/>
                <w:bCs/>
                <w:sz w:val="20"/>
                <w:szCs w:val="20"/>
                <w:lang w:eastAsia="en-AU"/>
              </w:rPr>
            </w:pPr>
            <w:r w:rsidRPr="009B5C04">
              <w:rPr>
                <w:rFonts w:cs="Arial"/>
                <w:bCs/>
                <w:sz w:val="20"/>
                <w:szCs w:val="20"/>
                <w:lang w:eastAsia="en-AU"/>
              </w:rPr>
              <w:t>The treatment must be for the purpose of adjuvant therapy following surgical resection</w:t>
            </w:r>
          </w:p>
        </w:tc>
      </w:tr>
      <w:tr w:rsidR="009B5C04" w:rsidRPr="009B5C04" w14:paraId="3DB51501" w14:textId="77777777" w:rsidTr="001F408B">
        <w:tblPrEx>
          <w:tblCellMar>
            <w:top w:w="15" w:type="dxa"/>
            <w:bottom w:w="15" w:type="dxa"/>
          </w:tblCellMar>
          <w:tblLook w:val="04A0" w:firstRow="1" w:lastRow="0" w:firstColumn="1" w:lastColumn="0" w:noHBand="0" w:noVBand="1"/>
        </w:tblPrEx>
        <w:trPr>
          <w:cantSplit/>
          <w:trHeight w:val="20"/>
        </w:trPr>
        <w:tc>
          <w:tcPr>
            <w:tcW w:w="1419" w:type="dxa"/>
          </w:tcPr>
          <w:p w14:paraId="2967538E" w14:textId="77777777" w:rsidR="009B5C04" w:rsidRPr="009B5C04" w:rsidRDefault="009B5C04" w:rsidP="004305CF">
            <w:pPr>
              <w:pStyle w:val="PBACtext"/>
              <w:jc w:val="center"/>
              <w:rPr>
                <w:bCs/>
                <w:sz w:val="20"/>
                <w:szCs w:val="20"/>
                <w:lang w:eastAsia="en-AU"/>
              </w:rPr>
            </w:pPr>
          </w:p>
        </w:tc>
        <w:tc>
          <w:tcPr>
            <w:tcW w:w="7654" w:type="dxa"/>
            <w:gridSpan w:val="6"/>
            <w:vAlign w:val="center"/>
          </w:tcPr>
          <w:p w14:paraId="7BFD410A" w14:textId="77777777" w:rsidR="009B5C04" w:rsidRPr="009B5C04" w:rsidRDefault="009B5C04" w:rsidP="004305CF">
            <w:pPr>
              <w:pStyle w:val="PBACtext"/>
              <w:rPr>
                <w:rFonts w:cs="Arial"/>
                <w:b/>
                <w:sz w:val="20"/>
                <w:szCs w:val="20"/>
              </w:rPr>
            </w:pPr>
            <w:r w:rsidRPr="009B5C04">
              <w:rPr>
                <w:b/>
                <w:sz w:val="20"/>
                <w:szCs w:val="20"/>
                <w:lang w:eastAsia="en-AU"/>
              </w:rPr>
              <w:t>AND</w:t>
            </w:r>
          </w:p>
        </w:tc>
      </w:tr>
      <w:tr w:rsidR="009B5C04" w:rsidRPr="009B5C04" w14:paraId="6262DD6D" w14:textId="77777777" w:rsidTr="001F408B">
        <w:tblPrEx>
          <w:tblCellMar>
            <w:top w:w="15" w:type="dxa"/>
            <w:bottom w:w="15" w:type="dxa"/>
          </w:tblCellMar>
          <w:tblLook w:val="04A0" w:firstRow="1" w:lastRow="0" w:firstColumn="1" w:lastColumn="0" w:noHBand="0" w:noVBand="1"/>
        </w:tblPrEx>
        <w:trPr>
          <w:cantSplit/>
          <w:trHeight w:val="20"/>
        </w:trPr>
        <w:tc>
          <w:tcPr>
            <w:tcW w:w="1419" w:type="dxa"/>
          </w:tcPr>
          <w:p w14:paraId="66F3AD0A" w14:textId="77777777" w:rsidR="009B5C04" w:rsidRPr="009B5C04" w:rsidRDefault="009B5C04" w:rsidP="004305CF">
            <w:pPr>
              <w:pStyle w:val="PBACtext"/>
              <w:jc w:val="center"/>
              <w:rPr>
                <w:bCs/>
                <w:sz w:val="20"/>
                <w:szCs w:val="20"/>
                <w:lang w:eastAsia="en-AU"/>
              </w:rPr>
            </w:pPr>
          </w:p>
        </w:tc>
        <w:tc>
          <w:tcPr>
            <w:tcW w:w="7654" w:type="dxa"/>
            <w:gridSpan w:val="6"/>
            <w:vAlign w:val="center"/>
          </w:tcPr>
          <w:p w14:paraId="2D424521" w14:textId="77777777" w:rsidR="009B5C04" w:rsidRPr="009B5C04" w:rsidRDefault="009B5C04" w:rsidP="004305CF">
            <w:pPr>
              <w:pStyle w:val="PBACtext"/>
              <w:rPr>
                <w:b/>
                <w:sz w:val="20"/>
                <w:szCs w:val="20"/>
                <w:lang w:eastAsia="en-AU"/>
              </w:rPr>
            </w:pPr>
            <w:r w:rsidRPr="009B5C04">
              <w:rPr>
                <w:b/>
                <w:sz w:val="20"/>
                <w:szCs w:val="20"/>
                <w:lang w:eastAsia="en-AU"/>
              </w:rPr>
              <w:t>Clinical criteria:</w:t>
            </w:r>
          </w:p>
        </w:tc>
      </w:tr>
      <w:tr w:rsidR="009B5C04" w:rsidRPr="009B5C04" w14:paraId="0BBFAD5E" w14:textId="77777777" w:rsidTr="001F408B">
        <w:tblPrEx>
          <w:tblCellMar>
            <w:top w:w="15" w:type="dxa"/>
            <w:bottom w:w="15" w:type="dxa"/>
          </w:tblCellMar>
          <w:tblLook w:val="04A0" w:firstRow="1" w:lastRow="0" w:firstColumn="1" w:lastColumn="0" w:noHBand="0" w:noVBand="1"/>
        </w:tblPrEx>
        <w:trPr>
          <w:cantSplit/>
          <w:trHeight w:val="20"/>
        </w:trPr>
        <w:tc>
          <w:tcPr>
            <w:tcW w:w="1419" w:type="dxa"/>
          </w:tcPr>
          <w:p w14:paraId="05D581A8" w14:textId="50FD859D" w:rsidR="009B5C04" w:rsidRPr="009B5C04" w:rsidRDefault="009B5C04" w:rsidP="004305CF">
            <w:pPr>
              <w:pStyle w:val="PBACtext"/>
              <w:jc w:val="center"/>
              <w:rPr>
                <w:bCs/>
                <w:sz w:val="20"/>
                <w:szCs w:val="20"/>
                <w:lang w:eastAsia="en-AU"/>
              </w:rPr>
            </w:pPr>
          </w:p>
        </w:tc>
        <w:tc>
          <w:tcPr>
            <w:tcW w:w="7654" w:type="dxa"/>
            <w:gridSpan w:val="6"/>
          </w:tcPr>
          <w:p w14:paraId="6ADBC273" w14:textId="77777777" w:rsidR="009B5C04" w:rsidRPr="009B5C04" w:rsidRDefault="009B5C04" w:rsidP="004305CF">
            <w:pPr>
              <w:pStyle w:val="PBACtext"/>
              <w:rPr>
                <w:b/>
                <w:sz w:val="20"/>
                <w:szCs w:val="20"/>
                <w:lang w:eastAsia="en-AU"/>
              </w:rPr>
            </w:pPr>
            <w:r w:rsidRPr="009B5C04">
              <w:rPr>
                <w:rFonts w:cs="Arial"/>
                <w:bCs/>
                <w:sz w:val="20"/>
                <w:szCs w:val="20"/>
                <w:lang w:eastAsia="en-AU"/>
              </w:rPr>
              <w:t>Patient must have evidence of an activating epidermal growth factor receptor (EGFR) gene mutation known to confer sensitivity to treatment with EGFR tyrosine kinase inhibitors in tumour material</w:t>
            </w:r>
          </w:p>
        </w:tc>
      </w:tr>
      <w:tr w:rsidR="009B5C04" w:rsidRPr="009B5C04" w14:paraId="1DB0DA30" w14:textId="77777777" w:rsidTr="001F408B">
        <w:tblPrEx>
          <w:tblCellMar>
            <w:top w:w="15" w:type="dxa"/>
            <w:bottom w:w="15" w:type="dxa"/>
          </w:tblCellMar>
          <w:tblLook w:val="04A0" w:firstRow="1" w:lastRow="0" w:firstColumn="1" w:lastColumn="0" w:noHBand="0" w:noVBand="1"/>
        </w:tblPrEx>
        <w:trPr>
          <w:cantSplit/>
          <w:trHeight w:val="20"/>
        </w:trPr>
        <w:tc>
          <w:tcPr>
            <w:tcW w:w="1419" w:type="dxa"/>
          </w:tcPr>
          <w:p w14:paraId="536A9EBA" w14:textId="77777777" w:rsidR="009B5C04" w:rsidRPr="009B5C04" w:rsidRDefault="009B5C04" w:rsidP="004305CF">
            <w:pPr>
              <w:pStyle w:val="PBACtext"/>
              <w:jc w:val="center"/>
              <w:rPr>
                <w:bCs/>
                <w:sz w:val="20"/>
                <w:szCs w:val="20"/>
                <w:lang w:eastAsia="en-AU"/>
              </w:rPr>
            </w:pPr>
          </w:p>
        </w:tc>
        <w:tc>
          <w:tcPr>
            <w:tcW w:w="7654" w:type="dxa"/>
            <w:gridSpan w:val="6"/>
          </w:tcPr>
          <w:p w14:paraId="3C582C86" w14:textId="77777777" w:rsidR="009B5C04" w:rsidRPr="009B5C04" w:rsidRDefault="009B5C04" w:rsidP="004305CF">
            <w:pPr>
              <w:pStyle w:val="PBACtext"/>
              <w:rPr>
                <w:rFonts w:cs="Arial"/>
                <w:bCs/>
                <w:sz w:val="20"/>
                <w:szCs w:val="20"/>
                <w:lang w:eastAsia="en-AU"/>
              </w:rPr>
            </w:pPr>
            <w:r w:rsidRPr="009B5C04">
              <w:rPr>
                <w:b/>
                <w:sz w:val="20"/>
                <w:szCs w:val="20"/>
                <w:lang w:eastAsia="en-AU"/>
              </w:rPr>
              <w:t>AND</w:t>
            </w:r>
          </w:p>
        </w:tc>
      </w:tr>
      <w:tr w:rsidR="009B5C04" w:rsidRPr="009B5C04" w14:paraId="5A7C6BFE" w14:textId="77777777" w:rsidTr="001F408B">
        <w:tblPrEx>
          <w:tblCellMar>
            <w:top w:w="15" w:type="dxa"/>
            <w:bottom w:w="15" w:type="dxa"/>
          </w:tblCellMar>
          <w:tblLook w:val="04A0" w:firstRow="1" w:lastRow="0" w:firstColumn="1" w:lastColumn="0" w:noHBand="0" w:noVBand="1"/>
        </w:tblPrEx>
        <w:trPr>
          <w:cantSplit/>
          <w:trHeight w:val="20"/>
        </w:trPr>
        <w:tc>
          <w:tcPr>
            <w:tcW w:w="1419" w:type="dxa"/>
          </w:tcPr>
          <w:p w14:paraId="24AF1E2F" w14:textId="77777777" w:rsidR="009B5C04" w:rsidRPr="009B5C04" w:rsidRDefault="009B5C04" w:rsidP="004305CF">
            <w:pPr>
              <w:pStyle w:val="PBACtext"/>
              <w:jc w:val="center"/>
              <w:rPr>
                <w:bCs/>
                <w:sz w:val="20"/>
                <w:szCs w:val="20"/>
                <w:lang w:eastAsia="en-AU"/>
              </w:rPr>
            </w:pPr>
          </w:p>
        </w:tc>
        <w:tc>
          <w:tcPr>
            <w:tcW w:w="7654" w:type="dxa"/>
            <w:gridSpan w:val="6"/>
            <w:vAlign w:val="center"/>
          </w:tcPr>
          <w:p w14:paraId="6D25B422" w14:textId="77777777" w:rsidR="009B5C04" w:rsidRPr="009B5C04" w:rsidRDefault="009B5C04" w:rsidP="004305CF">
            <w:pPr>
              <w:pStyle w:val="PBACtext"/>
              <w:rPr>
                <w:rFonts w:cs="Arial"/>
                <w:b/>
                <w:sz w:val="20"/>
                <w:szCs w:val="20"/>
              </w:rPr>
            </w:pPr>
            <w:r w:rsidRPr="009B5C04">
              <w:rPr>
                <w:b/>
                <w:sz w:val="20"/>
                <w:szCs w:val="20"/>
                <w:lang w:eastAsia="en-AU"/>
              </w:rPr>
              <w:t>Clinical criteria:</w:t>
            </w:r>
          </w:p>
        </w:tc>
      </w:tr>
      <w:tr w:rsidR="009B5C04" w:rsidRPr="009B5C04" w14:paraId="30A0317F" w14:textId="77777777" w:rsidTr="001F408B">
        <w:tblPrEx>
          <w:tblCellMar>
            <w:top w:w="15" w:type="dxa"/>
            <w:bottom w:w="15" w:type="dxa"/>
          </w:tblCellMar>
          <w:tblLook w:val="04A0" w:firstRow="1" w:lastRow="0" w:firstColumn="1" w:lastColumn="0" w:noHBand="0" w:noVBand="1"/>
        </w:tblPrEx>
        <w:trPr>
          <w:cantSplit/>
          <w:trHeight w:val="20"/>
        </w:trPr>
        <w:tc>
          <w:tcPr>
            <w:tcW w:w="1419" w:type="dxa"/>
          </w:tcPr>
          <w:p w14:paraId="7247E1FC" w14:textId="28FBAE21" w:rsidR="00416325" w:rsidRPr="009B5C04" w:rsidRDefault="00416325" w:rsidP="00A746EE">
            <w:pPr>
              <w:pStyle w:val="PBACtext"/>
              <w:jc w:val="center"/>
              <w:rPr>
                <w:rFonts w:cs="Arial"/>
                <w:bCs/>
                <w:sz w:val="20"/>
                <w:szCs w:val="20"/>
              </w:rPr>
            </w:pPr>
          </w:p>
        </w:tc>
        <w:tc>
          <w:tcPr>
            <w:tcW w:w="7654" w:type="dxa"/>
            <w:gridSpan w:val="6"/>
            <w:vAlign w:val="center"/>
          </w:tcPr>
          <w:p w14:paraId="4AB58445" w14:textId="595E3B7F" w:rsidR="009B5C04" w:rsidRPr="009B5C04" w:rsidRDefault="00802EE4" w:rsidP="00A746EE">
            <w:pPr>
              <w:pStyle w:val="PBACtext"/>
              <w:rPr>
                <w:rFonts w:cs="Arial"/>
                <w:sz w:val="20"/>
                <w:szCs w:val="20"/>
              </w:rPr>
            </w:pPr>
            <w:r w:rsidRPr="00802EE4">
              <w:rPr>
                <w:sz w:val="20"/>
                <w:szCs w:val="20"/>
                <w:lang w:val="en-GB"/>
              </w:rPr>
              <w:t>Patient must have/have had a WHO performance status score of no greater than 1 at treatment initiation with this drug</w:t>
            </w:r>
          </w:p>
        </w:tc>
      </w:tr>
      <w:tr w:rsidR="009B5C04" w:rsidRPr="009B5C04" w14:paraId="5B6FD632" w14:textId="77777777" w:rsidTr="001F408B">
        <w:tblPrEx>
          <w:tblCellMar>
            <w:top w:w="15" w:type="dxa"/>
            <w:bottom w:w="15" w:type="dxa"/>
          </w:tblCellMar>
          <w:tblLook w:val="04A0" w:firstRow="1" w:lastRow="0" w:firstColumn="1" w:lastColumn="0" w:noHBand="0" w:noVBand="1"/>
        </w:tblPrEx>
        <w:trPr>
          <w:cantSplit/>
          <w:trHeight w:val="20"/>
        </w:trPr>
        <w:tc>
          <w:tcPr>
            <w:tcW w:w="1419" w:type="dxa"/>
          </w:tcPr>
          <w:p w14:paraId="0C97943B" w14:textId="77777777" w:rsidR="009B5C04" w:rsidRPr="009B5C04" w:rsidRDefault="009B5C04" w:rsidP="004305CF">
            <w:pPr>
              <w:pStyle w:val="PBACtext"/>
              <w:ind w:left="720" w:hanging="720"/>
              <w:jc w:val="center"/>
              <w:rPr>
                <w:rFonts w:cs="Arial"/>
                <w:bCs/>
                <w:sz w:val="20"/>
                <w:szCs w:val="20"/>
              </w:rPr>
            </w:pPr>
          </w:p>
        </w:tc>
        <w:tc>
          <w:tcPr>
            <w:tcW w:w="7654" w:type="dxa"/>
            <w:gridSpan w:val="6"/>
            <w:vAlign w:val="center"/>
          </w:tcPr>
          <w:p w14:paraId="2E1E4CAA" w14:textId="77777777" w:rsidR="009B5C04" w:rsidRPr="009B5C04" w:rsidRDefault="009B5C04" w:rsidP="004305CF">
            <w:pPr>
              <w:pStyle w:val="PBACtext"/>
              <w:ind w:left="720" w:hanging="720"/>
              <w:rPr>
                <w:rFonts w:cs="Arial"/>
                <w:b/>
                <w:bCs/>
                <w:sz w:val="20"/>
                <w:szCs w:val="20"/>
              </w:rPr>
            </w:pPr>
            <w:r w:rsidRPr="009B5C04">
              <w:rPr>
                <w:rFonts w:cs="Arial"/>
                <w:b/>
                <w:bCs/>
                <w:sz w:val="20"/>
                <w:szCs w:val="20"/>
              </w:rPr>
              <w:t>AND</w:t>
            </w:r>
          </w:p>
        </w:tc>
      </w:tr>
      <w:tr w:rsidR="009B5C04" w:rsidRPr="009B5C04" w14:paraId="5B993D00" w14:textId="77777777" w:rsidTr="001F408B">
        <w:tblPrEx>
          <w:tblCellMar>
            <w:top w:w="15" w:type="dxa"/>
            <w:bottom w:w="15" w:type="dxa"/>
          </w:tblCellMar>
          <w:tblLook w:val="04A0" w:firstRow="1" w:lastRow="0" w:firstColumn="1" w:lastColumn="0" w:noHBand="0" w:noVBand="1"/>
        </w:tblPrEx>
        <w:trPr>
          <w:cantSplit/>
          <w:trHeight w:val="20"/>
        </w:trPr>
        <w:tc>
          <w:tcPr>
            <w:tcW w:w="1419" w:type="dxa"/>
          </w:tcPr>
          <w:p w14:paraId="6C791E18" w14:textId="77777777" w:rsidR="009B5C04" w:rsidRPr="009B5C04" w:rsidRDefault="009B5C04" w:rsidP="004305CF">
            <w:pPr>
              <w:pStyle w:val="PBACtext"/>
              <w:ind w:left="720" w:hanging="720"/>
              <w:jc w:val="center"/>
              <w:rPr>
                <w:rFonts w:cs="Arial"/>
                <w:bCs/>
                <w:sz w:val="20"/>
                <w:szCs w:val="20"/>
              </w:rPr>
            </w:pPr>
          </w:p>
        </w:tc>
        <w:tc>
          <w:tcPr>
            <w:tcW w:w="7654" w:type="dxa"/>
            <w:gridSpan w:val="6"/>
            <w:vAlign w:val="center"/>
          </w:tcPr>
          <w:p w14:paraId="7D846811" w14:textId="77777777" w:rsidR="009B5C04" w:rsidRPr="009B5C04" w:rsidRDefault="009B5C04" w:rsidP="004305CF">
            <w:pPr>
              <w:pStyle w:val="PBACtext"/>
              <w:ind w:left="720" w:hanging="720"/>
              <w:rPr>
                <w:rFonts w:cs="Arial"/>
                <w:b/>
                <w:bCs/>
                <w:sz w:val="20"/>
                <w:szCs w:val="20"/>
              </w:rPr>
            </w:pPr>
            <w:r w:rsidRPr="009B5C04">
              <w:rPr>
                <w:b/>
                <w:sz w:val="20"/>
                <w:szCs w:val="20"/>
                <w:lang w:eastAsia="en-AU"/>
              </w:rPr>
              <w:t xml:space="preserve">Treatment </w:t>
            </w:r>
            <w:r w:rsidRPr="009B5C04">
              <w:rPr>
                <w:rFonts w:cs="Arial"/>
                <w:b/>
                <w:bCs/>
                <w:sz w:val="20"/>
                <w:szCs w:val="20"/>
              </w:rPr>
              <w:t>criteria:</w:t>
            </w:r>
          </w:p>
        </w:tc>
      </w:tr>
      <w:tr w:rsidR="009B5C04" w:rsidRPr="009B5C04" w14:paraId="6B4F541F" w14:textId="77777777" w:rsidTr="001F408B">
        <w:tblPrEx>
          <w:tblCellMar>
            <w:top w:w="15" w:type="dxa"/>
            <w:bottom w:w="15" w:type="dxa"/>
          </w:tblCellMar>
          <w:tblLook w:val="04A0" w:firstRow="1" w:lastRow="0" w:firstColumn="1" w:lastColumn="0" w:noHBand="0" w:noVBand="1"/>
        </w:tblPrEx>
        <w:trPr>
          <w:cantSplit/>
          <w:trHeight w:val="20"/>
        </w:trPr>
        <w:tc>
          <w:tcPr>
            <w:tcW w:w="1419" w:type="dxa"/>
          </w:tcPr>
          <w:p w14:paraId="20C60756" w14:textId="6224E737" w:rsidR="009B5C04" w:rsidRPr="009B5C04" w:rsidRDefault="009B5C04" w:rsidP="004305CF">
            <w:pPr>
              <w:pStyle w:val="PBACtext"/>
              <w:ind w:left="720" w:hanging="720"/>
              <w:jc w:val="center"/>
              <w:rPr>
                <w:rFonts w:cs="Arial"/>
                <w:bCs/>
                <w:sz w:val="20"/>
                <w:szCs w:val="20"/>
              </w:rPr>
            </w:pPr>
          </w:p>
        </w:tc>
        <w:tc>
          <w:tcPr>
            <w:tcW w:w="7654" w:type="dxa"/>
            <w:gridSpan w:val="6"/>
            <w:vAlign w:val="center"/>
          </w:tcPr>
          <w:p w14:paraId="68143C04" w14:textId="77777777" w:rsidR="009B5C04" w:rsidRPr="009B5C04" w:rsidRDefault="009B5C04" w:rsidP="004305CF">
            <w:pPr>
              <w:pStyle w:val="PBACtext"/>
              <w:ind w:left="720" w:hanging="720"/>
              <w:rPr>
                <w:rFonts w:cs="Arial"/>
                <w:sz w:val="20"/>
                <w:szCs w:val="20"/>
              </w:rPr>
            </w:pPr>
            <w:r w:rsidRPr="009B5C04">
              <w:rPr>
                <w:rFonts w:cs="Arial"/>
                <w:sz w:val="20"/>
                <w:szCs w:val="20"/>
              </w:rPr>
              <w:t>The treatment must be commenced within 26 weeks of surgery</w:t>
            </w:r>
          </w:p>
        </w:tc>
      </w:tr>
      <w:tr w:rsidR="009B5C04" w:rsidRPr="009B5C04" w14:paraId="1BDC2870" w14:textId="77777777" w:rsidTr="001F408B">
        <w:tblPrEx>
          <w:tblCellMar>
            <w:top w:w="15" w:type="dxa"/>
            <w:bottom w:w="15" w:type="dxa"/>
          </w:tblCellMar>
          <w:tblLook w:val="04A0" w:firstRow="1" w:lastRow="0" w:firstColumn="1" w:lastColumn="0" w:noHBand="0" w:noVBand="1"/>
        </w:tblPrEx>
        <w:trPr>
          <w:cantSplit/>
          <w:trHeight w:val="20"/>
        </w:trPr>
        <w:tc>
          <w:tcPr>
            <w:tcW w:w="1419" w:type="dxa"/>
          </w:tcPr>
          <w:p w14:paraId="5D5B0DF7" w14:textId="77777777" w:rsidR="009B5C04" w:rsidRPr="009B5C04" w:rsidRDefault="009B5C04" w:rsidP="004305CF">
            <w:pPr>
              <w:pStyle w:val="PBACtext"/>
              <w:ind w:left="720" w:hanging="720"/>
              <w:jc w:val="center"/>
              <w:rPr>
                <w:rFonts w:cs="Arial"/>
                <w:bCs/>
                <w:sz w:val="20"/>
                <w:szCs w:val="20"/>
              </w:rPr>
            </w:pPr>
          </w:p>
        </w:tc>
        <w:tc>
          <w:tcPr>
            <w:tcW w:w="7654" w:type="dxa"/>
            <w:gridSpan w:val="6"/>
            <w:vAlign w:val="center"/>
          </w:tcPr>
          <w:p w14:paraId="09339B5E" w14:textId="77777777" w:rsidR="009B5C04" w:rsidRPr="009B5C04" w:rsidRDefault="009B5C04" w:rsidP="004305CF">
            <w:pPr>
              <w:pStyle w:val="PBACtext"/>
              <w:ind w:left="720" w:hanging="720"/>
              <w:rPr>
                <w:rFonts w:cs="Arial"/>
                <w:sz w:val="20"/>
                <w:szCs w:val="20"/>
              </w:rPr>
            </w:pPr>
            <w:r w:rsidRPr="009B5C04">
              <w:rPr>
                <w:rFonts w:cs="Arial"/>
                <w:b/>
                <w:bCs/>
                <w:sz w:val="20"/>
                <w:szCs w:val="20"/>
              </w:rPr>
              <w:t>AND</w:t>
            </w:r>
          </w:p>
        </w:tc>
      </w:tr>
      <w:tr w:rsidR="009B5C04" w:rsidRPr="009B5C04" w14:paraId="587CD182" w14:textId="77777777" w:rsidTr="001F408B">
        <w:tblPrEx>
          <w:tblCellMar>
            <w:top w:w="15" w:type="dxa"/>
            <w:bottom w:w="15" w:type="dxa"/>
          </w:tblCellMar>
          <w:tblLook w:val="04A0" w:firstRow="1" w:lastRow="0" w:firstColumn="1" w:lastColumn="0" w:noHBand="0" w:noVBand="1"/>
        </w:tblPrEx>
        <w:trPr>
          <w:cantSplit/>
          <w:trHeight w:val="20"/>
        </w:trPr>
        <w:tc>
          <w:tcPr>
            <w:tcW w:w="1419" w:type="dxa"/>
          </w:tcPr>
          <w:p w14:paraId="68080882" w14:textId="77777777" w:rsidR="009B5C04" w:rsidRPr="009B5C04" w:rsidRDefault="009B5C04" w:rsidP="004305CF">
            <w:pPr>
              <w:pStyle w:val="PBACtext"/>
              <w:ind w:left="720" w:hanging="720"/>
              <w:jc w:val="center"/>
              <w:rPr>
                <w:rFonts w:cs="Arial"/>
                <w:bCs/>
                <w:sz w:val="20"/>
                <w:szCs w:val="20"/>
              </w:rPr>
            </w:pPr>
          </w:p>
        </w:tc>
        <w:tc>
          <w:tcPr>
            <w:tcW w:w="7654" w:type="dxa"/>
            <w:gridSpan w:val="6"/>
            <w:vAlign w:val="center"/>
          </w:tcPr>
          <w:p w14:paraId="173B496E" w14:textId="77777777" w:rsidR="009B5C04" w:rsidRPr="009B5C04" w:rsidRDefault="009B5C04" w:rsidP="004305CF">
            <w:pPr>
              <w:pStyle w:val="PBACtext"/>
              <w:ind w:left="720" w:hanging="720"/>
              <w:rPr>
                <w:rFonts w:cs="Arial"/>
                <w:sz w:val="20"/>
                <w:szCs w:val="20"/>
              </w:rPr>
            </w:pPr>
            <w:r w:rsidRPr="009B5C04">
              <w:rPr>
                <w:b/>
                <w:sz w:val="20"/>
                <w:szCs w:val="20"/>
                <w:lang w:eastAsia="en-AU"/>
              </w:rPr>
              <w:t>Treatment criteria:</w:t>
            </w:r>
          </w:p>
        </w:tc>
      </w:tr>
      <w:tr w:rsidR="009B5C04" w:rsidRPr="009B5C04" w14:paraId="758DD075" w14:textId="77777777" w:rsidTr="001F408B">
        <w:tblPrEx>
          <w:tblCellMar>
            <w:top w:w="15" w:type="dxa"/>
            <w:bottom w:w="15" w:type="dxa"/>
          </w:tblCellMar>
          <w:tblLook w:val="04A0" w:firstRow="1" w:lastRow="0" w:firstColumn="1" w:lastColumn="0" w:noHBand="0" w:noVBand="1"/>
        </w:tblPrEx>
        <w:trPr>
          <w:cantSplit/>
          <w:trHeight w:val="20"/>
        </w:trPr>
        <w:tc>
          <w:tcPr>
            <w:tcW w:w="1419" w:type="dxa"/>
          </w:tcPr>
          <w:p w14:paraId="477E4C2E" w14:textId="3CC70AD6" w:rsidR="009B5C04" w:rsidRPr="009B5C04" w:rsidRDefault="009B5C04" w:rsidP="004305CF">
            <w:pPr>
              <w:pStyle w:val="PBACtext"/>
              <w:ind w:left="720" w:hanging="720"/>
              <w:jc w:val="center"/>
              <w:rPr>
                <w:rFonts w:cs="Arial"/>
                <w:bCs/>
                <w:sz w:val="20"/>
                <w:szCs w:val="20"/>
              </w:rPr>
            </w:pPr>
          </w:p>
        </w:tc>
        <w:tc>
          <w:tcPr>
            <w:tcW w:w="7654" w:type="dxa"/>
            <w:gridSpan w:val="6"/>
            <w:vAlign w:val="center"/>
          </w:tcPr>
          <w:p w14:paraId="533D6663" w14:textId="77777777" w:rsidR="009B5C04" w:rsidRPr="009B5C04" w:rsidRDefault="009B5C04" w:rsidP="004305CF">
            <w:pPr>
              <w:pStyle w:val="PBACtext"/>
              <w:ind w:left="720" w:hanging="720"/>
              <w:rPr>
                <w:rFonts w:cs="Arial"/>
                <w:sz w:val="20"/>
                <w:szCs w:val="20"/>
              </w:rPr>
            </w:pPr>
            <w:r w:rsidRPr="009B5C04">
              <w:rPr>
                <w:rFonts w:cs="Arial"/>
                <w:sz w:val="20"/>
                <w:szCs w:val="20"/>
              </w:rPr>
              <w:t>The treatment must be the sole PBS-subsidised systemic anti-cancer therapy for this condition</w:t>
            </w:r>
          </w:p>
        </w:tc>
      </w:tr>
      <w:tr w:rsidR="009B5C04" w:rsidRPr="009B5C04" w14:paraId="2C41C2FC" w14:textId="77777777" w:rsidTr="001F408B">
        <w:tblPrEx>
          <w:tblCellMar>
            <w:top w:w="15" w:type="dxa"/>
            <w:bottom w:w="15" w:type="dxa"/>
          </w:tblCellMar>
          <w:tblLook w:val="04A0" w:firstRow="1" w:lastRow="0" w:firstColumn="1" w:lastColumn="0" w:noHBand="0" w:noVBand="1"/>
        </w:tblPrEx>
        <w:trPr>
          <w:cantSplit/>
          <w:trHeight w:val="20"/>
        </w:trPr>
        <w:tc>
          <w:tcPr>
            <w:tcW w:w="1419" w:type="dxa"/>
          </w:tcPr>
          <w:p w14:paraId="5C83194E" w14:textId="77777777" w:rsidR="009B5C04" w:rsidRPr="009B5C04" w:rsidRDefault="009B5C04" w:rsidP="004305CF">
            <w:pPr>
              <w:pStyle w:val="PBACtext"/>
              <w:ind w:left="720" w:hanging="720"/>
              <w:jc w:val="center"/>
              <w:rPr>
                <w:rFonts w:cs="Arial"/>
                <w:bCs/>
                <w:sz w:val="20"/>
                <w:szCs w:val="20"/>
              </w:rPr>
            </w:pPr>
          </w:p>
        </w:tc>
        <w:tc>
          <w:tcPr>
            <w:tcW w:w="7654" w:type="dxa"/>
            <w:gridSpan w:val="6"/>
            <w:vAlign w:val="center"/>
          </w:tcPr>
          <w:p w14:paraId="2C6EA878" w14:textId="77777777" w:rsidR="009B5C04" w:rsidRPr="009B5C04" w:rsidRDefault="009B5C04" w:rsidP="004305CF">
            <w:pPr>
              <w:pStyle w:val="PBACtext"/>
              <w:ind w:left="720" w:hanging="720"/>
              <w:rPr>
                <w:rFonts w:cs="Arial"/>
                <w:b/>
                <w:bCs/>
                <w:sz w:val="20"/>
                <w:szCs w:val="20"/>
              </w:rPr>
            </w:pPr>
            <w:r w:rsidRPr="009B5C04">
              <w:rPr>
                <w:rFonts w:cs="Arial"/>
                <w:b/>
                <w:bCs/>
                <w:sz w:val="20"/>
                <w:szCs w:val="20"/>
              </w:rPr>
              <w:t>AND</w:t>
            </w:r>
          </w:p>
        </w:tc>
      </w:tr>
      <w:tr w:rsidR="009B5C04" w:rsidRPr="009B5C04" w14:paraId="52B7AF31" w14:textId="77777777" w:rsidTr="001F408B">
        <w:tblPrEx>
          <w:tblCellMar>
            <w:top w:w="15" w:type="dxa"/>
            <w:bottom w:w="15" w:type="dxa"/>
          </w:tblCellMar>
          <w:tblLook w:val="04A0" w:firstRow="1" w:lastRow="0" w:firstColumn="1" w:lastColumn="0" w:noHBand="0" w:noVBand="1"/>
        </w:tblPrEx>
        <w:trPr>
          <w:cantSplit/>
          <w:trHeight w:val="20"/>
        </w:trPr>
        <w:tc>
          <w:tcPr>
            <w:tcW w:w="1419" w:type="dxa"/>
          </w:tcPr>
          <w:p w14:paraId="71E20AA5" w14:textId="77777777" w:rsidR="009B5C04" w:rsidRPr="009B5C04" w:rsidRDefault="009B5C04" w:rsidP="004305CF">
            <w:pPr>
              <w:pStyle w:val="PBACtext"/>
              <w:ind w:left="720" w:hanging="720"/>
              <w:jc w:val="center"/>
              <w:rPr>
                <w:rFonts w:cs="Arial"/>
                <w:bCs/>
                <w:sz w:val="20"/>
                <w:szCs w:val="20"/>
              </w:rPr>
            </w:pPr>
          </w:p>
        </w:tc>
        <w:tc>
          <w:tcPr>
            <w:tcW w:w="7654" w:type="dxa"/>
            <w:gridSpan w:val="6"/>
            <w:vAlign w:val="center"/>
          </w:tcPr>
          <w:p w14:paraId="07BF58A0" w14:textId="77777777" w:rsidR="009B5C04" w:rsidRPr="009B5C04" w:rsidRDefault="009B5C04" w:rsidP="004305CF">
            <w:pPr>
              <w:pStyle w:val="PBACtext"/>
              <w:ind w:left="720" w:hanging="720"/>
              <w:rPr>
                <w:rFonts w:cs="Arial"/>
                <w:sz w:val="20"/>
                <w:szCs w:val="20"/>
              </w:rPr>
            </w:pPr>
            <w:r w:rsidRPr="009B5C04">
              <w:rPr>
                <w:b/>
                <w:sz w:val="20"/>
                <w:szCs w:val="20"/>
                <w:lang w:eastAsia="en-AU"/>
              </w:rPr>
              <w:t>Treatment criteria:</w:t>
            </w:r>
          </w:p>
        </w:tc>
      </w:tr>
      <w:tr w:rsidR="009B5C04" w:rsidRPr="009B5C04" w14:paraId="4939E1A3" w14:textId="77777777" w:rsidTr="001F408B">
        <w:tblPrEx>
          <w:tblCellMar>
            <w:top w:w="15" w:type="dxa"/>
            <w:bottom w:w="15" w:type="dxa"/>
          </w:tblCellMar>
          <w:tblLook w:val="04A0" w:firstRow="1" w:lastRow="0" w:firstColumn="1" w:lastColumn="0" w:noHBand="0" w:noVBand="1"/>
        </w:tblPrEx>
        <w:trPr>
          <w:cantSplit/>
          <w:trHeight w:val="20"/>
        </w:trPr>
        <w:tc>
          <w:tcPr>
            <w:tcW w:w="1419" w:type="dxa"/>
          </w:tcPr>
          <w:p w14:paraId="6BC8C610" w14:textId="4747100F" w:rsidR="009B5C04" w:rsidRPr="009B5C04" w:rsidRDefault="009B5C04" w:rsidP="004305CF">
            <w:pPr>
              <w:pStyle w:val="PBACtext"/>
              <w:ind w:left="720" w:hanging="720"/>
              <w:jc w:val="center"/>
              <w:rPr>
                <w:rFonts w:cs="Arial"/>
                <w:bCs/>
                <w:sz w:val="20"/>
                <w:szCs w:val="20"/>
              </w:rPr>
            </w:pPr>
          </w:p>
        </w:tc>
        <w:tc>
          <w:tcPr>
            <w:tcW w:w="7654" w:type="dxa"/>
            <w:gridSpan w:val="6"/>
            <w:vAlign w:val="center"/>
          </w:tcPr>
          <w:p w14:paraId="106336CC" w14:textId="77777777" w:rsidR="009B5C04" w:rsidRPr="009B5C04" w:rsidRDefault="009B5C04" w:rsidP="004305CF">
            <w:pPr>
              <w:pStyle w:val="PBACtext"/>
              <w:rPr>
                <w:rFonts w:cs="Arial"/>
                <w:sz w:val="20"/>
                <w:szCs w:val="20"/>
              </w:rPr>
            </w:pPr>
            <w:r w:rsidRPr="009B5C04">
              <w:rPr>
                <w:rFonts w:cs="Arial"/>
                <w:sz w:val="20"/>
                <w:szCs w:val="20"/>
              </w:rPr>
              <w:t>Patient must be undergoing treatment that does not occur beyond the following, whichever comes first: (i) the first instance of disease progression/recurrence, (ii) 3 years in total for this condition from the first administered dose; mark any remaining repeat prescriptions with the words ‘cancelled’; where (i)/(ii) has occurred</w:t>
            </w:r>
          </w:p>
        </w:tc>
      </w:tr>
      <w:tr w:rsidR="001F408B" w:rsidRPr="009B5C04" w14:paraId="5A54086D" w14:textId="77777777" w:rsidTr="001F408B">
        <w:tblPrEx>
          <w:tblCellMar>
            <w:top w:w="15" w:type="dxa"/>
            <w:bottom w:w="15" w:type="dxa"/>
          </w:tblCellMar>
          <w:tblLook w:val="04A0" w:firstRow="1" w:lastRow="0" w:firstColumn="1" w:lastColumn="0" w:noHBand="0" w:noVBand="1"/>
        </w:tblPrEx>
        <w:trPr>
          <w:cantSplit/>
          <w:trHeight w:val="20"/>
        </w:trPr>
        <w:tc>
          <w:tcPr>
            <w:tcW w:w="1419" w:type="dxa"/>
            <w:vAlign w:val="center"/>
          </w:tcPr>
          <w:p w14:paraId="7B87962C" w14:textId="096A1EA1" w:rsidR="001F408B" w:rsidRPr="009B5C04" w:rsidRDefault="001F408B" w:rsidP="001F408B">
            <w:pPr>
              <w:pStyle w:val="TableText0"/>
              <w:keepLines/>
              <w:jc w:val="center"/>
              <w:rPr>
                <w:rFonts w:cs="Arial"/>
                <w:szCs w:val="20"/>
              </w:rPr>
            </w:pPr>
          </w:p>
        </w:tc>
        <w:tc>
          <w:tcPr>
            <w:tcW w:w="7654" w:type="dxa"/>
            <w:gridSpan w:val="6"/>
            <w:vAlign w:val="center"/>
          </w:tcPr>
          <w:p w14:paraId="156CDB0D" w14:textId="77777777" w:rsidR="001F408B" w:rsidRPr="0008038B" w:rsidRDefault="001F408B" w:rsidP="001F408B">
            <w:pPr>
              <w:rPr>
                <w:rFonts w:ascii="Arial Narrow" w:hAnsi="Arial Narrow"/>
                <w:b/>
                <w:bCs/>
                <w:sz w:val="20"/>
                <w:szCs w:val="20"/>
              </w:rPr>
            </w:pPr>
            <w:r w:rsidRPr="0008038B">
              <w:rPr>
                <w:rFonts w:ascii="Arial Narrow" w:hAnsi="Arial Narrow"/>
                <w:b/>
                <w:bCs/>
                <w:sz w:val="20"/>
                <w:szCs w:val="20"/>
              </w:rPr>
              <w:t>Prescribing instructions:</w:t>
            </w:r>
          </w:p>
          <w:p w14:paraId="1B9911FE" w14:textId="14A25057" w:rsidR="001F408B" w:rsidRPr="009B5C04" w:rsidRDefault="001F408B" w:rsidP="001F408B">
            <w:pPr>
              <w:pStyle w:val="TableText0"/>
              <w:keepLines/>
              <w:rPr>
                <w:rFonts w:cs="Arial"/>
                <w:b/>
                <w:bCs w:val="0"/>
                <w:szCs w:val="20"/>
              </w:rPr>
            </w:pPr>
            <w:r w:rsidRPr="0008038B">
              <w:rPr>
                <w:szCs w:val="20"/>
              </w:rPr>
              <w:t>PBS subsidised treatment with this drug is restricted to one line of therapy at any disease staging for NSCLC (i.e. if therapy has been prescribed for early disease, subsidy under locally advance or metastatic disease is no longer available</w:t>
            </w:r>
            <w:r w:rsidRPr="00492D82">
              <w:rPr>
                <w:i/>
                <w:iCs/>
                <w:szCs w:val="20"/>
              </w:rPr>
              <w:t>).</w:t>
            </w:r>
          </w:p>
        </w:tc>
      </w:tr>
      <w:tr w:rsidR="001F408B" w:rsidRPr="009B5C04" w14:paraId="44FDB842" w14:textId="77777777" w:rsidTr="001F408B">
        <w:tblPrEx>
          <w:tblCellMar>
            <w:top w:w="15" w:type="dxa"/>
            <w:bottom w:w="15" w:type="dxa"/>
          </w:tblCellMar>
          <w:tblLook w:val="04A0" w:firstRow="1" w:lastRow="0" w:firstColumn="1" w:lastColumn="0" w:noHBand="0" w:noVBand="1"/>
        </w:tblPrEx>
        <w:trPr>
          <w:cantSplit/>
          <w:trHeight w:val="20"/>
        </w:trPr>
        <w:tc>
          <w:tcPr>
            <w:tcW w:w="1419" w:type="dxa"/>
          </w:tcPr>
          <w:p w14:paraId="4C920687" w14:textId="4725C068" w:rsidR="001F408B" w:rsidRPr="009B5C04" w:rsidRDefault="001F408B" w:rsidP="001F408B">
            <w:pPr>
              <w:pStyle w:val="TableText0"/>
              <w:keepLines/>
              <w:jc w:val="center"/>
              <w:rPr>
                <w:rFonts w:cs="Arial"/>
                <w:szCs w:val="20"/>
              </w:rPr>
            </w:pPr>
          </w:p>
        </w:tc>
        <w:tc>
          <w:tcPr>
            <w:tcW w:w="7654" w:type="dxa"/>
            <w:gridSpan w:val="6"/>
          </w:tcPr>
          <w:p w14:paraId="19113A7E" w14:textId="77777777" w:rsidR="001F408B" w:rsidRPr="009B5C04" w:rsidRDefault="001F408B" w:rsidP="001F408B">
            <w:pPr>
              <w:pStyle w:val="TableText0"/>
              <w:keepLines/>
              <w:rPr>
                <w:rFonts w:cs="Arial"/>
                <w:szCs w:val="20"/>
              </w:rPr>
            </w:pPr>
            <w:r w:rsidRPr="009B5C04">
              <w:rPr>
                <w:rFonts w:cs="Arial"/>
                <w:b/>
                <w:bCs w:val="0"/>
                <w:szCs w:val="20"/>
              </w:rPr>
              <w:t>Administrative Advice</w:t>
            </w:r>
            <w:r w:rsidRPr="009B5C04">
              <w:rPr>
                <w:rFonts w:cs="Arial"/>
                <w:szCs w:val="20"/>
              </w:rPr>
              <w:t>: No increase in the maximum quantity or number of units may be authorised.</w:t>
            </w:r>
          </w:p>
        </w:tc>
      </w:tr>
      <w:tr w:rsidR="001F408B" w:rsidRPr="009B5C04" w14:paraId="20369DE1" w14:textId="77777777" w:rsidTr="001F408B">
        <w:tblPrEx>
          <w:tblCellMar>
            <w:top w:w="15" w:type="dxa"/>
            <w:bottom w:w="15" w:type="dxa"/>
          </w:tblCellMar>
          <w:tblLook w:val="04A0" w:firstRow="1" w:lastRow="0" w:firstColumn="1" w:lastColumn="0" w:noHBand="0" w:noVBand="1"/>
        </w:tblPrEx>
        <w:trPr>
          <w:cantSplit/>
          <w:trHeight w:val="20"/>
        </w:trPr>
        <w:tc>
          <w:tcPr>
            <w:tcW w:w="1419" w:type="dxa"/>
          </w:tcPr>
          <w:p w14:paraId="54929690" w14:textId="0E533F49" w:rsidR="001F408B" w:rsidRPr="009B5C04" w:rsidRDefault="001F408B" w:rsidP="001F408B">
            <w:pPr>
              <w:pStyle w:val="TableText0"/>
              <w:keepLines/>
              <w:jc w:val="center"/>
              <w:rPr>
                <w:rFonts w:cs="Arial"/>
                <w:szCs w:val="20"/>
              </w:rPr>
            </w:pPr>
          </w:p>
        </w:tc>
        <w:tc>
          <w:tcPr>
            <w:tcW w:w="7654" w:type="dxa"/>
            <w:gridSpan w:val="6"/>
          </w:tcPr>
          <w:p w14:paraId="16A7034F" w14:textId="77777777" w:rsidR="001F408B" w:rsidRPr="009B5C04" w:rsidRDefault="001F408B" w:rsidP="001F408B">
            <w:pPr>
              <w:pStyle w:val="TableText0"/>
              <w:keepLines/>
              <w:rPr>
                <w:rFonts w:cs="Arial"/>
                <w:szCs w:val="20"/>
              </w:rPr>
            </w:pPr>
            <w:r w:rsidRPr="009B5C04">
              <w:rPr>
                <w:rFonts w:cs="Arial"/>
                <w:b/>
                <w:bCs w:val="0"/>
                <w:szCs w:val="20"/>
              </w:rPr>
              <w:t>Administrative Advice</w:t>
            </w:r>
            <w:r w:rsidRPr="009B5C04">
              <w:rPr>
                <w:rFonts w:cs="Arial"/>
                <w:szCs w:val="20"/>
              </w:rPr>
              <w:t>: No increase in the maximum number of repeats may be authorised.</w:t>
            </w:r>
          </w:p>
        </w:tc>
      </w:tr>
      <w:tr w:rsidR="001F408B" w:rsidRPr="009B5C04" w14:paraId="3841FB33" w14:textId="77777777" w:rsidTr="001F408B">
        <w:tblPrEx>
          <w:tblCellMar>
            <w:top w:w="15" w:type="dxa"/>
            <w:bottom w:w="15" w:type="dxa"/>
          </w:tblCellMar>
          <w:tblLook w:val="04A0" w:firstRow="1" w:lastRow="0" w:firstColumn="1" w:lastColumn="0" w:noHBand="0" w:noVBand="1"/>
        </w:tblPrEx>
        <w:trPr>
          <w:cantSplit/>
          <w:trHeight w:val="20"/>
        </w:trPr>
        <w:tc>
          <w:tcPr>
            <w:tcW w:w="1419" w:type="dxa"/>
          </w:tcPr>
          <w:p w14:paraId="6A5392B5" w14:textId="2AAF7D68" w:rsidR="001F408B" w:rsidRPr="009B5C04" w:rsidRDefault="001F408B" w:rsidP="001F408B">
            <w:pPr>
              <w:pStyle w:val="TableText0"/>
              <w:keepLines/>
              <w:jc w:val="center"/>
              <w:rPr>
                <w:rFonts w:cs="Arial"/>
                <w:szCs w:val="20"/>
              </w:rPr>
            </w:pPr>
          </w:p>
        </w:tc>
        <w:tc>
          <w:tcPr>
            <w:tcW w:w="7654" w:type="dxa"/>
            <w:gridSpan w:val="6"/>
          </w:tcPr>
          <w:p w14:paraId="23301F05" w14:textId="77777777" w:rsidR="001F408B" w:rsidRPr="009B5C04" w:rsidRDefault="001F408B" w:rsidP="001F408B">
            <w:pPr>
              <w:pStyle w:val="TableText0"/>
              <w:keepLines/>
              <w:rPr>
                <w:rFonts w:cs="Arial"/>
                <w:szCs w:val="20"/>
              </w:rPr>
            </w:pPr>
            <w:r w:rsidRPr="009B5C04">
              <w:rPr>
                <w:rFonts w:cs="Arial"/>
                <w:b/>
                <w:bCs w:val="0"/>
                <w:szCs w:val="20"/>
              </w:rPr>
              <w:t>Administrative Advice</w:t>
            </w:r>
            <w:r w:rsidRPr="009B5C04">
              <w:rPr>
                <w:rFonts w:cs="Arial"/>
                <w:szCs w:val="20"/>
              </w:rPr>
              <w:t xml:space="preserve">: </w:t>
            </w:r>
          </w:p>
          <w:p w14:paraId="0822C090" w14:textId="77777777" w:rsidR="001F408B" w:rsidRPr="009B5C04" w:rsidRDefault="001F408B" w:rsidP="001F408B">
            <w:pPr>
              <w:pStyle w:val="TableText0"/>
              <w:keepLines/>
              <w:rPr>
                <w:rFonts w:cs="Arial"/>
                <w:szCs w:val="20"/>
              </w:rPr>
            </w:pPr>
            <w:r w:rsidRPr="009B5C04">
              <w:rPr>
                <w:rFonts w:cs="Arial"/>
                <w:szCs w:val="20"/>
              </w:rPr>
              <w:t>Applications for authorisation under this restriction may be made in real time using the Online PBS Authorities system (see www.servicesaustralia.gov.au/HPOS) or by telephone by contacting Services Australia on 1800 888 333.</w:t>
            </w:r>
          </w:p>
        </w:tc>
      </w:tr>
    </w:tbl>
    <w:p w14:paraId="24ED4ED9" w14:textId="77777777" w:rsidR="009B5C04" w:rsidRPr="00E5075E" w:rsidRDefault="009B5C04" w:rsidP="009B5C04">
      <w:pPr>
        <w:rPr>
          <w:i/>
          <w:iCs/>
        </w:rPr>
      </w:pPr>
    </w:p>
    <w:tbl>
      <w:tblPr>
        <w:tblW w:w="5031"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419"/>
        <w:gridCol w:w="3325"/>
        <w:gridCol w:w="812"/>
        <w:gridCol w:w="812"/>
        <w:gridCol w:w="811"/>
        <w:gridCol w:w="812"/>
        <w:gridCol w:w="1082"/>
      </w:tblGrid>
      <w:tr w:rsidR="009B5C04" w:rsidRPr="00E5075E" w14:paraId="50AE227E" w14:textId="77777777" w:rsidTr="001F408B">
        <w:trPr>
          <w:cantSplit/>
          <w:trHeight w:val="20"/>
        </w:trPr>
        <w:tc>
          <w:tcPr>
            <w:tcW w:w="4744" w:type="dxa"/>
            <w:gridSpan w:val="2"/>
            <w:vAlign w:val="center"/>
          </w:tcPr>
          <w:p w14:paraId="3EF6907B" w14:textId="77777777" w:rsidR="009B5C04" w:rsidRPr="009B5C04" w:rsidRDefault="009B5C04" w:rsidP="004305CF">
            <w:pPr>
              <w:keepNext/>
              <w:keepLines/>
              <w:rPr>
                <w:rFonts w:ascii="Arial Narrow" w:hAnsi="Arial Narrow"/>
                <w:b/>
                <w:bCs/>
                <w:sz w:val="20"/>
                <w:szCs w:val="20"/>
              </w:rPr>
            </w:pPr>
            <w:r w:rsidRPr="009B5C04">
              <w:rPr>
                <w:rFonts w:ascii="Arial Narrow" w:hAnsi="Arial Narrow"/>
                <w:b/>
                <w:bCs/>
                <w:sz w:val="20"/>
                <w:szCs w:val="20"/>
              </w:rPr>
              <w:t>MEDICINAL PRODUCT</w:t>
            </w:r>
          </w:p>
          <w:p w14:paraId="14119AA0" w14:textId="77777777" w:rsidR="009B5C04" w:rsidRPr="009B5C04" w:rsidRDefault="009B5C04" w:rsidP="004305CF">
            <w:pPr>
              <w:pStyle w:val="TableText0"/>
              <w:keepLines/>
              <w:rPr>
                <w:b/>
                <w:bCs w:val="0"/>
                <w:szCs w:val="20"/>
              </w:rPr>
            </w:pPr>
            <w:r w:rsidRPr="009B5C04">
              <w:rPr>
                <w:b/>
                <w:szCs w:val="20"/>
              </w:rPr>
              <w:t>medicinal product pack</w:t>
            </w:r>
          </w:p>
        </w:tc>
        <w:tc>
          <w:tcPr>
            <w:tcW w:w="812" w:type="dxa"/>
          </w:tcPr>
          <w:p w14:paraId="02659ABC" w14:textId="77777777" w:rsidR="009B5C04" w:rsidRPr="009B5C04" w:rsidRDefault="009B5C04" w:rsidP="004305CF">
            <w:pPr>
              <w:keepNext/>
              <w:keepLines/>
              <w:jc w:val="center"/>
              <w:rPr>
                <w:rFonts w:ascii="Arial Narrow" w:hAnsi="Arial Narrow"/>
                <w:b/>
                <w:sz w:val="20"/>
                <w:szCs w:val="20"/>
              </w:rPr>
            </w:pPr>
            <w:r w:rsidRPr="009B5C04">
              <w:rPr>
                <w:rFonts w:ascii="Arial Narrow" w:hAnsi="Arial Narrow"/>
                <w:b/>
                <w:sz w:val="20"/>
                <w:szCs w:val="20"/>
              </w:rPr>
              <w:t>PBS item code</w:t>
            </w:r>
          </w:p>
        </w:tc>
        <w:tc>
          <w:tcPr>
            <w:tcW w:w="812" w:type="dxa"/>
            <w:vAlign w:val="center"/>
          </w:tcPr>
          <w:p w14:paraId="0EEDD107" w14:textId="77777777" w:rsidR="009B5C04" w:rsidRPr="009B5C04" w:rsidRDefault="009B5C04" w:rsidP="004305CF">
            <w:pPr>
              <w:keepNext/>
              <w:keepLines/>
              <w:jc w:val="center"/>
              <w:rPr>
                <w:rFonts w:ascii="Arial Narrow" w:hAnsi="Arial Narrow"/>
                <w:b/>
                <w:sz w:val="20"/>
                <w:szCs w:val="20"/>
              </w:rPr>
            </w:pPr>
            <w:r w:rsidRPr="009B5C04">
              <w:rPr>
                <w:rFonts w:ascii="Arial Narrow" w:hAnsi="Arial Narrow"/>
                <w:b/>
                <w:sz w:val="20"/>
                <w:szCs w:val="20"/>
              </w:rPr>
              <w:t>Max. qty packs</w:t>
            </w:r>
          </w:p>
        </w:tc>
        <w:tc>
          <w:tcPr>
            <w:tcW w:w="811" w:type="dxa"/>
            <w:vAlign w:val="center"/>
          </w:tcPr>
          <w:p w14:paraId="5478ABE5" w14:textId="77777777" w:rsidR="009B5C04" w:rsidRPr="009B5C04" w:rsidRDefault="009B5C04" w:rsidP="004305CF">
            <w:pPr>
              <w:keepNext/>
              <w:keepLines/>
              <w:jc w:val="center"/>
              <w:rPr>
                <w:rFonts w:ascii="Arial Narrow" w:hAnsi="Arial Narrow"/>
                <w:b/>
                <w:sz w:val="20"/>
                <w:szCs w:val="20"/>
              </w:rPr>
            </w:pPr>
            <w:r w:rsidRPr="009B5C04">
              <w:rPr>
                <w:rFonts w:ascii="Arial Narrow" w:hAnsi="Arial Narrow"/>
                <w:b/>
                <w:sz w:val="20"/>
                <w:szCs w:val="20"/>
              </w:rPr>
              <w:t>Max. qty units</w:t>
            </w:r>
          </w:p>
        </w:tc>
        <w:tc>
          <w:tcPr>
            <w:tcW w:w="812" w:type="dxa"/>
            <w:vAlign w:val="center"/>
          </w:tcPr>
          <w:p w14:paraId="3467636F" w14:textId="77777777" w:rsidR="009B5C04" w:rsidRPr="009B5C04" w:rsidRDefault="009B5C04" w:rsidP="004305CF">
            <w:pPr>
              <w:keepNext/>
              <w:keepLines/>
              <w:jc w:val="center"/>
              <w:rPr>
                <w:rFonts w:ascii="Arial Narrow" w:hAnsi="Arial Narrow"/>
                <w:b/>
                <w:sz w:val="20"/>
                <w:szCs w:val="20"/>
              </w:rPr>
            </w:pPr>
            <w:r w:rsidRPr="009B5C04">
              <w:rPr>
                <w:rFonts w:ascii="Arial Narrow" w:hAnsi="Arial Narrow"/>
                <w:b/>
                <w:sz w:val="20"/>
                <w:szCs w:val="20"/>
              </w:rPr>
              <w:t>№.of</w:t>
            </w:r>
          </w:p>
          <w:p w14:paraId="7D5E5ABC" w14:textId="77777777" w:rsidR="009B5C04" w:rsidRPr="009B5C04" w:rsidRDefault="009B5C04" w:rsidP="004305CF">
            <w:pPr>
              <w:keepNext/>
              <w:keepLines/>
              <w:jc w:val="center"/>
              <w:rPr>
                <w:rFonts w:ascii="Arial Narrow" w:hAnsi="Arial Narrow"/>
                <w:b/>
                <w:sz w:val="20"/>
                <w:szCs w:val="20"/>
              </w:rPr>
            </w:pPr>
            <w:r w:rsidRPr="009B5C04">
              <w:rPr>
                <w:rFonts w:ascii="Arial Narrow" w:hAnsi="Arial Narrow"/>
                <w:b/>
                <w:sz w:val="20"/>
                <w:szCs w:val="20"/>
              </w:rPr>
              <w:t>Rpts</w:t>
            </w:r>
          </w:p>
        </w:tc>
        <w:tc>
          <w:tcPr>
            <w:tcW w:w="1082" w:type="dxa"/>
            <w:vAlign w:val="center"/>
          </w:tcPr>
          <w:p w14:paraId="27CBCE17" w14:textId="77777777" w:rsidR="009B5C04" w:rsidRPr="009B5C04" w:rsidRDefault="009B5C04" w:rsidP="004305CF">
            <w:pPr>
              <w:keepNext/>
              <w:keepLines/>
              <w:rPr>
                <w:rFonts w:ascii="Arial Narrow" w:hAnsi="Arial Narrow"/>
                <w:b/>
                <w:sz w:val="20"/>
                <w:szCs w:val="20"/>
                <w:lang w:val="fr-FR"/>
              </w:rPr>
            </w:pPr>
            <w:r w:rsidRPr="009B5C04">
              <w:rPr>
                <w:rFonts w:ascii="Arial Narrow" w:hAnsi="Arial Narrow"/>
                <w:b/>
                <w:sz w:val="20"/>
                <w:szCs w:val="20"/>
              </w:rPr>
              <w:t>Available brands</w:t>
            </w:r>
          </w:p>
        </w:tc>
      </w:tr>
      <w:tr w:rsidR="009B5C04" w:rsidRPr="00E5075E" w14:paraId="7433F7B1" w14:textId="77777777" w:rsidTr="001F408B">
        <w:trPr>
          <w:cantSplit/>
          <w:trHeight w:val="20"/>
        </w:trPr>
        <w:tc>
          <w:tcPr>
            <w:tcW w:w="9073" w:type="dxa"/>
            <w:gridSpan w:val="7"/>
          </w:tcPr>
          <w:p w14:paraId="436E2952" w14:textId="77777777" w:rsidR="009B5C04" w:rsidRPr="009B5C04" w:rsidRDefault="009B5C04" w:rsidP="004305CF">
            <w:pPr>
              <w:pStyle w:val="TableText0"/>
              <w:keepLines/>
              <w:rPr>
                <w:rFonts w:cs="Arial"/>
                <w:smallCaps/>
                <w:szCs w:val="20"/>
              </w:rPr>
            </w:pPr>
            <w:r w:rsidRPr="009B5C04">
              <w:rPr>
                <w:smallCaps/>
              </w:rPr>
              <w:t>OSIMERTINIB</w:t>
            </w:r>
            <w:r w:rsidRPr="009B5C04">
              <w:rPr>
                <w:rFonts w:cs="Arial"/>
                <w:smallCaps/>
                <w:color w:val="0066FF"/>
                <w:szCs w:val="20"/>
              </w:rPr>
              <w:t xml:space="preserve"> </w:t>
            </w:r>
          </w:p>
        </w:tc>
      </w:tr>
      <w:tr w:rsidR="009B5C04" w:rsidRPr="00E5075E" w14:paraId="48412541" w14:textId="77777777" w:rsidTr="001F408B">
        <w:trPr>
          <w:cantSplit/>
          <w:trHeight w:val="20"/>
        </w:trPr>
        <w:tc>
          <w:tcPr>
            <w:tcW w:w="4744" w:type="dxa"/>
            <w:gridSpan w:val="2"/>
            <w:vAlign w:val="center"/>
          </w:tcPr>
          <w:p w14:paraId="08B23764" w14:textId="77777777" w:rsidR="009B5C04" w:rsidRPr="009B5C04" w:rsidRDefault="009B5C04" w:rsidP="004305CF">
            <w:pPr>
              <w:pStyle w:val="TableText0"/>
              <w:keepLines/>
              <w:rPr>
                <w:szCs w:val="20"/>
              </w:rPr>
            </w:pPr>
            <w:r w:rsidRPr="009B5C04">
              <w:rPr>
                <w:szCs w:val="20"/>
              </w:rPr>
              <w:t xml:space="preserve">Osimertinib 40mg tablets, 30 </w:t>
            </w:r>
          </w:p>
        </w:tc>
        <w:tc>
          <w:tcPr>
            <w:tcW w:w="812" w:type="dxa"/>
          </w:tcPr>
          <w:p w14:paraId="3803B4FF" w14:textId="77777777" w:rsidR="009B5C04" w:rsidRPr="009B5C04" w:rsidRDefault="009B5C04" w:rsidP="004305CF">
            <w:pPr>
              <w:keepNext/>
              <w:keepLines/>
              <w:jc w:val="center"/>
              <w:rPr>
                <w:rFonts w:ascii="Arial Narrow" w:hAnsi="Arial Narrow"/>
                <w:sz w:val="20"/>
              </w:rPr>
            </w:pPr>
            <w:r w:rsidRPr="009B5C04">
              <w:rPr>
                <w:rFonts w:ascii="Arial Narrow" w:hAnsi="Arial Narrow"/>
                <w:sz w:val="20"/>
              </w:rPr>
              <w:t>NEW</w:t>
            </w:r>
          </w:p>
        </w:tc>
        <w:tc>
          <w:tcPr>
            <w:tcW w:w="812" w:type="dxa"/>
            <w:vAlign w:val="center"/>
          </w:tcPr>
          <w:p w14:paraId="014360EC" w14:textId="77777777" w:rsidR="009B5C04" w:rsidRPr="009B5C04" w:rsidRDefault="009B5C04" w:rsidP="004305CF">
            <w:pPr>
              <w:keepNext/>
              <w:keepLines/>
              <w:jc w:val="center"/>
              <w:rPr>
                <w:rFonts w:ascii="Arial Narrow" w:hAnsi="Arial Narrow"/>
                <w:sz w:val="20"/>
                <w:szCs w:val="20"/>
              </w:rPr>
            </w:pPr>
            <w:r w:rsidRPr="009B5C04">
              <w:rPr>
                <w:rFonts w:ascii="Arial Narrow" w:hAnsi="Arial Narrow"/>
                <w:sz w:val="20"/>
              </w:rPr>
              <w:t>1</w:t>
            </w:r>
          </w:p>
        </w:tc>
        <w:tc>
          <w:tcPr>
            <w:tcW w:w="811" w:type="dxa"/>
            <w:vAlign w:val="center"/>
          </w:tcPr>
          <w:p w14:paraId="10E9FFC0" w14:textId="77777777" w:rsidR="009B5C04" w:rsidRPr="009B5C04" w:rsidRDefault="009B5C04" w:rsidP="004305CF">
            <w:pPr>
              <w:keepNext/>
              <w:keepLines/>
              <w:jc w:val="center"/>
              <w:rPr>
                <w:rFonts w:ascii="Arial Narrow" w:hAnsi="Arial Narrow"/>
                <w:sz w:val="20"/>
                <w:szCs w:val="20"/>
              </w:rPr>
            </w:pPr>
            <w:r w:rsidRPr="009B5C04">
              <w:rPr>
                <w:rFonts w:ascii="Arial Narrow" w:hAnsi="Arial Narrow"/>
                <w:sz w:val="20"/>
                <w:szCs w:val="20"/>
              </w:rPr>
              <w:t>30</w:t>
            </w:r>
          </w:p>
        </w:tc>
        <w:tc>
          <w:tcPr>
            <w:tcW w:w="812" w:type="dxa"/>
            <w:vAlign w:val="center"/>
          </w:tcPr>
          <w:p w14:paraId="7C051D33" w14:textId="77777777" w:rsidR="009B5C04" w:rsidRPr="009B5C04" w:rsidRDefault="009B5C04" w:rsidP="004305CF">
            <w:pPr>
              <w:keepNext/>
              <w:keepLines/>
              <w:jc w:val="center"/>
              <w:rPr>
                <w:rFonts w:ascii="Arial Narrow" w:hAnsi="Arial Narrow"/>
                <w:sz w:val="20"/>
                <w:szCs w:val="20"/>
              </w:rPr>
            </w:pPr>
            <w:r w:rsidRPr="009B5C04">
              <w:rPr>
                <w:rFonts w:ascii="Arial Narrow" w:hAnsi="Arial Narrow"/>
                <w:sz w:val="20"/>
              </w:rPr>
              <w:t>5</w:t>
            </w:r>
          </w:p>
        </w:tc>
        <w:tc>
          <w:tcPr>
            <w:tcW w:w="1082" w:type="dxa"/>
            <w:vAlign w:val="center"/>
          </w:tcPr>
          <w:p w14:paraId="6B3E188F" w14:textId="77777777" w:rsidR="009B5C04" w:rsidRPr="009B5C04" w:rsidRDefault="009B5C04" w:rsidP="004305CF">
            <w:pPr>
              <w:keepNext/>
              <w:keepLines/>
              <w:rPr>
                <w:rFonts w:ascii="Arial Narrow" w:hAnsi="Arial Narrow"/>
                <w:color w:val="0066FF"/>
                <w:sz w:val="20"/>
                <w:szCs w:val="20"/>
              </w:rPr>
            </w:pPr>
            <w:r w:rsidRPr="009B5C04">
              <w:rPr>
                <w:rFonts w:ascii="Arial Narrow" w:hAnsi="Arial Narrow"/>
                <w:sz w:val="20"/>
                <w:szCs w:val="20"/>
              </w:rPr>
              <w:t>Tagrisso</w:t>
            </w:r>
          </w:p>
        </w:tc>
      </w:tr>
      <w:tr w:rsidR="009B5C04" w:rsidRPr="00E5075E" w14:paraId="7A78924C" w14:textId="77777777" w:rsidTr="001F408B">
        <w:tblPrEx>
          <w:tblCellMar>
            <w:top w:w="15" w:type="dxa"/>
            <w:left w:w="15" w:type="dxa"/>
            <w:bottom w:w="15" w:type="dxa"/>
            <w:right w:w="15" w:type="dxa"/>
          </w:tblCellMar>
          <w:tblLook w:val="04A0" w:firstRow="1" w:lastRow="0" w:firstColumn="1" w:lastColumn="0" w:noHBand="0" w:noVBand="1"/>
        </w:tblPrEx>
        <w:trPr>
          <w:trHeight w:val="170"/>
        </w:trPr>
        <w:tc>
          <w:tcPr>
            <w:tcW w:w="1419" w:type="dxa"/>
            <w:vMerge w:val="restart"/>
            <w:tcBorders>
              <w:top w:val="single" w:sz="4" w:space="0" w:color="auto"/>
              <w:left w:val="single" w:sz="4" w:space="0" w:color="auto"/>
              <w:bottom w:val="nil"/>
              <w:right w:val="single" w:sz="4" w:space="0" w:color="auto"/>
            </w:tcBorders>
          </w:tcPr>
          <w:p w14:paraId="11089F9B" w14:textId="77777777" w:rsidR="009B5C04" w:rsidRPr="009B5C04" w:rsidRDefault="009B5C04" w:rsidP="004305CF">
            <w:pPr>
              <w:pStyle w:val="PBACcentre"/>
              <w:keepNext/>
              <w:jc w:val="left"/>
              <w:rPr>
                <w:rFonts w:cs="Arial"/>
                <w:sz w:val="20"/>
                <w:szCs w:val="20"/>
              </w:rPr>
            </w:pPr>
          </w:p>
        </w:tc>
        <w:tc>
          <w:tcPr>
            <w:tcW w:w="7654" w:type="dxa"/>
            <w:gridSpan w:val="6"/>
            <w:tcBorders>
              <w:top w:val="single" w:sz="4" w:space="0" w:color="auto"/>
              <w:left w:val="single" w:sz="4" w:space="0" w:color="auto"/>
              <w:bottom w:val="single" w:sz="4" w:space="0" w:color="auto"/>
              <w:right w:val="single" w:sz="4" w:space="0" w:color="auto"/>
            </w:tcBorders>
          </w:tcPr>
          <w:p w14:paraId="12DFB31C" w14:textId="77777777" w:rsidR="009B5C04" w:rsidRPr="009B5C04" w:rsidRDefault="009B5C04" w:rsidP="004305CF">
            <w:pPr>
              <w:pStyle w:val="PBACbold"/>
              <w:keepNext/>
              <w:ind w:left="720" w:hanging="720"/>
              <w:rPr>
                <w:sz w:val="20"/>
                <w:szCs w:val="20"/>
              </w:rPr>
            </w:pPr>
            <w:r w:rsidRPr="009B5C04">
              <w:rPr>
                <w:sz w:val="20"/>
                <w:szCs w:val="20"/>
              </w:rPr>
              <w:t xml:space="preserve">Category / Program: </w:t>
            </w:r>
          </w:p>
          <w:p w14:paraId="2AE6FCAF" w14:textId="77777777" w:rsidR="009B5C04" w:rsidRPr="009B5C04" w:rsidRDefault="009B5C04" w:rsidP="004305CF">
            <w:pPr>
              <w:pStyle w:val="PBACtext"/>
              <w:keepNext/>
              <w:ind w:left="720" w:hanging="720"/>
              <w:rPr>
                <w:rFonts w:cs="Arial"/>
                <w:sz w:val="20"/>
                <w:szCs w:val="20"/>
              </w:rPr>
            </w:pPr>
            <w:r w:rsidRPr="009B5C04">
              <w:rPr>
                <w:rFonts w:cs="Arial"/>
                <w:sz w:val="20"/>
                <w:szCs w:val="20"/>
              </w:rPr>
              <w:t>GENERAL – General Schedule (Code GE)</w:t>
            </w:r>
          </w:p>
        </w:tc>
      </w:tr>
      <w:tr w:rsidR="009B5C04" w:rsidRPr="00E5075E" w14:paraId="12493523" w14:textId="77777777" w:rsidTr="001F408B">
        <w:tblPrEx>
          <w:tblCellMar>
            <w:top w:w="15" w:type="dxa"/>
            <w:left w:w="15" w:type="dxa"/>
            <w:bottom w:w="15" w:type="dxa"/>
            <w:right w:w="15" w:type="dxa"/>
          </w:tblCellMar>
          <w:tblLook w:val="04A0" w:firstRow="1" w:lastRow="0" w:firstColumn="1" w:lastColumn="0" w:noHBand="0" w:noVBand="1"/>
        </w:tblPrEx>
        <w:trPr>
          <w:trHeight w:val="170"/>
        </w:trPr>
        <w:tc>
          <w:tcPr>
            <w:tcW w:w="1419" w:type="dxa"/>
            <w:vMerge/>
            <w:tcBorders>
              <w:top w:val="nil"/>
              <w:left w:val="single" w:sz="4" w:space="0" w:color="auto"/>
              <w:bottom w:val="nil"/>
              <w:right w:val="single" w:sz="4" w:space="0" w:color="auto"/>
            </w:tcBorders>
          </w:tcPr>
          <w:p w14:paraId="7E916DCF" w14:textId="77777777" w:rsidR="009B5C04" w:rsidRPr="009B5C04" w:rsidRDefault="009B5C04" w:rsidP="004305CF">
            <w:pPr>
              <w:keepNext/>
              <w:ind w:left="720" w:hanging="720"/>
              <w:rPr>
                <w:rFonts w:ascii="Arial Narrow" w:hAnsi="Arial Narrow"/>
                <w:sz w:val="20"/>
                <w:szCs w:val="20"/>
              </w:rPr>
            </w:pPr>
          </w:p>
        </w:tc>
        <w:tc>
          <w:tcPr>
            <w:tcW w:w="7654" w:type="dxa"/>
            <w:gridSpan w:val="6"/>
            <w:tcBorders>
              <w:top w:val="single" w:sz="4" w:space="0" w:color="auto"/>
              <w:left w:val="single" w:sz="4" w:space="0" w:color="auto"/>
              <w:bottom w:val="single" w:sz="4" w:space="0" w:color="auto"/>
              <w:right w:val="single" w:sz="4" w:space="0" w:color="auto"/>
            </w:tcBorders>
          </w:tcPr>
          <w:p w14:paraId="2C2E9650" w14:textId="77777777" w:rsidR="009B5C04" w:rsidRPr="009B5C04" w:rsidRDefault="009B5C04" w:rsidP="004305CF">
            <w:pPr>
              <w:pStyle w:val="PBACtext"/>
              <w:keepNext/>
              <w:ind w:left="720" w:hanging="720"/>
              <w:rPr>
                <w:rFonts w:cs="Arial"/>
                <w:b/>
                <w:sz w:val="20"/>
                <w:szCs w:val="20"/>
              </w:rPr>
            </w:pPr>
            <w:r w:rsidRPr="009B5C04">
              <w:rPr>
                <w:rFonts w:cs="Arial"/>
                <w:b/>
                <w:sz w:val="20"/>
                <w:szCs w:val="20"/>
              </w:rPr>
              <w:t xml:space="preserve">Prescriber type: </w:t>
            </w:r>
            <w:r w:rsidRPr="009B5C04">
              <w:rPr>
                <w:rFonts w:cs="Arial"/>
                <w:sz w:val="20"/>
                <w:szCs w:val="20"/>
              </w:rPr>
              <w:fldChar w:fldCharType="begin" w:fldLock="1">
                <w:ffData>
                  <w:name w:val="Check1"/>
                  <w:enabled/>
                  <w:calcOnExit w:val="0"/>
                  <w:checkBox>
                    <w:sizeAuto/>
                    <w:default w:val="0"/>
                  </w:checkBox>
                </w:ffData>
              </w:fldChar>
            </w:r>
            <w:r w:rsidRPr="009B5C04">
              <w:rPr>
                <w:rFonts w:cs="Arial"/>
                <w:sz w:val="20"/>
                <w:szCs w:val="20"/>
              </w:rPr>
              <w:instrText xml:space="preserve"> FORMCHECKBOX </w:instrText>
            </w:r>
            <w:r w:rsidR="001E77BF">
              <w:rPr>
                <w:rFonts w:cs="Arial"/>
                <w:sz w:val="20"/>
                <w:szCs w:val="20"/>
              </w:rPr>
            </w:r>
            <w:r w:rsidR="001E77BF">
              <w:rPr>
                <w:rFonts w:cs="Arial"/>
                <w:sz w:val="20"/>
                <w:szCs w:val="20"/>
              </w:rPr>
              <w:fldChar w:fldCharType="separate"/>
            </w:r>
            <w:r w:rsidRPr="009B5C04">
              <w:rPr>
                <w:rFonts w:cs="Arial"/>
                <w:sz w:val="20"/>
                <w:szCs w:val="20"/>
              </w:rPr>
              <w:fldChar w:fldCharType="end"/>
            </w:r>
            <w:r w:rsidRPr="009B5C04">
              <w:rPr>
                <w:rFonts w:cs="Arial"/>
                <w:sz w:val="20"/>
                <w:szCs w:val="20"/>
              </w:rPr>
              <w:t xml:space="preserve">Dental </w:t>
            </w:r>
            <w:r w:rsidRPr="009B5C04">
              <w:rPr>
                <w:rFonts w:cs="Arial"/>
                <w:sz w:val="20"/>
                <w:szCs w:val="20"/>
              </w:rPr>
              <w:fldChar w:fldCharType="begin" w:fldLock="1">
                <w:ffData>
                  <w:name w:val=""/>
                  <w:enabled/>
                  <w:calcOnExit w:val="0"/>
                  <w:checkBox>
                    <w:sizeAuto/>
                    <w:default w:val="1"/>
                  </w:checkBox>
                </w:ffData>
              </w:fldChar>
            </w:r>
            <w:r w:rsidRPr="009B5C04">
              <w:rPr>
                <w:rFonts w:cs="Arial"/>
                <w:sz w:val="20"/>
                <w:szCs w:val="20"/>
              </w:rPr>
              <w:instrText xml:space="preserve"> FORMCHECKBOX </w:instrText>
            </w:r>
            <w:r w:rsidR="001E77BF">
              <w:rPr>
                <w:rFonts w:cs="Arial"/>
                <w:sz w:val="20"/>
                <w:szCs w:val="20"/>
              </w:rPr>
            </w:r>
            <w:r w:rsidR="001E77BF">
              <w:rPr>
                <w:rFonts w:cs="Arial"/>
                <w:sz w:val="20"/>
                <w:szCs w:val="20"/>
              </w:rPr>
              <w:fldChar w:fldCharType="separate"/>
            </w:r>
            <w:r w:rsidRPr="009B5C04">
              <w:rPr>
                <w:rFonts w:cs="Arial"/>
                <w:sz w:val="20"/>
                <w:szCs w:val="20"/>
              </w:rPr>
              <w:fldChar w:fldCharType="end"/>
            </w:r>
            <w:r w:rsidRPr="009B5C04">
              <w:rPr>
                <w:rFonts w:cs="Arial"/>
                <w:sz w:val="20"/>
                <w:szCs w:val="20"/>
              </w:rPr>
              <w:t xml:space="preserve">Medical Practitioners </w:t>
            </w:r>
            <w:r w:rsidRPr="009B5C04">
              <w:rPr>
                <w:rFonts w:cs="Arial"/>
                <w:sz w:val="20"/>
                <w:szCs w:val="20"/>
              </w:rPr>
              <w:fldChar w:fldCharType="begin" w:fldLock="1">
                <w:ffData>
                  <w:name w:val="Check3"/>
                  <w:enabled/>
                  <w:calcOnExit w:val="0"/>
                  <w:checkBox>
                    <w:sizeAuto/>
                    <w:default w:val="0"/>
                  </w:checkBox>
                </w:ffData>
              </w:fldChar>
            </w:r>
            <w:r w:rsidRPr="009B5C04">
              <w:rPr>
                <w:rFonts w:cs="Arial"/>
                <w:sz w:val="20"/>
                <w:szCs w:val="20"/>
              </w:rPr>
              <w:instrText xml:space="preserve"> FORMCHECKBOX </w:instrText>
            </w:r>
            <w:r w:rsidR="001E77BF">
              <w:rPr>
                <w:rFonts w:cs="Arial"/>
                <w:sz w:val="20"/>
                <w:szCs w:val="20"/>
              </w:rPr>
            </w:r>
            <w:r w:rsidR="001E77BF">
              <w:rPr>
                <w:rFonts w:cs="Arial"/>
                <w:sz w:val="20"/>
                <w:szCs w:val="20"/>
              </w:rPr>
              <w:fldChar w:fldCharType="separate"/>
            </w:r>
            <w:r w:rsidRPr="009B5C04">
              <w:rPr>
                <w:rFonts w:cs="Arial"/>
                <w:sz w:val="20"/>
                <w:szCs w:val="20"/>
              </w:rPr>
              <w:fldChar w:fldCharType="end"/>
            </w:r>
            <w:r w:rsidRPr="009B5C04">
              <w:rPr>
                <w:rFonts w:cs="Arial"/>
                <w:sz w:val="20"/>
                <w:szCs w:val="20"/>
              </w:rPr>
              <w:t xml:space="preserve">Nurse practitioners </w:t>
            </w:r>
            <w:r w:rsidRPr="009B5C04">
              <w:rPr>
                <w:rFonts w:cs="Arial"/>
                <w:sz w:val="20"/>
                <w:szCs w:val="20"/>
              </w:rPr>
              <w:fldChar w:fldCharType="begin" w:fldLock="1">
                <w:ffData>
                  <w:name w:val=""/>
                  <w:enabled/>
                  <w:calcOnExit w:val="0"/>
                  <w:checkBox>
                    <w:sizeAuto/>
                    <w:default w:val="0"/>
                  </w:checkBox>
                </w:ffData>
              </w:fldChar>
            </w:r>
            <w:r w:rsidRPr="009B5C04">
              <w:rPr>
                <w:rFonts w:cs="Arial"/>
                <w:sz w:val="20"/>
                <w:szCs w:val="20"/>
              </w:rPr>
              <w:instrText xml:space="preserve"> FORMCHECKBOX </w:instrText>
            </w:r>
            <w:r w:rsidR="001E77BF">
              <w:rPr>
                <w:rFonts w:cs="Arial"/>
                <w:sz w:val="20"/>
                <w:szCs w:val="20"/>
              </w:rPr>
            </w:r>
            <w:r w:rsidR="001E77BF">
              <w:rPr>
                <w:rFonts w:cs="Arial"/>
                <w:sz w:val="20"/>
                <w:szCs w:val="20"/>
              </w:rPr>
              <w:fldChar w:fldCharType="separate"/>
            </w:r>
            <w:r w:rsidRPr="009B5C04">
              <w:rPr>
                <w:rFonts w:cs="Arial"/>
                <w:sz w:val="20"/>
                <w:szCs w:val="20"/>
              </w:rPr>
              <w:fldChar w:fldCharType="end"/>
            </w:r>
            <w:r w:rsidRPr="009B5C04">
              <w:rPr>
                <w:rFonts w:cs="Arial"/>
                <w:sz w:val="20"/>
                <w:szCs w:val="20"/>
              </w:rPr>
              <w:t xml:space="preserve">Optometrists </w:t>
            </w:r>
            <w:r w:rsidRPr="009B5C04">
              <w:rPr>
                <w:rFonts w:cs="Arial"/>
                <w:sz w:val="20"/>
                <w:szCs w:val="20"/>
              </w:rPr>
              <w:fldChar w:fldCharType="begin" w:fldLock="1">
                <w:ffData>
                  <w:name w:val="Check5"/>
                  <w:enabled/>
                  <w:calcOnExit w:val="0"/>
                  <w:checkBox>
                    <w:sizeAuto/>
                    <w:default w:val="0"/>
                  </w:checkBox>
                </w:ffData>
              </w:fldChar>
            </w:r>
            <w:r w:rsidRPr="009B5C04">
              <w:rPr>
                <w:rFonts w:cs="Arial"/>
                <w:sz w:val="20"/>
                <w:szCs w:val="20"/>
              </w:rPr>
              <w:instrText xml:space="preserve"> FORMCHECKBOX </w:instrText>
            </w:r>
            <w:r w:rsidR="001E77BF">
              <w:rPr>
                <w:rFonts w:cs="Arial"/>
                <w:sz w:val="20"/>
                <w:szCs w:val="20"/>
              </w:rPr>
            </w:r>
            <w:r w:rsidR="001E77BF">
              <w:rPr>
                <w:rFonts w:cs="Arial"/>
                <w:sz w:val="20"/>
                <w:szCs w:val="20"/>
              </w:rPr>
              <w:fldChar w:fldCharType="separate"/>
            </w:r>
            <w:r w:rsidRPr="009B5C04">
              <w:rPr>
                <w:rFonts w:cs="Arial"/>
                <w:sz w:val="20"/>
                <w:szCs w:val="20"/>
              </w:rPr>
              <w:fldChar w:fldCharType="end"/>
            </w:r>
            <w:r w:rsidRPr="009B5C04">
              <w:rPr>
                <w:rFonts w:cs="Arial"/>
                <w:sz w:val="20"/>
                <w:szCs w:val="20"/>
              </w:rPr>
              <w:t>Midwives</w:t>
            </w:r>
          </w:p>
        </w:tc>
      </w:tr>
      <w:tr w:rsidR="009B5C04" w:rsidRPr="00E5075E" w14:paraId="4D56DBD5" w14:textId="77777777" w:rsidTr="001F408B">
        <w:tblPrEx>
          <w:tblCellMar>
            <w:top w:w="15" w:type="dxa"/>
            <w:left w:w="15" w:type="dxa"/>
            <w:bottom w:w="15" w:type="dxa"/>
            <w:right w:w="15" w:type="dxa"/>
          </w:tblCellMar>
          <w:tblLook w:val="04A0" w:firstRow="1" w:lastRow="0" w:firstColumn="1" w:lastColumn="0" w:noHBand="0" w:noVBand="1"/>
        </w:tblPrEx>
        <w:trPr>
          <w:trHeight w:val="170"/>
        </w:trPr>
        <w:tc>
          <w:tcPr>
            <w:tcW w:w="1419" w:type="dxa"/>
            <w:vMerge/>
            <w:tcBorders>
              <w:top w:val="nil"/>
              <w:left w:val="single" w:sz="4" w:space="0" w:color="auto"/>
              <w:bottom w:val="single" w:sz="4" w:space="0" w:color="auto"/>
              <w:right w:val="single" w:sz="4" w:space="0" w:color="auto"/>
            </w:tcBorders>
          </w:tcPr>
          <w:p w14:paraId="1D882A6D" w14:textId="77777777" w:rsidR="009B5C04" w:rsidRPr="009B5C04" w:rsidRDefault="009B5C04" w:rsidP="004305CF">
            <w:pPr>
              <w:keepNext/>
              <w:ind w:left="720" w:hanging="720"/>
              <w:rPr>
                <w:rFonts w:ascii="Arial Narrow" w:hAnsi="Arial Narrow"/>
                <w:sz w:val="20"/>
                <w:szCs w:val="20"/>
              </w:rPr>
            </w:pPr>
          </w:p>
        </w:tc>
        <w:tc>
          <w:tcPr>
            <w:tcW w:w="7654" w:type="dxa"/>
            <w:gridSpan w:val="6"/>
            <w:tcBorders>
              <w:top w:val="single" w:sz="4" w:space="0" w:color="auto"/>
              <w:left w:val="single" w:sz="4" w:space="0" w:color="auto"/>
              <w:bottom w:val="single" w:sz="4" w:space="0" w:color="auto"/>
              <w:right w:val="single" w:sz="4" w:space="0" w:color="auto"/>
            </w:tcBorders>
          </w:tcPr>
          <w:p w14:paraId="0BD05F9B" w14:textId="77777777" w:rsidR="009B5C04" w:rsidRPr="009B5C04" w:rsidRDefault="009B5C04" w:rsidP="004305CF">
            <w:pPr>
              <w:pStyle w:val="PBACbold"/>
              <w:keepNext/>
              <w:ind w:left="720" w:hanging="720"/>
              <w:rPr>
                <w:sz w:val="20"/>
                <w:szCs w:val="20"/>
              </w:rPr>
            </w:pPr>
            <w:r w:rsidRPr="009B5C04">
              <w:rPr>
                <w:sz w:val="20"/>
                <w:szCs w:val="20"/>
              </w:rPr>
              <w:t>Restriction Type – assessment time by Services Australia</w:t>
            </w:r>
          </w:p>
          <w:p w14:paraId="53F08623" w14:textId="77777777" w:rsidR="009B5C04" w:rsidRPr="009B5C04" w:rsidRDefault="009B5C04" w:rsidP="004305CF">
            <w:pPr>
              <w:pStyle w:val="PBACtext"/>
              <w:keepNext/>
              <w:ind w:left="720" w:hanging="720"/>
              <w:jc w:val="left"/>
              <w:rPr>
                <w:rFonts w:cs="Arial"/>
                <w:sz w:val="20"/>
                <w:szCs w:val="20"/>
              </w:rPr>
            </w:pPr>
            <w:r w:rsidRPr="009B5C04">
              <w:rPr>
                <w:rFonts w:cs="Arial"/>
                <w:sz w:val="20"/>
                <w:szCs w:val="20"/>
              </w:rPr>
              <w:fldChar w:fldCharType="begin" w:fldLock="1">
                <w:ffData>
                  <w:name w:val="Check3"/>
                  <w:enabled/>
                  <w:calcOnExit w:val="0"/>
                  <w:checkBox>
                    <w:sizeAuto/>
                    <w:default w:val="1"/>
                  </w:checkBox>
                </w:ffData>
              </w:fldChar>
            </w:r>
            <w:r w:rsidRPr="009B5C04">
              <w:rPr>
                <w:rFonts w:cs="Arial"/>
                <w:sz w:val="20"/>
                <w:szCs w:val="20"/>
              </w:rPr>
              <w:instrText xml:space="preserve"> FORMCHECKBOX </w:instrText>
            </w:r>
            <w:r w:rsidR="001E77BF">
              <w:rPr>
                <w:rFonts w:cs="Arial"/>
                <w:sz w:val="20"/>
                <w:szCs w:val="20"/>
              </w:rPr>
            </w:r>
            <w:r w:rsidR="001E77BF">
              <w:rPr>
                <w:rFonts w:cs="Arial"/>
                <w:sz w:val="20"/>
                <w:szCs w:val="20"/>
              </w:rPr>
              <w:fldChar w:fldCharType="separate"/>
            </w:r>
            <w:r w:rsidRPr="009B5C04">
              <w:rPr>
                <w:rFonts w:cs="Arial"/>
                <w:sz w:val="20"/>
                <w:szCs w:val="20"/>
              </w:rPr>
              <w:fldChar w:fldCharType="end"/>
            </w:r>
            <w:r w:rsidRPr="009B5C04">
              <w:rPr>
                <w:rFonts w:cs="Arial"/>
                <w:sz w:val="20"/>
                <w:szCs w:val="20"/>
              </w:rPr>
              <w:t>Authority Required – immediate/real time assessment by Services Australia (telephone/online application avenues)</w:t>
            </w:r>
          </w:p>
        </w:tc>
      </w:tr>
      <w:tr w:rsidR="009B5C04" w:rsidRPr="00E5075E" w14:paraId="1BB105F6" w14:textId="77777777" w:rsidTr="001F408B">
        <w:tblPrEx>
          <w:tblCellMar>
            <w:top w:w="15" w:type="dxa"/>
            <w:bottom w:w="15" w:type="dxa"/>
          </w:tblCellMar>
          <w:tblLook w:val="04A0" w:firstRow="1" w:lastRow="0" w:firstColumn="1" w:lastColumn="0" w:noHBand="0" w:noVBand="1"/>
        </w:tblPrEx>
        <w:trPr>
          <w:cantSplit/>
          <w:trHeight w:val="20"/>
        </w:trPr>
        <w:tc>
          <w:tcPr>
            <w:tcW w:w="1419" w:type="dxa"/>
          </w:tcPr>
          <w:p w14:paraId="183C6288" w14:textId="77777777" w:rsidR="009B5C04" w:rsidRPr="009B5C04" w:rsidRDefault="009B5C04" w:rsidP="004305CF">
            <w:pPr>
              <w:pStyle w:val="PBACtext"/>
              <w:rPr>
                <w:b/>
                <w:sz w:val="20"/>
                <w:szCs w:val="20"/>
              </w:rPr>
            </w:pPr>
          </w:p>
        </w:tc>
        <w:tc>
          <w:tcPr>
            <w:tcW w:w="7654" w:type="dxa"/>
            <w:gridSpan w:val="6"/>
          </w:tcPr>
          <w:p w14:paraId="5F9CC150" w14:textId="77777777" w:rsidR="009B5C04" w:rsidRPr="009B5C04" w:rsidRDefault="009B5C04" w:rsidP="004305CF">
            <w:pPr>
              <w:pStyle w:val="PBACtext"/>
              <w:rPr>
                <w:rFonts w:cs="Arial"/>
                <w:sz w:val="20"/>
                <w:szCs w:val="20"/>
              </w:rPr>
            </w:pPr>
            <w:r w:rsidRPr="009B5C04">
              <w:rPr>
                <w:b/>
                <w:sz w:val="20"/>
                <w:szCs w:val="20"/>
              </w:rPr>
              <w:t xml:space="preserve">Category / Program: </w:t>
            </w:r>
            <w:r w:rsidRPr="009B5C04">
              <w:rPr>
                <w:sz w:val="20"/>
                <w:szCs w:val="20"/>
              </w:rPr>
              <w:t>General Schedule</w:t>
            </w:r>
          </w:p>
        </w:tc>
      </w:tr>
      <w:tr w:rsidR="009B5C04" w:rsidRPr="00E5075E" w14:paraId="156AF822" w14:textId="77777777" w:rsidTr="001F408B">
        <w:tblPrEx>
          <w:tblCellMar>
            <w:top w:w="15" w:type="dxa"/>
            <w:bottom w:w="15" w:type="dxa"/>
          </w:tblCellMar>
          <w:tblLook w:val="04A0" w:firstRow="1" w:lastRow="0" w:firstColumn="1" w:lastColumn="0" w:noHBand="0" w:noVBand="1"/>
        </w:tblPrEx>
        <w:trPr>
          <w:cantSplit/>
          <w:trHeight w:val="20"/>
        </w:trPr>
        <w:tc>
          <w:tcPr>
            <w:tcW w:w="1419" w:type="dxa"/>
          </w:tcPr>
          <w:p w14:paraId="713E776B" w14:textId="77777777" w:rsidR="009B5C04" w:rsidRPr="009B5C04" w:rsidRDefault="009B5C04" w:rsidP="004305CF">
            <w:pPr>
              <w:pStyle w:val="PBACtext"/>
              <w:rPr>
                <w:b/>
                <w:sz w:val="20"/>
                <w:szCs w:val="20"/>
              </w:rPr>
            </w:pPr>
          </w:p>
        </w:tc>
        <w:tc>
          <w:tcPr>
            <w:tcW w:w="7654" w:type="dxa"/>
            <w:gridSpan w:val="6"/>
          </w:tcPr>
          <w:p w14:paraId="047847E6" w14:textId="77777777" w:rsidR="009B5C04" w:rsidRPr="009B5C04" w:rsidRDefault="009B5C04" w:rsidP="004305CF">
            <w:pPr>
              <w:pStyle w:val="PBACtext"/>
              <w:rPr>
                <w:rFonts w:cs="Arial"/>
                <w:sz w:val="20"/>
                <w:szCs w:val="20"/>
              </w:rPr>
            </w:pPr>
            <w:r w:rsidRPr="009B5C04">
              <w:rPr>
                <w:b/>
                <w:sz w:val="20"/>
                <w:szCs w:val="20"/>
              </w:rPr>
              <w:t xml:space="preserve">Prescriber type: </w:t>
            </w:r>
            <w:r w:rsidRPr="009B5C04">
              <w:rPr>
                <w:sz w:val="20"/>
                <w:szCs w:val="20"/>
              </w:rPr>
              <w:fldChar w:fldCharType="begin" w:fldLock="1">
                <w:ffData>
                  <w:name w:val=""/>
                  <w:enabled/>
                  <w:calcOnExit w:val="0"/>
                  <w:checkBox>
                    <w:sizeAuto/>
                    <w:default w:val="1"/>
                  </w:checkBox>
                </w:ffData>
              </w:fldChar>
            </w:r>
            <w:r w:rsidRPr="009B5C04">
              <w:rPr>
                <w:sz w:val="20"/>
                <w:szCs w:val="20"/>
              </w:rPr>
              <w:instrText xml:space="preserve"> FORMCHECKBOX </w:instrText>
            </w:r>
            <w:r w:rsidR="001E77BF">
              <w:rPr>
                <w:sz w:val="20"/>
                <w:szCs w:val="20"/>
              </w:rPr>
            </w:r>
            <w:r w:rsidR="001E77BF">
              <w:rPr>
                <w:sz w:val="20"/>
                <w:szCs w:val="20"/>
              </w:rPr>
              <w:fldChar w:fldCharType="separate"/>
            </w:r>
            <w:r w:rsidRPr="009B5C04">
              <w:rPr>
                <w:sz w:val="20"/>
                <w:szCs w:val="20"/>
              </w:rPr>
              <w:fldChar w:fldCharType="end"/>
            </w:r>
            <w:r w:rsidRPr="009B5C04">
              <w:rPr>
                <w:sz w:val="20"/>
                <w:szCs w:val="20"/>
              </w:rPr>
              <w:t>Medical Practitioners</w:t>
            </w:r>
          </w:p>
        </w:tc>
      </w:tr>
      <w:tr w:rsidR="009B5C04" w:rsidRPr="00E5075E" w14:paraId="566B0F6F" w14:textId="77777777" w:rsidTr="001F408B">
        <w:tblPrEx>
          <w:tblCellMar>
            <w:top w:w="15" w:type="dxa"/>
            <w:bottom w:w="15" w:type="dxa"/>
          </w:tblCellMar>
          <w:tblLook w:val="04A0" w:firstRow="1" w:lastRow="0" w:firstColumn="1" w:lastColumn="0" w:noHBand="0" w:noVBand="1"/>
        </w:tblPrEx>
        <w:trPr>
          <w:cantSplit/>
          <w:trHeight w:val="20"/>
        </w:trPr>
        <w:tc>
          <w:tcPr>
            <w:tcW w:w="1419" w:type="dxa"/>
          </w:tcPr>
          <w:p w14:paraId="43BDDEF5" w14:textId="77777777" w:rsidR="009B5C04" w:rsidRPr="009B5C04" w:rsidRDefault="009B5C04" w:rsidP="004305CF">
            <w:pPr>
              <w:pStyle w:val="PBACtext"/>
              <w:rPr>
                <w:b/>
                <w:sz w:val="20"/>
                <w:szCs w:val="20"/>
              </w:rPr>
            </w:pPr>
          </w:p>
        </w:tc>
        <w:tc>
          <w:tcPr>
            <w:tcW w:w="7654" w:type="dxa"/>
            <w:gridSpan w:val="6"/>
          </w:tcPr>
          <w:p w14:paraId="661F3617" w14:textId="77777777" w:rsidR="009B5C04" w:rsidRPr="009B5C04" w:rsidRDefault="009B5C04" w:rsidP="004305CF">
            <w:pPr>
              <w:pStyle w:val="PBACtext"/>
              <w:rPr>
                <w:rFonts w:cs="Arial"/>
                <w:sz w:val="20"/>
                <w:szCs w:val="20"/>
              </w:rPr>
            </w:pPr>
            <w:r w:rsidRPr="009B5C04">
              <w:rPr>
                <w:b/>
                <w:sz w:val="20"/>
                <w:szCs w:val="20"/>
              </w:rPr>
              <w:t xml:space="preserve">Restriction type: </w:t>
            </w:r>
            <w:r w:rsidRPr="009B5C04">
              <w:rPr>
                <w:rFonts w:eastAsia="Times New Roman"/>
                <w:sz w:val="20"/>
                <w:szCs w:val="20"/>
              </w:rPr>
              <w:fldChar w:fldCharType="begin" w:fldLock="1">
                <w:ffData>
                  <w:name w:val="Check3"/>
                  <w:enabled/>
                  <w:calcOnExit w:val="0"/>
                  <w:checkBox>
                    <w:sizeAuto/>
                    <w:default w:val="1"/>
                  </w:checkBox>
                </w:ffData>
              </w:fldChar>
            </w:r>
            <w:r w:rsidRPr="009B5C04">
              <w:rPr>
                <w:rFonts w:eastAsia="Times New Roman"/>
                <w:sz w:val="20"/>
                <w:szCs w:val="20"/>
              </w:rPr>
              <w:instrText xml:space="preserve"> FORMCHECKBOX </w:instrText>
            </w:r>
            <w:r w:rsidR="001E77BF">
              <w:rPr>
                <w:rFonts w:eastAsia="Times New Roman"/>
                <w:sz w:val="20"/>
                <w:szCs w:val="20"/>
              </w:rPr>
            </w:r>
            <w:r w:rsidR="001E77BF">
              <w:rPr>
                <w:rFonts w:eastAsia="Times New Roman"/>
                <w:sz w:val="20"/>
                <w:szCs w:val="20"/>
              </w:rPr>
              <w:fldChar w:fldCharType="separate"/>
            </w:r>
            <w:r w:rsidRPr="009B5C04">
              <w:rPr>
                <w:rFonts w:eastAsia="Times New Roman"/>
                <w:sz w:val="20"/>
                <w:szCs w:val="20"/>
              </w:rPr>
              <w:fldChar w:fldCharType="end"/>
            </w:r>
            <w:r w:rsidRPr="009B5C04">
              <w:rPr>
                <w:rFonts w:eastAsia="Times New Roman"/>
                <w:sz w:val="20"/>
                <w:szCs w:val="20"/>
              </w:rPr>
              <w:t>Authority Required (telephone/online PBS Authorities system)</w:t>
            </w:r>
          </w:p>
        </w:tc>
      </w:tr>
      <w:tr w:rsidR="009B5C04" w:rsidRPr="00E5075E" w14:paraId="5398935A" w14:textId="77777777" w:rsidTr="001F408B">
        <w:tblPrEx>
          <w:tblCellMar>
            <w:top w:w="15" w:type="dxa"/>
            <w:bottom w:w="15" w:type="dxa"/>
          </w:tblCellMar>
          <w:tblLook w:val="04A0" w:firstRow="1" w:lastRow="0" w:firstColumn="1" w:lastColumn="0" w:noHBand="0" w:noVBand="1"/>
        </w:tblPrEx>
        <w:trPr>
          <w:cantSplit/>
          <w:trHeight w:val="20"/>
        </w:trPr>
        <w:tc>
          <w:tcPr>
            <w:tcW w:w="1419" w:type="dxa"/>
          </w:tcPr>
          <w:p w14:paraId="643BF18F" w14:textId="77777777" w:rsidR="009B5C04" w:rsidRPr="009B5C04" w:rsidRDefault="009B5C04" w:rsidP="004305CF">
            <w:pPr>
              <w:pStyle w:val="PBACtext"/>
              <w:rPr>
                <w:rFonts w:cs="Arial"/>
                <w:b/>
                <w:sz w:val="20"/>
                <w:szCs w:val="20"/>
                <w:lang w:eastAsia="en-AU"/>
              </w:rPr>
            </w:pPr>
          </w:p>
        </w:tc>
        <w:tc>
          <w:tcPr>
            <w:tcW w:w="7654" w:type="dxa"/>
            <w:gridSpan w:val="6"/>
            <w:vAlign w:val="center"/>
          </w:tcPr>
          <w:p w14:paraId="6AAEEBCA" w14:textId="77777777" w:rsidR="009B5C04" w:rsidRPr="009B5C04" w:rsidRDefault="009B5C04" w:rsidP="004305CF">
            <w:pPr>
              <w:pStyle w:val="PBACtext"/>
              <w:rPr>
                <w:rFonts w:cs="Arial"/>
                <w:sz w:val="20"/>
                <w:szCs w:val="20"/>
              </w:rPr>
            </w:pPr>
            <w:r w:rsidRPr="009B5C04">
              <w:rPr>
                <w:rFonts w:cs="Arial"/>
                <w:b/>
                <w:sz w:val="20"/>
                <w:szCs w:val="20"/>
                <w:lang w:eastAsia="en-AU"/>
              </w:rPr>
              <w:t xml:space="preserve">Severity: </w:t>
            </w:r>
            <w:r w:rsidRPr="009B5C04">
              <w:rPr>
                <w:rFonts w:cs="Arial"/>
                <w:sz w:val="20"/>
                <w:szCs w:val="20"/>
                <w:lang w:eastAsia="en-AU"/>
              </w:rPr>
              <w:t>Stage IB, II or IIIA</w:t>
            </w:r>
          </w:p>
        </w:tc>
      </w:tr>
      <w:tr w:rsidR="009B5C04" w:rsidRPr="00E5075E" w14:paraId="71CF93E4" w14:textId="77777777" w:rsidTr="001F408B">
        <w:tblPrEx>
          <w:tblCellMar>
            <w:top w:w="15" w:type="dxa"/>
            <w:bottom w:w="15" w:type="dxa"/>
          </w:tblCellMar>
          <w:tblLook w:val="04A0" w:firstRow="1" w:lastRow="0" w:firstColumn="1" w:lastColumn="0" w:noHBand="0" w:noVBand="1"/>
        </w:tblPrEx>
        <w:trPr>
          <w:cantSplit/>
          <w:trHeight w:val="20"/>
        </w:trPr>
        <w:tc>
          <w:tcPr>
            <w:tcW w:w="1419" w:type="dxa"/>
          </w:tcPr>
          <w:p w14:paraId="1F59BDE9" w14:textId="77777777" w:rsidR="009B5C04" w:rsidRPr="009B5C04" w:rsidRDefault="009B5C04" w:rsidP="00A746EE">
            <w:pPr>
              <w:pStyle w:val="PBACtext"/>
              <w:jc w:val="center"/>
              <w:rPr>
                <w:rFonts w:cs="Arial"/>
                <w:b/>
                <w:sz w:val="20"/>
                <w:szCs w:val="20"/>
                <w:lang w:eastAsia="en-AU"/>
              </w:rPr>
            </w:pPr>
          </w:p>
        </w:tc>
        <w:tc>
          <w:tcPr>
            <w:tcW w:w="7654" w:type="dxa"/>
            <w:gridSpan w:val="6"/>
            <w:vAlign w:val="center"/>
          </w:tcPr>
          <w:p w14:paraId="50D761CB" w14:textId="77777777" w:rsidR="009B5C04" w:rsidRPr="009B5C04" w:rsidRDefault="009B5C04" w:rsidP="004305CF">
            <w:pPr>
              <w:pStyle w:val="PBACtext"/>
              <w:rPr>
                <w:rFonts w:cs="Arial"/>
                <w:sz w:val="20"/>
                <w:szCs w:val="20"/>
              </w:rPr>
            </w:pPr>
            <w:r w:rsidRPr="009B5C04">
              <w:rPr>
                <w:rFonts w:cs="Arial"/>
                <w:b/>
                <w:sz w:val="20"/>
                <w:szCs w:val="20"/>
                <w:lang w:eastAsia="en-AU"/>
              </w:rPr>
              <w:t xml:space="preserve">Condition: </w:t>
            </w:r>
            <w:r w:rsidRPr="009B5C04">
              <w:rPr>
                <w:rFonts w:cs="Arial"/>
                <w:sz w:val="20"/>
                <w:szCs w:val="20"/>
                <w:lang w:eastAsia="en-AU"/>
              </w:rPr>
              <w:t>non-small cell lung cancer</w:t>
            </w:r>
          </w:p>
        </w:tc>
      </w:tr>
      <w:tr w:rsidR="009B5C04" w:rsidRPr="00E5075E" w14:paraId="50C1373D" w14:textId="77777777" w:rsidTr="001F408B">
        <w:tblPrEx>
          <w:tblCellMar>
            <w:top w:w="15" w:type="dxa"/>
            <w:bottom w:w="15" w:type="dxa"/>
          </w:tblCellMar>
          <w:tblLook w:val="04A0" w:firstRow="1" w:lastRow="0" w:firstColumn="1" w:lastColumn="0" w:noHBand="0" w:noVBand="1"/>
        </w:tblPrEx>
        <w:trPr>
          <w:cantSplit/>
          <w:trHeight w:val="20"/>
        </w:trPr>
        <w:tc>
          <w:tcPr>
            <w:tcW w:w="1419" w:type="dxa"/>
          </w:tcPr>
          <w:p w14:paraId="4369884A" w14:textId="77777777" w:rsidR="009B5C04" w:rsidRPr="009B5C04" w:rsidRDefault="009B5C04" w:rsidP="00A746EE">
            <w:pPr>
              <w:pStyle w:val="PBACtext"/>
              <w:jc w:val="center"/>
              <w:rPr>
                <w:rFonts w:cs="Arial"/>
                <w:b/>
                <w:sz w:val="20"/>
                <w:szCs w:val="20"/>
                <w:lang w:eastAsia="en-AU"/>
              </w:rPr>
            </w:pPr>
          </w:p>
        </w:tc>
        <w:tc>
          <w:tcPr>
            <w:tcW w:w="7654" w:type="dxa"/>
            <w:gridSpan w:val="6"/>
            <w:vAlign w:val="center"/>
          </w:tcPr>
          <w:p w14:paraId="429E5F77" w14:textId="77777777" w:rsidR="009B5C04" w:rsidRPr="009B5C04" w:rsidRDefault="009B5C04" w:rsidP="004305CF">
            <w:pPr>
              <w:pStyle w:val="PBACtext"/>
              <w:rPr>
                <w:rFonts w:cs="Arial"/>
                <w:sz w:val="20"/>
                <w:szCs w:val="20"/>
              </w:rPr>
            </w:pPr>
            <w:r w:rsidRPr="009B5C04">
              <w:rPr>
                <w:rFonts w:cs="Arial"/>
                <w:b/>
                <w:sz w:val="20"/>
                <w:szCs w:val="20"/>
                <w:lang w:eastAsia="en-AU"/>
              </w:rPr>
              <w:t>Indication:</w:t>
            </w:r>
            <w:r w:rsidRPr="009B5C04">
              <w:rPr>
                <w:rFonts w:cs="Arial"/>
                <w:sz w:val="20"/>
                <w:szCs w:val="20"/>
                <w:lang w:eastAsia="en-AU"/>
              </w:rPr>
              <w:t xml:space="preserve"> Stage IB, II or IIA non-small cell lung cancer </w:t>
            </w:r>
          </w:p>
        </w:tc>
      </w:tr>
      <w:tr w:rsidR="009B5C04" w:rsidRPr="00E5075E" w14:paraId="5978E3F1" w14:textId="77777777" w:rsidTr="001F408B">
        <w:tblPrEx>
          <w:tblCellMar>
            <w:top w:w="15" w:type="dxa"/>
            <w:bottom w:w="15" w:type="dxa"/>
          </w:tblCellMar>
          <w:tblLook w:val="04A0" w:firstRow="1" w:lastRow="0" w:firstColumn="1" w:lastColumn="0" w:noHBand="0" w:noVBand="1"/>
        </w:tblPrEx>
        <w:trPr>
          <w:cantSplit/>
          <w:trHeight w:val="20"/>
        </w:trPr>
        <w:tc>
          <w:tcPr>
            <w:tcW w:w="1419" w:type="dxa"/>
          </w:tcPr>
          <w:p w14:paraId="1F71054A" w14:textId="77777777" w:rsidR="009B5C04" w:rsidRPr="009B5C04" w:rsidRDefault="009B5C04" w:rsidP="00A746EE">
            <w:pPr>
              <w:pStyle w:val="PBACtext"/>
              <w:jc w:val="center"/>
              <w:rPr>
                <w:rFonts w:cs="Arial"/>
                <w:b/>
                <w:sz w:val="20"/>
                <w:szCs w:val="20"/>
                <w:lang w:eastAsia="en-AU"/>
              </w:rPr>
            </w:pPr>
          </w:p>
        </w:tc>
        <w:tc>
          <w:tcPr>
            <w:tcW w:w="7654" w:type="dxa"/>
            <w:gridSpan w:val="6"/>
            <w:vAlign w:val="center"/>
          </w:tcPr>
          <w:p w14:paraId="4DE4B176" w14:textId="77777777" w:rsidR="009B5C04" w:rsidRPr="009B5C04" w:rsidRDefault="009B5C04" w:rsidP="004305CF">
            <w:pPr>
              <w:pStyle w:val="PBACtext"/>
              <w:rPr>
                <w:rFonts w:cs="Arial"/>
                <w:sz w:val="20"/>
                <w:szCs w:val="20"/>
              </w:rPr>
            </w:pPr>
            <w:r w:rsidRPr="009B5C04">
              <w:rPr>
                <w:rFonts w:cs="Arial"/>
                <w:b/>
                <w:sz w:val="20"/>
                <w:szCs w:val="20"/>
                <w:lang w:eastAsia="en-AU"/>
              </w:rPr>
              <w:t>Treatment Phase:</w:t>
            </w:r>
            <w:r w:rsidRPr="009B5C04">
              <w:rPr>
                <w:rFonts w:cs="Arial"/>
                <w:sz w:val="20"/>
                <w:szCs w:val="20"/>
                <w:lang w:eastAsia="en-AU"/>
              </w:rPr>
              <w:t xml:space="preserve"> Adjuvant therapy </w:t>
            </w:r>
          </w:p>
        </w:tc>
      </w:tr>
      <w:tr w:rsidR="009B5C04" w:rsidRPr="00E5075E" w14:paraId="0F5156AA" w14:textId="77777777" w:rsidTr="001F408B">
        <w:tblPrEx>
          <w:tblCellMar>
            <w:top w:w="15" w:type="dxa"/>
            <w:bottom w:w="15" w:type="dxa"/>
          </w:tblCellMar>
          <w:tblLook w:val="04A0" w:firstRow="1" w:lastRow="0" w:firstColumn="1" w:lastColumn="0" w:noHBand="0" w:noVBand="1"/>
        </w:tblPrEx>
        <w:trPr>
          <w:cantSplit/>
          <w:trHeight w:val="20"/>
        </w:trPr>
        <w:tc>
          <w:tcPr>
            <w:tcW w:w="1419" w:type="dxa"/>
          </w:tcPr>
          <w:p w14:paraId="0DCD79DB" w14:textId="77777777" w:rsidR="009B5C04" w:rsidRPr="009B5C04" w:rsidRDefault="009B5C04" w:rsidP="00A746EE">
            <w:pPr>
              <w:pStyle w:val="PBACtext"/>
              <w:jc w:val="center"/>
              <w:rPr>
                <w:rFonts w:cs="Arial"/>
                <w:b/>
                <w:sz w:val="20"/>
                <w:szCs w:val="20"/>
                <w:lang w:eastAsia="en-AU"/>
              </w:rPr>
            </w:pPr>
          </w:p>
        </w:tc>
        <w:tc>
          <w:tcPr>
            <w:tcW w:w="7654" w:type="dxa"/>
            <w:gridSpan w:val="6"/>
            <w:vAlign w:val="center"/>
          </w:tcPr>
          <w:p w14:paraId="1EC89037" w14:textId="77777777" w:rsidR="009B5C04" w:rsidRPr="009B5C04" w:rsidRDefault="009B5C04" w:rsidP="004305CF">
            <w:pPr>
              <w:pStyle w:val="PBACtext"/>
              <w:rPr>
                <w:rFonts w:cs="Arial"/>
                <w:b/>
                <w:sz w:val="20"/>
                <w:szCs w:val="20"/>
                <w:lang w:eastAsia="en-AU"/>
              </w:rPr>
            </w:pPr>
            <w:r w:rsidRPr="009B5C04">
              <w:rPr>
                <w:rFonts w:cs="Arial"/>
                <w:b/>
                <w:sz w:val="20"/>
                <w:szCs w:val="20"/>
                <w:lang w:eastAsia="en-AU"/>
              </w:rPr>
              <w:t>Population criteria:</w:t>
            </w:r>
          </w:p>
        </w:tc>
      </w:tr>
      <w:tr w:rsidR="009B5C04" w:rsidRPr="00E5075E" w14:paraId="32B29445" w14:textId="77777777" w:rsidTr="001F408B">
        <w:tblPrEx>
          <w:tblCellMar>
            <w:top w:w="15" w:type="dxa"/>
            <w:bottom w:w="15" w:type="dxa"/>
          </w:tblCellMar>
          <w:tblLook w:val="04A0" w:firstRow="1" w:lastRow="0" w:firstColumn="1" w:lastColumn="0" w:noHBand="0" w:noVBand="1"/>
        </w:tblPrEx>
        <w:trPr>
          <w:cantSplit/>
          <w:trHeight w:val="20"/>
        </w:trPr>
        <w:tc>
          <w:tcPr>
            <w:tcW w:w="1419" w:type="dxa"/>
          </w:tcPr>
          <w:p w14:paraId="3E767294" w14:textId="5F16FCA0" w:rsidR="009B5C04" w:rsidRPr="009B5C04" w:rsidRDefault="009B5C04" w:rsidP="00A746EE">
            <w:pPr>
              <w:pStyle w:val="PBACtext"/>
              <w:jc w:val="center"/>
              <w:rPr>
                <w:rFonts w:cs="Arial"/>
                <w:bCs/>
                <w:sz w:val="20"/>
                <w:szCs w:val="20"/>
                <w:lang w:eastAsia="en-AU"/>
              </w:rPr>
            </w:pPr>
          </w:p>
        </w:tc>
        <w:tc>
          <w:tcPr>
            <w:tcW w:w="7654" w:type="dxa"/>
            <w:gridSpan w:val="6"/>
            <w:vAlign w:val="center"/>
          </w:tcPr>
          <w:p w14:paraId="611661CB" w14:textId="77777777" w:rsidR="009B5C04" w:rsidRPr="009B5C04" w:rsidRDefault="009B5C04" w:rsidP="004305CF">
            <w:pPr>
              <w:pStyle w:val="PBACtext"/>
              <w:rPr>
                <w:rFonts w:cs="Arial"/>
                <w:bCs/>
                <w:sz w:val="20"/>
                <w:szCs w:val="20"/>
                <w:lang w:eastAsia="en-AU"/>
              </w:rPr>
            </w:pPr>
            <w:r w:rsidRPr="009B5C04">
              <w:rPr>
                <w:rFonts w:cs="Arial"/>
                <w:bCs/>
                <w:sz w:val="20"/>
                <w:szCs w:val="20"/>
                <w:lang w:eastAsia="en-AU"/>
              </w:rPr>
              <w:t>Patient must be continuing existing PBS-subsidised treatment with this drug; or</w:t>
            </w:r>
          </w:p>
        </w:tc>
      </w:tr>
      <w:tr w:rsidR="009B5C04" w:rsidRPr="00E5075E" w14:paraId="7DAAE861" w14:textId="77777777" w:rsidTr="001F408B">
        <w:tblPrEx>
          <w:tblCellMar>
            <w:top w:w="15" w:type="dxa"/>
            <w:bottom w:w="15" w:type="dxa"/>
          </w:tblCellMar>
          <w:tblLook w:val="04A0" w:firstRow="1" w:lastRow="0" w:firstColumn="1" w:lastColumn="0" w:noHBand="0" w:noVBand="1"/>
        </w:tblPrEx>
        <w:trPr>
          <w:cantSplit/>
          <w:trHeight w:val="20"/>
        </w:trPr>
        <w:tc>
          <w:tcPr>
            <w:tcW w:w="1419" w:type="dxa"/>
          </w:tcPr>
          <w:p w14:paraId="07EEE7A6" w14:textId="162FCD72" w:rsidR="009B5C04" w:rsidRPr="009B5C04" w:rsidRDefault="009B5C04" w:rsidP="00A746EE">
            <w:pPr>
              <w:pStyle w:val="PBACtext"/>
              <w:jc w:val="center"/>
              <w:rPr>
                <w:rFonts w:cs="Arial"/>
                <w:b/>
                <w:sz w:val="20"/>
                <w:szCs w:val="20"/>
                <w:lang w:eastAsia="en-AU"/>
              </w:rPr>
            </w:pPr>
          </w:p>
        </w:tc>
        <w:tc>
          <w:tcPr>
            <w:tcW w:w="7654" w:type="dxa"/>
            <w:gridSpan w:val="6"/>
            <w:vAlign w:val="center"/>
          </w:tcPr>
          <w:p w14:paraId="733970D7" w14:textId="77777777" w:rsidR="009B5C04" w:rsidRPr="009B5C04" w:rsidRDefault="009B5C04" w:rsidP="004305CF">
            <w:pPr>
              <w:pStyle w:val="PBACtext"/>
              <w:rPr>
                <w:rFonts w:cs="Arial"/>
                <w:bCs/>
                <w:sz w:val="20"/>
                <w:szCs w:val="20"/>
                <w:lang w:eastAsia="en-AU"/>
              </w:rPr>
            </w:pPr>
            <w:r w:rsidRPr="009B5C04">
              <w:rPr>
                <w:rFonts w:cs="Arial"/>
                <w:bCs/>
                <w:sz w:val="20"/>
                <w:szCs w:val="20"/>
                <w:lang w:eastAsia="en-AU"/>
              </w:rPr>
              <w:t>Patient must be both: (i) transitioning from existing non-PBS to PBS subsidised supply of this drug, (ii) untreated with EGFR-TKI at the time this drug was initiated</w:t>
            </w:r>
          </w:p>
        </w:tc>
      </w:tr>
      <w:tr w:rsidR="009B5C04" w:rsidRPr="00E5075E" w14:paraId="006DAD39" w14:textId="77777777" w:rsidTr="001F408B">
        <w:tblPrEx>
          <w:tblCellMar>
            <w:top w:w="15" w:type="dxa"/>
            <w:bottom w:w="15" w:type="dxa"/>
          </w:tblCellMar>
          <w:tblLook w:val="04A0" w:firstRow="1" w:lastRow="0" w:firstColumn="1" w:lastColumn="0" w:noHBand="0" w:noVBand="1"/>
        </w:tblPrEx>
        <w:trPr>
          <w:cantSplit/>
          <w:trHeight w:val="20"/>
        </w:trPr>
        <w:tc>
          <w:tcPr>
            <w:tcW w:w="1419" w:type="dxa"/>
          </w:tcPr>
          <w:p w14:paraId="20A1D03E" w14:textId="77777777" w:rsidR="009B5C04" w:rsidRPr="009B5C04" w:rsidRDefault="009B5C04" w:rsidP="00A746EE">
            <w:pPr>
              <w:pStyle w:val="PBACtext"/>
              <w:jc w:val="center"/>
              <w:rPr>
                <w:rFonts w:cs="Arial"/>
                <w:b/>
                <w:sz w:val="20"/>
                <w:szCs w:val="20"/>
                <w:lang w:eastAsia="en-AU"/>
              </w:rPr>
            </w:pPr>
          </w:p>
        </w:tc>
        <w:tc>
          <w:tcPr>
            <w:tcW w:w="7654" w:type="dxa"/>
            <w:gridSpan w:val="6"/>
            <w:vAlign w:val="center"/>
          </w:tcPr>
          <w:p w14:paraId="7ABEAFDD" w14:textId="77777777" w:rsidR="009B5C04" w:rsidRPr="009B5C04" w:rsidRDefault="009B5C04" w:rsidP="004305CF">
            <w:pPr>
              <w:pStyle w:val="PBACtext"/>
              <w:rPr>
                <w:rFonts w:cs="Arial"/>
                <w:b/>
                <w:sz w:val="20"/>
                <w:szCs w:val="20"/>
                <w:lang w:eastAsia="en-AU"/>
              </w:rPr>
            </w:pPr>
            <w:r w:rsidRPr="009B5C04">
              <w:rPr>
                <w:rFonts w:cs="Arial"/>
                <w:b/>
                <w:sz w:val="20"/>
                <w:szCs w:val="20"/>
                <w:lang w:eastAsia="en-AU"/>
              </w:rPr>
              <w:t>AND</w:t>
            </w:r>
          </w:p>
        </w:tc>
      </w:tr>
      <w:tr w:rsidR="009B5C04" w:rsidRPr="00E5075E" w14:paraId="51915EC4" w14:textId="77777777" w:rsidTr="001F408B">
        <w:tblPrEx>
          <w:tblCellMar>
            <w:top w:w="15" w:type="dxa"/>
            <w:bottom w:w="15" w:type="dxa"/>
          </w:tblCellMar>
          <w:tblLook w:val="04A0" w:firstRow="1" w:lastRow="0" w:firstColumn="1" w:lastColumn="0" w:noHBand="0" w:noVBand="1"/>
        </w:tblPrEx>
        <w:trPr>
          <w:cantSplit/>
          <w:trHeight w:val="20"/>
        </w:trPr>
        <w:tc>
          <w:tcPr>
            <w:tcW w:w="1419" w:type="dxa"/>
          </w:tcPr>
          <w:p w14:paraId="0A9B019B" w14:textId="77777777" w:rsidR="009B5C04" w:rsidRPr="009B5C04" w:rsidRDefault="009B5C04" w:rsidP="00A746EE">
            <w:pPr>
              <w:pStyle w:val="PBACtext"/>
              <w:jc w:val="center"/>
              <w:rPr>
                <w:rFonts w:cs="Arial"/>
                <w:b/>
                <w:sz w:val="20"/>
                <w:szCs w:val="20"/>
                <w:lang w:eastAsia="en-AU"/>
              </w:rPr>
            </w:pPr>
          </w:p>
        </w:tc>
        <w:tc>
          <w:tcPr>
            <w:tcW w:w="7654" w:type="dxa"/>
            <w:gridSpan w:val="6"/>
            <w:vAlign w:val="center"/>
          </w:tcPr>
          <w:p w14:paraId="77995CFD" w14:textId="77777777" w:rsidR="009B5C04" w:rsidRPr="009B5C04" w:rsidRDefault="009B5C04" w:rsidP="004305CF">
            <w:pPr>
              <w:pStyle w:val="PBACtext"/>
              <w:rPr>
                <w:rFonts w:cs="Arial"/>
                <w:b/>
                <w:sz w:val="20"/>
                <w:szCs w:val="20"/>
                <w:lang w:eastAsia="en-AU"/>
              </w:rPr>
            </w:pPr>
            <w:r w:rsidRPr="009B5C04">
              <w:rPr>
                <w:b/>
                <w:sz w:val="20"/>
                <w:szCs w:val="20"/>
                <w:lang w:eastAsia="en-AU"/>
              </w:rPr>
              <w:t>Clinical criteria:</w:t>
            </w:r>
          </w:p>
        </w:tc>
      </w:tr>
      <w:tr w:rsidR="009B5C04" w:rsidRPr="00E5075E" w14:paraId="3189606C" w14:textId="77777777" w:rsidTr="001F408B">
        <w:tblPrEx>
          <w:tblCellMar>
            <w:top w:w="15" w:type="dxa"/>
            <w:bottom w:w="15" w:type="dxa"/>
          </w:tblCellMar>
          <w:tblLook w:val="04A0" w:firstRow="1" w:lastRow="0" w:firstColumn="1" w:lastColumn="0" w:noHBand="0" w:noVBand="1"/>
        </w:tblPrEx>
        <w:trPr>
          <w:cantSplit/>
          <w:trHeight w:val="20"/>
        </w:trPr>
        <w:tc>
          <w:tcPr>
            <w:tcW w:w="1419" w:type="dxa"/>
          </w:tcPr>
          <w:p w14:paraId="50ED6962" w14:textId="0877E62D" w:rsidR="009B5C04" w:rsidRPr="009B5C04" w:rsidRDefault="009B5C04" w:rsidP="00A746EE">
            <w:pPr>
              <w:pStyle w:val="PBACtext"/>
              <w:jc w:val="center"/>
              <w:rPr>
                <w:rFonts w:cs="Arial"/>
                <w:b/>
                <w:sz w:val="20"/>
                <w:szCs w:val="20"/>
                <w:lang w:eastAsia="en-AU"/>
              </w:rPr>
            </w:pPr>
          </w:p>
        </w:tc>
        <w:tc>
          <w:tcPr>
            <w:tcW w:w="7654" w:type="dxa"/>
            <w:gridSpan w:val="6"/>
            <w:vAlign w:val="center"/>
          </w:tcPr>
          <w:p w14:paraId="3EF0A8D2" w14:textId="77777777" w:rsidR="009B5C04" w:rsidRPr="009B5C04" w:rsidRDefault="009B5C04" w:rsidP="004305CF">
            <w:pPr>
              <w:pStyle w:val="PBACtext"/>
              <w:rPr>
                <w:rFonts w:cs="Arial"/>
                <w:b/>
                <w:sz w:val="20"/>
                <w:szCs w:val="20"/>
                <w:lang w:eastAsia="en-AU"/>
              </w:rPr>
            </w:pPr>
            <w:r w:rsidRPr="009B5C04">
              <w:rPr>
                <w:rFonts w:cs="Arial"/>
                <w:bCs/>
                <w:sz w:val="20"/>
                <w:szCs w:val="20"/>
                <w:lang w:eastAsia="en-AU"/>
              </w:rPr>
              <w:t>The treatment must be for the purpose of adjuvant therapy following surgical resection</w:t>
            </w:r>
          </w:p>
        </w:tc>
      </w:tr>
      <w:tr w:rsidR="009B5C04" w:rsidRPr="00E5075E" w14:paraId="0683175B" w14:textId="77777777" w:rsidTr="001F408B">
        <w:tblPrEx>
          <w:tblCellMar>
            <w:top w:w="15" w:type="dxa"/>
            <w:bottom w:w="15" w:type="dxa"/>
          </w:tblCellMar>
          <w:tblLook w:val="04A0" w:firstRow="1" w:lastRow="0" w:firstColumn="1" w:lastColumn="0" w:noHBand="0" w:noVBand="1"/>
        </w:tblPrEx>
        <w:trPr>
          <w:cantSplit/>
          <w:trHeight w:val="20"/>
        </w:trPr>
        <w:tc>
          <w:tcPr>
            <w:tcW w:w="1419" w:type="dxa"/>
          </w:tcPr>
          <w:p w14:paraId="7E44EACB" w14:textId="77777777" w:rsidR="009B5C04" w:rsidRPr="009B5C04" w:rsidRDefault="009B5C04" w:rsidP="00A746EE">
            <w:pPr>
              <w:pStyle w:val="PBACtext"/>
              <w:jc w:val="center"/>
              <w:rPr>
                <w:rFonts w:cs="Arial"/>
                <w:b/>
                <w:sz w:val="20"/>
                <w:szCs w:val="20"/>
                <w:lang w:eastAsia="en-AU"/>
              </w:rPr>
            </w:pPr>
          </w:p>
        </w:tc>
        <w:tc>
          <w:tcPr>
            <w:tcW w:w="7654" w:type="dxa"/>
            <w:gridSpan w:val="6"/>
            <w:vAlign w:val="center"/>
          </w:tcPr>
          <w:p w14:paraId="34F06C9A" w14:textId="77777777" w:rsidR="009B5C04" w:rsidRPr="009B5C04" w:rsidRDefault="009B5C04" w:rsidP="004305CF">
            <w:pPr>
              <w:pStyle w:val="PBACtext"/>
              <w:rPr>
                <w:rFonts w:cs="Arial"/>
                <w:b/>
                <w:sz w:val="20"/>
                <w:szCs w:val="20"/>
                <w:lang w:eastAsia="en-AU"/>
              </w:rPr>
            </w:pPr>
            <w:r w:rsidRPr="009B5C04">
              <w:rPr>
                <w:b/>
                <w:sz w:val="20"/>
                <w:szCs w:val="20"/>
                <w:lang w:eastAsia="en-AU"/>
              </w:rPr>
              <w:t>AND</w:t>
            </w:r>
          </w:p>
        </w:tc>
      </w:tr>
      <w:tr w:rsidR="009B5C04" w:rsidRPr="00E5075E" w14:paraId="20B802B9" w14:textId="77777777" w:rsidTr="001F408B">
        <w:tblPrEx>
          <w:tblCellMar>
            <w:top w:w="15" w:type="dxa"/>
            <w:bottom w:w="15" w:type="dxa"/>
          </w:tblCellMar>
          <w:tblLook w:val="04A0" w:firstRow="1" w:lastRow="0" w:firstColumn="1" w:lastColumn="0" w:noHBand="0" w:noVBand="1"/>
        </w:tblPrEx>
        <w:trPr>
          <w:cantSplit/>
          <w:trHeight w:val="20"/>
        </w:trPr>
        <w:tc>
          <w:tcPr>
            <w:tcW w:w="1419" w:type="dxa"/>
          </w:tcPr>
          <w:p w14:paraId="6E23B581" w14:textId="77777777" w:rsidR="009B5C04" w:rsidRPr="009B5C04" w:rsidRDefault="009B5C04" w:rsidP="00A746EE">
            <w:pPr>
              <w:pStyle w:val="PBACtext"/>
              <w:jc w:val="center"/>
              <w:rPr>
                <w:rFonts w:cs="Arial"/>
                <w:b/>
                <w:sz w:val="20"/>
                <w:szCs w:val="20"/>
                <w:lang w:eastAsia="en-AU"/>
              </w:rPr>
            </w:pPr>
          </w:p>
        </w:tc>
        <w:tc>
          <w:tcPr>
            <w:tcW w:w="7654" w:type="dxa"/>
            <w:gridSpan w:val="6"/>
            <w:vAlign w:val="center"/>
          </w:tcPr>
          <w:p w14:paraId="6AF6FF96" w14:textId="77777777" w:rsidR="009B5C04" w:rsidRPr="009B5C04" w:rsidRDefault="009B5C04" w:rsidP="004305CF">
            <w:pPr>
              <w:pStyle w:val="PBACtext"/>
              <w:rPr>
                <w:rFonts w:cs="Arial"/>
                <w:b/>
                <w:sz w:val="20"/>
                <w:szCs w:val="20"/>
                <w:lang w:eastAsia="en-AU"/>
              </w:rPr>
            </w:pPr>
            <w:r w:rsidRPr="009B5C04">
              <w:rPr>
                <w:b/>
                <w:sz w:val="20"/>
                <w:szCs w:val="20"/>
                <w:lang w:eastAsia="en-AU"/>
              </w:rPr>
              <w:t>Clinical criteria:</w:t>
            </w:r>
          </w:p>
        </w:tc>
      </w:tr>
      <w:tr w:rsidR="009B5C04" w:rsidRPr="00E5075E" w14:paraId="6DA480F8" w14:textId="77777777" w:rsidTr="001F408B">
        <w:tblPrEx>
          <w:tblCellMar>
            <w:top w:w="15" w:type="dxa"/>
            <w:bottom w:w="15" w:type="dxa"/>
          </w:tblCellMar>
          <w:tblLook w:val="04A0" w:firstRow="1" w:lastRow="0" w:firstColumn="1" w:lastColumn="0" w:noHBand="0" w:noVBand="1"/>
        </w:tblPrEx>
        <w:trPr>
          <w:cantSplit/>
          <w:trHeight w:val="20"/>
        </w:trPr>
        <w:tc>
          <w:tcPr>
            <w:tcW w:w="1419" w:type="dxa"/>
          </w:tcPr>
          <w:p w14:paraId="4E4D35F8" w14:textId="1BEAF12F" w:rsidR="009B5C04" w:rsidRPr="009B5C04" w:rsidRDefault="009B5C04" w:rsidP="00A746EE">
            <w:pPr>
              <w:pStyle w:val="PBACtext"/>
              <w:jc w:val="center"/>
              <w:rPr>
                <w:rFonts w:cs="Arial"/>
                <w:b/>
                <w:sz w:val="20"/>
                <w:szCs w:val="20"/>
                <w:lang w:eastAsia="en-AU"/>
              </w:rPr>
            </w:pPr>
          </w:p>
        </w:tc>
        <w:tc>
          <w:tcPr>
            <w:tcW w:w="7654" w:type="dxa"/>
            <w:gridSpan w:val="6"/>
          </w:tcPr>
          <w:p w14:paraId="031C3EDE" w14:textId="77777777" w:rsidR="009B5C04" w:rsidRPr="009B5C04" w:rsidRDefault="009B5C04" w:rsidP="004305CF">
            <w:pPr>
              <w:pStyle w:val="PBACtext"/>
              <w:rPr>
                <w:rFonts w:cs="Arial"/>
                <w:bCs/>
                <w:sz w:val="20"/>
                <w:szCs w:val="20"/>
                <w:lang w:eastAsia="en-AU"/>
              </w:rPr>
            </w:pPr>
            <w:r w:rsidRPr="009B5C04">
              <w:rPr>
                <w:rFonts w:cs="Arial"/>
                <w:bCs/>
                <w:sz w:val="20"/>
                <w:szCs w:val="20"/>
                <w:lang w:eastAsia="en-AU"/>
              </w:rPr>
              <w:t>Patient must have evidence of an activating epidermal growth factor receptor (EGFR) gene mutation known to confer sensitivity to treatment with EGFR tyrosine kinase inhibitors in tumour material</w:t>
            </w:r>
          </w:p>
        </w:tc>
      </w:tr>
      <w:tr w:rsidR="009B5C04" w:rsidRPr="00E5075E" w14:paraId="7215F218" w14:textId="77777777" w:rsidTr="001F408B">
        <w:tblPrEx>
          <w:tblCellMar>
            <w:top w:w="15" w:type="dxa"/>
            <w:bottom w:w="15" w:type="dxa"/>
          </w:tblCellMar>
          <w:tblLook w:val="04A0" w:firstRow="1" w:lastRow="0" w:firstColumn="1" w:lastColumn="0" w:noHBand="0" w:noVBand="1"/>
        </w:tblPrEx>
        <w:trPr>
          <w:cantSplit/>
          <w:trHeight w:val="20"/>
        </w:trPr>
        <w:tc>
          <w:tcPr>
            <w:tcW w:w="1419" w:type="dxa"/>
          </w:tcPr>
          <w:p w14:paraId="5AF49E62" w14:textId="77777777" w:rsidR="009B5C04" w:rsidRPr="009B5C04" w:rsidRDefault="009B5C04" w:rsidP="004305CF">
            <w:pPr>
              <w:pStyle w:val="PBACtext"/>
              <w:rPr>
                <w:b/>
                <w:sz w:val="20"/>
                <w:szCs w:val="20"/>
                <w:lang w:eastAsia="en-AU"/>
              </w:rPr>
            </w:pPr>
          </w:p>
        </w:tc>
        <w:tc>
          <w:tcPr>
            <w:tcW w:w="7654" w:type="dxa"/>
            <w:gridSpan w:val="6"/>
          </w:tcPr>
          <w:p w14:paraId="756D02EB" w14:textId="77777777" w:rsidR="009B5C04" w:rsidRPr="009B5C04" w:rsidRDefault="009B5C04" w:rsidP="004305CF">
            <w:pPr>
              <w:pStyle w:val="PBACtext"/>
              <w:rPr>
                <w:rFonts w:cs="Arial"/>
                <w:b/>
                <w:sz w:val="20"/>
                <w:szCs w:val="20"/>
              </w:rPr>
            </w:pPr>
            <w:r w:rsidRPr="009B5C04">
              <w:rPr>
                <w:b/>
                <w:sz w:val="20"/>
                <w:szCs w:val="20"/>
                <w:lang w:eastAsia="en-AU"/>
              </w:rPr>
              <w:t>AND</w:t>
            </w:r>
          </w:p>
        </w:tc>
      </w:tr>
      <w:tr w:rsidR="009B5C04" w:rsidRPr="00E5075E" w14:paraId="2924B08B" w14:textId="77777777" w:rsidTr="001F408B">
        <w:tblPrEx>
          <w:tblCellMar>
            <w:top w:w="15" w:type="dxa"/>
            <w:bottom w:w="15" w:type="dxa"/>
          </w:tblCellMar>
          <w:tblLook w:val="04A0" w:firstRow="1" w:lastRow="0" w:firstColumn="1" w:lastColumn="0" w:noHBand="0" w:noVBand="1"/>
        </w:tblPrEx>
        <w:trPr>
          <w:cantSplit/>
          <w:trHeight w:val="20"/>
        </w:trPr>
        <w:tc>
          <w:tcPr>
            <w:tcW w:w="1419" w:type="dxa"/>
          </w:tcPr>
          <w:p w14:paraId="4EF58551" w14:textId="77777777" w:rsidR="009B5C04" w:rsidRPr="009B5C04" w:rsidRDefault="009B5C04" w:rsidP="004305CF">
            <w:pPr>
              <w:pStyle w:val="PBACtext"/>
              <w:rPr>
                <w:b/>
                <w:sz w:val="20"/>
                <w:szCs w:val="20"/>
                <w:lang w:eastAsia="en-AU"/>
              </w:rPr>
            </w:pPr>
          </w:p>
        </w:tc>
        <w:tc>
          <w:tcPr>
            <w:tcW w:w="7654" w:type="dxa"/>
            <w:gridSpan w:val="6"/>
            <w:vAlign w:val="center"/>
          </w:tcPr>
          <w:p w14:paraId="3C086558" w14:textId="77777777" w:rsidR="009B5C04" w:rsidRPr="009B5C04" w:rsidRDefault="009B5C04" w:rsidP="004305CF">
            <w:pPr>
              <w:pStyle w:val="PBACtext"/>
              <w:rPr>
                <w:b/>
                <w:sz w:val="20"/>
                <w:szCs w:val="20"/>
                <w:lang w:eastAsia="en-AU"/>
              </w:rPr>
            </w:pPr>
            <w:r w:rsidRPr="009B5C04">
              <w:rPr>
                <w:b/>
                <w:sz w:val="20"/>
                <w:szCs w:val="20"/>
                <w:lang w:eastAsia="en-AU"/>
              </w:rPr>
              <w:t>Clinical criteria:</w:t>
            </w:r>
          </w:p>
        </w:tc>
      </w:tr>
      <w:tr w:rsidR="009B5C04" w:rsidRPr="00E5075E" w14:paraId="3E9CADDD" w14:textId="77777777" w:rsidTr="001F408B">
        <w:tblPrEx>
          <w:tblCellMar>
            <w:top w:w="15" w:type="dxa"/>
            <w:bottom w:w="15" w:type="dxa"/>
          </w:tblCellMar>
          <w:tblLook w:val="04A0" w:firstRow="1" w:lastRow="0" w:firstColumn="1" w:lastColumn="0" w:noHBand="0" w:noVBand="1"/>
        </w:tblPrEx>
        <w:trPr>
          <w:cantSplit/>
          <w:trHeight w:val="20"/>
        </w:trPr>
        <w:tc>
          <w:tcPr>
            <w:tcW w:w="1419" w:type="dxa"/>
          </w:tcPr>
          <w:p w14:paraId="7F959A96" w14:textId="1F3363D4" w:rsidR="00416325" w:rsidRPr="00416325" w:rsidRDefault="00416325" w:rsidP="00A746EE">
            <w:pPr>
              <w:pStyle w:val="PBACtext"/>
              <w:jc w:val="center"/>
              <w:rPr>
                <w:bCs/>
                <w:sz w:val="20"/>
                <w:szCs w:val="20"/>
                <w:lang w:eastAsia="en-AU"/>
              </w:rPr>
            </w:pPr>
          </w:p>
        </w:tc>
        <w:tc>
          <w:tcPr>
            <w:tcW w:w="7654" w:type="dxa"/>
            <w:gridSpan w:val="6"/>
            <w:vAlign w:val="center"/>
          </w:tcPr>
          <w:p w14:paraId="29586162" w14:textId="00AE724E" w:rsidR="009B5C04" w:rsidRPr="009B5C04" w:rsidRDefault="00802EE4" w:rsidP="004305CF">
            <w:pPr>
              <w:pStyle w:val="PBACtext"/>
              <w:rPr>
                <w:b/>
                <w:sz w:val="20"/>
                <w:szCs w:val="20"/>
                <w:lang w:eastAsia="en-AU"/>
              </w:rPr>
            </w:pPr>
            <w:r w:rsidRPr="00802EE4">
              <w:rPr>
                <w:sz w:val="20"/>
                <w:szCs w:val="20"/>
                <w:lang w:val="en-GB"/>
              </w:rPr>
              <w:t>Patient must have/have had a WHO performance status score of no greater than 1 at treatment initiation with this drug</w:t>
            </w:r>
          </w:p>
        </w:tc>
      </w:tr>
      <w:tr w:rsidR="009B5C04" w:rsidRPr="00E5075E" w14:paraId="2BA1A14D" w14:textId="77777777" w:rsidTr="001F408B">
        <w:tblPrEx>
          <w:tblCellMar>
            <w:top w:w="15" w:type="dxa"/>
            <w:bottom w:w="15" w:type="dxa"/>
          </w:tblCellMar>
          <w:tblLook w:val="04A0" w:firstRow="1" w:lastRow="0" w:firstColumn="1" w:lastColumn="0" w:noHBand="0" w:noVBand="1"/>
        </w:tblPrEx>
        <w:trPr>
          <w:cantSplit/>
          <w:trHeight w:val="20"/>
        </w:trPr>
        <w:tc>
          <w:tcPr>
            <w:tcW w:w="1419" w:type="dxa"/>
          </w:tcPr>
          <w:p w14:paraId="1BC6D925" w14:textId="77777777" w:rsidR="009B5C04" w:rsidRPr="009B5C04" w:rsidRDefault="009B5C04" w:rsidP="00A746EE">
            <w:pPr>
              <w:pStyle w:val="PBACtext"/>
              <w:jc w:val="center"/>
              <w:rPr>
                <w:b/>
                <w:sz w:val="20"/>
                <w:szCs w:val="20"/>
                <w:lang w:eastAsia="en-AU"/>
              </w:rPr>
            </w:pPr>
          </w:p>
        </w:tc>
        <w:tc>
          <w:tcPr>
            <w:tcW w:w="7654" w:type="dxa"/>
            <w:gridSpan w:val="6"/>
            <w:vAlign w:val="center"/>
          </w:tcPr>
          <w:p w14:paraId="36851C76" w14:textId="77777777" w:rsidR="009B5C04" w:rsidRPr="009B5C04" w:rsidRDefault="009B5C04" w:rsidP="004305CF">
            <w:pPr>
              <w:pStyle w:val="PBACtext"/>
              <w:rPr>
                <w:rFonts w:cs="Arial"/>
                <w:b/>
                <w:sz w:val="20"/>
                <w:szCs w:val="20"/>
              </w:rPr>
            </w:pPr>
            <w:r w:rsidRPr="009B5C04">
              <w:rPr>
                <w:rFonts w:cs="Arial"/>
                <w:b/>
                <w:bCs/>
                <w:sz w:val="20"/>
                <w:szCs w:val="20"/>
              </w:rPr>
              <w:t>AND</w:t>
            </w:r>
          </w:p>
        </w:tc>
      </w:tr>
      <w:tr w:rsidR="009B5C04" w:rsidRPr="00E5075E" w14:paraId="1C7D06C5" w14:textId="77777777" w:rsidTr="001F408B">
        <w:tblPrEx>
          <w:tblCellMar>
            <w:top w:w="15" w:type="dxa"/>
            <w:bottom w:w="15" w:type="dxa"/>
          </w:tblCellMar>
          <w:tblLook w:val="04A0" w:firstRow="1" w:lastRow="0" w:firstColumn="1" w:lastColumn="0" w:noHBand="0" w:noVBand="1"/>
        </w:tblPrEx>
        <w:trPr>
          <w:cantSplit/>
          <w:trHeight w:val="20"/>
        </w:trPr>
        <w:tc>
          <w:tcPr>
            <w:tcW w:w="1419" w:type="dxa"/>
          </w:tcPr>
          <w:p w14:paraId="72B5D6EB" w14:textId="77777777" w:rsidR="009B5C04" w:rsidRPr="009B5C04" w:rsidRDefault="009B5C04" w:rsidP="00A746EE">
            <w:pPr>
              <w:pStyle w:val="PBACtext"/>
              <w:ind w:left="720" w:hanging="720"/>
              <w:jc w:val="center"/>
              <w:rPr>
                <w:rFonts w:cs="Arial"/>
                <w:sz w:val="20"/>
                <w:szCs w:val="20"/>
              </w:rPr>
            </w:pPr>
          </w:p>
        </w:tc>
        <w:tc>
          <w:tcPr>
            <w:tcW w:w="7654" w:type="dxa"/>
            <w:gridSpan w:val="6"/>
            <w:vAlign w:val="center"/>
          </w:tcPr>
          <w:p w14:paraId="4502EE4E" w14:textId="77777777" w:rsidR="009B5C04" w:rsidRPr="009B5C04" w:rsidRDefault="009B5C04" w:rsidP="004305CF">
            <w:pPr>
              <w:pStyle w:val="PBACtext"/>
              <w:ind w:left="720" w:hanging="720"/>
              <w:rPr>
                <w:rFonts w:cs="Arial"/>
                <w:sz w:val="20"/>
                <w:szCs w:val="20"/>
              </w:rPr>
            </w:pPr>
            <w:r w:rsidRPr="009B5C04">
              <w:rPr>
                <w:b/>
                <w:sz w:val="20"/>
                <w:szCs w:val="20"/>
                <w:lang w:eastAsia="en-AU"/>
              </w:rPr>
              <w:t xml:space="preserve">Treatment </w:t>
            </w:r>
            <w:r w:rsidRPr="009B5C04">
              <w:rPr>
                <w:rFonts w:cs="Arial"/>
                <w:b/>
                <w:bCs/>
                <w:sz w:val="20"/>
                <w:szCs w:val="20"/>
              </w:rPr>
              <w:t>criteria:</w:t>
            </w:r>
          </w:p>
        </w:tc>
      </w:tr>
      <w:tr w:rsidR="009B5C04" w:rsidRPr="00E5075E" w14:paraId="7013F652" w14:textId="77777777" w:rsidTr="001F408B">
        <w:tblPrEx>
          <w:tblCellMar>
            <w:top w:w="15" w:type="dxa"/>
            <w:bottom w:w="15" w:type="dxa"/>
          </w:tblCellMar>
          <w:tblLook w:val="04A0" w:firstRow="1" w:lastRow="0" w:firstColumn="1" w:lastColumn="0" w:noHBand="0" w:noVBand="1"/>
        </w:tblPrEx>
        <w:trPr>
          <w:cantSplit/>
          <w:trHeight w:val="20"/>
        </w:trPr>
        <w:tc>
          <w:tcPr>
            <w:tcW w:w="1419" w:type="dxa"/>
          </w:tcPr>
          <w:p w14:paraId="037984A5" w14:textId="6432FC27" w:rsidR="009B5C04" w:rsidRPr="009B5C04" w:rsidRDefault="009B5C04" w:rsidP="00A746EE">
            <w:pPr>
              <w:pStyle w:val="PBACtext"/>
              <w:ind w:left="720" w:hanging="720"/>
              <w:jc w:val="center"/>
              <w:rPr>
                <w:rFonts w:cs="Arial"/>
                <w:sz w:val="20"/>
                <w:szCs w:val="20"/>
              </w:rPr>
            </w:pPr>
          </w:p>
        </w:tc>
        <w:tc>
          <w:tcPr>
            <w:tcW w:w="7654" w:type="dxa"/>
            <w:gridSpan w:val="6"/>
            <w:vAlign w:val="center"/>
          </w:tcPr>
          <w:p w14:paraId="67E24F95" w14:textId="77777777" w:rsidR="009B5C04" w:rsidRPr="009B5C04" w:rsidRDefault="009B5C04" w:rsidP="004305CF">
            <w:pPr>
              <w:pStyle w:val="PBACtext"/>
              <w:ind w:left="720" w:hanging="720"/>
              <w:rPr>
                <w:rFonts w:cs="Arial"/>
                <w:b/>
                <w:bCs/>
                <w:sz w:val="20"/>
                <w:szCs w:val="20"/>
              </w:rPr>
            </w:pPr>
            <w:r w:rsidRPr="009B5C04">
              <w:rPr>
                <w:rFonts w:cs="Arial"/>
                <w:sz w:val="20"/>
                <w:szCs w:val="20"/>
              </w:rPr>
              <w:t>The treatment must be commenced within 26 weeks of surgery</w:t>
            </w:r>
          </w:p>
        </w:tc>
      </w:tr>
      <w:tr w:rsidR="009B5C04" w:rsidRPr="00E5075E" w14:paraId="46B28A1A" w14:textId="77777777" w:rsidTr="001F408B">
        <w:tblPrEx>
          <w:tblCellMar>
            <w:top w:w="15" w:type="dxa"/>
            <w:bottom w:w="15" w:type="dxa"/>
          </w:tblCellMar>
          <w:tblLook w:val="04A0" w:firstRow="1" w:lastRow="0" w:firstColumn="1" w:lastColumn="0" w:noHBand="0" w:noVBand="1"/>
        </w:tblPrEx>
        <w:trPr>
          <w:cantSplit/>
          <w:trHeight w:val="20"/>
        </w:trPr>
        <w:tc>
          <w:tcPr>
            <w:tcW w:w="1419" w:type="dxa"/>
          </w:tcPr>
          <w:p w14:paraId="48DD96E8" w14:textId="77777777" w:rsidR="009B5C04" w:rsidRPr="009B5C04" w:rsidRDefault="009B5C04" w:rsidP="00A746EE">
            <w:pPr>
              <w:pStyle w:val="PBACtext"/>
              <w:ind w:left="720" w:hanging="720"/>
              <w:jc w:val="center"/>
              <w:rPr>
                <w:rFonts w:cs="Arial"/>
                <w:sz w:val="20"/>
                <w:szCs w:val="20"/>
              </w:rPr>
            </w:pPr>
          </w:p>
        </w:tc>
        <w:tc>
          <w:tcPr>
            <w:tcW w:w="7654" w:type="dxa"/>
            <w:gridSpan w:val="6"/>
            <w:vAlign w:val="center"/>
          </w:tcPr>
          <w:p w14:paraId="77F32A81" w14:textId="77777777" w:rsidR="009B5C04" w:rsidRPr="009B5C04" w:rsidRDefault="009B5C04" w:rsidP="004305CF">
            <w:pPr>
              <w:pStyle w:val="PBACtext"/>
              <w:ind w:left="720" w:hanging="720"/>
              <w:rPr>
                <w:rFonts w:cs="Arial"/>
                <w:b/>
                <w:bCs/>
                <w:sz w:val="20"/>
                <w:szCs w:val="20"/>
              </w:rPr>
            </w:pPr>
            <w:r w:rsidRPr="009B5C04">
              <w:rPr>
                <w:rFonts w:cs="Arial"/>
                <w:b/>
                <w:bCs/>
                <w:sz w:val="20"/>
                <w:szCs w:val="20"/>
              </w:rPr>
              <w:t>AND</w:t>
            </w:r>
          </w:p>
        </w:tc>
      </w:tr>
      <w:tr w:rsidR="009B5C04" w:rsidRPr="00E5075E" w14:paraId="2EAD17A3" w14:textId="77777777" w:rsidTr="001F408B">
        <w:tblPrEx>
          <w:tblCellMar>
            <w:top w:w="15" w:type="dxa"/>
            <w:bottom w:w="15" w:type="dxa"/>
          </w:tblCellMar>
          <w:tblLook w:val="04A0" w:firstRow="1" w:lastRow="0" w:firstColumn="1" w:lastColumn="0" w:noHBand="0" w:noVBand="1"/>
        </w:tblPrEx>
        <w:trPr>
          <w:cantSplit/>
          <w:trHeight w:val="20"/>
        </w:trPr>
        <w:tc>
          <w:tcPr>
            <w:tcW w:w="1419" w:type="dxa"/>
          </w:tcPr>
          <w:p w14:paraId="4A68EF5F" w14:textId="77777777" w:rsidR="009B5C04" w:rsidRPr="009B5C04" w:rsidRDefault="009B5C04" w:rsidP="00A746EE">
            <w:pPr>
              <w:pStyle w:val="PBACtext"/>
              <w:ind w:left="720" w:hanging="720"/>
              <w:jc w:val="center"/>
              <w:rPr>
                <w:rFonts w:cs="Arial"/>
                <w:sz w:val="20"/>
                <w:szCs w:val="20"/>
              </w:rPr>
            </w:pPr>
          </w:p>
        </w:tc>
        <w:tc>
          <w:tcPr>
            <w:tcW w:w="7654" w:type="dxa"/>
            <w:gridSpan w:val="6"/>
            <w:vAlign w:val="center"/>
          </w:tcPr>
          <w:p w14:paraId="36B3E6E1" w14:textId="77777777" w:rsidR="009B5C04" w:rsidRPr="009B5C04" w:rsidRDefault="009B5C04" w:rsidP="004305CF">
            <w:pPr>
              <w:pStyle w:val="PBACtext"/>
              <w:ind w:left="720" w:hanging="720"/>
              <w:rPr>
                <w:rFonts w:cs="Arial"/>
                <w:sz w:val="20"/>
                <w:szCs w:val="20"/>
              </w:rPr>
            </w:pPr>
            <w:r w:rsidRPr="009B5C04">
              <w:rPr>
                <w:b/>
                <w:sz w:val="20"/>
                <w:szCs w:val="20"/>
                <w:lang w:eastAsia="en-AU"/>
              </w:rPr>
              <w:t>Treatment criteria:</w:t>
            </w:r>
          </w:p>
        </w:tc>
      </w:tr>
      <w:tr w:rsidR="009B5C04" w:rsidRPr="00E5075E" w14:paraId="199D4400" w14:textId="77777777" w:rsidTr="001F408B">
        <w:tblPrEx>
          <w:tblCellMar>
            <w:top w:w="15" w:type="dxa"/>
            <w:bottom w:w="15" w:type="dxa"/>
          </w:tblCellMar>
          <w:tblLook w:val="04A0" w:firstRow="1" w:lastRow="0" w:firstColumn="1" w:lastColumn="0" w:noHBand="0" w:noVBand="1"/>
        </w:tblPrEx>
        <w:trPr>
          <w:cantSplit/>
          <w:trHeight w:val="20"/>
        </w:trPr>
        <w:tc>
          <w:tcPr>
            <w:tcW w:w="1419" w:type="dxa"/>
          </w:tcPr>
          <w:p w14:paraId="41709025" w14:textId="13005F0E" w:rsidR="009B5C04" w:rsidRPr="009B5C04" w:rsidRDefault="009B5C04" w:rsidP="00A746EE">
            <w:pPr>
              <w:pStyle w:val="PBACtext"/>
              <w:ind w:left="720" w:hanging="720"/>
              <w:jc w:val="center"/>
              <w:rPr>
                <w:rFonts w:cs="Arial"/>
                <w:sz w:val="20"/>
                <w:szCs w:val="20"/>
              </w:rPr>
            </w:pPr>
          </w:p>
        </w:tc>
        <w:tc>
          <w:tcPr>
            <w:tcW w:w="7654" w:type="dxa"/>
            <w:gridSpan w:val="6"/>
            <w:vAlign w:val="center"/>
          </w:tcPr>
          <w:p w14:paraId="1656C3AB" w14:textId="77777777" w:rsidR="009B5C04" w:rsidRPr="009B5C04" w:rsidRDefault="009B5C04" w:rsidP="004305CF">
            <w:pPr>
              <w:pStyle w:val="PBACtext"/>
              <w:ind w:left="720" w:hanging="720"/>
              <w:rPr>
                <w:rFonts w:cs="Arial"/>
                <w:sz w:val="20"/>
                <w:szCs w:val="20"/>
              </w:rPr>
            </w:pPr>
            <w:r w:rsidRPr="009B5C04">
              <w:rPr>
                <w:rFonts w:cs="Arial"/>
                <w:sz w:val="20"/>
                <w:szCs w:val="20"/>
              </w:rPr>
              <w:t>The treatment must be the sole PBS-subsidised systemic anti-cancer therapy for this condition</w:t>
            </w:r>
          </w:p>
        </w:tc>
      </w:tr>
      <w:tr w:rsidR="009B5C04" w:rsidRPr="00E5075E" w14:paraId="45AFCD54" w14:textId="77777777" w:rsidTr="001F408B">
        <w:tblPrEx>
          <w:tblCellMar>
            <w:top w:w="15" w:type="dxa"/>
            <w:bottom w:w="15" w:type="dxa"/>
          </w:tblCellMar>
          <w:tblLook w:val="04A0" w:firstRow="1" w:lastRow="0" w:firstColumn="1" w:lastColumn="0" w:noHBand="0" w:noVBand="1"/>
        </w:tblPrEx>
        <w:trPr>
          <w:cantSplit/>
          <w:trHeight w:val="20"/>
        </w:trPr>
        <w:tc>
          <w:tcPr>
            <w:tcW w:w="1419" w:type="dxa"/>
          </w:tcPr>
          <w:p w14:paraId="4146756A" w14:textId="77777777" w:rsidR="009B5C04" w:rsidRPr="009B5C04" w:rsidRDefault="009B5C04" w:rsidP="00A746EE">
            <w:pPr>
              <w:pStyle w:val="PBACtext"/>
              <w:ind w:left="720" w:hanging="720"/>
              <w:jc w:val="center"/>
              <w:rPr>
                <w:rFonts w:cs="Arial"/>
                <w:sz w:val="20"/>
                <w:szCs w:val="20"/>
              </w:rPr>
            </w:pPr>
          </w:p>
        </w:tc>
        <w:tc>
          <w:tcPr>
            <w:tcW w:w="7654" w:type="dxa"/>
            <w:gridSpan w:val="6"/>
            <w:vAlign w:val="center"/>
          </w:tcPr>
          <w:p w14:paraId="47132CF0" w14:textId="77777777" w:rsidR="009B5C04" w:rsidRPr="009B5C04" w:rsidRDefault="009B5C04" w:rsidP="004305CF">
            <w:pPr>
              <w:pStyle w:val="PBACtext"/>
              <w:ind w:left="720" w:hanging="720"/>
              <w:rPr>
                <w:rFonts w:cs="Arial"/>
                <w:sz w:val="20"/>
                <w:szCs w:val="20"/>
              </w:rPr>
            </w:pPr>
            <w:r w:rsidRPr="009B5C04">
              <w:rPr>
                <w:rFonts w:cs="Arial"/>
                <w:b/>
                <w:bCs/>
                <w:sz w:val="20"/>
                <w:szCs w:val="20"/>
              </w:rPr>
              <w:t>AND</w:t>
            </w:r>
          </w:p>
        </w:tc>
      </w:tr>
      <w:tr w:rsidR="009B5C04" w:rsidRPr="00E5075E" w14:paraId="68BFF58C" w14:textId="77777777" w:rsidTr="001F408B">
        <w:tblPrEx>
          <w:tblCellMar>
            <w:top w:w="15" w:type="dxa"/>
            <w:bottom w:w="15" w:type="dxa"/>
          </w:tblCellMar>
          <w:tblLook w:val="04A0" w:firstRow="1" w:lastRow="0" w:firstColumn="1" w:lastColumn="0" w:noHBand="0" w:noVBand="1"/>
        </w:tblPrEx>
        <w:trPr>
          <w:cantSplit/>
          <w:trHeight w:val="20"/>
        </w:trPr>
        <w:tc>
          <w:tcPr>
            <w:tcW w:w="1419" w:type="dxa"/>
          </w:tcPr>
          <w:p w14:paraId="0464D6B4" w14:textId="77777777" w:rsidR="009B5C04" w:rsidRPr="009B5C04" w:rsidRDefault="009B5C04" w:rsidP="00A746EE">
            <w:pPr>
              <w:pStyle w:val="PBACtext"/>
              <w:ind w:left="720" w:hanging="720"/>
              <w:jc w:val="center"/>
              <w:rPr>
                <w:rFonts w:cs="Arial"/>
                <w:sz w:val="20"/>
                <w:szCs w:val="20"/>
              </w:rPr>
            </w:pPr>
          </w:p>
        </w:tc>
        <w:tc>
          <w:tcPr>
            <w:tcW w:w="7654" w:type="dxa"/>
            <w:gridSpan w:val="6"/>
            <w:vAlign w:val="center"/>
          </w:tcPr>
          <w:p w14:paraId="2B8D59EF" w14:textId="77777777" w:rsidR="009B5C04" w:rsidRPr="009B5C04" w:rsidRDefault="009B5C04" w:rsidP="004305CF">
            <w:pPr>
              <w:pStyle w:val="PBACtext"/>
              <w:ind w:left="720" w:hanging="720"/>
              <w:rPr>
                <w:rFonts w:cs="Arial"/>
                <w:sz w:val="20"/>
                <w:szCs w:val="20"/>
              </w:rPr>
            </w:pPr>
            <w:r w:rsidRPr="009B5C04">
              <w:rPr>
                <w:b/>
                <w:sz w:val="20"/>
                <w:szCs w:val="20"/>
                <w:lang w:eastAsia="en-AU"/>
              </w:rPr>
              <w:t>Treatment criteria:</w:t>
            </w:r>
          </w:p>
        </w:tc>
      </w:tr>
      <w:tr w:rsidR="009B5C04" w:rsidRPr="00E5075E" w14:paraId="5589BE8C" w14:textId="77777777" w:rsidTr="001F408B">
        <w:tblPrEx>
          <w:tblCellMar>
            <w:top w:w="15" w:type="dxa"/>
            <w:bottom w:w="15" w:type="dxa"/>
          </w:tblCellMar>
          <w:tblLook w:val="04A0" w:firstRow="1" w:lastRow="0" w:firstColumn="1" w:lastColumn="0" w:noHBand="0" w:noVBand="1"/>
        </w:tblPrEx>
        <w:trPr>
          <w:cantSplit/>
          <w:trHeight w:val="20"/>
        </w:trPr>
        <w:tc>
          <w:tcPr>
            <w:tcW w:w="1419" w:type="dxa"/>
          </w:tcPr>
          <w:p w14:paraId="273BDFE4" w14:textId="3397203A" w:rsidR="009B5C04" w:rsidRPr="009B5C04" w:rsidRDefault="009B5C04" w:rsidP="00A746EE">
            <w:pPr>
              <w:pStyle w:val="PBACtext"/>
              <w:ind w:left="720" w:hanging="720"/>
              <w:jc w:val="center"/>
              <w:rPr>
                <w:rFonts w:cs="Arial"/>
                <w:sz w:val="20"/>
                <w:szCs w:val="20"/>
              </w:rPr>
            </w:pPr>
          </w:p>
        </w:tc>
        <w:tc>
          <w:tcPr>
            <w:tcW w:w="7654" w:type="dxa"/>
            <w:gridSpan w:val="6"/>
            <w:vAlign w:val="center"/>
          </w:tcPr>
          <w:p w14:paraId="3F08F41C" w14:textId="77777777" w:rsidR="009B5C04" w:rsidRPr="009B5C04" w:rsidRDefault="009B5C04" w:rsidP="004305CF">
            <w:pPr>
              <w:pStyle w:val="PBACtext"/>
              <w:rPr>
                <w:rFonts w:cs="Arial"/>
                <w:b/>
                <w:bCs/>
                <w:sz w:val="20"/>
                <w:szCs w:val="20"/>
              </w:rPr>
            </w:pPr>
            <w:r w:rsidRPr="009B5C04">
              <w:rPr>
                <w:rFonts w:cs="Arial"/>
                <w:sz w:val="20"/>
                <w:szCs w:val="20"/>
              </w:rPr>
              <w:t>Patient must be undergoing treatment that does not occur beyond the following, whichever comes first: (i) the first instance of disease progression/recurrence, (ii) 3 years in total for this condition from the first administered dose; mark any remaining repeat prescriptions with the words ‘cancelled’; where (i)/(ii) has occurred</w:t>
            </w:r>
          </w:p>
        </w:tc>
      </w:tr>
      <w:tr w:rsidR="001F408B" w:rsidRPr="00E5075E" w14:paraId="72EDF9FE" w14:textId="77777777" w:rsidTr="0008038B">
        <w:tblPrEx>
          <w:tblCellMar>
            <w:top w:w="15" w:type="dxa"/>
            <w:bottom w:w="15" w:type="dxa"/>
          </w:tblCellMar>
        </w:tblPrEx>
        <w:trPr>
          <w:cantSplit/>
          <w:trHeight w:val="20"/>
        </w:trPr>
        <w:tc>
          <w:tcPr>
            <w:tcW w:w="1419" w:type="dxa"/>
            <w:vAlign w:val="center"/>
          </w:tcPr>
          <w:p w14:paraId="73992907" w14:textId="18CCBE0F" w:rsidR="001F408B" w:rsidRPr="0008038B" w:rsidRDefault="001F408B" w:rsidP="00A746EE">
            <w:pPr>
              <w:pStyle w:val="PBACtext"/>
              <w:ind w:left="720" w:hanging="720"/>
              <w:jc w:val="center"/>
              <w:rPr>
                <w:rFonts w:cs="Arial"/>
                <w:bCs/>
                <w:sz w:val="20"/>
                <w:szCs w:val="20"/>
              </w:rPr>
            </w:pPr>
          </w:p>
        </w:tc>
        <w:tc>
          <w:tcPr>
            <w:tcW w:w="7654" w:type="dxa"/>
            <w:gridSpan w:val="6"/>
            <w:vAlign w:val="center"/>
          </w:tcPr>
          <w:p w14:paraId="6DCEA8D7" w14:textId="77777777" w:rsidR="001F408B" w:rsidRPr="0008038B" w:rsidRDefault="001F408B" w:rsidP="001F408B">
            <w:pPr>
              <w:rPr>
                <w:rFonts w:ascii="Arial Narrow" w:hAnsi="Arial Narrow"/>
                <w:b/>
                <w:bCs/>
                <w:sz w:val="20"/>
                <w:szCs w:val="20"/>
              </w:rPr>
            </w:pPr>
            <w:r w:rsidRPr="0008038B">
              <w:rPr>
                <w:rFonts w:ascii="Arial Narrow" w:hAnsi="Arial Narrow"/>
                <w:b/>
                <w:bCs/>
                <w:sz w:val="20"/>
                <w:szCs w:val="20"/>
              </w:rPr>
              <w:t>Prescribing instructions:</w:t>
            </w:r>
          </w:p>
          <w:p w14:paraId="55C7F424" w14:textId="2C302AF4" w:rsidR="001F408B" w:rsidRPr="0008038B" w:rsidRDefault="001F408B" w:rsidP="001F408B">
            <w:pPr>
              <w:pStyle w:val="PBACtext"/>
              <w:rPr>
                <w:rFonts w:cs="Arial"/>
                <w:sz w:val="20"/>
                <w:szCs w:val="20"/>
              </w:rPr>
            </w:pPr>
            <w:r w:rsidRPr="0008038B">
              <w:rPr>
                <w:sz w:val="20"/>
                <w:szCs w:val="20"/>
              </w:rPr>
              <w:t xml:space="preserve">PBS subsidised treatment with </w:t>
            </w:r>
            <w:r w:rsidRPr="0008038B">
              <w:rPr>
                <w:szCs w:val="20"/>
              </w:rPr>
              <w:t>this drug</w:t>
            </w:r>
            <w:r w:rsidRPr="0008038B">
              <w:rPr>
                <w:sz w:val="20"/>
                <w:szCs w:val="20"/>
              </w:rPr>
              <w:t xml:space="preserve"> is restricted to one line of therapy at any disease staging for NSCLC (i.e. if therapy has been prescribed for early disease, subsidy under locally advance or metastatic disease is no longer available).</w:t>
            </w:r>
          </w:p>
        </w:tc>
      </w:tr>
      <w:tr w:rsidR="001F408B" w:rsidRPr="00E5075E" w14:paraId="49ADCAFF" w14:textId="77777777" w:rsidTr="001F408B">
        <w:tblPrEx>
          <w:tblCellMar>
            <w:top w:w="15" w:type="dxa"/>
            <w:bottom w:w="15" w:type="dxa"/>
          </w:tblCellMar>
          <w:tblLook w:val="04A0" w:firstRow="1" w:lastRow="0" w:firstColumn="1" w:lastColumn="0" w:noHBand="0" w:noVBand="1"/>
        </w:tblPrEx>
        <w:trPr>
          <w:cantSplit/>
          <w:trHeight w:val="20"/>
        </w:trPr>
        <w:tc>
          <w:tcPr>
            <w:tcW w:w="1419" w:type="dxa"/>
          </w:tcPr>
          <w:p w14:paraId="205FDBAD" w14:textId="01A4169A" w:rsidR="001F408B" w:rsidRPr="009B5C04" w:rsidRDefault="001F408B" w:rsidP="00A746EE">
            <w:pPr>
              <w:pStyle w:val="PBACtext"/>
              <w:ind w:left="720" w:hanging="720"/>
              <w:jc w:val="center"/>
              <w:rPr>
                <w:rFonts w:cs="Arial"/>
                <w:sz w:val="20"/>
                <w:szCs w:val="20"/>
              </w:rPr>
            </w:pPr>
          </w:p>
        </w:tc>
        <w:tc>
          <w:tcPr>
            <w:tcW w:w="7654" w:type="dxa"/>
            <w:gridSpan w:val="6"/>
          </w:tcPr>
          <w:p w14:paraId="187B3505" w14:textId="77777777" w:rsidR="001F408B" w:rsidRPr="009B5C04" w:rsidRDefault="001F408B" w:rsidP="001F408B">
            <w:pPr>
              <w:pStyle w:val="PBACtext"/>
              <w:ind w:left="720" w:hanging="720"/>
              <w:rPr>
                <w:rFonts w:cs="Arial"/>
                <w:sz w:val="20"/>
                <w:szCs w:val="20"/>
              </w:rPr>
            </w:pPr>
            <w:r w:rsidRPr="009B5C04">
              <w:rPr>
                <w:rFonts w:cs="Arial"/>
                <w:b/>
                <w:szCs w:val="20"/>
              </w:rPr>
              <w:t>Administrative Advice</w:t>
            </w:r>
            <w:r w:rsidRPr="009B5C04">
              <w:rPr>
                <w:rFonts w:cs="Arial"/>
                <w:szCs w:val="20"/>
              </w:rPr>
              <w:t>: No increase in the maximum quantity or number of units may be authorised.</w:t>
            </w:r>
          </w:p>
        </w:tc>
      </w:tr>
      <w:tr w:rsidR="001F408B" w:rsidRPr="00E5075E" w14:paraId="00904682" w14:textId="77777777" w:rsidTr="001F408B">
        <w:tblPrEx>
          <w:tblCellMar>
            <w:top w:w="15" w:type="dxa"/>
            <w:bottom w:w="15" w:type="dxa"/>
          </w:tblCellMar>
          <w:tblLook w:val="04A0" w:firstRow="1" w:lastRow="0" w:firstColumn="1" w:lastColumn="0" w:noHBand="0" w:noVBand="1"/>
        </w:tblPrEx>
        <w:trPr>
          <w:cantSplit/>
          <w:trHeight w:val="20"/>
        </w:trPr>
        <w:tc>
          <w:tcPr>
            <w:tcW w:w="1419" w:type="dxa"/>
          </w:tcPr>
          <w:p w14:paraId="2B516BBC" w14:textId="0F03BA8F" w:rsidR="001F408B" w:rsidRPr="009B5C04" w:rsidRDefault="001F408B" w:rsidP="00A746EE">
            <w:pPr>
              <w:pStyle w:val="PBACtext"/>
              <w:ind w:left="720" w:hanging="720"/>
              <w:jc w:val="center"/>
              <w:rPr>
                <w:rFonts w:cs="Arial"/>
                <w:sz w:val="20"/>
                <w:szCs w:val="20"/>
              </w:rPr>
            </w:pPr>
          </w:p>
        </w:tc>
        <w:tc>
          <w:tcPr>
            <w:tcW w:w="7654" w:type="dxa"/>
            <w:gridSpan w:val="6"/>
          </w:tcPr>
          <w:p w14:paraId="6D9ECFA1" w14:textId="77777777" w:rsidR="001F408B" w:rsidRPr="009B5C04" w:rsidRDefault="001F408B" w:rsidP="001F408B">
            <w:pPr>
              <w:pStyle w:val="PBACtext"/>
              <w:rPr>
                <w:rFonts w:cs="Arial"/>
                <w:sz w:val="20"/>
                <w:szCs w:val="20"/>
              </w:rPr>
            </w:pPr>
            <w:r w:rsidRPr="009B5C04">
              <w:rPr>
                <w:rFonts w:cs="Arial"/>
                <w:b/>
                <w:szCs w:val="20"/>
              </w:rPr>
              <w:t>Administrative Advice</w:t>
            </w:r>
            <w:r w:rsidRPr="009B5C04">
              <w:rPr>
                <w:rFonts w:cs="Arial"/>
                <w:szCs w:val="20"/>
              </w:rPr>
              <w:t>: No increase in the maximum number of repeats may be authorised.</w:t>
            </w:r>
          </w:p>
        </w:tc>
      </w:tr>
      <w:tr w:rsidR="001F408B" w:rsidRPr="00E5075E" w14:paraId="04E4E4AE" w14:textId="77777777" w:rsidTr="001F408B">
        <w:tblPrEx>
          <w:tblCellMar>
            <w:top w:w="15" w:type="dxa"/>
            <w:bottom w:w="15" w:type="dxa"/>
          </w:tblCellMar>
          <w:tblLook w:val="04A0" w:firstRow="1" w:lastRow="0" w:firstColumn="1" w:lastColumn="0" w:noHBand="0" w:noVBand="1"/>
        </w:tblPrEx>
        <w:trPr>
          <w:cantSplit/>
          <w:trHeight w:val="20"/>
        </w:trPr>
        <w:tc>
          <w:tcPr>
            <w:tcW w:w="1419" w:type="dxa"/>
          </w:tcPr>
          <w:p w14:paraId="39ED95CF" w14:textId="1D18C4A9" w:rsidR="001F408B" w:rsidRPr="009B5C04" w:rsidRDefault="001F408B" w:rsidP="00A746EE">
            <w:pPr>
              <w:pStyle w:val="TableText0"/>
              <w:keepLines/>
              <w:jc w:val="center"/>
              <w:rPr>
                <w:rFonts w:cs="Arial"/>
                <w:szCs w:val="20"/>
              </w:rPr>
            </w:pPr>
          </w:p>
        </w:tc>
        <w:tc>
          <w:tcPr>
            <w:tcW w:w="7654" w:type="dxa"/>
            <w:gridSpan w:val="6"/>
          </w:tcPr>
          <w:p w14:paraId="6A9902F6" w14:textId="77777777" w:rsidR="001F408B" w:rsidRPr="009B5C04" w:rsidRDefault="001F408B" w:rsidP="001F408B">
            <w:pPr>
              <w:pStyle w:val="TableText0"/>
              <w:keepLines/>
              <w:rPr>
                <w:rFonts w:cs="Arial"/>
                <w:szCs w:val="20"/>
              </w:rPr>
            </w:pPr>
            <w:r w:rsidRPr="009B5C04">
              <w:rPr>
                <w:rFonts w:cs="Arial"/>
                <w:b/>
                <w:bCs w:val="0"/>
                <w:szCs w:val="20"/>
              </w:rPr>
              <w:t>Administrative Advice</w:t>
            </w:r>
            <w:r w:rsidRPr="009B5C04">
              <w:rPr>
                <w:rFonts w:cs="Arial"/>
                <w:szCs w:val="20"/>
              </w:rPr>
              <w:t xml:space="preserve">: </w:t>
            </w:r>
          </w:p>
          <w:p w14:paraId="0B1377BB" w14:textId="77777777" w:rsidR="001F408B" w:rsidRPr="009B5C04" w:rsidRDefault="001F408B" w:rsidP="001F408B">
            <w:pPr>
              <w:pStyle w:val="TableText0"/>
              <w:keepLines/>
              <w:rPr>
                <w:rFonts w:cs="Arial"/>
                <w:szCs w:val="20"/>
              </w:rPr>
            </w:pPr>
            <w:r w:rsidRPr="009B5C04">
              <w:rPr>
                <w:rFonts w:cs="Arial"/>
                <w:szCs w:val="20"/>
              </w:rPr>
              <w:t>Applications for authorisation under this restriction may be made in real time using the Online PBS Authorities system (see www.servicesaustralia.gov.au/HPOS) or by telephone by contacting Services Australia on 1800 888 333.</w:t>
            </w:r>
          </w:p>
        </w:tc>
      </w:tr>
    </w:tbl>
    <w:p w14:paraId="5C258CF9" w14:textId="77777777" w:rsidR="009B5C04" w:rsidRPr="00E5075E" w:rsidRDefault="009B5C04" w:rsidP="009B5C04">
      <w:pPr>
        <w:rPr>
          <w:i/>
          <w:iCs/>
        </w:rPr>
      </w:pPr>
    </w:p>
    <w:p w14:paraId="7120FDBD" w14:textId="63ABEA3D" w:rsidR="001F408B" w:rsidRDefault="001F408B" w:rsidP="001F408B">
      <w:r>
        <w:t>Insert the following prescriber instructions into the current locally advanced (stage IIIb) and metastatic (stage IV) osimertinib listings to limit sequential use in the later line therapy for NSCLC:</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5" w:type="dxa"/>
          <w:left w:w="15" w:type="dxa"/>
          <w:bottom w:w="15" w:type="dxa"/>
          <w:right w:w="15" w:type="dxa"/>
        </w:tblCellMar>
        <w:tblLook w:val="04A0" w:firstRow="1" w:lastRow="0" w:firstColumn="1" w:lastColumn="0" w:noHBand="0" w:noVBand="1"/>
      </w:tblPr>
      <w:tblGrid>
        <w:gridCol w:w="981"/>
        <w:gridCol w:w="8086"/>
      </w:tblGrid>
      <w:tr w:rsidR="001F408B" w:rsidRPr="00492D82" w14:paraId="08D3314F" w14:textId="77777777" w:rsidTr="005444A4">
        <w:tc>
          <w:tcPr>
            <w:tcW w:w="981" w:type="dxa"/>
            <w:tcBorders>
              <w:top w:val="single" w:sz="4" w:space="0" w:color="auto"/>
              <w:left w:val="single" w:sz="4" w:space="0" w:color="auto"/>
              <w:bottom w:val="single" w:sz="4" w:space="0" w:color="auto"/>
              <w:right w:val="single" w:sz="4" w:space="0" w:color="auto"/>
            </w:tcBorders>
            <w:shd w:val="clear" w:color="auto" w:fill="auto"/>
            <w:vAlign w:val="center"/>
          </w:tcPr>
          <w:p w14:paraId="0B79C58E" w14:textId="7F004574" w:rsidR="001F408B" w:rsidRPr="00492D82" w:rsidRDefault="001F408B" w:rsidP="005444A4">
            <w:pPr>
              <w:jc w:val="center"/>
              <w:rPr>
                <w:rFonts w:ascii="Arial Narrow" w:hAnsi="Arial Narrow"/>
                <w:sz w:val="20"/>
                <w:szCs w:val="20"/>
              </w:rPr>
            </w:pPr>
          </w:p>
        </w:tc>
        <w:tc>
          <w:tcPr>
            <w:tcW w:w="8086" w:type="dxa"/>
            <w:tcBorders>
              <w:top w:val="single" w:sz="4" w:space="0" w:color="auto"/>
              <w:left w:val="single" w:sz="4" w:space="0" w:color="auto"/>
              <w:bottom w:val="single" w:sz="4" w:space="0" w:color="auto"/>
              <w:right w:val="single" w:sz="4" w:space="0" w:color="auto"/>
            </w:tcBorders>
            <w:shd w:val="clear" w:color="auto" w:fill="auto"/>
            <w:vAlign w:val="center"/>
          </w:tcPr>
          <w:p w14:paraId="599C9DF8" w14:textId="77777777" w:rsidR="001F408B" w:rsidRPr="0008038B" w:rsidRDefault="001F408B" w:rsidP="005444A4">
            <w:pPr>
              <w:rPr>
                <w:rFonts w:ascii="Arial Narrow" w:hAnsi="Arial Narrow"/>
                <w:b/>
                <w:bCs/>
                <w:sz w:val="20"/>
                <w:szCs w:val="20"/>
              </w:rPr>
            </w:pPr>
            <w:r w:rsidRPr="0008038B">
              <w:rPr>
                <w:rFonts w:ascii="Arial Narrow" w:hAnsi="Arial Narrow"/>
                <w:b/>
                <w:bCs/>
                <w:sz w:val="20"/>
                <w:szCs w:val="20"/>
              </w:rPr>
              <w:t>Prescribing instructions:</w:t>
            </w:r>
          </w:p>
          <w:p w14:paraId="68651493" w14:textId="18D572B5" w:rsidR="001F408B" w:rsidRPr="0008038B" w:rsidRDefault="001F408B" w:rsidP="005444A4">
            <w:pPr>
              <w:rPr>
                <w:rFonts w:ascii="Arial Narrow" w:hAnsi="Arial Narrow"/>
                <w:sz w:val="20"/>
                <w:szCs w:val="20"/>
              </w:rPr>
            </w:pPr>
            <w:r w:rsidRPr="0008038B">
              <w:rPr>
                <w:rFonts w:ascii="Arial Narrow" w:hAnsi="Arial Narrow"/>
                <w:sz w:val="20"/>
                <w:szCs w:val="20"/>
              </w:rPr>
              <w:t xml:space="preserve">PBS subsidised treatment with </w:t>
            </w:r>
            <w:r w:rsidR="00DB5A79">
              <w:rPr>
                <w:rFonts w:ascii="Arial Narrow" w:hAnsi="Arial Narrow"/>
                <w:sz w:val="20"/>
                <w:szCs w:val="20"/>
              </w:rPr>
              <w:t>this drug</w:t>
            </w:r>
            <w:r w:rsidR="00DB5A79" w:rsidRPr="0008038B">
              <w:rPr>
                <w:rFonts w:ascii="Arial Narrow" w:hAnsi="Arial Narrow"/>
                <w:sz w:val="20"/>
                <w:szCs w:val="20"/>
              </w:rPr>
              <w:t xml:space="preserve"> </w:t>
            </w:r>
            <w:r w:rsidRPr="0008038B">
              <w:rPr>
                <w:rFonts w:ascii="Arial Narrow" w:hAnsi="Arial Narrow"/>
                <w:sz w:val="20"/>
                <w:szCs w:val="20"/>
              </w:rPr>
              <w:t>is restricted to one line of therapy at any disease staging for NSCLC (i.e. if therapy has been prescribed for early disease, subsidy under locally advance or metastatic disease is no longer available).</w:t>
            </w:r>
          </w:p>
        </w:tc>
      </w:tr>
    </w:tbl>
    <w:p w14:paraId="29175860" w14:textId="77777777" w:rsidR="001F408B" w:rsidRDefault="001F408B" w:rsidP="001F408B"/>
    <w:p w14:paraId="7FA628F2" w14:textId="354E5433" w:rsidR="001F408B" w:rsidRDefault="001F408B" w:rsidP="001F408B">
      <w:r>
        <w:t xml:space="preserve">Item codes affected include:  </w:t>
      </w:r>
      <w:r w:rsidRPr="00717396">
        <w:t>11620N</w:t>
      </w:r>
      <w:r>
        <w:t xml:space="preserve"> &amp; </w:t>
      </w:r>
      <w:r w:rsidRPr="00717396">
        <w:t>11622Q</w:t>
      </w:r>
      <w:r>
        <w:t xml:space="preserve"> (second line setting); and </w:t>
      </w:r>
      <w:r w:rsidRPr="00717396">
        <w:t>12232T</w:t>
      </w:r>
      <w:r>
        <w:t xml:space="preserve"> &amp; </w:t>
      </w:r>
      <w:r w:rsidRPr="00717396">
        <w:t>12233W</w:t>
      </w:r>
      <w:r>
        <w:t xml:space="preserve"> (first line setting). </w:t>
      </w:r>
    </w:p>
    <w:p w14:paraId="04E44FF6" w14:textId="77777777" w:rsidR="000475D0" w:rsidRDefault="000475D0" w:rsidP="000475D0">
      <w:pPr>
        <w:rPr>
          <w:rFonts w:asciiTheme="minorHAnsi" w:hAnsiTheme="minorHAnsi" w:cstheme="minorHAnsi"/>
          <w:b/>
          <w:i/>
        </w:rPr>
      </w:pPr>
    </w:p>
    <w:p w14:paraId="1D73135B" w14:textId="4875719F" w:rsidR="00606FBA" w:rsidRPr="009B5C04" w:rsidRDefault="000475D0" w:rsidP="009B5C04">
      <w:pPr>
        <w:rPr>
          <w:rFonts w:asciiTheme="minorHAnsi" w:hAnsiTheme="minorHAnsi"/>
          <w:bCs/>
          <w:snapToGrid w:val="0"/>
          <w:lang w:val="en-GB"/>
        </w:rPr>
      </w:pPr>
      <w:r w:rsidRPr="00F91CC3">
        <w:rPr>
          <w:rFonts w:asciiTheme="minorHAnsi" w:hAnsiTheme="minorHAnsi" w:cstheme="minorHAnsi"/>
          <w:b/>
          <w:i/>
        </w:rPr>
        <w:t>This restriction may be subject to further review. Should there be any changes made to the restriction the Sponsor will be informed.</w:t>
      </w:r>
      <w:bookmarkStart w:id="76" w:name="_Hlk155948759"/>
    </w:p>
    <w:p w14:paraId="06EF4A5C" w14:textId="77777777" w:rsidR="00463CE8" w:rsidRPr="00BC7C0F" w:rsidRDefault="00463CE8" w:rsidP="00BC7C0F">
      <w:pPr>
        <w:pStyle w:val="2-SectionHeading"/>
      </w:pPr>
      <w:r w:rsidRPr="00490DAE">
        <w:t>Context for Decision</w:t>
      </w:r>
    </w:p>
    <w:p w14:paraId="25044F3D" w14:textId="77777777" w:rsidR="00463CE8" w:rsidRPr="00490DAE" w:rsidRDefault="00463CE8" w:rsidP="00463CE8">
      <w:pPr>
        <w:spacing w:after="120"/>
        <w:ind w:left="720"/>
        <w:rPr>
          <w:rFonts w:asciiTheme="minorHAnsi" w:hAnsiTheme="minorHAnsi"/>
          <w:bCs/>
          <w:lang w:val="en-GB"/>
        </w:rPr>
      </w:pPr>
      <w:r w:rsidRPr="00490DAE">
        <w:rPr>
          <w:rFonts w:asciiTheme="minorHAnsi" w:hAnsiTheme="minorHAnsi"/>
          <w:bCs/>
          <w:lang w:val="en-GB"/>
        </w:rPr>
        <w:t>The PBAC helps decide whether and, if so, how medicines should be subsidised through the Pharmaceutical Benefits Scheme (PBS) in Australia. It considers applications regarding the listing of medicines on the PBS and provides advice about other matters relating to the operation of the PBS in this context. A PBAC decision in relation to PBS listings does not necessarily represent a final PBAC view about the merits of the medicine or the circumstances in which it should be made available through the PBS. The PBAC welcomes applications containing new information at any time.</w:t>
      </w:r>
    </w:p>
    <w:p w14:paraId="3160AA42" w14:textId="77777777" w:rsidR="00463CE8" w:rsidRPr="00490DAE" w:rsidRDefault="00463CE8" w:rsidP="00463CE8">
      <w:pPr>
        <w:pStyle w:val="2-SectionHeading"/>
        <w:rPr>
          <w:b w:val="0"/>
        </w:rPr>
      </w:pPr>
      <w:r w:rsidRPr="00490DAE">
        <w:t>Sponsor’s Comment</w:t>
      </w:r>
    </w:p>
    <w:p w14:paraId="1E670A6A" w14:textId="482C880E" w:rsidR="00857360" w:rsidRDefault="00463CE8" w:rsidP="00BC7C0F">
      <w:pPr>
        <w:ind w:left="510" w:firstLine="170"/>
        <w:rPr>
          <w:rFonts w:asciiTheme="minorHAnsi" w:hAnsiTheme="minorHAnsi"/>
          <w:snapToGrid w:val="0"/>
          <w:sz w:val="32"/>
          <w:szCs w:val="32"/>
          <w:lang w:val="en-US"/>
        </w:rPr>
      </w:pPr>
      <w:r w:rsidRPr="00490DAE">
        <w:rPr>
          <w:rFonts w:asciiTheme="minorHAnsi" w:eastAsiaTheme="minorHAnsi" w:hAnsiTheme="minorHAnsi"/>
          <w:bCs/>
          <w:szCs w:val="22"/>
          <w:lang w:eastAsia="en-US"/>
        </w:rPr>
        <w:t>The sponsor had no comment.</w:t>
      </w:r>
      <w:bookmarkEnd w:id="76"/>
    </w:p>
    <w:sectPr w:rsidR="00857360" w:rsidSect="007B595C">
      <w:type w:val="continuous"/>
      <w:pgSz w:w="11907" w:h="16840" w:code="9"/>
      <w:pgMar w:top="1440" w:right="1440" w:bottom="1440" w:left="1440" w:header="1440" w:footer="1440"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703B9E4" w14:textId="77777777" w:rsidR="001A15FC" w:rsidRDefault="001A15FC" w:rsidP="00124A51">
      <w:r>
        <w:separator/>
      </w:r>
    </w:p>
    <w:p w14:paraId="54FF170D" w14:textId="77777777" w:rsidR="001A15FC" w:rsidRDefault="001A15FC"/>
  </w:endnote>
  <w:endnote w:type="continuationSeparator" w:id="0">
    <w:p w14:paraId="5A4DF9A6" w14:textId="77777777" w:rsidR="001A15FC" w:rsidRDefault="001A15FC" w:rsidP="00124A51">
      <w:r>
        <w:continuationSeparator/>
      </w:r>
    </w:p>
    <w:p w14:paraId="7C6F3642" w14:textId="77777777" w:rsidR="001A15FC" w:rsidRDefault="001A15F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Blackadder ITC">
    <w:panose1 w:val="04020505051007020D02"/>
    <w:charset w:val="00"/>
    <w:family w:val="decorative"/>
    <w:pitch w:val="variable"/>
    <w:sig w:usb0="00000003" w:usb1="00000000" w:usb2="00000000" w:usb3="00000000" w:csb0="00000001" w:csb1="00000000"/>
  </w:font>
  <w:font w:name="CourierNewPSMT">
    <w:altName w:val="Courier New"/>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063511" w14:textId="77777777" w:rsidR="002D3A6B" w:rsidRDefault="002D3A6B" w:rsidP="00753B29">
    <w:pPr>
      <w:pStyle w:val="Footer"/>
      <w:jc w:val="center"/>
    </w:pPr>
  </w:p>
  <w:p w14:paraId="37484CD3" w14:textId="2528F24E" w:rsidR="002D3A6B" w:rsidRPr="00BC7C0F" w:rsidRDefault="001E77BF" w:rsidP="00753B29">
    <w:pPr>
      <w:pStyle w:val="Footer"/>
      <w:jc w:val="center"/>
      <w:rPr>
        <w:b/>
        <w:bCs/>
      </w:rPr>
    </w:pPr>
    <w:sdt>
      <w:sdtPr>
        <w:rPr>
          <w:b/>
          <w:bCs/>
        </w:rPr>
        <w:id w:val="1036156457"/>
        <w:docPartObj>
          <w:docPartGallery w:val="Page Numbers (Bottom of Page)"/>
          <w:docPartUnique/>
        </w:docPartObj>
      </w:sdtPr>
      <w:sdtEndPr>
        <w:rPr>
          <w:noProof/>
        </w:rPr>
      </w:sdtEndPr>
      <w:sdtContent>
        <w:r w:rsidR="002D3A6B" w:rsidRPr="00BC7C0F">
          <w:rPr>
            <w:b/>
            <w:bCs/>
          </w:rPr>
          <w:fldChar w:fldCharType="begin"/>
        </w:r>
        <w:r w:rsidR="002D3A6B" w:rsidRPr="00BC7C0F">
          <w:rPr>
            <w:b/>
            <w:bCs/>
          </w:rPr>
          <w:instrText xml:space="preserve"> PAGE   \* MERGEFORMAT </w:instrText>
        </w:r>
        <w:r w:rsidR="002D3A6B" w:rsidRPr="00BC7C0F">
          <w:rPr>
            <w:b/>
            <w:bCs/>
          </w:rPr>
          <w:fldChar w:fldCharType="separate"/>
        </w:r>
        <w:r w:rsidR="002D3A6B" w:rsidRPr="00BC7C0F">
          <w:rPr>
            <w:b/>
            <w:bCs/>
            <w:noProof/>
          </w:rPr>
          <w:t>ii</w:t>
        </w:r>
        <w:r w:rsidR="002D3A6B" w:rsidRPr="00BC7C0F">
          <w:rPr>
            <w:b/>
            <w:bCs/>
            <w:noProof/>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4D6664" w14:textId="77777777" w:rsidR="001A15FC" w:rsidRDefault="001A15FC" w:rsidP="00124A51">
      <w:r>
        <w:separator/>
      </w:r>
    </w:p>
    <w:p w14:paraId="325DD016" w14:textId="77777777" w:rsidR="001A15FC" w:rsidRDefault="001A15FC"/>
  </w:footnote>
  <w:footnote w:type="continuationSeparator" w:id="0">
    <w:p w14:paraId="545E96F0" w14:textId="77777777" w:rsidR="001A15FC" w:rsidRDefault="001A15FC" w:rsidP="00124A51">
      <w:r>
        <w:continuationSeparator/>
      </w:r>
    </w:p>
    <w:p w14:paraId="4BD15219" w14:textId="77777777" w:rsidR="001A15FC" w:rsidRDefault="001A15FC"/>
  </w:footnote>
  <w:footnote w:id="1">
    <w:p w14:paraId="56734D5B" w14:textId="77777777" w:rsidR="002D3A6B" w:rsidRDefault="002D3A6B" w:rsidP="008E2470">
      <w:pPr>
        <w:pStyle w:val="TableFigureFooter"/>
      </w:pPr>
      <w:r>
        <w:rPr>
          <w:rStyle w:val="FootnoteReference"/>
        </w:rPr>
        <w:footnoteRef/>
      </w:r>
      <w:r>
        <w:t xml:space="preserve"> </w:t>
      </w:r>
      <w:r w:rsidRPr="0039624E">
        <w:t xml:space="preserve">As per recommendations by the National Institute for Health and Care Excellence (NICE) </w:t>
      </w:r>
      <w:hyperlink r:id="rId1" w:history="1">
        <w:r w:rsidRPr="0039624E">
          <w:t>https://www.nice.org.uk/guidance/ta761/chapter/1-Recommendations</w:t>
        </w:r>
      </w:hyperlink>
      <w:r w:rsidRPr="0039624E">
        <w:t>, accessed 24 August 2023.</w:t>
      </w:r>
    </w:p>
  </w:footnote>
  <w:footnote w:id="2">
    <w:p w14:paraId="206B7152" w14:textId="77777777" w:rsidR="002D3A6B" w:rsidRDefault="002D3A6B" w:rsidP="008E2470">
      <w:pPr>
        <w:pStyle w:val="TableFigureFooter"/>
      </w:pPr>
      <w:r>
        <w:rPr>
          <w:rStyle w:val="FootnoteReference"/>
        </w:rPr>
        <w:footnoteRef/>
      </w:r>
      <w:r>
        <w:t xml:space="preserve"> </w:t>
      </w:r>
      <w:r w:rsidRPr="0039624E">
        <w:t xml:space="preserve">As per recommendation by Canada’s Drug and Health Technology Agency (CADTH), </w:t>
      </w:r>
      <w:hyperlink r:id="rId2" w:history="1">
        <w:r w:rsidRPr="0039624E">
          <w:t>https://www.cadth.ca/sites/default/files/DRR/2022/PC0246-Tagrisso-rec%20Final.pdf</w:t>
        </w:r>
      </w:hyperlink>
      <w:r w:rsidRPr="0039624E">
        <w:t xml:space="preserve"> , accessed 24 August 2023</w:t>
      </w:r>
    </w:p>
  </w:footnote>
  <w:footnote w:id="3">
    <w:p w14:paraId="562D3C66" w14:textId="6F72D471" w:rsidR="004A08B4" w:rsidRDefault="004A08B4">
      <w:pPr>
        <w:pStyle w:val="FootnoteText"/>
      </w:pPr>
      <w:r>
        <w:rPr>
          <w:rStyle w:val="FootnoteReference"/>
        </w:rPr>
        <w:footnoteRef/>
      </w:r>
      <w:r>
        <w:t xml:space="preserve"> </w:t>
      </w:r>
      <w:r w:rsidRPr="004A08B4">
        <w:rPr>
          <w:i/>
          <w:iCs/>
        </w:rPr>
        <w:t>Note: The sponsor has since advised that the compassionate access program could not be initiated.</w:t>
      </w:r>
    </w:p>
  </w:footnote>
  <w:footnote w:id="4">
    <w:p w14:paraId="48DF0DB7" w14:textId="77777777" w:rsidR="002D3A6B" w:rsidRDefault="002D3A6B" w:rsidP="008E2470">
      <w:pPr>
        <w:pStyle w:val="TableFigureFooter"/>
      </w:pPr>
      <w:r>
        <w:rPr>
          <w:rStyle w:val="FootnoteReference"/>
        </w:rPr>
        <w:footnoteRef/>
      </w:r>
      <w:r>
        <w:t xml:space="preserve"> </w:t>
      </w:r>
      <w:r w:rsidRPr="002D7318">
        <w:t>Cancer Australia 2023. Lung Cancer. Available at https://www.canceraustralia.gov.au/cancer-types/lung-cancer/statistics</w:t>
      </w:r>
    </w:p>
  </w:footnote>
  <w:footnote w:id="5">
    <w:p w14:paraId="301DFDE6" w14:textId="77777777" w:rsidR="002D3A6B" w:rsidRDefault="002D3A6B" w:rsidP="008E2470">
      <w:pPr>
        <w:pStyle w:val="TableFigureFooter"/>
      </w:pPr>
      <w:r>
        <w:rPr>
          <w:rStyle w:val="FootnoteReference"/>
        </w:rPr>
        <w:footnoteRef/>
      </w:r>
      <w:r>
        <w:t xml:space="preserve"> </w:t>
      </w:r>
      <w:r w:rsidRPr="002D7318">
        <w:t>Stirling R, Martin C, Brand M, Smith S, McNeil J, Zalcberg J on behalf of the Victorian Lung Cancer Registry. The Victorian Lung Cancer Registry Annual Report, 2019. Monash University, Department of Epidemiology and Preventive Medicine, Report No 5, pages 47.</w:t>
      </w:r>
    </w:p>
  </w:footnote>
  <w:footnote w:id="6">
    <w:p w14:paraId="09A220EC" w14:textId="77777777" w:rsidR="002D3A6B" w:rsidRPr="002D7318" w:rsidRDefault="002D3A6B" w:rsidP="008E2470">
      <w:pPr>
        <w:pStyle w:val="TableFigureFooter"/>
      </w:pPr>
      <w:r w:rsidRPr="002D7318">
        <w:rPr>
          <w:rStyle w:val="FootnoteReference"/>
          <w:rFonts w:asciiTheme="minorHAnsi" w:hAnsiTheme="minorHAnsi" w:cstheme="minorHAnsi"/>
        </w:rPr>
        <w:footnoteRef/>
      </w:r>
      <w:r w:rsidRPr="002D7318">
        <w:t xml:space="preserve"> Mead S, Lucas M, Pang JM, et al. </w:t>
      </w:r>
      <w:r w:rsidRPr="006474C4">
        <w:rPr>
          <w:i/>
        </w:rPr>
        <w:t>EGFR</w:t>
      </w:r>
      <w:r w:rsidRPr="002D7318">
        <w:t xml:space="preserve"> mutation profile in Australian patients with non-small cell lung cancer. Pathology 2021;53:933-936. </w:t>
      </w:r>
    </w:p>
  </w:footnote>
  <w:footnote w:id="7">
    <w:p w14:paraId="2BD5B256" w14:textId="77777777" w:rsidR="002D3A6B" w:rsidRPr="00F83C2B" w:rsidRDefault="002D3A6B" w:rsidP="008E2470">
      <w:pPr>
        <w:pStyle w:val="TableFigureFooter"/>
      </w:pPr>
      <w:r w:rsidRPr="00F83C2B">
        <w:rPr>
          <w:rStyle w:val="FootnoteReference"/>
        </w:rPr>
        <w:footnoteRef/>
      </w:r>
      <w:r w:rsidRPr="00F83C2B">
        <w:t xml:space="preserve"> National Comprehensive Cancer Network (NCCN) (2023). NCCN Clinical practice guidelines in oncology. Non-small cell lung cancer. Version 3.2023. </w:t>
      </w:r>
    </w:p>
  </w:footnote>
  <w:footnote w:id="8">
    <w:p w14:paraId="40275459" w14:textId="77777777" w:rsidR="002D3A6B" w:rsidRPr="00F83C2B" w:rsidRDefault="002D3A6B" w:rsidP="008E2470">
      <w:pPr>
        <w:pStyle w:val="TableFigureFooter"/>
      </w:pPr>
      <w:r w:rsidRPr="00F83C2B">
        <w:rPr>
          <w:rStyle w:val="FootnoteReference"/>
          <w:rFonts w:asciiTheme="minorHAnsi" w:hAnsiTheme="minorHAnsi" w:cstheme="minorHAnsi"/>
        </w:rPr>
        <w:footnoteRef/>
      </w:r>
      <w:r w:rsidRPr="00F83C2B">
        <w:t xml:space="preserve"> Le Chevalier T. Adjuvant chemotherapy for resectable non-small-cell lung cancer: where is it going? Annals of Oncology 2010;21:vii196-vii198.</w:t>
      </w:r>
    </w:p>
  </w:footnote>
  <w:footnote w:id="9">
    <w:p w14:paraId="3FDBC2A2" w14:textId="77777777" w:rsidR="002D3A6B" w:rsidRPr="00F83C2B" w:rsidRDefault="002D3A6B" w:rsidP="008E2470">
      <w:pPr>
        <w:pStyle w:val="TableFigureFooter"/>
      </w:pPr>
      <w:r w:rsidRPr="00F83C2B">
        <w:rPr>
          <w:rStyle w:val="FootnoteReference"/>
        </w:rPr>
        <w:footnoteRef/>
      </w:r>
      <w:r w:rsidRPr="00F83C2B">
        <w:t xml:space="preserve"> Liang, Y. (2013). Adjuvant chemotherapy of completely resected early stage non-small cell lung cancer (NSCLC). Transl Lung Cancer Res, 2(5), 403-410.</w:t>
      </w:r>
    </w:p>
  </w:footnote>
  <w:footnote w:id="10">
    <w:p w14:paraId="6CC694B2" w14:textId="77777777" w:rsidR="002D3A6B" w:rsidRPr="00F83C2B" w:rsidRDefault="002D3A6B" w:rsidP="008E2470">
      <w:pPr>
        <w:pStyle w:val="TableFigureFooter"/>
      </w:pPr>
      <w:r w:rsidRPr="00F83C2B">
        <w:rPr>
          <w:rStyle w:val="FootnoteReference"/>
        </w:rPr>
        <w:footnoteRef/>
      </w:r>
      <w:r w:rsidRPr="00F83C2B">
        <w:t xml:space="preserve"> De Carlo, E. (2022). Brain Metastases Management in Oncogene-Addicted Non-Small Cell Lung Cancer in the Targeted Therapies Era. Int J Mol Sci, 23(12).</w:t>
      </w:r>
    </w:p>
  </w:footnote>
  <w:footnote w:id="11">
    <w:p w14:paraId="19435452" w14:textId="77777777" w:rsidR="002D3A6B" w:rsidRPr="002D7318" w:rsidRDefault="002D3A6B" w:rsidP="008E2470">
      <w:pPr>
        <w:pStyle w:val="TableFigureFooter"/>
      </w:pPr>
      <w:r w:rsidRPr="002D7318">
        <w:rPr>
          <w:rStyle w:val="FootnoteReference"/>
          <w:rFonts w:asciiTheme="minorHAnsi" w:hAnsiTheme="minorHAnsi" w:cstheme="minorHAnsi"/>
        </w:rPr>
        <w:footnoteRef/>
      </w:r>
      <w:r w:rsidRPr="002E67E9">
        <w:t xml:space="preserve"> Pignon JP, Tribodet H, Scagliotti GV, et al. 2008. </w:t>
      </w:r>
      <w:r w:rsidRPr="002D7318">
        <w:t xml:space="preserve">Lung adjuvant cisplatin evaluation: a pooled analysis by the LACE Collaborative Group. J Clin Oncol 2008;26:3552-3559. </w:t>
      </w:r>
    </w:p>
  </w:footnote>
  <w:footnote w:id="12">
    <w:p w14:paraId="470697BE" w14:textId="77777777" w:rsidR="002D3A6B" w:rsidRDefault="002D3A6B" w:rsidP="008E2470">
      <w:pPr>
        <w:pStyle w:val="TableFigureFooter"/>
      </w:pPr>
      <w:r>
        <w:rPr>
          <w:rStyle w:val="FootnoteReference"/>
        </w:rPr>
        <w:footnoteRef/>
      </w:r>
      <w:r>
        <w:t xml:space="preserve"> </w:t>
      </w:r>
      <w:r w:rsidRPr="00EB1840">
        <w:t>Chouaid, C. (2018). Adjuvant treatment patterns and outcomes in patients with stage IB-IIIA non-small cell lung cancer in France, Germany, and the United Kingdom based on the LuCaBIS burden of illness study. Lung Cancer, 124, 310-316.</w:t>
      </w:r>
    </w:p>
  </w:footnote>
  <w:footnote w:id="13">
    <w:p w14:paraId="62F83893" w14:textId="77777777" w:rsidR="002D3A6B" w:rsidRPr="00296CC6" w:rsidRDefault="002D3A6B" w:rsidP="008E2470">
      <w:pPr>
        <w:pStyle w:val="TableFigureFooter"/>
      </w:pPr>
      <w:r w:rsidRPr="00296CC6">
        <w:rPr>
          <w:rStyle w:val="FootnoteReference"/>
        </w:rPr>
        <w:footnoteRef/>
      </w:r>
      <w:r w:rsidRPr="00296CC6">
        <w:rPr>
          <w:vertAlign w:val="superscript"/>
        </w:rPr>
        <w:t xml:space="preserve"> </w:t>
      </w:r>
      <w:r w:rsidRPr="00296CC6">
        <w:t>Tan L. (2018). Survival difference according to mutation status in a prospective cohort study of Australian patients with metastatic non-small-cell lung carcinoma. Intern Med J. 2018 Jan;48(1):37-44.</w:t>
      </w:r>
    </w:p>
  </w:footnote>
  <w:footnote w:id="14">
    <w:p w14:paraId="679F5676" w14:textId="77777777" w:rsidR="002D3A6B" w:rsidRDefault="002D3A6B" w:rsidP="008E2470">
      <w:pPr>
        <w:pStyle w:val="TableFigureFooter"/>
      </w:pPr>
      <w:r>
        <w:rPr>
          <w:rStyle w:val="FootnoteReference"/>
        </w:rPr>
        <w:footnoteRef/>
      </w:r>
      <w:r>
        <w:t xml:space="preserve"> </w:t>
      </w:r>
      <w:r w:rsidRPr="00296CC6">
        <w:t>Rybarczyk-Kasiuchnicz A. (2021). Treatment of Brain Metastases of Non-Small Cell Lung Carcinoma. Int J Mol Sci 2021;22.</w:t>
      </w:r>
    </w:p>
  </w:footnote>
  <w:footnote w:id="15">
    <w:p w14:paraId="66C4DEC2" w14:textId="77777777" w:rsidR="002D3A6B" w:rsidRPr="00EB7A4C" w:rsidRDefault="002D3A6B" w:rsidP="008E2470">
      <w:pPr>
        <w:pStyle w:val="TableFigureFooter"/>
        <w:rPr>
          <w:szCs w:val="18"/>
        </w:rPr>
      </w:pPr>
      <w:r w:rsidRPr="004837DE">
        <w:rPr>
          <w:rStyle w:val="FootnoteReference"/>
          <w:rFonts w:asciiTheme="minorHAnsi" w:hAnsiTheme="minorHAnsi" w:cstheme="minorHAnsi"/>
          <w:szCs w:val="18"/>
        </w:rPr>
        <w:footnoteRef/>
      </w:r>
      <w:r w:rsidRPr="004837DE">
        <w:rPr>
          <w:szCs w:val="18"/>
        </w:rPr>
        <w:t xml:space="preserve"> Yoon H-Y. (2020) Clinical significance of </w:t>
      </w:r>
      <w:r w:rsidRPr="006474C4">
        <w:rPr>
          <w:i/>
          <w:szCs w:val="18"/>
        </w:rPr>
        <w:t>EGFR</w:t>
      </w:r>
      <w:r w:rsidRPr="004837DE">
        <w:rPr>
          <w:szCs w:val="18"/>
        </w:rPr>
        <w:t xml:space="preserve"> mutation types in lung adenocarcinoma: A multi-centre Korean study</w:t>
      </w:r>
      <w:r>
        <w:rPr>
          <w:szCs w:val="18"/>
        </w:rPr>
        <w:t>.</w:t>
      </w:r>
      <w:r w:rsidRPr="00EB7A4C">
        <w:t xml:space="preserve"> </w:t>
      </w:r>
      <w:r w:rsidRPr="00EB7A4C">
        <w:rPr>
          <w:szCs w:val="18"/>
        </w:rPr>
        <w:t>PLoS ONE 15(2):</w:t>
      </w:r>
    </w:p>
    <w:p w14:paraId="29A295EA" w14:textId="77777777" w:rsidR="002D3A6B" w:rsidRPr="004837DE" w:rsidRDefault="002D3A6B" w:rsidP="008E2470">
      <w:pPr>
        <w:pStyle w:val="TableFigureFooter"/>
        <w:rPr>
          <w:szCs w:val="18"/>
        </w:rPr>
      </w:pPr>
      <w:r w:rsidRPr="00EB7A4C">
        <w:rPr>
          <w:szCs w:val="18"/>
        </w:rPr>
        <w:t>e0228925.</w:t>
      </w:r>
    </w:p>
  </w:footnote>
  <w:footnote w:id="16">
    <w:p w14:paraId="5D5DF8E3" w14:textId="77777777" w:rsidR="002D3A6B" w:rsidRDefault="002D3A6B" w:rsidP="008E2470">
      <w:pPr>
        <w:pStyle w:val="TableFigureFooter"/>
      </w:pPr>
      <w:r>
        <w:rPr>
          <w:rStyle w:val="FootnoteReference"/>
        </w:rPr>
        <w:footnoteRef/>
      </w:r>
      <w:r>
        <w:t xml:space="preserve"> Joshi A. 2017. EGFR mutation in squamous cell carcinoma of the lung: does it carry the same connotation as in adenocarcinomas? Onco Targets Ther. 2017 Mar 28;10:1859-1863.</w:t>
      </w:r>
    </w:p>
  </w:footnote>
  <w:footnote w:id="17">
    <w:p w14:paraId="5D27F99F" w14:textId="77777777" w:rsidR="002D3A6B" w:rsidRDefault="002D3A6B" w:rsidP="008E2470">
      <w:pPr>
        <w:pStyle w:val="TableFigureFooter"/>
      </w:pPr>
      <w:r>
        <w:rPr>
          <w:rStyle w:val="FootnoteReference"/>
        </w:rPr>
        <w:footnoteRef/>
      </w:r>
      <w:r>
        <w:t xml:space="preserve"> </w:t>
      </w:r>
      <w:r w:rsidRPr="004E1DEC">
        <w:t>National Comprehensive Cancer Network (NCCN) (2023). NCCN Clinical practice guidelines in oncology. Non-small cell lung cancer. Version 3.2023.</w:t>
      </w:r>
    </w:p>
  </w:footnote>
  <w:footnote w:id="18">
    <w:p w14:paraId="61A036E8" w14:textId="77777777" w:rsidR="002D3A6B" w:rsidRDefault="002D3A6B" w:rsidP="008E2470">
      <w:pPr>
        <w:pStyle w:val="TableFigureFooter"/>
      </w:pPr>
      <w:r>
        <w:rPr>
          <w:rStyle w:val="FootnoteReference"/>
        </w:rPr>
        <w:footnoteRef/>
      </w:r>
      <w:r>
        <w:t xml:space="preserve"> </w:t>
      </w:r>
      <w:r w:rsidRPr="001A145D">
        <w:rPr>
          <w:rFonts w:ascii="Calibri" w:hAnsi="Calibri"/>
          <w:iCs/>
          <w:snapToGrid/>
          <w:sz w:val="20"/>
          <w:szCs w:val="20"/>
        </w:rPr>
        <w:t>Drug Utilisation sub-committee (DUSC) 2022. Analysis of medicines for the treatment of non-small cell lung cancer, including a predicted versus actual analysis of durvalumab. Public Release Document, September 2022 DUSC meeting.</w:t>
      </w:r>
    </w:p>
  </w:footnote>
  <w:footnote w:id="19">
    <w:p w14:paraId="12BC533E" w14:textId="77777777" w:rsidR="008210E3" w:rsidRPr="008D4391" w:rsidRDefault="008210E3" w:rsidP="008210E3">
      <w:pPr>
        <w:pStyle w:val="FootnoteText"/>
        <w:rPr>
          <w:i/>
          <w:iCs/>
        </w:rPr>
      </w:pPr>
      <w:r w:rsidRPr="008D4391">
        <w:rPr>
          <w:rStyle w:val="FootnoteReference"/>
          <w:rFonts w:eastAsiaTheme="majorEastAsia"/>
          <w:iCs/>
        </w:rPr>
        <w:footnoteRef/>
      </w:r>
      <w:r w:rsidRPr="008D4391">
        <w:rPr>
          <w:iCs/>
        </w:rPr>
        <w:t xml:space="preserve"> Cherny NI, Dafni U, Bogaerts J, et al: ESMO-Magnitude of Clinical Benefit Scale version 1.1. Annals of Oncology 28:2340-2366, 2017.</w:t>
      </w:r>
    </w:p>
  </w:footnote>
  <w:footnote w:id="20">
    <w:p w14:paraId="164705B2" w14:textId="115FD62A" w:rsidR="002D3A6B" w:rsidRDefault="002D3A6B">
      <w:pPr>
        <w:pStyle w:val="FootnoteText"/>
      </w:pPr>
      <w:r>
        <w:rPr>
          <w:rStyle w:val="FootnoteReference"/>
        </w:rPr>
        <w:footnoteRef/>
      </w:r>
      <w:r>
        <w:t xml:space="preserve"> </w:t>
      </w:r>
      <w:r w:rsidRPr="006F5BBF">
        <w:t>M</w:t>
      </w:r>
      <w:r>
        <w:t>aeda, R.</w:t>
      </w:r>
      <w:r w:rsidRPr="006F5BBF">
        <w:t xml:space="preserve"> 2010. Late Recurrence of Non-Small Cell Lung Cancer More Than 5 Years After Complete Resection: Incidence and Clinical Implications in Patient Follow-up. </w:t>
      </w:r>
      <w:r w:rsidRPr="003D3B2C">
        <w:rPr>
          <w:i/>
          <w:iCs/>
        </w:rPr>
        <w:t>Chest</w:t>
      </w:r>
      <w:r w:rsidRPr="006F5BBF">
        <w:t>, 138, 145-150.</w:t>
      </w:r>
    </w:p>
  </w:footnote>
  <w:footnote w:id="21">
    <w:p w14:paraId="38BF693B" w14:textId="6F581DC6" w:rsidR="002D3A6B" w:rsidRDefault="002D3A6B">
      <w:pPr>
        <w:pStyle w:val="FootnoteText"/>
      </w:pPr>
      <w:r>
        <w:rPr>
          <w:rStyle w:val="FootnoteReference"/>
        </w:rPr>
        <w:footnoteRef/>
      </w:r>
      <w:r>
        <w:t xml:space="preserve"> </w:t>
      </w:r>
      <w:r w:rsidRPr="001D5370">
        <w:t>S</w:t>
      </w:r>
      <w:r>
        <w:t xml:space="preserve">onoda, D. </w:t>
      </w:r>
      <w:r w:rsidRPr="001D5370">
        <w:t xml:space="preserve">2019. Ultra-late recurrence of non-small cell lung cancer over 10 years after curative resection. </w:t>
      </w:r>
      <w:r w:rsidRPr="001D5370">
        <w:rPr>
          <w:i/>
        </w:rPr>
        <w:t>Cancer Management and Research,</w:t>
      </w:r>
      <w:r w:rsidRPr="001D5370">
        <w:t xml:space="preserve"> 11</w:t>
      </w:r>
      <w:r w:rsidRPr="001D5370">
        <w:rPr>
          <w:b/>
        </w:rPr>
        <w:t>,</w:t>
      </w:r>
      <w:r w:rsidRPr="001D5370">
        <w:t xml:space="preserve"> 6765</w:t>
      </w:r>
      <w:r>
        <w:t>-6774</w:t>
      </w:r>
      <w:r w:rsidRPr="001D5370">
        <w:t>.</w:t>
      </w:r>
    </w:p>
  </w:footnote>
  <w:footnote w:id="22">
    <w:p w14:paraId="3BA9FD66" w14:textId="77777777" w:rsidR="002D3A6B" w:rsidRDefault="002D3A6B" w:rsidP="007D2E70">
      <w:pPr>
        <w:pStyle w:val="CommentText"/>
      </w:pPr>
      <w:r>
        <w:rPr>
          <w:rStyle w:val="FootnoteReference"/>
        </w:rPr>
        <w:footnoteRef/>
      </w:r>
      <w:r>
        <w:t xml:space="preserve"> </w:t>
      </w:r>
      <w:hyperlink r:id="rId3" w:history="1">
        <w:r w:rsidRPr="00F716EA">
          <w:rPr>
            <w:rStyle w:val="Hyperlink"/>
          </w:rPr>
          <w:t>https://vlcr.org.au/wp-content/uploads/2018/05/VLCR20-Report-Web.pdf</w:t>
        </w:r>
      </w:hyperlink>
    </w:p>
    <w:p w14:paraId="036B17A9" w14:textId="77777777" w:rsidR="002D3A6B" w:rsidRDefault="002D3A6B" w:rsidP="007D2E70">
      <w:pPr>
        <w:pStyle w:val="FootnoteTex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F5E204" w14:textId="611E2A9B" w:rsidR="002D3A6B" w:rsidRPr="00195452" w:rsidRDefault="00463CE8" w:rsidP="00D822E2">
    <w:pPr>
      <w:pStyle w:val="Header"/>
      <w:rPr>
        <w:rFonts w:asciiTheme="minorHAnsi" w:hAnsiTheme="minorHAnsi"/>
        <w:i/>
        <w:color w:val="808080"/>
      </w:rPr>
    </w:pPr>
    <w:r w:rsidRPr="00463CE8">
      <w:rPr>
        <w:rFonts w:asciiTheme="minorHAnsi" w:hAnsiTheme="minorHAnsi"/>
        <w:i/>
        <w:color w:val="808080"/>
      </w:rPr>
      <w:t xml:space="preserve">Public Summary Document </w:t>
    </w:r>
    <w:r w:rsidR="00136022">
      <w:rPr>
        <w:rFonts w:asciiTheme="minorHAnsi" w:hAnsiTheme="minorHAnsi"/>
        <w:i/>
        <w:color w:val="808080"/>
      </w:rPr>
      <w:t xml:space="preserve">- </w:t>
    </w:r>
    <w:r w:rsidR="002D3A6B">
      <w:rPr>
        <w:rFonts w:asciiTheme="minorHAnsi" w:hAnsiTheme="minorHAnsi"/>
        <w:i/>
        <w:color w:val="808080"/>
      </w:rPr>
      <w:t xml:space="preserve">November 2023 </w:t>
    </w:r>
    <w:r w:rsidR="002D3A6B" w:rsidRPr="00195452">
      <w:rPr>
        <w:rFonts w:asciiTheme="minorHAnsi" w:hAnsiTheme="minorHAnsi"/>
        <w:i/>
        <w:color w:val="808080"/>
      </w:rPr>
      <w:t>PBAC Meeting</w:t>
    </w:r>
  </w:p>
  <w:p w14:paraId="1AEC8354" w14:textId="77777777" w:rsidR="002D3A6B" w:rsidRDefault="002D3A6B" w:rsidP="00BC7C0F">
    <w:pPr>
      <w:tabs>
        <w:tab w:val="center" w:pos="4513"/>
        <w:tab w:val="right" w:pos="9026"/>
      </w:tabs>
      <w:contextualSpacing/>
      <w:jc w:val="center"/>
    </w:pPr>
    <w:r w:rsidRPr="00195452">
      <w:rPr>
        <w:rFonts w:asciiTheme="minorHAnsi" w:hAnsiTheme="minorHAnsi"/>
        <w:i/>
        <w:color w:val="808080"/>
      </w:rPr>
      <w:t>Commercial-In-Confidence</w:t>
    </w:r>
  </w:p>
  <w:p w14:paraId="03AF943B" w14:textId="77777777" w:rsidR="002D3A6B" w:rsidRPr="008C7ECB" w:rsidRDefault="002D3A6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265E320A"/>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DA92C88"/>
    <w:multiLevelType w:val="hybridMultilevel"/>
    <w:tmpl w:val="1ECA8E5A"/>
    <w:lvl w:ilvl="0" w:tplc="0C090001">
      <w:start w:val="1"/>
      <w:numFmt w:val="bullet"/>
      <w:lvlText w:val=""/>
      <w:lvlJc w:val="left"/>
      <w:pPr>
        <w:ind w:left="1703" w:hanging="360"/>
      </w:pPr>
      <w:rPr>
        <w:rFonts w:ascii="Symbol" w:hAnsi="Symbol" w:hint="default"/>
      </w:rPr>
    </w:lvl>
    <w:lvl w:ilvl="1" w:tplc="0C090003" w:tentative="1">
      <w:start w:val="1"/>
      <w:numFmt w:val="bullet"/>
      <w:lvlText w:val="o"/>
      <w:lvlJc w:val="left"/>
      <w:pPr>
        <w:ind w:left="2423" w:hanging="360"/>
      </w:pPr>
      <w:rPr>
        <w:rFonts w:ascii="Courier New" w:hAnsi="Courier New" w:cs="Courier New" w:hint="default"/>
      </w:rPr>
    </w:lvl>
    <w:lvl w:ilvl="2" w:tplc="0C090005" w:tentative="1">
      <w:start w:val="1"/>
      <w:numFmt w:val="bullet"/>
      <w:lvlText w:val=""/>
      <w:lvlJc w:val="left"/>
      <w:pPr>
        <w:ind w:left="3143" w:hanging="360"/>
      </w:pPr>
      <w:rPr>
        <w:rFonts w:ascii="Wingdings" w:hAnsi="Wingdings" w:hint="default"/>
      </w:rPr>
    </w:lvl>
    <w:lvl w:ilvl="3" w:tplc="0C090001" w:tentative="1">
      <w:start w:val="1"/>
      <w:numFmt w:val="bullet"/>
      <w:lvlText w:val=""/>
      <w:lvlJc w:val="left"/>
      <w:pPr>
        <w:ind w:left="3863" w:hanging="360"/>
      </w:pPr>
      <w:rPr>
        <w:rFonts w:ascii="Symbol" w:hAnsi="Symbol" w:hint="default"/>
      </w:rPr>
    </w:lvl>
    <w:lvl w:ilvl="4" w:tplc="0C090003" w:tentative="1">
      <w:start w:val="1"/>
      <w:numFmt w:val="bullet"/>
      <w:lvlText w:val="o"/>
      <w:lvlJc w:val="left"/>
      <w:pPr>
        <w:ind w:left="4583" w:hanging="360"/>
      </w:pPr>
      <w:rPr>
        <w:rFonts w:ascii="Courier New" w:hAnsi="Courier New" w:cs="Courier New" w:hint="default"/>
      </w:rPr>
    </w:lvl>
    <w:lvl w:ilvl="5" w:tplc="0C090005" w:tentative="1">
      <w:start w:val="1"/>
      <w:numFmt w:val="bullet"/>
      <w:lvlText w:val=""/>
      <w:lvlJc w:val="left"/>
      <w:pPr>
        <w:ind w:left="5303" w:hanging="360"/>
      </w:pPr>
      <w:rPr>
        <w:rFonts w:ascii="Wingdings" w:hAnsi="Wingdings" w:hint="default"/>
      </w:rPr>
    </w:lvl>
    <w:lvl w:ilvl="6" w:tplc="0C090001" w:tentative="1">
      <w:start w:val="1"/>
      <w:numFmt w:val="bullet"/>
      <w:lvlText w:val=""/>
      <w:lvlJc w:val="left"/>
      <w:pPr>
        <w:ind w:left="6023" w:hanging="360"/>
      </w:pPr>
      <w:rPr>
        <w:rFonts w:ascii="Symbol" w:hAnsi="Symbol" w:hint="default"/>
      </w:rPr>
    </w:lvl>
    <w:lvl w:ilvl="7" w:tplc="0C090003" w:tentative="1">
      <w:start w:val="1"/>
      <w:numFmt w:val="bullet"/>
      <w:lvlText w:val="o"/>
      <w:lvlJc w:val="left"/>
      <w:pPr>
        <w:ind w:left="6743" w:hanging="360"/>
      </w:pPr>
      <w:rPr>
        <w:rFonts w:ascii="Courier New" w:hAnsi="Courier New" w:cs="Courier New" w:hint="default"/>
      </w:rPr>
    </w:lvl>
    <w:lvl w:ilvl="8" w:tplc="0C090005" w:tentative="1">
      <w:start w:val="1"/>
      <w:numFmt w:val="bullet"/>
      <w:lvlText w:val=""/>
      <w:lvlJc w:val="left"/>
      <w:pPr>
        <w:ind w:left="7463" w:hanging="360"/>
      </w:pPr>
      <w:rPr>
        <w:rFonts w:ascii="Wingdings" w:hAnsi="Wingdings" w:hint="default"/>
      </w:rPr>
    </w:lvl>
  </w:abstractNum>
  <w:abstractNum w:abstractNumId="2" w15:restartNumberingAfterBreak="0">
    <w:nsid w:val="1E513458"/>
    <w:multiLevelType w:val="hybridMultilevel"/>
    <w:tmpl w:val="9A205504"/>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3" w15:restartNumberingAfterBreak="0">
    <w:nsid w:val="22D160FE"/>
    <w:multiLevelType w:val="hybridMultilevel"/>
    <w:tmpl w:val="F132D40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23B6274A"/>
    <w:multiLevelType w:val="hybridMultilevel"/>
    <w:tmpl w:val="A290DF26"/>
    <w:lvl w:ilvl="0" w:tplc="9D5AF2CC">
      <w:start w:val="1"/>
      <w:numFmt w:val="decimal"/>
      <w:lvlText w:val="%1."/>
      <w:lvlJc w:val="left"/>
      <w:pPr>
        <w:ind w:left="360" w:hanging="360"/>
      </w:pPr>
      <w:rPr>
        <w:rFonts w:hint="default"/>
        <w:b w:val="0"/>
        <w:bCs/>
        <w:i/>
        <w:iCs w:val="0"/>
        <w:color w:val="auto"/>
      </w:rPr>
    </w:lvl>
    <w:lvl w:ilvl="1" w:tplc="0C090019">
      <w:start w:val="1"/>
      <w:numFmt w:val="lowerLetter"/>
      <w:lvlText w:val="%2."/>
      <w:lvlJc w:val="left"/>
      <w:pPr>
        <w:ind w:left="22" w:hanging="360"/>
      </w:pPr>
    </w:lvl>
    <w:lvl w:ilvl="2" w:tplc="0C09001B" w:tentative="1">
      <w:start w:val="1"/>
      <w:numFmt w:val="lowerRoman"/>
      <w:lvlText w:val="%3."/>
      <w:lvlJc w:val="right"/>
      <w:pPr>
        <w:ind w:left="742" w:hanging="180"/>
      </w:pPr>
    </w:lvl>
    <w:lvl w:ilvl="3" w:tplc="0C09000F" w:tentative="1">
      <w:start w:val="1"/>
      <w:numFmt w:val="decimal"/>
      <w:lvlText w:val="%4."/>
      <w:lvlJc w:val="left"/>
      <w:pPr>
        <w:ind w:left="1462" w:hanging="360"/>
      </w:pPr>
    </w:lvl>
    <w:lvl w:ilvl="4" w:tplc="0C090019" w:tentative="1">
      <w:start w:val="1"/>
      <w:numFmt w:val="lowerLetter"/>
      <w:lvlText w:val="%5."/>
      <w:lvlJc w:val="left"/>
      <w:pPr>
        <w:ind w:left="2182" w:hanging="360"/>
      </w:pPr>
    </w:lvl>
    <w:lvl w:ilvl="5" w:tplc="0C09001B" w:tentative="1">
      <w:start w:val="1"/>
      <w:numFmt w:val="lowerRoman"/>
      <w:lvlText w:val="%6."/>
      <w:lvlJc w:val="right"/>
      <w:pPr>
        <w:ind w:left="2902" w:hanging="180"/>
      </w:pPr>
    </w:lvl>
    <w:lvl w:ilvl="6" w:tplc="0C09000F" w:tentative="1">
      <w:start w:val="1"/>
      <w:numFmt w:val="decimal"/>
      <w:lvlText w:val="%7."/>
      <w:lvlJc w:val="left"/>
      <w:pPr>
        <w:ind w:left="3622" w:hanging="360"/>
      </w:pPr>
    </w:lvl>
    <w:lvl w:ilvl="7" w:tplc="0C090019" w:tentative="1">
      <w:start w:val="1"/>
      <w:numFmt w:val="lowerLetter"/>
      <w:lvlText w:val="%8."/>
      <w:lvlJc w:val="left"/>
      <w:pPr>
        <w:ind w:left="4342" w:hanging="360"/>
      </w:pPr>
    </w:lvl>
    <w:lvl w:ilvl="8" w:tplc="0C09001B" w:tentative="1">
      <w:start w:val="1"/>
      <w:numFmt w:val="lowerRoman"/>
      <w:lvlText w:val="%9."/>
      <w:lvlJc w:val="right"/>
      <w:pPr>
        <w:ind w:left="5062" w:hanging="180"/>
      </w:pPr>
    </w:lvl>
  </w:abstractNum>
  <w:abstractNum w:abstractNumId="5" w15:restartNumberingAfterBreak="0">
    <w:nsid w:val="3C443158"/>
    <w:multiLevelType w:val="hybridMultilevel"/>
    <w:tmpl w:val="35F8C88A"/>
    <w:lvl w:ilvl="0" w:tplc="F618AF6C">
      <w:start w:val="4"/>
      <w:numFmt w:val="bullet"/>
      <w:lvlText w:val="-"/>
      <w:lvlJc w:val="left"/>
      <w:pPr>
        <w:ind w:left="502" w:hanging="360"/>
      </w:pPr>
      <w:rPr>
        <w:rFonts w:ascii="Arial Narrow" w:eastAsiaTheme="majorEastAsia" w:hAnsi="Arial Narrow" w:cstheme="maj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42BC67B0"/>
    <w:multiLevelType w:val="hybridMultilevel"/>
    <w:tmpl w:val="20DE3278"/>
    <w:lvl w:ilvl="0" w:tplc="71E02096">
      <w:start w:val="1"/>
      <w:numFmt w:val="bullet"/>
      <w:lvlText w:val=""/>
      <w:lvlJc w:val="left"/>
      <w:pPr>
        <w:ind w:left="720" w:hanging="360"/>
      </w:pPr>
      <w:rPr>
        <w:rFonts w:ascii="Symbol" w:hAnsi="Symbol"/>
      </w:rPr>
    </w:lvl>
    <w:lvl w:ilvl="1" w:tplc="71320CAE">
      <w:start w:val="1"/>
      <w:numFmt w:val="bullet"/>
      <w:lvlText w:val=""/>
      <w:lvlJc w:val="left"/>
      <w:pPr>
        <w:ind w:left="720" w:hanging="360"/>
      </w:pPr>
      <w:rPr>
        <w:rFonts w:ascii="Symbol" w:hAnsi="Symbol"/>
      </w:rPr>
    </w:lvl>
    <w:lvl w:ilvl="2" w:tplc="DBFE634A">
      <w:start w:val="1"/>
      <w:numFmt w:val="bullet"/>
      <w:lvlText w:val=""/>
      <w:lvlJc w:val="left"/>
      <w:pPr>
        <w:ind w:left="720" w:hanging="360"/>
      </w:pPr>
      <w:rPr>
        <w:rFonts w:ascii="Symbol" w:hAnsi="Symbol"/>
      </w:rPr>
    </w:lvl>
    <w:lvl w:ilvl="3" w:tplc="A808B6A0">
      <w:start w:val="1"/>
      <w:numFmt w:val="bullet"/>
      <w:lvlText w:val=""/>
      <w:lvlJc w:val="left"/>
      <w:pPr>
        <w:ind w:left="720" w:hanging="360"/>
      </w:pPr>
      <w:rPr>
        <w:rFonts w:ascii="Symbol" w:hAnsi="Symbol"/>
      </w:rPr>
    </w:lvl>
    <w:lvl w:ilvl="4" w:tplc="D0B0A920">
      <w:start w:val="1"/>
      <w:numFmt w:val="bullet"/>
      <w:lvlText w:val=""/>
      <w:lvlJc w:val="left"/>
      <w:pPr>
        <w:ind w:left="720" w:hanging="360"/>
      </w:pPr>
      <w:rPr>
        <w:rFonts w:ascii="Symbol" w:hAnsi="Symbol"/>
      </w:rPr>
    </w:lvl>
    <w:lvl w:ilvl="5" w:tplc="A1A827FE">
      <w:start w:val="1"/>
      <w:numFmt w:val="bullet"/>
      <w:lvlText w:val=""/>
      <w:lvlJc w:val="left"/>
      <w:pPr>
        <w:ind w:left="720" w:hanging="360"/>
      </w:pPr>
      <w:rPr>
        <w:rFonts w:ascii="Symbol" w:hAnsi="Symbol"/>
      </w:rPr>
    </w:lvl>
    <w:lvl w:ilvl="6" w:tplc="C2F822E0">
      <w:start w:val="1"/>
      <w:numFmt w:val="bullet"/>
      <w:lvlText w:val=""/>
      <w:lvlJc w:val="left"/>
      <w:pPr>
        <w:ind w:left="720" w:hanging="360"/>
      </w:pPr>
      <w:rPr>
        <w:rFonts w:ascii="Symbol" w:hAnsi="Symbol"/>
      </w:rPr>
    </w:lvl>
    <w:lvl w:ilvl="7" w:tplc="55DA189E">
      <w:start w:val="1"/>
      <w:numFmt w:val="bullet"/>
      <w:lvlText w:val=""/>
      <w:lvlJc w:val="left"/>
      <w:pPr>
        <w:ind w:left="720" w:hanging="360"/>
      </w:pPr>
      <w:rPr>
        <w:rFonts w:ascii="Symbol" w:hAnsi="Symbol"/>
      </w:rPr>
    </w:lvl>
    <w:lvl w:ilvl="8" w:tplc="B63A477A">
      <w:start w:val="1"/>
      <w:numFmt w:val="bullet"/>
      <w:lvlText w:val=""/>
      <w:lvlJc w:val="left"/>
      <w:pPr>
        <w:ind w:left="720" w:hanging="360"/>
      </w:pPr>
      <w:rPr>
        <w:rFonts w:ascii="Symbol" w:hAnsi="Symbol"/>
      </w:rPr>
    </w:lvl>
  </w:abstractNum>
  <w:abstractNum w:abstractNumId="7" w15:restartNumberingAfterBreak="0">
    <w:nsid w:val="44442297"/>
    <w:multiLevelType w:val="hybridMultilevel"/>
    <w:tmpl w:val="25DE407E"/>
    <w:lvl w:ilvl="0" w:tplc="85163AA0">
      <w:start w:val="1"/>
      <w:numFmt w:val="bullet"/>
      <w:pStyle w:val="Bulletpoints"/>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58D67A6"/>
    <w:multiLevelType w:val="hybridMultilevel"/>
    <w:tmpl w:val="51CA1480"/>
    <w:lvl w:ilvl="0" w:tplc="04090001">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9A502A8"/>
    <w:multiLevelType w:val="multilevel"/>
    <w:tmpl w:val="4C3AA0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E5C5FB0"/>
    <w:multiLevelType w:val="hybridMultilevel"/>
    <w:tmpl w:val="6A70D2EA"/>
    <w:lvl w:ilvl="0" w:tplc="E116AA90">
      <w:start w:val="1"/>
      <w:numFmt w:val="bullet"/>
      <w:lvlText w:val=""/>
      <w:lvlJc w:val="left"/>
      <w:pPr>
        <w:ind w:left="720" w:hanging="360"/>
      </w:pPr>
      <w:rPr>
        <w:rFonts w:ascii="Symbol" w:hAnsi="Symbol"/>
      </w:rPr>
    </w:lvl>
    <w:lvl w:ilvl="1" w:tplc="DD70946A">
      <w:start w:val="1"/>
      <w:numFmt w:val="bullet"/>
      <w:lvlText w:val=""/>
      <w:lvlJc w:val="left"/>
      <w:pPr>
        <w:ind w:left="720" w:hanging="360"/>
      </w:pPr>
      <w:rPr>
        <w:rFonts w:ascii="Symbol" w:hAnsi="Symbol"/>
      </w:rPr>
    </w:lvl>
    <w:lvl w:ilvl="2" w:tplc="305C85F2">
      <w:start w:val="1"/>
      <w:numFmt w:val="bullet"/>
      <w:lvlText w:val=""/>
      <w:lvlJc w:val="left"/>
      <w:pPr>
        <w:ind w:left="720" w:hanging="360"/>
      </w:pPr>
      <w:rPr>
        <w:rFonts w:ascii="Symbol" w:hAnsi="Symbol"/>
      </w:rPr>
    </w:lvl>
    <w:lvl w:ilvl="3" w:tplc="3960A618">
      <w:start w:val="1"/>
      <w:numFmt w:val="bullet"/>
      <w:lvlText w:val=""/>
      <w:lvlJc w:val="left"/>
      <w:pPr>
        <w:ind w:left="720" w:hanging="360"/>
      </w:pPr>
      <w:rPr>
        <w:rFonts w:ascii="Symbol" w:hAnsi="Symbol"/>
      </w:rPr>
    </w:lvl>
    <w:lvl w:ilvl="4" w:tplc="674AF63A">
      <w:start w:val="1"/>
      <w:numFmt w:val="bullet"/>
      <w:lvlText w:val=""/>
      <w:lvlJc w:val="left"/>
      <w:pPr>
        <w:ind w:left="720" w:hanging="360"/>
      </w:pPr>
      <w:rPr>
        <w:rFonts w:ascii="Symbol" w:hAnsi="Symbol"/>
      </w:rPr>
    </w:lvl>
    <w:lvl w:ilvl="5" w:tplc="BA2E0146">
      <w:start w:val="1"/>
      <w:numFmt w:val="bullet"/>
      <w:lvlText w:val=""/>
      <w:lvlJc w:val="left"/>
      <w:pPr>
        <w:ind w:left="720" w:hanging="360"/>
      </w:pPr>
      <w:rPr>
        <w:rFonts w:ascii="Symbol" w:hAnsi="Symbol"/>
      </w:rPr>
    </w:lvl>
    <w:lvl w:ilvl="6" w:tplc="48A2C0FC">
      <w:start w:val="1"/>
      <w:numFmt w:val="bullet"/>
      <w:lvlText w:val=""/>
      <w:lvlJc w:val="left"/>
      <w:pPr>
        <w:ind w:left="720" w:hanging="360"/>
      </w:pPr>
      <w:rPr>
        <w:rFonts w:ascii="Symbol" w:hAnsi="Symbol"/>
      </w:rPr>
    </w:lvl>
    <w:lvl w:ilvl="7" w:tplc="0534FF02">
      <w:start w:val="1"/>
      <w:numFmt w:val="bullet"/>
      <w:lvlText w:val=""/>
      <w:lvlJc w:val="left"/>
      <w:pPr>
        <w:ind w:left="720" w:hanging="360"/>
      </w:pPr>
      <w:rPr>
        <w:rFonts w:ascii="Symbol" w:hAnsi="Symbol"/>
      </w:rPr>
    </w:lvl>
    <w:lvl w:ilvl="8" w:tplc="BA68A790">
      <w:start w:val="1"/>
      <w:numFmt w:val="bullet"/>
      <w:lvlText w:val=""/>
      <w:lvlJc w:val="left"/>
      <w:pPr>
        <w:ind w:left="720" w:hanging="360"/>
      </w:pPr>
      <w:rPr>
        <w:rFonts w:ascii="Symbol" w:hAnsi="Symbol"/>
      </w:rPr>
    </w:lvl>
  </w:abstractNum>
  <w:abstractNum w:abstractNumId="11" w15:restartNumberingAfterBreak="0">
    <w:nsid w:val="51B979E8"/>
    <w:multiLevelType w:val="hybridMultilevel"/>
    <w:tmpl w:val="0F4E7734"/>
    <w:lvl w:ilvl="0" w:tplc="FFFFFFFF">
      <w:start w:val="1"/>
      <w:numFmt w:val="bullet"/>
      <w:lvlText w:val=""/>
      <w:lvlJc w:val="left"/>
      <w:pPr>
        <w:ind w:left="720" w:hanging="360"/>
      </w:pPr>
      <w:rPr>
        <w:rFonts w:ascii="Symbol" w:hAnsi="Symbol" w:hint="default"/>
      </w:rPr>
    </w:lvl>
    <w:lvl w:ilvl="1" w:tplc="0C090017">
      <w:start w:val="1"/>
      <w:numFmt w:val="lowerLetter"/>
      <w:lvlText w:val="%2)"/>
      <w:lvlJc w:val="left"/>
      <w:pPr>
        <w:ind w:left="1703" w:hanging="360"/>
      </w:p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 w15:restartNumberingAfterBreak="0">
    <w:nsid w:val="59205DE7"/>
    <w:multiLevelType w:val="hybridMultilevel"/>
    <w:tmpl w:val="2D4C1EAC"/>
    <w:lvl w:ilvl="0" w:tplc="FFFFFFFF">
      <w:start w:val="1"/>
      <w:numFmt w:val="bullet"/>
      <w:lvlText w:val=""/>
      <w:lvlJc w:val="left"/>
      <w:pPr>
        <w:ind w:left="720" w:hanging="360"/>
      </w:pPr>
      <w:rPr>
        <w:rFonts w:ascii="Symbol" w:hAnsi="Symbol" w:hint="default"/>
      </w:rPr>
    </w:lvl>
    <w:lvl w:ilvl="1" w:tplc="0C090001">
      <w:start w:val="1"/>
      <w:numFmt w:val="bullet"/>
      <w:lvlText w:val=""/>
      <w:lvlJc w:val="left"/>
      <w:pPr>
        <w:ind w:left="1703"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 w15:restartNumberingAfterBreak="0">
    <w:nsid w:val="646E195B"/>
    <w:multiLevelType w:val="hybridMultilevel"/>
    <w:tmpl w:val="66FA0E62"/>
    <w:lvl w:ilvl="0" w:tplc="4ACCC8F0">
      <w:start w:val="1"/>
      <w:numFmt w:val="lowerRoman"/>
      <w:pStyle w:val="bullet"/>
      <w:lvlText w:val="%1."/>
      <w:lvlJc w:val="right"/>
      <w:pPr>
        <w:ind w:left="1440" w:hanging="360"/>
      </w:p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14" w15:restartNumberingAfterBreak="0">
    <w:nsid w:val="6AF22442"/>
    <w:multiLevelType w:val="hybridMultilevel"/>
    <w:tmpl w:val="9BA0DDBE"/>
    <w:lvl w:ilvl="0" w:tplc="0C090001">
      <w:start w:val="1"/>
      <w:numFmt w:val="bullet"/>
      <w:lvlText w:val=""/>
      <w:lvlJc w:val="left"/>
      <w:pPr>
        <w:ind w:left="720" w:hanging="360"/>
      </w:pPr>
      <w:rPr>
        <w:rFonts w:ascii="Symbol" w:hAnsi="Symbol" w:hint="default"/>
      </w:rPr>
    </w:lvl>
    <w:lvl w:ilvl="1" w:tplc="0C090001">
      <w:start w:val="1"/>
      <w:numFmt w:val="bullet"/>
      <w:lvlText w:val=""/>
      <w:lvlJc w:val="left"/>
      <w:pPr>
        <w:ind w:left="1440" w:hanging="360"/>
      </w:pPr>
      <w:rPr>
        <w:rFonts w:ascii="Symbol" w:hAnsi="Symbol" w:hint="default"/>
      </w:rPr>
    </w:lvl>
    <w:lvl w:ilvl="2" w:tplc="0C090001">
      <w:start w:val="1"/>
      <w:numFmt w:val="bullet"/>
      <w:lvlText w:val=""/>
      <w:lvlJc w:val="left"/>
      <w:pPr>
        <w:ind w:left="2160" w:hanging="360"/>
      </w:pPr>
      <w:rPr>
        <w:rFonts w:ascii="Symbol" w:hAnsi="Symbol"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6D5D538F"/>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15:restartNumberingAfterBreak="0">
    <w:nsid w:val="6D663313"/>
    <w:multiLevelType w:val="multilevel"/>
    <w:tmpl w:val="1BFE5A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750930C0"/>
    <w:multiLevelType w:val="hybridMultilevel"/>
    <w:tmpl w:val="3DE4A2A2"/>
    <w:lvl w:ilvl="0" w:tplc="F618AF6C">
      <w:start w:val="4"/>
      <w:numFmt w:val="bullet"/>
      <w:lvlText w:val="-"/>
      <w:lvlJc w:val="left"/>
      <w:pPr>
        <w:ind w:left="5889" w:hanging="360"/>
      </w:pPr>
      <w:rPr>
        <w:rFonts w:ascii="Arial Narrow" w:eastAsiaTheme="majorEastAsia" w:hAnsi="Arial Narrow" w:cstheme="maj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784D033C"/>
    <w:multiLevelType w:val="multilevel"/>
    <w:tmpl w:val="45FC285E"/>
    <w:lvl w:ilvl="0">
      <w:start w:val="1"/>
      <w:numFmt w:val="decimal"/>
      <w:pStyle w:val="2-SectionHeading"/>
      <w:lvlText w:val="%1"/>
      <w:lvlJc w:val="left"/>
      <w:pPr>
        <w:ind w:left="720" w:hanging="720"/>
      </w:pPr>
      <w:rPr>
        <w:rFonts w:hint="default"/>
        <w:b/>
      </w:rPr>
    </w:lvl>
    <w:lvl w:ilvl="1">
      <w:start w:val="1"/>
      <w:numFmt w:val="decimal"/>
      <w:pStyle w:val="3-BodyText"/>
      <w:lvlText w:val="%1.%2"/>
      <w:lvlJc w:val="left"/>
      <w:pPr>
        <w:ind w:left="720" w:hanging="720"/>
      </w:pPr>
      <w:rPr>
        <w:rFonts w:asciiTheme="minorHAnsi" w:hAnsiTheme="minorHAnsi" w:cstheme="minorHAnsi" w:hint="default"/>
        <w:b w:val="0"/>
        <w:bCs w:val="0"/>
        <w:i w:val="0"/>
        <w:iCs w:val="0"/>
        <w:caps w:val="0"/>
        <w:smallCaps w:val="0"/>
        <w:strike w:val="0"/>
        <w:dstrike w:val="0"/>
        <w:outline w:val="0"/>
        <w:shadow w:val="0"/>
        <w:emboss w:val="0"/>
        <w:imprint w:val="0"/>
        <w:noProof w:val="0"/>
        <w:vanish w:val="0"/>
        <w:color w:val="auto"/>
        <w:spacing w:val="0"/>
        <w:kern w:val="0"/>
        <w:position w:val="0"/>
        <w:sz w:val="24"/>
        <w:szCs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7C5C3527"/>
    <w:multiLevelType w:val="hybridMultilevel"/>
    <w:tmpl w:val="B8D657D0"/>
    <w:lvl w:ilvl="0" w:tplc="0C09001B">
      <w:start w:val="1"/>
      <w:numFmt w:val="lowerRoman"/>
      <w:lvlText w:val="%1."/>
      <w:lvlJc w:val="right"/>
      <w:pPr>
        <w:ind w:left="1080" w:hanging="360"/>
      </w:pPr>
      <w:rPr>
        <w:i/>
        <w:color w:val="auto"/>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num w:numId="1" w16cid:durableId="2137915626">
    <w:abstractNumId w:val="18"/>
  </w:num>
  <w:num w:numId="2" w16cid:durableId="255983863">
    <w:abstractNumId w:val="7"/>
  </w:num>
  <w:num w:numId="3" w16cid:durableId="1748729131">
    <w:abstractNumId w:val="8"/>
  </w:num>
  <w:num w:numId="4" w16cid:durableId="99372672">
    <w:abstractNumId w:val="0"/>
  </w:num>
  <w:num w:numId="5" w16cid:durableId="894506112">
    <w:abstractNumId w:val="18"/>
  </w:num>
  <w:num w:numId="6" w16cid:durableId="670644649">
    <w:abstractNumId w:val="3"/>
  </w:num>
  <w:num w:numId="7" w16cid:durableId="559101085">
    <w:abstractNumId w:val="13"/>
  </w:num>
  <w:num w:numId="8" w16cid:durableId="1772314632">
    <w:abstractNumId w:val="5"/>
  </w:num>
  <w:num w:numId="9" w16cid:durableId="1399749377">
    <w:abstractNumId w:val="1"/>
  </w:num>
  <w:num w:numId="10" w16cid:durableId="172500050">
    <w:abstractNumId w:val="17"/>
  </w:num>
  <w:num w:numId="11" w16cid:durableId="223683854">
    <w:abstractNumId w:val="4"/>
  </w:num>
  <w:num w:numId="12" w16cid:durableId="1207647108">
    <w:abstractNumId w:val="19"/>
  </w:num>
  <w:num w:numId="13" w16cid:durableId="1455173992">
    <w:abstractNumId w:val="14"/>
  </w:num>
  <w:num w:numId="14" w16cid:durableId="1253784758">
    <w:abstractNumId w:val="6"/>
  </w:num>
  <w:num w:numId="15" w16cid:durableId="1671133411">
    <w:abstractNumId w:val="10"/>
  </w:num>
  <w:num w:numId="16" w16cid:durableId="628777864">
    <w:abstractNumId w:val="0"/>
  </w:num>
  <w:num w:numId="17" w16cid:durableId="1128815995">
    <w:abstractNumId w:val="0"/>
  </w:num>
  <w:num w:numId="18" w16cid:durableId="1792478610">
    <w:abstractNumId w:val="9"/>
  </w:num>
  <w:num w:numId="19" w16cid:durableId="1532838287">
    <w:abstractNumId w:val="16"/>
  </w:num>
  <w:num w:numId="20" w16cid:durableId="666792125">
    <w:abstractNumId w:val="18"/>
  </w:num>
  <w:num w:numId="21" w16cid:durableId="869075084">
    <w:abstractNumId w:val="12"/>
  </w:num>
  <w:num w:numId="22" w16cid:durableId="292254491">
    <w:abstractNumId w:val="15"/>
  </w:num>
  <w:num w:numId="23" w16cid:durableId="269243851">
    <w:abstractNumId w:val="11"/>
  </w:num>
  <w:num w:numId="24" w16cid:durableId="702369684">
    <w:abstractNumId w:val="2"/>
  </w:num>
  <w:num w:numId="25" w16cid:durableId="24870397">
    <w:abstractNumId w:val="18"/>
  </w:num>
  <w:num w:numId="26" w16cid:durableId="875696241">
    <w:abstractNumId w:val="18"/>
  </w:num>
  <w:num w:numId="27" w16cid:durableId="826480008">
    <w:abstractNumId w:val="18"/>
  </w:num>
  <w:num w:numId="28" w16cid:durableId="496192692">
    <w:abstractNumId w:val="18"/>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removePersonalInformation/>
  <w:removeDateAndTime/>
  <w:activeWritingStyle w:appName="MSWord" w:lang="fr-FR" w:vendorID="64" w:dllVersion="6" w:nlCheck="1" w:checkStyle="0"/>
  <w:activeWritingStyle w:appName="MSWord" w:lang="en-AU" w:vendorID="64" w:dllVersion="6" w:nlCheck="1" w:checkStyle="1"/>
  <w:activeWritingStyle w:appName="MSWord" w:lang="en-US" w:vendorID="64" w:dllVersion="6" w:nlCheck="1" w:checkStyle="1"/>
  <w:activeWritingStyle w:appName="MSWord" w:lang="en-AU" w:vendorID="64" w:dllVersion="0" w:nlCheck="1" w:checkStyle="0"/>
  <w:activeWritingStyle w:appName="MSWord" w:lang="en-US" w:vendorID="64" w:dllVersion="0" w:nlCheck="1" w:checkStyle="0"/>
  <w:activeWritingStyle w:appName="MSWord" w:lang="fr-FR" w:vendorID="64" w:dllVersion="0" w:nlCheck="1" w:checkStyle="0"/>
  <w:activeWritingStyle w:appName="MSWord" w:lang="en-GB" w:vendorID="64" w:dllVersion="0" w:nlCheck="1" w:checkStyle="0"/>
  <w:activeWritingStyle w:appName="MSWord" w:lang="en-AU" w:vendorID="64" w:dllVersion="4096" w:nlCheck="1" w:checkStyle="0"/>
  <w:activeWritingStyle w:appName="MSWord" w:lang="en-GB" w:vendorID="64" w:dllVersion="4096" w:nlCheck="1" w:checkStyle="0"/>
  <w:activeWritingStyle w:appName="MSWord" w:lang="en-US" w:vendorID="64" w:dllVersion="4096" w:nlCheck="1" w:checkStyle="0"/>
  <w:activeWritingStyle w:appName="MSWord" w:lang="en-GB" w:vendorID="64" w:dllVersion="6" w:nlCheck="1" w:checkStyle="1"/>
  <w:activeWritingStyle w:appName="MSWord" w:lang="es-MX" w:vendorID="64" w:dllVersion="6" w:nlCheck="1" w:checkStyle="0"/>
  <w:activeWritingStyle w:appName="MSWord" w:lang="es-MX" w:vendorID="64" w:dllVersion="4096" w:nlCheck="1" w:checkStyle="0"/>
  <w:activeWritingStyle w:appName="MSWord" w:lang="fr-FR" w:vendorID="64" w:dllVersion="4096" w:nlCheck="1" w:checkStyle="0"/>
  <w:activeWritingStyle w:appName="MSWord" w:lang="es-MX" w:vendorID="64" w:dllVersion="0" w:nlCheck="1" w:checkStyle="0"/>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oNotTrackFormatting/>
  <w:defaultTabStop w:val="17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InstantFormat" w:val="&lt;ENInstantFormat&gt;&lt;Enabled&gt;1&lt;/Enabled&gt;&lt;ScanUnformatted&gt;1&lt;/ScanUnformatted&gt;&lt;ScanChanges&gt;1&lt;/ScanChanges&gt;&lt;Suspended&gt;1&lt;/Suspended&gt;&lt;/ENInstantFormat&gt;"/>
    <w:docVar w:name="EN.Layout" w:val="&lt;ENLayout&gt;&lt;Style&gt;Social Science and Medicine&lt;/Style&gt;&lt;LeftDelim&gt;{&lt;/LeftDelim&gt;&lt;RightDelim&gt;}&lt;/RightDelim&gt;&lt;FontName&gt;Calibri&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s>
  <w:rsids>
    <w:rsidRoot w:val="00E65E79"/>
    <w:rsid w:val="00000790"/>
    <w:rsid w:val="00000F78"/>
    <w:rsid w:val="0000110B"/>
    <w:rsid w:val="00002BE4"/>
    <w:rsid w:val="00003499"/>
    <w:rsid w:val="000039B7"/>
    <w:rsid w:val="00004561"/>
    <w:rsid w:val="000056B9"/>
    <w:rsid w:val="00006008"/>
    <w:rsid w:val="0000639A"/>
    <w:rsid w:val="000076B1"/>
    <w:rsid w:val="000101EC"/>
    <w:rsid w:val="00010B2C"/>
    <w:rsid w:val="00011C89"/>
    <w:rsid w:val="00013247"/>
    <w:rsid w:val="00013F21"/>
    <w:rsid w:val="00015886"/>
    <w:rsid w:val="000162EF"/>
    <w:rsid w:val="00016653"/>
    <w:rsid w:val="000176BD"/>
    <w:rsid w:val="000207C9"/>
    <w:rsid w:val="0002225F"/>
    <w:rsid w:val="00023763"/>
    <w:rsid w:val="00024EB5"/>
    <w:rsid w:val="000274B8"/>
    <w:rsid w:val="00030B9F"/>
    <w:rsid w:val="00033863"/>
    <w:rsid w:val="00033FAF"/>
    <w:rsid w:val="00034627"/>
    <w:rsid w:val="00035DC0"/>
    <w:rsid w:val="000366E9"/>
    <w:rsid w:val="00036829"/>
    <w:rsid w:val="00036FAC"/>
    <w:rsid w:val="00040895"/>
    <w:rsid w:val="000410A0"/>
    <w:rsid w:val="000435EE"/>
    <w:rsid w:val="000436F7"/>
    <w:rsid w:val="00043C37"/>
    <w:rsid w:val="00044EBA"/>
    <w:rsid w:val="00045017"/>
    <w:rsid w:val="0004542C"/>
    <w:rsid w:val="00045A2B"/>
    <w:rsid w:val="0004618F"/>
    <w:rsid w:val="0004693B"/>
    <w:rsid w:val="0004698F"/>
    <w:rsid w:val="00046D64"/>
    <w:rsid w:val="000475D0"/>
    <w:rsid w:val="000508C2"/>
    <w:rsid w:val="00050EC8"/>
    <w:rsid w:val="000514B4"/>
    <w:rsid w:val="000539D0"/>
    <w:rsid w:val="00054621"/>
    <w:rsid w:val="000546D7"/>
    <w:rsid w:val="00054A8D"/>
    <w:rsid w:val="00055776"/>
    <w:rsid w:val="00056ECF"/>
    <w:rsid w:val="00057311"/>
    <w:rsid w:val="0005779E"/>
    <w:rsid w:val="000604DF"/>
    <w:rsid w:val="000653B5"/>
    <w:rsid w:val="00066360"/>
    <w:rsid w:val="00066AF8"/>
    <w:rsid w:val="00071248"/>
    <w:rsid w:val="00071753"/>
    <w:rsid w:val="000720B9"/>
    <w:rsid w:val="000737F7"/>
    <w:rsid w:val="0007672F"/>
    <w:rsid w:val="0007685A"/>
    <w:rsid w:val="00076B54"/>
    <w:rsid w:val="000774F0"/>
    <w:rsid w:val="0008038B"/>
    <w:rsid w:val="00080909"/>
    <w:rsid w:val="000812CA"/>
    <w:rsid w:val="000816FF"/>
    <w:rsid w:val="00081E63"/>
    <w:rsid w:val="0008258D"/>
    <w:rsid w:val="00083E99"/>
    <w:rsid w:val="00084FA8"/>
    <w:rsid w:val="000853E6"/>
    <w:rsid w:val="000856C5"/>
    <w:rsid w:val="00085C31"/>
    <w:rsid w:val="000871A6"/>
    <w:rsid w:val="000902D9"/>
    <w:rsid w:val="00090C7E"/>
    <w:rsid w:val="000911AC"/>
    <w:rsid w:val="0009120D"/>
    <w:rsid w:val="00092600"/>
    <w:rsid w:val="0009262B"/>
    <w:rsid w:val="00093310"/>
    <w:rsid w:val="00093E39"/>
    <w:rsid w:val="0009445C"/>
    <w:rsid w:val="00094EA0"/>
    <w:rsid w:val="000950DE"/>
    <w:rsid w:val="00095200"/>
    <w:rsid w:val="00095FE5"/>
    <w:rsid w:val="00096284"/>
    <w:rsid w:val="00096589"/>
    <w:rsid w:val="00097FE7"/>
    <w:rsid w:val="000A1BC0"/>
    <w:rsid w:val="000A2F9E"/>
    <w:rsid w:val="000A3E47"/>
    <w:rsid w:val="000A4A48"/>
    <w:rsid w:val="000A522B"/>
    <w:rsid w:val="000A6039"/>
    <w:rsid w:val="000A7453"/>
    <w:rsid w:val="000A7D08"/>
    <w:rsid w:val="000B0121"/>
    <w:rsid w:val="000B0670"/>
    <w:rsid w:val="000B0C16"/>
    <w:rsid w:val="000B0E75"/>
    <w:rsid w:val="000B1EA4"/>
    <w:rsid w:val="000B2DCB"/>
    <w:rsid w:val="000B5CE0"/>
    <w:rsid w:val="000B6CAC"/>
    <w:rsid w:val="000B7612"/>
    <w:rsid w:val="000B78AE"/>
    <w:rsid w:val="000C10AE"/>
    <w:rsid w:val="000C2727"/>
    <w:rsid w:val="000C3DF9"/>
    <w:rsid w:val="000C4CF2"/>
    <w:rsid w:val="000C5652"/>
    <w:rsid w:val="000C66CB"/>
    <w:rsid w:val="000C6713"/>
    <w:rsid w:val="000C724A"/>
    <w:rsid w:val="000D0240"/>
    <w:rsid w:val="000D10ED"/>
    <w:rsid w:val="000D1BFC"/>
    <w:rsid w:val="000D1D5D"/>
    <w:rsid w:val="000D230A"/>
    <w:rsid w:val="000D281A"/>
    <w:rsid w:val="000D2848"/>
    <w:rsid w:val="000D326A"/>
    <w:rsid w:val="000D51FB"/>
    <w:rsid w:val="000E0547"/>
    <w:rsid w:val="000E0640"/>
    <w:rsid w:val="000E135D"/>
    <w:rsid w:val="000E2071"/>
    <w:rsid w:val="000F00BA"/>
    <w:rsid w:val="000F13FE"/>
    <w:rsid w:val="000F172F"/>
    <w:rsid w:val="000F316A"/>
    <w:rsid w:val="000F3C74"/>
    <w:rsid w:val="000F4BB8"/>
    <w:rsid w:val="000F4FA9"/>
    <w:rsid w:val="000F53FB"/>
    <w:rsid w:val="000F7127"/>
    <w:rsid w:val="000F7B54"/>
    <w:rsid w:val="001000B3"/>
    <w:rsid w:val="00100F8A"/>
    <w:rsid w:val="00102ECD"/>
    <w:rsid w:val="00103BAD"/>
    <w:rsid w:val="0010452E"/>
    <w:rsid w:val="00105AE2"/>
    <w:rsid w:val="001060C6"/>
    <w:rsid w:val="00106B80"/>
    <w:rsid w:val="0011032E"/>
    <w:rsid w:val="0011348B"/>
    <w:rsid w:val="00114057"/>
    <w:rsid w:val="00115982"/>
    <w:rsid w:val="00116C53"/>
    <w:rsid w:val="00120679"/>
    <w:rsid w:val="00121799"/>
    <w:rsid w:val="001222FC"/>
    <w:rsid w:val="00122356"/>
    <w:rsid w:val="00123902"/>
    <w:rsid w:val="00124A51"/>
    <w:rsid w:val="00126621"/>
    <w:rsid w:val="00126B1D"/>
    <w:rsid w:val="00127466"/>
    <w:rsid w:val="00130042"/>
    <w:rsid w:val="001301E9"/>
    <w:rsid w:val="00130326"/>
    <w:rsid w:val="00130BAB"/>
    <w:rsid w:val="00131D82"/>
    <w:rsid w:val="00132B22"/>
    <w:rsid w:val="00133D36"/>
    <w:rsid w:val="00136022"/>
    <w:rsid w:val="00136989"/>
    <w:rsid w:val="00137645"/>
    <w:rsid w:val="0014015A"/>
    <w:rsid w:val="00140986"/>
    <w:rsid w:val="00140E99"/>
    <w:rsid w:val="00141777"/>
    <w:rsid w:val="00142CC9"/>
    <w:rsid w:val="00143F67"/>
    <w:rsid w:val="00145234"/>
    <w:rsid w:val="00145540"/>
    <w:rsid w:val="001456B0"/>
    <w:rsid w:val="0015299D"/>
    <w:rsid w:val="001547AB"/>
    <w:rsid w:val="00156462"/>
    <w:rsid w:val="00156F8F"/>
    <w:rsid w:val="00157130"/>
    <w:rsid w:val="0015723F"/>
    <w:rsid w:val="001576B1"/>
    <w:rsid w:val="0016047B"/>
    <w:rsid w:val="00160A4C"/>
    <w:rsid w:val="001627EF"/>
    <w:rsid w:val="00162913"/>
    <w:rsid w:val="00163C31"/>
    <w:rsid w:val="00163EFF"/>
    <w:rsid w:val="00163F66"/>
    <w:rsid w:val="0016478E"/>
    <w:rsid w:val="00164926"/>
    <w:rsid w:val="00165EC4"/>
    <w:rsid w:val="001661FB"/>
    <w:rsid w:val="001671A0"/>
    <w:rsid w:val="0016767F"/>
    <w:rsid w:val="00170F9A"/>
    <w:rsid w:val="00173565"/>
    <w:rsid w:val="00173B07"/>
    <w:rsid w:val="00174B0F"/>
    <w:rsid w:val="001751FA"/>
    <w:rsid w:val="00176CF9"/>
    <w:rsid w:val="00177E71"/>
    <w:rsid w:val="00181C10"/>
    <w:rsid w:val="00181D9C"/>
    <w:rsid w:val="001837FF"/>
    <w:rsid w:val="00184B0E"/>
    <w:rsid w:val="001873ED"/>
    <w:rsid w:val="0018752F"/>
    <w:rsid w:val="0019125E"/>
    <w:rsid w:val="00193838"/>
    <w:rsid w:val="00194AD8"/>
    <w:rsid w:val="00195222"/>
    <w:rsid w:val="00195452"/>
    <w:rsid w:val="0019670A"/>
    <w:rsid w:val="001975D8"/>
    <w:rsid w:val="001A0999"/>
    <w:rsid w:val="001A145D"/>
    <w:rsid w:val="001A15FC"/>
    <w:rsid w:val="001A178E"/>
    <w:rsid w:val="001A43FA"/>
    <w:rsid w:val="001A47C5"/>
    <w:rsid w:val="001A59FB"/>
    <w:rsid w:val="001A5E9E"/>
    <w:rsid w:val="001A629C"/>
    <w:rsid w:val="001A6354"/>
    <w:rsid w:val="001A6366"/>
    <w:rsid w:val="001A6B03"/>
    <w:rsid w:val="001A6BC9"/>
    <w:rsid w:val="001A7AE8"/>
    <w:rsid w:val="001B204E"/>
    <w:rsid w:val="001B21E1"/>
    <w:rsid w:val="001B2372"/>
    <w:rsid w:val="001B3443"/>
    <w:rsid w:val="001B3534"/>
    <w:rsid w:val="001B36AA"/>
    <w:rsid w:val="001B4D20"/>
    <w:rsid w:val="001B56B3"/>
    <w:rsid w:val="001B614C"/>
    <w:rsid w:val="001B7F84"/>
    <w:rsid w:val="001C2A9B"/>
    <w:rsid w:val="001C3DD6"/>
    <w:rsid w:val="001C4299"/>
    <w:rsid w:val="001C4874"/>
    <w:rsid w:val="001C57DA"/>
    <w:rsid w:val="001C5F94"/>
    <w:rsid w:val="001C623B"/>
    <w:rsid w:val="001C6E66"/>
    <w:rsid w:val="001D1100"/>
    <w:rsid w:val="001D1391"/>
    <w:rsid w:val="001D25D7"/>
    <w:rsid w:val="001D4E2F"/>
    <w:rsid w:val="001D4E3D"/>
    <w:rsid w:val="001D50B2"/>
    <w:rsid w:val="001D71F4"/>
    <w:rsid w:val="001D7645"/>
    <w:rsid w:val="001D7E9A"/>
    <w:rsid w:val="001E0803"/>
    <w:rsid w:val="001E1E86"/>
    <w:rsid w:val="001E238E"/>
    <w:rsid w:val="001E2483"/>
    <w:rsid w:val="001E2B1E"/>
    <w:rsid w:val="001E2CFF"/>
    <w:rsid w:val="001E2F24"/>
    <w:rsid w:val="001E30D4"/>
    <w:rsid w:val="001E34DF"/>
    <w:rsid w:val="001E52EB"/>
    <w:rsid w:val="001E530B"/>
    <w:rsid w:val="001E6120"/>
    <w:rsid w:val="001E61D2"/>
    <w:rsid w:val="001E740C"/>
    <w:rsid w:val="001E77BF"/>
    <w:rsid w:val="001F1235"/>
    <w:rsid w:val="001F1CB3"/>
    <w:rsid w:val="001F38B5"/>
    <w:rsid w:val="001F4081"/>
    <w:rsid w:val="001F408B"/>
    <w:rsid w:val="001F4A5D"/>
    <w:rsid w:val="001F6370"/>
    <w:rsid w:val="001F64E1"/>
    <w:rsid w:val="001F7361"/>
    <w:rsid w:val="002011B0"/>
    <w:rsid w:val="002024F8"/>
    <w:rsid w:val="00203181"/>
    <w:rsid w:val="00203783"/>
    <w:rsid w:val="0020385F"/>
    <w:rsid w:val="00203EDD"/>
    <w:rsid w:val="00204414"/>
    <w:rsid w:val="002068A0"/>
    <w:rsid w:val="00207021"/>
    <w:rsid w:val="0020732F"/>
    <w:rsid w:val="00207D00"/>
    <w:rsid w:val="002105C1"/>
    <w:rsid w:val="002116FD"/>
    <w:rsid w:val="00213EF5"/>
    <w:rsid w:val="00215F9E"/>
    <w:rsid w:val="00216BF5"/>
    <w:rsid w:val="00216CC9"/>
    <w:rsid w:val="0021798A"/>
    <w:rsid w:val="00217AAC"/>
    <w:rsid w:val="00220469"/>
    <w:rsid w:val="00223B49"/>
    <w:rsid w:val="00223D5A"/>
    <w:rsid w:val="0022447D"/>
    <w:rsid w:val="00224DD4"/>
    <w:rsid w:val="00225067"/>
    <w:rsid w:val="00225B21"/>
    <w:rsid w:val="0022676B"/>
    <w:rsid w:val="0022695E"/>
    <w:rsid w:val="002278A0"/>
    <w:rsid w:val="002309CC"/>
    <w:rsid w:val="0023173E"/>
    <w:rsid w:val="00231BA9"/>
    <w:rsid w:val="00231D8D"/>
    <w:rsid w:val="00231EC3"/>
    <w:rsid w:val="0023209F"/>
    <w:rsid w:val="002325C7"/>
    <w:rsid w:val="00233B23"/>
    <w:rsid w:val="00233C01"/>
    <w:rsid w:val="0023413C"/>
    <w:rsid w:val="002346F0"/>
    <w:rsid w:val="002356CC"/>
    <w:rsid w:val="0023629D"/>
    <w:rsid w:val="00237255"/>
    <w:rsid w:val="002424AF"/>
    <w:rsid w:val="002439DC"/>
    <w:rsid w:val="002441D2"/>
    <w:rsid w:val="00244DC8"/>
    <w:rsid w:val="002455B7"/>
    <w:rsid w:val="002458BA"/>
    <w:rsid w:val="00245CE9"/>
    <w:rsid w:val="0024636C"/>
    <w:rsid w:val="00246BF2"/>
    <w:rsid w:val="00247925"/>
    <w:rsid w:val="00251006"/>
    <w:rsid w:val="002524D5"/>
    <w:rsid w:val="002532CE"/>
    <w:rsid w:val="00253B1D"/>
    <w:rsid w:val="00254DCF"/>
    <w:rsid w:val="0025534B"/>
    <w:rsid w:val="00255BB7"/>
    <w:rsid w:val="00257541"/>
    <w:rsid w:val="00257A39"/>
    <w:rsid w:val="00257AC4"/>
    <w:rsid w:val="00257BBE"/>
    <w:rsid w:val="00260D9E"/>
    <w:rsid w:val="002619ED"/>
    <w:rsid w:val="00261EEF"/>
    <w:rsid w:val="00262A1A"/>
    <w:rsid w:val="00262A87"/>
    <w:rsid w:val="00262BCC"/>
    <w:rsid w:val="00264D26"/>
    <w:rsid w:val="00267642"/>
    <w:rsid w:val="00267736"/>
    <w:rsid w:val="00267AEA"/>
    <w:rsid w:val="00267C48"/>
    <w:rsid w:val="002700E6"/>
    <w:rsid w:val="002709D2"/>
    <w:rsid w:val="002727E4"/>
    <w:rsid w:val="0027294B"/>
    <w:rsid w:val="00272CEC"/>
    <w:rsid w:val="00273EB4"/>
    <w:rsid w:val="00274682"/>
    <w:rsid w:val="002748B3"/>
    <w:rsid w:val="00275158"/>
    <w:rsid w:val="00275C5A"/>
    <w:rsid w:val="002806B8"/>
    <w:rsid w:val="00281014"/>
    <w:rsid w:val="00283D40"/>
    <w:rsid w:val="0028444D"/>
    <w:rsid w:val="00285BCE"/>
    <w:rsid w:val="0028665D"/>
    <w:rsid w:val="00292EE5"/>
    <w:rsid w:val="00293D92"/>
    <w:rsid w:val="002979CE"/>
    <w:rsid w:val="002A09A9"/>
    <w:rsid w:val="002A14AB"/>
    <w:rsid w:val="002A2ADE"/>
    <w:rsid w:val="002A2F50"/>
    <w:rsid w:val="002A36F2"/>
    <w:rsid w:val="002A7943"/>
    <w:rsid w:val="002B05A1"/>
    <w:rsid w:val="002B07AB"/>
    <w:rsid w:val="002B08E0"/>
    <w:rsid w:val="002B09A4"/>
    <w:rsid w:val="002B1C1F"/>
    <w:rsid w:val="002B432F"/>
    <w:rsid w:val="002B4557"/>
    <w:rsid w:val="002B57E9"/>
    <w:rsid w:val="002B62B3"/>
    <w:rsid w:val="002B6754"/>
    <w:rsid w:val="002B6CCE"/>
    <w:rsid w:val="002C1043"/>
    <w:rsid w:val="002C2510"/>
    <w:rsid w:val="002C2775"/>
    <w:rsid w:val="002C27C1"/>
    <w:rsid w:val="002C36E3"/>
    <w:rsid w:val="002C4148"/>
    <w:rsid w:val="002C5099"/>
    <w:rsid w:val="002C5889"/>
    <w:rsid w:val="002C6B36"/>
    <w:rsid w:val="002C71CE"/>
    <w:rsid w:val="002D08F8"/>
    <w:rsid w:val="002D3A6B"/>
    <w:rsid w:val="002D577C"/>
    <w:rsid w:val="002D5CF5"/>
    <w:rsid w:val="002D7832"/>
    <w:rsid w:val="002E1071"/>
    <w:rsid w:val="002E15B9"/>
    <w:rsid w:val="002E2158"/>
    <w:rsid w:val="002E22AD"/>
    <w:rsid w:val="002E27BA"/>
    <w:rsid w:val="002E30E4"/>
    <w:rsid w:val="002E4363"/>
    <w:rsid w:val="002E4719"/>
    <w:rsid w:val="002E4C16"/>
    <w:rsid w:val="002E4F02"/>
    <w:rsid w:val="002E67E9"/>
    <w:rsid w:val="002E7722"/>
    <w:rsid w:val="002F023C"/>
    <w:rsid w:val="002F07BA"/>
    <w:rsid w:val="002F09C5"/>
    <w:rsid w:val="002F0DA9"/>
    <w:rsid w:val="002F1014"/>
    <w:rsid w:val="002F1D75"/>
    <w:rsid w:val="002F1E3B"/>
    <w:rsid w:val="002F4310"/>
    <w:rsid w:val="002F5CD1"/>
    <w:rsid w:val="002F643C"/>
    <w:rsid w:val="002F71C0"/>
    <w:rsid w:val="002F74F1"/>
    <w:rsid w:val="00301017"/>
    <w:rsid w:val="0030136A"/>
    <w:rsid w:val="0030155F"/>
    <w:rsid w:val="00303D2B"/>
    <w:rsid w:val="00303E18"/>
    <w:rsid w:val="0030587B"/>
    <w:rsid w:val="00306D98"/>
    <w:rsid w:val="0030786C"/>
    <w:rsid w:val="0031031A"/>
    <w:rsid w:val="003106A8"/>
    <w:rsid w:val="00310981"/>
    <w:rsid w:val="00311D9B"/>
    <w:rsid w:val="003124D9"/>
    <w:rsid w:val="00312594"/>
    <w:rsid w:val="00313D90"/>
    <w:rsid w:val="0031489E"/>
    <w:rsid w:val="00315498"/>
    <w:rsid w:val="00316474"/>
    <w:rsid w:val="00317D31"/>
    <w:rsid w:val="00321241"/>
    <w:rsid w:val="00322107"/>
    <w:rsid w:val="00322355"/>
    <w:rsid w:val="00322846"/>
    <w:rsid w:val="00325004"/>
    <w:rsid w:val="00326DA7"/>
    <w:rsid w:val="003270E4"/>
    <w:rsid w:val="00330DAA"/>
    <w:rsid w:val="00330F5C"/>
    <w:rsid w:val="00331715"/>
    <w:rsid w:val="003366C9"/>
    <w:rsid w:val="003371B0"/>
    <w:rsid w:val="003378C1"/>
    <w:rsid w:val="00340DF1"/>
    <w:rsid w:val="00343B0E"/>
    <w:rsid w:val="003440D9"/>
    <w:rsid w:val="00346AD2"/>
    <w:rsid w:val="003517F9"/>
    <w:rsid w:val="00351BA9"/>
    <w:rsid w:val="00354F64"/>
    <w:rsid w:val="00355B27"/>
    <w:rsid w:val="0035602E"/>
    <w:rsid w:val="0035620E"/>
    <w:rsid w:val="003575BE"/>
    <w:rsid w:val="00360345"/>
    <w:rsid w:val="003610B2"/>
    <w:rsid w:val="00361A05"/>
    <w:rsid w:val="00361DF1"/>
    <w:rsid w:val="003624C4"/>
    <w:rsid w:val="003639B9"/>
    <w:rsid w:val="00363B00"/>
    <w:rsid w:val="003640C0"/>
    <w:rsid w:val="003654AC"/>
    <w:rsid w:val="00367E22"/>
    <w:rsid w:val="003710CF"/>
    <w:rsid w:val="00371D43"/>
    <w:rsid w:val="0037358A"/>
    <w:rsid w:val="00373DF1"/>
    <w:rsid w:val="003750F6"/>
    <w:rsid w:val="003760FC"/>
    <w:rsid w:val="00377CA6"/>
    <w:rsid w:val="0038365C"/>
    <w:rsid w:val="0038369B"/>
    <w:rsid w:val="00383A3F"/>
    <w:rsid w:val="00383B78"/>
    <w:rsid w:val="00385A9D"/>
    <w:rsid w:val="00387121"/>
    <w:rsid w:val="003902B1"/>
    <w:rsid w:val="0039179C"/>
    <w:rsid w:val="00396896"/>
    <w:rsid w:val="00396FD0"/>
    <w:rsid w:val="00397493"/>
    <w:rsid w:val="003A0E56"/>
    <w:rsid w:val="003A1A7A"/>
    <w:rsid w:val="003A2392"/>
    <w:rsid w:val="003A2831"/>
    <w:rsid w:val="003A3CB6"/>
    <w:rsid w:val="003A3ED1"/>
    <w:rsid w:val="003A4321"/>
    <w:rsid w:val="003A44DB"/>
    <w:rsid w:val="003A4C14"/>
    <w:rsid w:val="003A7755"/>
    <w:rsid w:val="003B06E2"/>
    <w:rsid w:val="003B0AC1"/>
    <w:rsid w:val="003B3971"/>
    <w:rsid w:val="003B4808"/>
    <w:rsid w:val="003B55D1"/>
    <w:rsid w:val="003B5B61"/>
    <w:rsid w:val="003B7B55"/>
    <w:rsid w:val="003C1193"/>
    <w:rsid w:val="003C1654"/>
    <w:rsid w:val="003C2BC7"/>
    <w:rsid w:val="003C32FC"/>
    <w:rsid w:val="003C51CE"/>
    <w:rsid w:val="003C5542"/>
    <w:rsid w:val="003C7C15"/>
    <w:rsid w:val="003C7D19"/>
    <w:rsid w:val="003C7D2F"/>
    <w:rsid w:val="003D0C5A"/>
    <w:rsid w:val="003D1828"/>
    <w:rsid w:val="003D1DE4"/>
    <w:rsid w:val="003D1E9A"/>
    <w:rsid w:val="003D2422"/>
    <w:rsid w:val="003D39A1"/>
    <w:rsid w:val="003D3B2C"/>
    <w:rsid w:val="003D3FBF"/>
    <w:rsid w:val="003D4A30"/>
    <w:rsid w:val="003D7452"/>
    <w:rsid w:val="003D79BB"/>
    <w:rsid w:val="003D7C98"/>
    <w:rsid w:val="003D7D9D"/>
    <w:rsid w:val="003E0543"/>
    <w:rsid w:val="003E2DD2"/>
    <w:rsid w:val="003E5603"/>
    <w:rsid w:val="003E6682"/>
    <w:rsid w:val="003E702C"/>
    <w:rsid w:val="003E7301"/>
    <w:rsid w:val="003E749E"/>
    <w:rsid w:val="003F06F8"/>
    <w:rsid w:val="003F221A"/>
    <w:rsid w:val="003F4156"/>
    <w:rsid w:val="003F42F3"/>
    <w:rsid w:val="003F43B7"/>
    <w:rsid w:val="003F5ADF"/>
    <w:rsid w:val="00400B29"/>
    <w:rsid w:val="00402812"/>
    <w:rsid w:val="00402A83"/>
    <w:rsid w:val="0040504B"/>
    <w:rsid w:val="004059F4"/>
    <w:rsid w:val="00406DBF"/>
    <w:rsid w:val="00407689"/>
    <w:rsid w:val="00407FE5"/>
    <w:rsid w:val="004101B0"/>
    <w:rsid w:val="00410326"/>
    <w:rsid w:val="00410708"/>
    <w:rsid w:val="00410EC7"/>
    <w:rsid w:val="00411B39"/>
    <w:rsid w:val="00412305"/>
    <w:rsid w:val="00412740"/>
    <w:rsid w:val="004127A7"/>
    <w:rsid w:val="00413A1E"/>
    <w:rsid w:val="00414079"/>
    <w:rsid w:val="00414476"/>
    <w:rsid w:val="00414C2E"/>
    <w:rsid w:val="004151CF"/>
    <w:rsid w:val="00416325"/>
    <w:rsid w:val="00416364"/>
    <w:rsid w:val="0042047F"/>
    <w:rsid w:val="004208FF"/>
    <w:rsid w:val="00420AA6"/>
    <w:rsid w:val="00420B9F"/>
    <w:rsid w:val="004211EB"/>
    <w:rsid w:val="0042192C"/>
    <w:rsid w:val="00422260"/>
    <w:rsid w:val="0042413F"/>
    <w:rsid w:val="004319F8"/>
    <w:rsid w:val="00431E55"/>
    <w:rsid w:val="004321F6"/>
    <w:rsid w:val="004324E6"/>
    <w:rsid w:val="00433044"/>
    <w:rsid w:val="00433DB0"/>
    <w:rsid w:val="00434088"/>
    <w:rsid w:val="004367F2"/>
    <w:rsid w:val="004375B9"/>
    <w:rsid w:val="004428D0"/>
    <w:rsid w:val="00442C7A"/>
    <w:rsid w:val="00444185"/>
    <w:rsid w:val="004443A7"/>
    <w:rsid w:val="0044442C"/>
    <w:rsid w:val="00444530"/>
    <w:rsid w:val="00444B99"/>
    <w:rsid w:val="00444EF6"/>
    <w:rsid w:val="00445941"/>
    <w:rsid w:val="004464EB"/>
    <w:rsid w:val="00446B33"/>
    <w:rsid w:val="00447197"/>
    <w:rsid w:val="00447AE4"/>
    <w:rsid w:val="00447D26"/>
    <w:rsid w:val="00447DFC"/>
    <w:rsid w:val="00454668"/>
    <w:rsid w:val="00455D45"/>
    <w:rsid w:val="00460F86"/>
    <w:rsid w:val="004619CA"/>
    <w:rsid w:val="00463C50"/>
    <w:rsid w:val="00463CE8"/>
    <w:rsid w:val="00464595"/>
    <w:rsid w:val="004658B5"/>
    <w:rsid w:val="00465BF6"/>
    <w:rsid w:val="0046603D"/>
    <w:rsid w:val="00471EA5"/>
    <w:rsid w:val="00472A79"/>
    <w:rsid w:val="00473F19"/>
    <w:rsid w:val="004754A6"/>
    <w:rsid w:val="00475E22"/>
    <w:rsid w:val="00477E9B"/>
    <w:rsid w:val="0048088E"/>
    <w:rsid w:val="00480F2B"/>
    <w:rsid w:val="00482720"/>
    <w:rsid w:val="004835E7"/>
    <w:rsid w:val="004837D0"/>
    <w:rsid w:val="00483DD3"/>
    <w:rsid w:val="004859E1"/>
    <w:rsid w:val="004867E2"/>
    <w:rsid w:val="00490B17"/>
    <w:rsid w:val="00491B3A"/>
    <w:rsid w:val="00492CFD"/>
    <w:rsid w:val="00494207"/>
    <w:rsid w:val="00494C46"/>
    <w:rsid w:val="00494DD5"/>
    <w:rsid w:val="0049540B"/>
    <w:rsid w:val="004962D2"/>
    <w:rsid w:val="004A08B4"/>
    <w:rsid w:val="004A0DA1"/>
    <w:rsid w:val="004A13D6"/>
    <w:rsid w:val="004A25AF"/>
    <w:rsid w:val="004A475C"/>
    <w:rsid w:val="004A52E9"/>
    <w:rsid w:val="004A540F"/>
    <w:rsid w:val="004A6040"/>
    <w:rsid w:val="004A6597"/>
    <w:rsid w:val="004A7848"/>
    <w:rsid w:val="004A793B"/>
    <w:rsid w:val="004B1CB4"/>
    <w:rsid w:val="004B2F18"/>
    <w:rsid w:val="004B3DDB"/>
    <w:rsid w:val="004B44FD"/>
    <w:rsid w:val="004B5CFC"/>
    <w:rsid w:val="004B64FB"/>
    <w:rsid w:val="004B6F79"/>
    <w:rsid w:val="004B774D"/>
    <w:rsid w:val="004C1B77"/>
    <w:rsid w:val="004C2426"/>
    <w:rsid w:val="004C2AA0"/>
    <w:rsid w:val="004C2AC2"/>
    <w:rsid w:val="004C4AED"/>
    <w:rsid w:val="004C6403"/>
    <w:rsid w:val="004D2C2D"/>
    <w:rsid w:val="004D2CC8"/>
    <w:rsid w:val="004D54D3"/>
    <w:rsid w:val="004D69B5"/>
    <w:rsid w:val="004D7227"/>
    <w:rsid w:val="004D7B5E"/>
    <w:rsid w:val="004E0E7F"/>
    <w:rsid w:val="004E0EB8"/>
    <w:rsid w:val="004E18E9"/>
    <w:rsid w:val="004E2ADC"/>
    <w:rsid w:val="004E3AE8"/>
    <w:rsid w:val="004E43B2"/>
    <w:rsid w:val="004E71F8"/>
    <w:rsid w:val="004F1D02"/>
    <w:rsid w:val="004F2679"/>
    <w:rsid w:val="004F2689"/>
    <w:rsid w:val="004F2F21"/>
    <w:rsid w:val="004F3DE5"/>
    <w:rsid w:val="004F62B3"/>
    <w:rsid w:val="004F6913"/>
    <w:rsid w:val="004F7865"/>
    <w:rsid w:val="0050174E"/>
    <w:rsid w:val="00501854"/>
    <w:rsid w:val="0050219B"/>
    <w:rsid w:val="00502C89"/>
    <w:rsid w:val="00503E4A"/>
    <w:rsid w:val="00503F17"/>
    <w:rsid w:val="00503F3A"/>
    <w:rsid w:val="00506928"/>
    <w:rsid w:val="005077EF"/>
    <w:rsid w:val="00510C04"/>
    <w:rsid w:val="00511481"/>
    <w:rsid w:val="00511AD5"/>
    <w:rsid w:val="00511DC7"/>
    <w:rsid w:val="0051294E"/>
    <w:rsid w:val="00512C92"/>
    <w:rsid w:val="00513F2E"/>
    <w:rsid w:val="005142C5"/>
    <w:rsid w:val="0051501B"/>
    <w:rsid w:val="005152B5"/>
    <w:rsid w:val="00515886"/>
    <w:rsid w:val="00515895"/>
    <w:rsid w:val="0052123C"/>
    <w:rsid w:val="00521319"/>
    <w:rsid w:val="005222DA"/>
    <w:rsid w:val="0052269F"/>
    <w:rsid w:val="00522BC8"/>
    <w:rsid w:val="00523C28"/>
    <w:rsid w:val="0053143F"/>
    <w:rsid w:val="0053176B"/>
    <w:rsid w:val="00532636"/>
    <w:rsid w:val="00533F82"/>
    <w:rsid w:val="005341B3"/>
    <w:rsid w:val="00534876"/>
    <w:rsid w:val="00536F42"/>
    <w:rsid w:val="00537182"/>
    <w:rsid w:val="00540889"/>
    <w:rsid w:val="00541EDD"/>
    <w:rsid w:val="00542743"/>
    <w:rsid w:val="00542C2D"/>
    <w:rsid w:val="005444E8"/>
    <w:rsid w:val="00545228"/>
    <w:rsid w:val="005478BD"/>
    <w:rsid w:val="005479E3"/>
    <w:rsid w:val="00547D35"/>
    <w:rsid w:val="005506D7"/>
    <w:rsid w:val="00551985"/>
    <w:rsid w:val="00552BD3"/>
    <w:rsid w:val="005532A0"/>
    <w:rsid w:val="00555109"/>
    <w:rsid w:val="0055547D"/>
    <w:rsid w:val="00555A10"/>
    <w:rsid w:val="00556B35"/>
    <w:rsid w:val="00557125"/>
    <w:rsid w:val="0055741A"/>
    <w:rsid w:val="00557B87"/>
    <w:rsid w:val="005611B7"/>
    <w:rsid w:val="005618D4"/>
    <w:rsid w:val="00564867"/>
    <w:rsid w:val="005658F4"/>
    <w:rsid w:val="00565C79"/>
    <w:rsid w:val="00565DF0"/>
    <w:rsid w:val="0056696F"/>
    <w:rsid w:val="00566D26"/>
    <w:rsid w:val="00572269"/>
    <w:rsid w:val="0057244A"/>
    <w:rsid w:val="00572F26"/>
    <w:rsid w:val="005750C5"/>
    <w:rsid w:val="005752DE"/>
    <w:rsid w:val="00575D60"/>
    <w:rsid w:val="00575D8D"/>
    <w:rsid w:val="00576972"/>
    <w:rsid w:val="00576E8A"/>
    <w:rsid w:val="00577248"/>
    <w:rsid w:val="00583699"/>
    <w:rsid w:val="00583EA7"/>
    <w:rsid w:val="00585CDD"/>
    <w:rsid w:val="00587058"/>
    <w:rsid w:val="00591957"/>
    <w:rsid w:val="00592100"/>
    <w:rsid w:val="005926A5"/>
    <w:rsid w:val="00592F08"/>
    <w:rsid w:val="00594D2B"/>
    <w:rsid w:val="00597BF9"/>
    <w:rsid w:val="005A0C11"/>
    <w:rsid w:val="005A22AF"/>
    <w:rsid w:val="005A309A"/>
    <w:rsid w:val="005A373D"/>
    <w:rsid w:val="005A4BEA"/>
    <w:rsid w:val="005A5132"/>
    <w:rsid w:val="005B0B58"/>
    <w:rsid w:val="005B4E53"/>
    <w:rsid w:val="005B5857"/>
    <w:rsid w:val="005B6E5A"/>
    <w:rsid w:val="005C19C4"/>
    <w:rsid w:val="005C1B83"/>
    <w:rsid w:val="005C25FF"/>
    <w:rsid w:val="005C2D55"/>
    <w:rsid w:val="005C346B"/>
    <w:rsid w:val="005C5ABC"/>
    <w:rsid w:val="005C6CB3"/>
    <w:rsid w:val="005C733F"/>
    <w:rsid w:val="005D044D"/>
    <w:rsid w:val="005D0ABD"/>
    <w:rsid w:val="005D18AD"/>
    <w:rsid w:val="005D24B0"/>
    <w:rsid w:val="005D26B4"/>
    <w:rsid w:val="005D77B5"/>
    <w:rsid w:val="005E1281"/>
    <w:rsid w:val="005E17CC"/>
    <w:rsid w:val="005E1995"/>
    <w:rsid w:val="005E21E7"/>
    <w:rsid w:val="005E397B"/>
    <w:rsid w:val="005E431B"/>
    <w:rsid w:val="005E5E02"/>
    <w:rsid w:val="005E5FBC"/>
    <w:rsid w:val="005E63BA"/>
    <w:rsid w:val="005E6CBC"/>
    <w:rsid w:val="005E72FF"/>
    <w:rsid w:val="005E73C0"/>
    <w:rsid w:val="005F07ED"/>
    <w:rsid w:val="005F0882"/>
    <w:rsid w:val="005F1827"/>
    <w:rsid w:val="005F2706"/>
    <w:rsid w:val="005F2EB9"/>
    <w:rsid w:val="005F54BD"/>
    <w:rsid w:val="005F6A8F"/>
    <w:rsid w:val="005F6BB7"/>
    <w:rsid w:val="005F7588"/>
    <w:rsid w:val="00600EEE"/>
    <w:rsid w:val="00602851"/>
    <w:rsid w:val="00603DB9"/>
    <w:rsid w:val="00606FBA"/>
    <w:rsid w:val="00607669"/>
    <w:rsid w:val="006076F4"/>
    <w:rsid w:val="00607AFD"/>
    <w:rsid w:val="00610019"/>
    <w:rsid w:val="006117EF"/>
    <w:rsid w:val="00611B12"/>
    <w:rsid w:val="00612F97"/>
    <w:rsid w:val="0061345D"/>
    <w:rsid w:val="0061549B"/>
    <w:rsid w:val="00615B5C"/>
    <w:rsid w:val="00616802"/>
    <w:rsid w:val="00617722"/>
    <w:rsid w:val="00617E12"/>
    <w:rsid w:val="00620C25"/>
    <w:rsid w:val="00621477"/>
    <w:rsid w:val="00621ADA"/>
    <w:rsid w:val="006223FA"/>
    <w:rsid w:val="0062241D"/>
    <w:rsid w:val="00623F7B"/>
    <w:rsid w:val="00624BD4"/>
    <w:rsid w:val="006261BB"/>
    <w:rsid w:val="006277E5"/>
    <w:rsid w:val="00627D33"/>
    <w:rsid w:val="00630C8C"/>
    <w:rsid w:val="0063158F"/>
    <w:rsid w:val="00631D6B"/>
    <w:rsid w:val="00632183"/>
    <w:rsid w:val="006330A1"/>
    <w:rsid w:val="006330D5"/>
    <w:rsid w:val="0063479F"/>
    <w:rsid w:val="0063496A"/>
    <w:rsid w:val="006353F0"/>
    <w:rsid w:val="006357B5"/>
    <w:rsid w:val="006361E4"/>
    <w:rsid w:val="006364A1"/>
    <w:rsid w:val="0063678E"/>
    <w:rsid w:val="00637BFD"/>
    <w:rsid w:val="00637C5C"/>
    <w:rsid w:val="00640F7F"/>
    <w:rsid w:val="00641C4E"/>
    <w:rsid w:val="00641CB6"/>
    <w:rsid w:val="00641FB3"/>
    <w:rsid w:val="006435FC"/>
    <w:rsid w:val="0064434C"/>
    <w:rsid w:val="00645A2A"/>
    <w:rsid w:val="006471CC"/>
    <w:rsid w:val="006471D6"/>
    <w:rsid w:val="006472FE"/>
    <w:rsid w:val="00647A29"/>
    <w:rsid w:val="0065079F"/>
    <w:rsid w:val="00652A28"/>
    <w:rsid w:val="0065379F"/>
    <w:rsid w:val="00653A85"/>
    <w:rsid w:val="00656188"/>
    <w:rsid w:val="0065715A"/>
    <w:rsid w:val="006610F1"/>
    <w:rsid w:val="00661C6B"/>
    <w:rsid w:val="00662D3E"/>
    <w:rsid w:val="0066668D"/>
    <w:rsid w:val="00667BE3"/>
    <w:rsid w:val="006700C0"/>
    <w:rsid w:val="00671004"/>
    <w:rsid w:val="0067138B"/>
    <w:rsid w:val="00672646"/>
    <w:rsid w:val="00674E42"/>
    <w:rsid w:val="006751C0"/>
    <w:rsid w:val="00676563"/>
    <w:rsid w:val="006777D4"/>
    <w:rsid w:val="00677D2C"/>
    <w:rsid w:val="006813F8"/>
    <w:rsid w:val="006814E9"/>
    <w:rsid w:val="00682112"/>
    <w:rsid w:val="00682BA6"/>
    <w:rsid w:val="00686957"/>
    <w:rsid w:val="006872BA"/>
    <w:rsid w:val="00690795"/>
    <w:rsid w:val="00691648"/>
    <w:rsid w:val="006917D7"/>
    <w:rsid w:val="0069434C"/>
    <w:rsid w:val="00694EA4"/>
    <w:rsid w:val="00694F44"/>
    <w:rsid w:val="00696EF9"/>
    <w:rsid w:val="00696F51"/>
    <w:rsid w:val="006979A5"/>
    <w:rsid w:val="006A016F"/>
    <w:rsid w:val="006A0DF7"/>
    <w:rsid w:val="006A2179"/>
    <w:rsid w:val="006A3B25"/>
    <w:rsid w:val="006A4321"/>
    <w:rsid w:val="006A43D9"/>
    <w:rsid w:val="006A6B99"/>
    <w:rsid w:val="006A7E5F"/>
    <w:rsid w:val="006B180F"/>
    <w:rsid w:val="006B261B"/>
    <w:rsid w:val="006B2C90"/>
    <w:rsid w:val="006B31AD"/>
    <w:rsid w:val="006B35E6"/>
    <w:rsid w:val="006B38CE"/>
    <w:rsid w:val="006B3B3F"/>
    <w:rsid w:val="006B3C82"/>
    <w:rsid w:val="006B465A"/>
    <w:rsid w:val="006B4A3A"/>
    <w:rsid w:val="006B6DD0"/>
    <w:rsid w:val="006C0399"/>
    <w:rsid w:val="006C2A8E"/>
    <w:rsid w:val="006C3255"/>
    <w:rsid w:val="006C3F26"/>
    <w:rsid w:val="006C48D0"/>
    <w:rsid w:val="006D0D17"/>
    <w:rsid w:val="006D3290"/>
    <w:rsid w:val="006D3C7D"/>
    <w:rsid w:val="006D4659"/>
    <w:rsid w:val="006D4D04"/>
    <w:rsid w:val="006D59A4"/>
    <w:rsid w:val="006D5C8B"/>
    <w:rsid w:val="006D5D5F"/>
    <w:rsid w:val="006D68FB"/>
    <w:rsid w:val="006D747A"/>
    <w:rsid w:val="006D74D6"/>
    <w:rsid w:val="006E2868"/>
    <w:rsid w:val="006E3559"/>
    <w:rsid w:val="006E429B"/>
    <w:rsid w:val="006E46EB"/>
    <w:rsid w:val="006E7096"/>
    <w:rsid w:val="006F306C"/>
    <w:rsid w:val="006F30CB"/>
    <w:rsid w:val="006F5BBF"/>
    <w:rsid w:val="006F5DAE"/>
    <w:rsid w:val="006F63A5"/>
    <w:rsid w:val="0070135C"/>
    <w:rsid w:val="0070142B"/>
    <w:rsid w:val="0070226D"/>
    <w:rsid w:val="0070276E"/>
    <w:rsid w:val="00702F8F"/>
    <w:rsid w:val="007070DC"/>
    <w:rsid w:val="007079FC"/>
    <w:rsid w:val="00711A12"/>
    <w:rsid w:val="00711A36"/>
    <w:rsid w:val="007125D3"/>
    <w:rsid w:val="00713789"/>
    <w:rsid w:val="00714C26"/>
    <w:rsid w:val="0071529C"/>
    <w:rsid w:val="00716999"/>
    <w:rsid w:val="00716F31"/>
    <w:rsid w:val="007170DA"/>
    <w:rsid w:val="007171B9"/>
    <w:rsid w:val="007172AD"/>
    <w:rsid w:val="00717546"/>
    <w:rsid w:val="00720801"/>
    <w:rsid w:val="00721298"/>
    <w:rsid w:val="00721E36"/>
    <w:rsid w:val="00722B1B"/>
    <w:rsid w:val="0072389E"/>
    <w:rsid w:val="0072416F"/>
    <w:rsid w:val="0072508C"/>
    <w:rsid w:val="00725BD4"/>
    <w:rsid w:val="00727C94"/>
    <w:rsid w:val="00731B0A"/>
    <w:rsid w:val="00731EAE"/>
    <w:rsid w:val="00732D1C"/>
    <w:rsid w:val="00733073"/>
    <w:rsid w:val="00735033"/>
    <w:rsid w:val="00735328"/>
    <w:rsid w:val="00735C0A"/>
    <w:rsid w:val="0073603A"/>
    <w:rsid w:val="0073685B"/>
    <w:rsid w:val="00743F1B"/>
    <w:rsid w:val="00744279"/>
    <w:rsid w:val="007449BF"/>
    <w:rsid w:val="00744A53"/>
    <w:rsid w:val="007458FA"/>
    <w:rsid w:val="00745A98"/>
    <w:rsid w:val="007463FE"/>
    <w:rsid w:val="00746BC0"/>
    <w:rsid w:val="0075058F"/>
    <w:rsid w:val="007510B4"/>
    <w:rsid w:val="00751318"/>
    <w:rsid w:val="00752142"/>
    <w:rsid w:val="007523F9"/>
    <w:rsid w:val="0075357E"/>
    <w:rsid w:val="00753B29"/>
    <w:rsid w:val="007547AA"/>
    <w:rsid w:val="007573E8"/>
    <w:rsid w:val="00760C4E"/>
    <w:rsid w:val="00760F9E"/>
    <w:rsid w:val="007616E6"/>
    <w:rsid w:val="007627BE"/>
    <w:rsid w:val="00764F03"/>
    <w:rsid w:val="007659D9"/>
    <w:rsid w:val="00765B1A"/>
    <w:rsid w:val="00765DC1"/>
    <w:rsid w:val="007665CA"/>
    <w:rsid w:val="00770A70"/>
    <w:rsid w:val="007715E1"/>
    <w:rsid w:val="007726B3"/>
    <w:rsid w:val="00773AA6"/>
    <w:rsid w:val="007766EA"/>
    <w:rsid w:val="007769B1"/>
    <w:rsid w:val="00777063"/>
    <w:rsid w:val="00777335"/>
    <w:rsid w:val="007802F7"/>
    <w:rsid w:val="007839B0"/>
    <w:rsid w:val="00783DD2"/>
    <w:rsid w:val="007843F2"/>
    <w:rsid w:val="007846FA"/>
    <w:rsid w:val="00785A9F"/>
    <w:rsid w:val="00790089"/>
    <w:rsid w:val="007923D8"/>
    <w:rsid w:val="007925DF"/>
    <w:rsid w:val="00792ABD"/>
    <w:rsid w:val="00793A6A"/>
    <w:rsid w:val="007948D2"/>
    <w:rsid w:val="007A08AA"/>
    <w:rsid w:val="007A0A12"/>
    <w:rsid w:val="007A132D"/>
    <w:rsid w:val="007A1345"/>
    <w:rsid w:val="007A2DDB"/>
    <w:rsid w:val="007A30C9"/>
    <w:rsid w:val="007A3FF3"/>
    <w:rsid w:val="007A70BA"/>
    <w:rsid w:val="007A7F30"/>
    <w:rsid w:val="007B0D68"/>
    <w:rsid w:val="007B251D"/>
    <w:rsid w:val="007B3533"/>
    <w:rsid w:val="007B4F58"/>
    <w:rsid w:val="007B528D"/>
    <w:rsid w:val="007B595C"/>
    <w:rsid w:val="007B63CA"/>
    <w:rsid w:val="007B6DEA"/>
    <w:rsid w:val="007B77D1"/>
    <w:rsid w:val="007C04FC"/>
    <w:rsid w:val="007C07C7"/>
    <w:rsid w:val="007C091A"/>
    <w:rsid w:val="007C1CD9"/>
    <w:rsid w:val="007C2151"/>
    <w:rsid w:val="007C32EF"/>
    <w:rsid w:val="007C361D"/>
    <w:rsid w:val="007C4B84"/>
    <w:rsid w:val="007C70FF"/>
    <w:rsid w:val="007C7C25"/>
    <w:rsid w:val="007D0011"/>
    <w:rsid w:val="007D004F"/>
    <w:rsid w:val="007D035F"/>
    <w:rsid w:val="007D06B2"/>
    <w:rsid w:val="007D0B38"/>
    <w:rsid w:val="007D2E70"/>
    <w:rsid w:val="007D3712"/>
    <w:rsid w:val="007D3774"/>
    <w:rsid w:val="007D4955"/>
    <w:rsid w:val="007D5440"/>
    <w:rsid w:val="007D69EB"/>
    <w:rsid w:val="007E128F"/>
    <w:rsid w:val="007E1BD9"/>
    <w:rsid w:val="007E1D09"/>
    <w:rsid w:val="007E2851"/>
    <w:rsid w:val="007F1017"/>
    <w:rsid w:val="007F2EEA"/>
    <w:rsid w:val="007F37F7"/>
    <w:rsid w:val="007F4A3F"/>
    <w:rsid w:val="007F4A61"/>
    <w:rsid w:val="007F5255"/>
    <w:rsid w:val="007F56AB"/>
    <w:rsid w:val="007F56CC"/>
    <w:rsid w:val="007F61C2"/>
    <w:rsid w:val="007F671B"/>
    <w:rsid w:val="008016C0"/>
    <w:rsid w:val="00801F55"/>
    <w:rsid w:val="00802EE4"/>
    <w:rsid w:val="00804A1E"/>
    <w:rsid w:val="0080513B"/>
    <w:rsid w:val="00805142"/>
    <w:rsid w:val="00805FCE"/>
    <w:rsid w:val="00807A8B"/>
    <w:rsid w:val="0081059F"/>
    <w:rsid w:val="00811383"/>
    <w:rsid w:val="00812149"/>
    <w:rsid w:val="008129A2"/>
    <w:rsid w:val="00812CAC"/>
    <w:rsid w:val="008135B6"/>
    <w:rsid w:val="00816361"/>
    <w:rsid w:val="008166EF"/>
    <w:rsid w:val="00816FEF"/>
    <w:rsid w:val="00820929"/>
    <w:rsid w:val="00820A8C"/>
    <w:rsid w:val="008210DC"/>
    <w:rsid w:val="008210E3"/>
    <w:rsid w:val="008215FB"/>
    <w:rsid w:val="008220A8"/>
    <w:rsid w:val="008220CC"/>
    <w:rsid w:val="00823174"/>
    <w:rsid w:val="00825751"/>
    <w:rsid w:val="00825F47"/>
    <w:rsid w:val="008264EB"/>
    <w:rsid w:val="008268CE"/>
    <w:rsid w:val="00827362"/>
    <w:rsid w:val="00827C23"/>
    <w:rsid w:val="00831824"/>
    <w:rsid w:val="00831A89"/>
    <w:rsid w:val="00833B05"/>
    <w:rsid w:val="00833D12"/>
    <w:rsid w:val="00834ED4"/>
    <w:rsid w:val="008361AF"/>
    <w:rsid w:val="008362B4"/>
    <w:rsid w:val="00840CA2"/>
    <w:rsid w:val="008414B0"/>
    <w:rsid w:val="00841DF3"/>
    <w:rsid w:val="00843283"/>
    <w:rsid w:val="0084374F"/>
    <w:rsid w:val="00844A22"/>
    <w:rsid w:val="00847703"/>
    <w:rsid w:val="00847DF5"/>
    <w:rsid w:val="00850515"/>
    <w:rsid w:val="0085309D"/>
    <w:rsid w:val="00853F05"/>
    <w:rsid w:val="008541E8"/>
    <w:rsid w:val="00855966"/>
    <w:rsid w:val="00856897"/>
    <w:rsid w:val="00856E9A"/>
    <w:rsid w:val="00857246"/>
    <w:rsid w:val="00857360"/>
    <w:rsid w:val="008602F5"/>
    <w:rsid w:val="0086075D"/>
    <w:rsid w:val="00862502"/>
    <w:rsid w:val="00862CC1"/>
    <w:rsid w:val="008642A7"/>
    <w:rsid w:val="008660D4"/>
    <w:rsid w:val="00866128"/>
    <w:rsid w:val="00866150"/>
    <w:rsid w:val="00871FA9"/>
    <w:rsid w:val="008728E9"/>
    <w:rsid w:val="00874325"/>
    <w:rsid w:val="00874C5D"/>
    <w:rsid w:val="008807DD"/>
    <w:rsid w:val="00882415"/>
    <w:rsid w:val="0088244A"/>
    <w:rsid w:val="00882874"/>
    <w:rsid w:val="00882E3C"/>
    <w:rsid w:val="0088308A"/>
    <w:rsid w:val="00883787"/>
    <w:rsid w:val="008855E4"/>
    <w:rsid w:val="00885D7B"/>
    <w:rsid w:val="00885F5F"/>
    <w:rsid w:val="0088636F"/>
    <w:rsid w:val="00886CD2"/>
    <w:rsid w:val="00891E6F"/>
    <w:rsid w:val="0089275D"/>
    <w:rsid w:val="00892A36"/>
    <w:rsid w:val="00893239"/>
    <w:rsid w:val="00894489"/>
    <w:rsid w:val="00894CD6"/>
    <w:rsid w:val="00895442"/>
    <w:rsid w:val="008963A5"/>
    <w:rsid w:val="00896D5D"/>
    <w:rsid w:val="008A3158"/>
    <w:rsid w:val="008A3363"/>
    <w:rsid w:val="008A3371"/>
    <w:rsid w:val="008A39DA"/>
    <w:rsid w:val="008A3C3E"/>
    <w:rsid w:val="008A79DE"/>
    <w:rsid w:val="008B1757"/>
    <w:rsid w:val="008B1C33"/>
    <w:rsid w:val="008B204D"/>
    <w:rsid w:val="008B450B"/>
    <w:rsid w:val="008B4B6F"/>
    <w:rsid w:val="008B548E"/>
    <w:rsid w:val="008B5700"/>
    <w:rsid w:val="008B7992"/>
    <w:rsid w:val="008B7D7E"/>
    <w:rsid w:val="008C2657"/>
    <w:rsid w:val="008C3005"/>
    <w:rsid w:val="008C4E77"/>
    <w:rsid w:val="008C5610"/>
    <w:rsid w:val="008C5739"/>
    <w:rsid w:val="008C7249"/>
    <w:rsid w:val="008C7282"/>
    <w:rsid w:val="008C7ECB"/>
    <w:rsid w:val="008D29E8"/>
    <w:rsid w:val="008D3B86"/>
    <w:rsid w:val="008D4063"/>
    <w:rsid w:val="008D43FD"/>
    <w:rsid w:val="008D4755"/>
    <w:rsid w:val="008D4C3D"/>
    <w:rsid w:val="008D743C"/>
    <w:rsid w:val="008E0D3C"/>
    <w:rsid w:val="008E0ED6"/>
    <w:rsid w:val="008E1B9E"/>
    <w:rsid w:val="008E2470"/>
    <w:rsid w:val="008E4599"/>
    <w:rsid w:val="008E55AB"/>
    <w:rsid w:val="008E6803"/>
    <w:rsid w:val="008E6F56"/>
    <w:rsid w:val="008E706A"/>
    <w:rsid w:val="008F120A"/>
    <w:rsid w:val="008F14E1"/>
    <w:rsid w:val="008F27E0"/>
    <w:rsid w:val="008F48EB"/>
    <w:rsid w:val="008F4F0B"/>
    <w:rsid w:val="008F58F0"/>
    <w:rsid w:val="008F7AB7"/>
    <w:rsid w:val="0090021E"/>
    <w:rsid w:val="009025CC"/>
    <w:rsid w:val="00902F3B"/>
    <w:rsid w:val="00904367"/>
    <w:rsid w:val="009046C4"/>
    <w:rsid w:val="009053B3"/>
    <w:rsid w:val="009062A5"/>
    <w:rsid w:val="0090710D"/>
    <w:rsid w:val="00907699"/>
    <w:rsid w:val="00910FA7"/>
    <w:rsid w:val="00911272"/>
    <w:rsid w:val="00911339"/>
    <w:rsid w:val="0091216A"/>
    <w:rsid w:val="009135D6"/>
    <w:rsid w:val="00914C77"/>
    <w:rsid w:val="00917C05"/>
    <w:rsid w:val="00920C9A"/>
    <w:rsid w:val="00921ACB"/>
    <w:rsid w:val="00921CDF"/>
    <w:rsid w:val="00922D8C"/>
    <w:rsid w:val="0092369B"/>
    <w:rsid w:val="00923C98"/>
    <w:rsid w:val="00934988"/>
    <w:rsid w:val="00937089"/>
    <w:rsid w:val="00943DFF"/>
    <w:rsid w:val="00944F8A"/>
    <w:rsid w:val="00946940"/>
    <w:rsid w:val="009510A2"/>
    <w:rsid w:val="00953257"/>
    <w:rsid w:val="00954536"/>
    <w:rsid w:val="0095474C"/>
    <w:rsid w:val="0095591B"/>
    <w:rsid w:val="00955FCA"/>
    <w:rsid w:val="00956CC9"/>
    <w:rsid w:val="00957D92"/>
    <w:rsid w:val="00962CB9"/>
    <w:rsid w:val="00963D66"/>
    <w:rsid w:val="00964312"/>
    <w:rsid w:val="00965B8A"/>
    <w:rsid w:val="0097071F"/>
    <w:rsid w:val="0097148B"/>
    <w:rsid w:val="009717AC"/>
    <w:rsid w:val="00973DB4"/>
    <w:rsid w:val="009741DD"/>
    <w:rsid w:val="00974443"/>
    <w:rsid w:val="009751C1"/>
    <w:rsid w:val="009811F1"/>
    <w:rsid w:val="00983E57"/>
    <w:rsid w:val="0098400E"/>
    <w:rsid w:val="00985DE2"/>
    <w:rsid w:val="0098675D"/>
    <w:rsid w:val="00987BA4"/>
    <w:rsid w:val="009907BF"/>
    <w:rsid w:val="009926E0"/>
    <w:rsid w:val="0099401C"/>
    <w:rsid w:val="0099451E"/>
    <w:rsid w:val="00996B1A"/>
    <w:rsid w:val="009A18F6"/>
    <w:rsid w:val="009A2DCC"/>
    <w:rsid w:val="009A5ABC"/>
    <w:rsid w:val="009A7F10"/>
    <w:rsid w:val="009B1380"/>
    <w:rsid w:val="009B14B0"/>
    <w:rsid w:val="009B3E26"/>
    <w:rsid w:val="009B4FCF"/>
    <w:rsid w:val="009B5ACD"/>
    <w:rsid w:val="009B5B77"/>
    <w:rsid w:val="009B5C04"/>
    <w:rsid w:val="009C10B0"/>
    <w:rsid w:val="009C1271"/>
    <w:rsid w:val="009C3706"/>
    <w:rsid w:val="009C3A3A"/>
    <w:rsid w:val="009C687A"/>
    <w:rsid w:val="009C6CEA"/>
    <w:rsid w:val="009C7B85"/>
    <w:rsid w:val="009D0254"/>
    <w:rsid w:val="009D15F2"/>
    <w:rsid w:val="009D1A64"/>
    <w:rsid w:val="009D3E87"/>
    <w:rsid w:val="009D4651"/>
    <w:rsid w:val="009D5B91"/>
    <w:rsid w:val="009D6507"/>
    <w:rsid w:val="009D792E"/>
    <w:rsid w:val="009D7D17"/>
    <w:rsid w:val="009E0215"/>
    <w:rsid w:val="009E0D4D"/>
    <w:rsid w:val="009E0DFE"/>
    <w:rsid w:val="009E1FB2"/>
    <w:rsid w:val="009E31F6"/>
    <w:rsid w:val="009E3A89"/>
    <w:rsid w:val="009E4A95"/>
    <w:rsid w:val="009E4C07"/>
    <w:rsid w:val="009E4E5B"/>
    <w:rsid w:val="009E52AE"/>
    <w:rsid w:val="009E7751"/>
    <w:rsid w:val="009E777F"/>
    <w:rsid w:val="009F6120"/>
    <w:rsid w:val="00A00441"/>
    <w:rsid w:val="00A006D2"/>
    <w:rsid w:val="00A00D76"/>
    <w:rsid w:val="00A01184"/>
    <w:rsid w:val="00A01449"/>
    <w:rsid w:val="00A02309"/>
    <w:rsid w:val="00A0371A"/>
    <w:rsid w:val="00A037C2"/>
    <w:rsid w:val="00A03C9A"/>
    <w:rsid w:val="00A03D43"/>
    <w:rsid w:val="00A04380"/>
    <w:rsid w:val="00A04786"/>
    <w:rsid w:val="00A05472"/>
    <w:rsid w:val="00A05C32"/>
    <w:rsid w:val="00A0653F"/>
    <w:rsid w:val="00A11CD0"/>
    <w:rsid w:val="00A124ED"/>
    <w:rsid w:val="00A13948"/>
    <w:rsid w:val="00A13F2F"/>
    <w:rsid w:val="00A1461D"/>
    <w:rsid w:val="00A1555B"/>
    <w:rsid w:val="00A155C5"/>
    <w:rsid w:val="00A16AD8"/>
    <w:rsid w:val="00A2021E"/>
    <w:rsid w:val="00A21C95"/>
    <w:rsid w:val="00A21CF3"/>
    <w:rsid w:val="00A22B1E"/>
    <w:rsid w:val="00A233E9"/>
    <w:rsid w:val="00A24019"/>
    <w:rsid w:val="00A24813"/>
    <w:rsid w:val="00A24887"/>
    <w:rsid w:val="00A25F2A"/>
    <w:rsid w:val="00A27AEC"/>
    <w:rsid w:val="00A27C9A"/>
    <w:rsid w:val="00A309C5"/>
    <w:rsid w:val="00A314DD"/>
    <w:rsid w:val="00A320DB"/>
    <w:rsid w:val="00A3273C"/>
    <w:rsid w:val="00A32CAB"/>
    <w:rsid w:val="00A33AE3"/>
    <w:rsid w:val="00A35D16"/>
    <w:rsid w:val="00A363C1"/>
    <w:rsid w:val="00A37BCD"/>
    <w:rsid w:val="00A41689"/>
    <w:rsid w:val="00A41691"/>
    <w:rsid w:val="00A42592"/>
    <w:rsid w:val="00A43C59"/>
    <w:rsid w:val="00A43E43"/>
    <w:rsid w:val="00A47ADD"/>
    <w:rsid w:val="00A50ECD"/>
    <w:rsid w:val="00A518F3"/>
    <w:rsid w:val="00A52729"/>
    <w:rsid w:val="00A53675"/>
    <w:rsid w:val="00A564D7"/>
    <w:rsid w:val="00A56B6A"/>
    <w:rsid w:val="00A578DC"/>
    <w:rsid w:val="00A57B48"/>
    <w:rsid w:val="00A60867"/>
    <w:rsid w:val="00A620F3"/>
    <w:rsid w:val="00A640E2"/>
    <w:rsid w:val="00A64962"/>
    <w:rsid w:val="00A64D65"/>
    <w:rsid w:val="00A6725B"/>
    <w:rsid w:val="00A70605"/>
    <w:rsid w:val="00A70CD9"/>
    <w:rsid w:val="00A7166D"/>
    <w:rsid w:val="00A73134"/>
    <w:rsid w:val="00A7365A"/>
    <w:rsid w:val="00A741FF"/>
    <w:rsid w:val="00A746EE"/>
    <w:rsid w:val="00A75CE9"/>
    <w:rsid w:val="00A76001"/>
    <w:rsid w:val="00A777B2"/>
    <w:rsid w:val="00A803EA"/>
    <w:rsid w:val="00A81EC2"/>
    <w:rsid w:val="00A825D4"/>
    <w:rsid w:val="00A828F6"/>
    <w:rsid w:val="00A82B73"/>
    <w:rsid w:val="00A83FEC"/>
    <w:rsid w:val="00A86E8B"/>
    <w:rsid w:val="00A87164"/>
    <w:rsid w:val="00A87D66"/>
    <w:rsid w:val="00A90AC1"/>
    <w:rsid w:val="00A92EAB"/>
    <w:rsid w:val="00A93072"/>
    <w:rsid w:val="00A938BD"/>
    <w:rsid w:val="00A93953"/>
    <w:rsid w:val="00A959D8"/>
    <w:rsid w:val="00A96515"/>
    <w:rsid w:val="00A96F39"/>
    <w:rsid w:val="00AA113D"/>
    <w:rsid w:val="00AA14B9"/>
    <w:rsid w:val="00AA1D95"/>
    <w:rsid w:val="00AA29D4"/>
    <w:rsid w:val="00AA6BD5"/>
    <w:rsid w:val="00AA6BD8"/>
    <w:rsid w:val="00AA6C7D"/>
    <w:rsid w:val="00AA7FD6"/>
    <w:rsid w:val="00AB042A"/>
    <w:rsid w:val="00AB11AD"/>
    <w:rsid w:val="00AB19EF"/>
    <w:rsid w:val="00AB2495"/>
    <w:rsid w:val="00AB2D34"/>
    <w:rsid w:val="00AB3430"/>
    <w:rsid w:val="00AB37B9"/>
    <w:rsid w:val="00AB4AD1"/>
    <w:rsid w:val="00AB4D6C"/>
    <w:rsid w:val="00AB5E07"/>
    <w:rsid w:val="00AB5E84"/>
    <w:rsid w:val="00AB7490"/>
    <w:rsid w:val="00AB77FB"/>
    <w:rsid w:val="00AB7CFA"/>
    <w:rsid w:val="00AC0126"/>
    <w:rsid w:val="00AC0191"/>
    <w:rsid w:val="00AC1351"/>
    <w:rsid w:val="00AC1C6C"/>
    <w:rsid w:val="00AC273F"/>
    <w:rsid w:val="00AC3229"/>
    <w:rsid w:val="00AC565D"/>
    <w:rsid w:val="00AC5B42"/>
    <w:rsid w:val="00AC5B48"/>
    <w:rsid w:val="00AD1450"/>
    <w:rsid w:val="00AD15E8"/>
    <w:rsid w:val="00AD24FF"/>
    <w:rsid w:val="00AD3063"/>
    <w:rsid w:val="00AD356D"/>
    <w:rsid w:val="00AD51FC"/>
    <w:rsid w:val="00AD5AF3"/>
    <w:rsid w:val="00AD6502"/>
    <w:rsid w:val="00AD77D1"/>
    <w:rsid w:val="00AE0695"/>
    <w:rsid w:val="00AE1303"/>
    <w:rsid w:val="00AE3E7E"/>
    <w:rsid w:val="00AE4B9F"/>
    <w:rsid w:val="00AE594D"/>
    <w:rsid w:val="00AE7E53"/>
    <w:rsid w:val="00AF00C9"/>
    <w:rsid w:val="00AF1315"/>
    <w:rsid w:val="00AF19BF"/>
    <w:rsid w:val="00AF1F54"/>
    <w:rsid w:val="00AF2DC3"/>
    <w:rsid w:val="00AF2F7A"/>
    <w:rsid w:val="00AF65E2"/>
    <w:rsid w:val="00B01226"/>
    <w:rsid w:val="00B0155D"/>
    <w:rsid w:val="00B033E5"/>
    <w:rsid w:val="00B03A63"/>
    <w:rsid w:val="00B04DC3"/>
    <w:rsid w:val="00B071D7"/>
    <w:rsid w:val="00B07488"/>
    <w:rsid w:val="00B129A4"/>
    <w:rsid w:val="00B1749F"/>
    <w:rsid w:val="00B201A4"/>
    <w:rsid w:val="00B201D1"/>
    <w:rsid w:val="00B213A6"/>
    <w:rsid w:val="00B235B0"/>
    <w:rsid w:val="00B24DF6"/>
    <w:rsid w:val="00B26C18"/>
    <w:rsid w:val="00B27A61"/>
    <w:rsid w:val="00B27C46"/>
    <w:rsid w:val="00B31C14"/>
    <w:rsid w:val="00B31F15"/>
    <w:rsid w:val="00B34235"/>
    <w:rsid w:val="00B34F41"/>
    <w:rsid w:val="00B34FE2"/>
    <w:rsid w:val="00B35166"/>
    <w:rsid w:val="00B357D8"/>
    <w:rsid w:val="00B35C28"/>
    <w:rsid w:val="00B35F9C"/>
    <w:rsid w:val="00B35FF5"/>
    <w:rsid w:val="00B360F4"/>
    <w:rsid w:val="00B36A00"/>
    <w:rsid w:val="00B3792B"/>
    <w:rsid w:val="00B37BFC"/>
    <w:rsid w:val="00B40358"/>
    <w:rsid w:val="00B4058F"/>
    <w:rsid w:val="00B41614"/>
    <w:rsid w:val="00B42851"/>
    <w:rsid w:val="00B42F80"/>
    <w:rsid w:val="00B435CB"/>
    <w:rsid w:val="00B465EC"/>
    <w:rsid w:val="00B470EA"/>
    <w:rsid w:val="00B5056A"/>
    <w:rsid w:val="00B505C8"/>
    <w:rsid w:val="00B50DB8"/>
    <w:rsid w:val="00B53654"/>
    <w:rsid w:val="00B53905"/>
    <w:rsid w:val="00B546DB"/>
    <w:rsid w:val="00B54B5B"/>
    <w:rsid w:val="00B5562E"/>
    <w:rsid w:val="00B55862"/>
    <w:rsid w:val="00B55D65"/>
    <w:rsid w:val="00B56305"/>
    <w:rsid w:val="00B57000"/>
    <w:rsid w:val="00B60939"/>
    <w:rsid w:val="00B60AFD"/>
    <w:rsid w:val="00B61962"/>
    <w:rsid w:val="00B62715"/>
    <w:rsid w:val="00B65611"/>
    <w:rsid w:val="00B6680A"/>
    <w:rsid w:val="00B70DCA"/>
    <w:rsid w:val="00B70E8E"/>
    <w:rsid w:val="00B718ED"/>
    <w:rsid w:val="00B73C05"/>
    <w:rsid w:val="00B7688F"/>
    <w:rsid w:val="00B76C92"/>
    <w:rsid w:val="00B771F6"/>
    <w:rsid w:val="00B80EFD"/>
    <w:rsid w:val="00B818A4"/>
    <w:rsid w:val="00B82B8C"/>
    <w:rsid w:val="00B83739"/>
    <w:rsid w:val="00B84117"/>
    <w:rsid w:val="00B858F0"/>
    <w:rsid w:val="00B85AA2"/>
    <w:rsid w:val="00B8649C"/>
    <w:rsid w:val="00B866C6"/>
    <w:rsid w:val="00B8695D"/>
    <w:rsid w:val="00B87F0A"/>
    <w:rsid w:val="00B90888"/>
    <w:rsid w:val="00B92D0B"/>
    <w:rsid w:val="00B94945"/>
    <w:rsid w:val="00B94DD6"/>
    <w:rsid w:val="00BA13C9"/>
    <w:rsid w:val="00BA322D"/>
    <w:rsid w:val="00BA3F8A"/>
    <w:rsid w:val="00BA63FA"/>
    <w:rsid w:val="00BA7A00"/>
    <w:rsid w:val="00BB00B3"/>
    <w:rsid w:val="00BB0769"/>
    <w:rsid w:val="00BB0BDD"/>
    <w:rsid w:val="00BB176C"/>
    <w:rsid w:val="00BB2A73"/>
    <w:rsid w:val="00BB3A45"/>
    <w:rsid w:val="00BB4ACC"/>
    <w:rsid w:val="00BB703E"/>
    <w:rsid w:val="00BB732D"/>
    <w:rsid w:val="00BB7405"/>
    <w:rsid w:val="00BB75D0"/>
    <w:rsid w:val="00BC0850"/>
    <w:rsid w:val="00BC3631"/>
    <w:rsid w:val="00BC591F"/>
    <w:rsid w:val="00BC5BEC"/>
    <w:rsid w:val="00BC5D07"/>
    <w:rsid w:val="00BC693A"/>
    <w:rsid w:val="00BC74C6"/>
    <w:rsid w:val="00BC7C0F"/>
    <w:rsid w:val="00BC7D6D"/>
    <w:rsid w:val="00BD1BF0"/>
    <w:rsid w:val="00BD2108"/>
    <w:rsid w:val="00BD2730"/>
    <w:rsid w:val="00BD3406"/>
    <w:rsid w:val="00BD4379"/>
    <w:rsid w:val="00BD68A3"/>
    <w:rsid w:val="00BD6938"/>
    <w:rsid w:val="00BD6CF3"/>
    <w:rsid w:val="00BD7E90"/>
    <w:rsid w:val="00BD7F72"/>
    <w:rsid w:val="00BE0ECA"/>
    <w:rsid w:val="00BE2180"/>
    <w:rsid w:val="00BE21F2"/>
    <w:rsid w:val="00BE4275"/>
    <w:rsid w:val="00BE52F5"/>
    <w:rsid w:val="00BE5FC7"/>
    <w:rsid w:val="00BE6180"/>
    <w:rsid w:val="00BE6D62"/>
    <w:rsid w:val="00BE70B8"/>
    <w:rsid w:val="00BF06AE"/>
    <w:rsid w:val="00BF0F95"/>
    <w:rsid w:val="00BF2433"/>
    <w:rsid w:val="00BF2E6E"/>
    <w:rsid w:val="00BF61C9"/>
    <w:rsid w:val="00BF65E3"/>
    <w:rsid w:val="00BF6C94"/>
    <w:rsid w:val="00BF7001"/>
    <w:rsid w:val="00C00424"/>
    <w:rsid w:val="00C0067C"/>
    <w:rsid w:val="00C00BB0"/>
    <w:rsid w:val="00C01B29"/>
    <w:rsid w:val="00C04957"/>
    <w:rsid w:val="00C05E39"/>
    <w:rsid w:val="00C05EFD"/>
    <w:rsid w:val="00C07CEF"/>
    <w:rsid w:val="00C1018E"/>
    <w:rsid w:val="00C1179F"/>
    <w:rsid w:val="00C12411"/>
    <w:rsid w:val="00C127B9"/>
    <w:rsid w:val="00C128FA"/>
    <w:rsid w:val="00C12C14"/>
    <w:rsid w:val="00C15F04"/>
    <w:rsid w:val="00C179B3"/>
    <w:rsid w:val="00C17E3F"/>
    <w:rsid w:val="00C200AA"/>
    <w:rsid w:val="00C237ED"/>
    <w:rsid w:val="00C23E76"/>
    <w:rsid w:val="00C23F68"/>
    <w:rsid w:val="00C24632"/>
    <w:rsid w:val="00C2539D"/>
    <w:rsid w:val="00C25418"/>
    <w:rsid w:val="00C25D9C"/>
    <w:rsid w:val="00C2778B"/>
    <w:rsid w:val="00C30CFA"/>
    <w:rsid w:val="00C31649"/>
    <w:rsid w:val="00C3434C"/>
    <w:rsid w:val="00C35E58"/>
    <w:rsid w:val="00C3794A"/>
    <w:rsid w:val="00C4021C"/>
    <w:rsid w:val="00C40385"/>
    <w:rsid w:val="00C41768"/>
    <w:rsid w:val="00C43038"/>
    <w:rsid w:val="00C4489C"/>
    <w:rsid w:val="00C44E7C"/>
    <w:rsid w:val="00C45199"/>
    <w:rsid w:val="00C45A8C"/>
    <w:rsid w:val="00C475AA"/>
    <w:rsid w:val="00C5087F"/>
    <w:rsid w:val="00C50C65"/>
    <w:rsid w:val="00C5246A"/>
    <w:rsid w:val="00C527C7"/>
    <w:rsid w:val="00C53C98"/>
    <w:rsid w:val="00C55D76"/>
    <w:rsid w:val="00C56B25"/>
    <w:rsid w:val="00C56FCF"/>
    <w:rsid w:val="00C57B6C"/>
    <w:rsid w:val="00C61A59"/>
    <w:rsid w:val="00C628A6"/>
    <w:rsid w:val="00C63855"/>
    <w:rsid w:val="00C64344"/>
    <w:rsid w:val="00C65108"/>
    <w:rsid w:val="00C65576"/>
    <w:rsid w:val="00C66165"/>
    <w:rsid w:val="00C7060A"/>
    <w:rsid w:val="00C7151A"/>
    <w:rsid w:val="00C717E3"/>
    <w:rsid w:val="00C71F60"/>
    <w:rsid w:val="00C72241"/>
    <w:rsid w:val="00C750C8"/>
    <w:rsid w:val="00C7560F"/>
    <w:rsid w:val="00C75B86"/>
    <w:rsid w:val="00C75E3D"/>
    <w:rsid w:val="00C77E93"/>
    <w:rsid w:val="00C80A0E"/>
    <w:rsid w:val="00C8213F"/>
    <w:rsid w:val="00C8303F"/>
    <w:rsid w:val="00C85154"/>
    <w:rsid w:val="00C85195"/>
    <w:rsid w:val="00C85A70"/>
    <w:rsid w:val="00C8797A"/>
    <w:rsid w:val="00C900B8"/>
    <w:rsid w:val="00C90197"/>
    <w:rsid w:val="00C90AB7"/>
    <w:rsid w:val="00C90C71"/>
    <w:rsid w:val="00C91FD1"/>
    <w:rsid w:val="00C931CF"/>
    <w:rsid w:val="00C933CC"/>
    <w:rsid w:val="00C938CF"/>
    <w:rsid w:val="00C94053"/>
    <w:rsid w:val="00C9624D"/>
    <w:rsid w:val="00C969DA"/>
    <w:rsid w:val="00CA035C"/>
    <w:rsid w:val="00CA0584"/>
    <w:rsid w:val="00CA20E6"/>
    <w:rsid w:val="00CA25E9"/>
    <w:rsid w:val="00CA2C77"/>
    <w:rsid w:val="00CA444F"/>
    <w:rsid w:val="00CA4B21"/>
    <w:rsid w:val="00CA5245"/>
    <w:rsid w:val="00CA6F3A"/>
    <w:rsid w:val="00CA7056"/>
    <w:rsid w:val="00CA71F4"/>
    <w:rsid w:val="00CA7B09"/>
    <w:rsid w:val="00CB12A5"/>
    <w:rsid w:val="00CB1CAC"/>
    <w:rsid w:val="00CB2F2A"/>
    <w:rsid w:val="00CB3345"/>
    <w:rsid w:val="00CB5B1A"/>
    <w:rsid w:val="00CB5B62"/>
    <w:rsid w:val="00CB61C5"/>
    <w:rsid w:val="00CB6B22"/>
    <w:rsid w:val="00CB7F5F"/>
    <w:rsid w:val="00CC1357"/>
    <w:rsid w:val="00CC1B39"/>
    <w:rsid w:val="00CC1BFA"/>
    <w:rsid w:val="00CC2E9F"/>
    <w:rsid w:val="00CC35EA"/>
    <w:rsid w:val="00CC3848"/>
    <w:rsid w:val="00CC59B3"/>
    <w:rsid w:val="00CC6D5E"/>
    <w:rsid w:val="00CD0200"/>
    <w:rsid w:val="00CD114D"/>
    <w:rsid w:val="00CD3059"/>
    <w:rsid w:val="00CD3943"/>
    <w:rsid w:val="00CD3F77"/>
    <w:rsid w:val="00CD6ADC"/>
    <w:rsid w:val="00CD7193"/>
    <w:rsid w:val="00CD7E2A"/>
    <w:rsid w:val="00CE323C"/>
    <w:rsid w:val="00CE38C8"/>
    <w:rsid w:val="00CE524F"/>
    <w:rsid w:val="00CE526A"/>
    <w:rsid w:val="00CE58CC"/>
    <w:rsid w:val="00CE603B"/>
    <w:rsid w:val="00CE6274"/>
    <w:rsid w:val="00CE659E"/>
    <w:rsid w:val="00CE77B6"/>
    <w:rsid w:val="00CF1100"/>
    <w:rsid w:val="00CF2B8D"/>
    <w:rsid w:val="00CF31A6"/>
    <w:rsid w:val="00CF399E"/>
    <w:rsid w:val="00CF3A1B"/>
    <w:rsid w:val="00CF456B"/>
    <w:rsid w:val="00CF5A22"/>
    <w:rsid w:val="00D0262E"/>
    <w:rsid w:val="00D03635"/>
    <w:rsid w:val="00D03679"/>
    <w:rsid w:val="00D0420A"/>
    <w:rsid w:val="00D05E3D"/>
    <w:rsid w:val="00D06139"/>
    <w:rsid w:val="00D110BD"/>
    <w:rsid w:val="00D11F7D"/>
    <w:rsid w:val="00D131DB"/>
    <w:rsid w:val="00D13675"/>
    <w:rsid w:val="00D141E1"/>
    <w:rsid w:val="00D1469F"/>
    <w:rsid w:val="00D14AB7"/>
    <w:rsid w:val="00D152FC"/>
    <w:rsid w:val="00D15314"/>
    <w:rsid w:val="00D15B48"/>
    <w:rsid w:val="00D17D6C"/>
    <w:rsid w:val="00D17D76"/>
    <w:rsid w:val="00D2155B"/>
    <w:rsid w:val="00D23D11"/>
    <w:rsid w:val="00D244B6"/>
    <w:rsid w:val="00D24788"/>
    <w:rsid w:val="00D25011"/>
    <w:rsid w:val="00D26888"/>
    <w:rsid w:val="00D2754D"/>
    <w:rsid w:val="00D27B27"/>
    <w:rsid w:val="00D27E26"/>
    <w:rsid w:val="00D30D5B"/>
    <w:rsid w:val="00D310C0"/>
    <w:rsid w:val="00D32E8F"/>
    <w:rsid w:val="00D33BE9"/>
    <w:rsid w:val="00D33C4D"/>
    <w:rsid w:val="00D33CD0"/>
    <w:rsid w:val="00D33F93"/>
    <w:rsid w:val="00D357FF"/>
    <w:rsid w:val="00D40506"/>
    <w:rsid w:val="00D406E5"/>
    <w:rsid w:val="00D424C7"/>
    <w:rsid w:val="00D43B2A"/>
    <w:rsid w:val="00D43CF1"/>
    <w:rsid w:val="00D43D83"/>
    <w:rsid w:val="00D47291"/>
    <w:rsid w:val="00D47575"/>
    <w:rsid w:val="00D52406"/>
    <w:rsid w:val="00D5243B"/>
    <w:rsid w:val="00D52C90"/>
    <w:rsid w:val="00D533EC"/>
    <w:rsid w:val="00D53877"/>
    <w:rsid w:val="00D55547"/>
    <w:rsid w:val="00D56A95"/>
    <w:rsid w:val="00D6076E"/>
    <w:rsid w:val="00D62721"/>
    <w:rsid w:val="00D628CD"/>
    <w:rsid w:val="00D64751"/>
    <w:rsid w:val="00D652B4"/>
    <w:rsid w:val="00D657C0"/>
    <w:rsid w:val="00D663AF"/>
    <w:rsid w:val="00D70F16"/>
    <w:rsid w:val="00D72617"/>
    <w:rsid w:val="00D72F57"/>
    <w:rsid w:val="00D75DC6"/>
    <w:rsid w:val="00D76A44"/>
    <w:rsid w:val="00D815EF"/>
    <w:rsid w:val="00D81949"/>
    <w:rsid w:val="00D81F26"/>
    <w:rsid w:val="00D822E2"/>
    <w:rsid w:val="00D82BCC"/>
    <w:rsid w:val="00D843F2"/>
    <w:rsid w:val="00D86231"/>
    <w:rsid w:val="00D86A4F"/>
    <w:rsid w:val="00D8738D"/>
    <w:rsid w:val="00D912AB"/>
    <w:rsid w:val="00D91923"/>
    <w:rsid w:val="00D93753"/>
    <w:rsid w:val="00D9510D"/>
    <w:rsid w:val="00D968C2"/>
    <w:rsid w:val="00DA20B0"/>
    <w:rsid w:val="00DA3167"/>
    <w:rsid w:val="00DA4DC3"/>
    <w:rsid w:val="00DA77A5"/>
    <w:rsid w:val="00DB025C"/>
    <w:rsid w:val="00DB0E36"/>
    <w:rsid w:val="00DB2DA7"/>
    <w:rsid w:val="00DB3068"/>
    <w:rsid w:val="00DB3DBF"/>
    <w:rsid w:val="00DB484F"/>
    <w:rsid w:val="00DB5A79"/>
    <w:rsid w:val="00DB5C16"/>
    <w:rsid w:val="00DB6628"/>
    <w:rsid w:val="00DB72FC"/>
    <w:rsid w:val="00DB7857"/>
    <w:rsid w:val="00DC04F6"/>
    <w:rsid w:val="00DC0690"/>
    <w:rsid w:val="00DC10A8"/>
    <w:rsid w:val="00DC1D65"/>
    <w:rsid w:val="00DC240D"/>
    <w:rsid w:val="00DC34FD"/>
    <w:rsid w:val="00DC3C57"/>
    <w:rsid w:val="00DC4DF2"/>
    <w:rsid w:val="00DC5501"/>
    <w:rsid w:val="00DC5DC3"/>
    <w:rsid w:val="00DC5DE4"/>
    <w:rsid w:val="00DC7154"/>
    <w:rsid w:val="00DC7429"/>
    <w:rsid w:val="00DC7855"/>
    <w:rsid w:val="00DC7E8A"/>
    <w:rsid w:val="00DD0957"/>
    <w:rsid w:val="00DD0DB7"/>
    <w:rsid w:val="00DD0F78"/>
    <w:rsid w:val="00DD1634"/>
    <w:rsid w:val="00DD273C"/>
    <w:rsid w:val="00DD3129"/>
    <w:rsid w:val="00DD3F28"/>
    <w:rsid w:val="00DD4446"/>
    <w:rsid w:val="00DD4537"/>
    <w:rsid w:val="00DD4E15"/>
    <w:rsid w:val="00DE109C"/>
    <w:rsid w:val="00DE2304"/>
    <w:rsid w:val="00DE3138"/>
    <w:rsid w:val="00DE35F6"/>
    <w:rsid w:val="00DE37F8"/>
    <w:rsid w:val="00DE4273"/>
    <w:rsid w:val="00DE4FCB"/>
    <w:rsid w:val="00DE58D4"/>
    <w:rsid w:val="00DE5D07"/>
    <w:rsid w:val="00DE72A7"/>
    <w:rsid w:val="00DE7832"/>
    <w:rsid w:val="00DF18FC"/>
    <w:rsid w:val="00DF2161"/>
    <w:rsid w:val="00DF5D2B"/>
    <w:rsid w:val="00DF6341"/>
    <w:rsid w:val="00DF7063"/>
    <w:rsid w:val="00E00E8E"/>
    <w:rsid w:val="00E03202"/>
    <w:rsid w:val="00E0346A"/>
    <w:rsid w:val="00E05630"/>
    <w:rsid w:val="00E06DBB"/>
    <w:rsid w:val="00E076F5"/>
    <w:rsid w:val="00E07B80"/>
    <w:rsid w:val="00E10149"/>
    <w:rsid w:val="00E10BE0"/>
    <w:rsid w:val="00E11340"/>
    <w:rsid w:val="00E11418"/>
    <w:rsid w:val="00E11596"/>
    <w:rsid w:val="00E122A1"/>
    <w:rsid w:val="00E16372"/>
    <w:rsid w:val="00E16AD8"/>
    <w:rsid w:val="00E17FFA"/>
    <w:rsid w:val="00E20E4D"/>
    <w:rsid w:val="00E20ED6"/>
    <w:rsid w:val="00E21358"/>
    <w:rsid w:val="00E2249B"/>
    <w:rsid w:val="00E22804"/>
    <w:rsid w:val="00E22A0D"/>
    <w:rsid w:val="00E244F6"/>
    <w:rsid w:val="00E248D9"/>
    <w:rsid w:val="00E258DB"/>
    <w:rsid w:val="00E25ACA"/>
    <w:rsid w:val="00E2771E"/>
    <w:rsid w:val="00E311EF"/>
    <w:rsid w:val="00E32180"/>
    <w:rsid w:val="00E341D3"/>
    <w:rsid w:val="00E3478B"/>
    <w:rsid w:val="00E34948"/>
    <w:rsid w:val="00E37569"/>
    <w:rsid w:val="00E37ED1"/>
    <w:rsid w:val="00E401B2"/>
    <w:rsid w:val="00E41E30"/>
    <w:rsid w:val="00E42F73"/>
    <w:rsid w:val="00E4387D"/>
    <w:rsid w:val="00E43D70"/>
    <w:rsid w:val="00E443BD"/>
    <w:rsid w:val="00E45585"/>
    <w:rsid w:val="00E455B1"/>
    <w:rsid w:val="00E466F3"/>
    <w:rsid w:val="00E4680B"/>
    <w:rsid w:val="00E47B2C"/>
    <w:rsid w:val="00E51560"/>
    <w:rsid w:val="00E51821"/>
    <w:rsid w:val="00E53FC8"/>
    <w:rsid w:val="00E54347"/>
    <w:rsid w:val="00E55424"/>
    <w:rsid w:val="00E55915"/>
    <w:rsid w:val="00E55BB5"/>
    <w:rsid w:val="00E55F5C"/>
    <w:rsid w:val="00E611DF"/>
    <w:rsid w:val="00E61A6C"/>
    <w:rsid w:val="00E65E79"/>
    <w:rsid w:val="00E663B9"/>
    <w:rsid w:val="00E66BA2"/>
    <w:rsid w:val="00E67416"/>
    <w:rsid w:val="00E679C3"/>
    <w:rsid w:val="00E718B6"/>
    <w:rsid w:val="00E723BA"/>
    <w:rsid w:val="00E725DF"/>
    <w:rsid w:val="00E7271C"/>
    <w:rsid w:val="00E72AB3"/>
    <w:rsid w:val="00E73581"/>
    <w:rsid w:val="00E740FA"/>
    <w:rsid w:val="00E74A90"/>
    <w:rsid w:val="00E769F9"/>
    <w:rsid w:val="00E833F7"/>
    <w:rsid w:val="00E83BDF"/>
    <w:rsid w:val="00E86D85"/>
    <w:rsid w:val="00E86FCC"/>
    <w:rsid w:val="00E87A1D"/>
    <w:rsid w:val="00E87EAC"/>
    <w:rsid w:val="00E90390"/>
    <w:rsid w:val="00E9094A"/>
    <w:rsid w:val="00E91D35"/>
    <w:rsid w:val="00E926A5"/>
    <w:rsid w:val="00E927A0"/>
    <w:rsid w:val="00E946E4"/>
    <w:rsid w:val="00E9528C"/>
    <w:rsid w:val="00E962CC"/>
    <w:rsid w:val="00E9674C"/>
    <w:rsid w:val="00EA17C3"/>
    <w:rsid w:val="00EA2C24"/>
    <w:rsid w:val="00EA2CAA"/>
    <w:rsid w:val="00EA3864"/>
    <w:rsid w:val="00EA3C02"/>
    <w:rsid w:val="00EA6566"/>
    <w:rsid w:val="00EA7F1C"/>
    <w:rsid w:val="00EB15B6"/>
    <w:rsid w:val="00EB1DCF"/>
    <w:rsid w:val="00EB3D06"/>
    <w:rsid w:val="00EB4916"/>
    <w:rsid w:val="00EB7C31"/>
    <w:rsid w:val="00EC00C9"/>
    <w:rsid w:val="00EC0DD9"/>
    <w:rsid w:val="00EC2649"/>
    <w:rsid w:val="00EC2FF6"/>
    <w:rsid w:val="00EC31ED"/>
    <w:rsid w:val="00EC3DB3"/>
    <w:rsid w:val="00EC5836"/>
    <w:rsid w:val="00EC688C"/>
    <w:rsid w:val="00EC6D3B"/>
    <w:rsid w:val="00ED12E3"/>
    <w:rsid w:val="00ED422E"/>
    <w:rsid w:val="00ED4B04"/>
    <w:rsid w:val="00ED57EA"/>
    <w:rsid w:val="00ED5BD4"/>
    <w:rsid w:val="00EE07D3"/>
    <w:rsid w:val="00EE1996"/>
    <w:rsid w:val="00EE1C01"/>
    <w:rsid w:val="00EE22AF"/>
    <w:rsid w:val="00EE5233"/>
    <w:rsid w:val="00EE598D"/>
    <w:rsid w:val="00EF0171"/>
    <w:rsid w:val="00EF1616"/>
    <w:rsid w:val="00EF1B25"/>
    <w:rsid w:val="00EF1DA0"/>
    <w:rsid w:val="00EF4747"/>
    <w:rsid w:val="00EF4BF8"/>
    <w:rsid w:val="00EF6B11"/>
    <w:rsid w:val="00EF7A67"/>
    <w:rsid w:val="00F007F7"/>
    <w:rsid w:val="00F02253"/>
    <w:rsid w:val="00F03C2E"/>
    <w:rsid w:val="00F04A66"/>
    <w:rsid w:val="00F04A69"/>
    <w:rsid w:val="00F04B4B"/>
    <w:rsid w:val="00F0516C"/>
    <w:rsid w:val="00F067A2"/>
    <w:rsid w:val="00F07B9E"/>
    <w:rsid w:val="00F106D3"/>
    <w:rsid w:val="00F1116F"/>
    <w:rsid w:val="00F1263A"/>
    <w:rsid w:val="00F139C5"/>
    <w:rsid w:val="00F15B77"/>
    <w:rsid w:val="00F21236"/>
    <w:rsid w:val="00F239E3"/>
    <w:rsid w:val="00F24837"/>
    <w:rsid w:val="00F24AD8"/>
    <w:rsid w:val="00F2575F"/>
    <w:rsid w:val="00F25D4B"/>
    <w:rsid w:val="00F27565"/>
    <w:rsid w:val="00F30106"/>
    <w:rsid w:val="00F307B4"/>
    <w:rsid w:val="00F309C5"/>
    <w:rsid w:val="00F310D4"/>
    <w:rsid w:val="00F31D5A"/>
    <w:rsid w:val="00F33739"/>
    <w:rsid w:val="00F33975"/>
    <w:rsid w:val="00F33DE9"/>
    <w:rsid w:val="00F34876"/>
    <w:rsid w:val="00F35E6D"/>
    <w:rsid w:val="00F35EF4"/>
    <w:rsid w:val="00F3619A"/>
    <w:rsid w:val="00F37F62"/>
    <w:rsid w:val="00F403BF"/>
    <w:rsid w:val="00F40AAA"/>
    <w:rsid w:val="00F40BA7"/>
    <w:rsid w:val="00F40F9D"/>
    <w:rsid w:val="00F41ACD"/>
    <w:rsid w:val="00F45B00"/>
    <w:rsid w:val="00F46C77"/>
    <w:rsid w:val="00F46CB6"/>
    <w:rsid w:val="00F4756D"/>
    <w:rsid w:val="00F47DE8"/>
    <w:rsid w:val="00F508A3"/>
    <w:rsid w:val="00F51E38"/>
    <w:rsid w:val="00F542C1"/>
    <w:rsid w:val="00F550E3"/>
    <w:rsid w:val="00F554EC"/>
    <w:rsid w:val="00F55BB0"/>
    <w:rsid w:val="00F55E73"/>
    <w:rsid w:val="00F55EDA"/>
    <w:rsid w:val="00F56C80"/>
    <w:rsid w:val="00F56D44"/>
    <w:rsid w:val="00F57178"/>
    <w:rsid w:val="00F60092"/>
    <w:rsid w:val="00F61C18"/>
    <w:rsid w:val="00F6206B"/>
    <w:rsid w:val="00F65F4B"/>
    <w:rsid w:val="00F67A69"/>
    <w:rsid w:val="00F70BFF"/>
    <w:rsid w:val="00F70C9D"/>
    <w:rsid w:val="00F7220F"/>
    <w:rsid w:val="00F73E08"/>
    <w:rsid w:val="00F74CD9"/>
    <w:rsid w:val="00F75AED"/>
    <w:rsid w:val="00F76FF8"/>
    <w:rsid w:val="00F80A7B"/>
    <w:rsid w:val="00F80E5D"/>
    <w:rsid w:val="00F81E78"/>
    <w:rsid w:val="00F83916"/>
    <w:rsid w:val="00F84E83"/>
    <w:rsid w:val="00F851CE"/>
    <w:rsid w:val="00F91219"/>
    <w:rsid w:val="00F92444"/>
    <w:rsid w:val="00F9393E"/>
    <w:rsid w:val="00F962E7"/>
    <w:rsid w:val="00F963AA"/>
    <w:rsid w:val="00F96FD0"/>
    <w:rsid w:val="00F97A78"/>
    <w:rsid w:val="00FA0B20"/>
    <w:rsid w:val="00FA23D0"/>
    <w:rsid w:val="00FA24E7"/>
    <w:rsid w:val="00FA4B8D"/>
    <w:rsid w:val="00FA5BDE"/>
    <w:rsid w:val="00FA5EE6"/>
    <w:rsid w:val="00FA7956"/>
    <w:rsid w:val="00FB048D"/>
    <w:rsid w:val="00FB0824"/>
    <w:rsid w:val="00FB2FCB"/>
    <w:rsid w:val="00FB4C9C"/>
    <w:rsid w:val="00FB7C55"/>
    <w:rsid w:val="00FC1074"/>
    <w:rsid w:val="00FC1884"/>
    <w:rsid w:val="00FC371D"/>
    <w:rsid w:val="00FC5F0B"/>
    <w:rsid w:val="00FC63D4"/>
    <w:rsid w:val="00FC7B2E"/>
    <w:rsid w:val="00FD2100"/>
    <w:rsid w:val="00FD436C"/>
    <w:rsid w:val="00FD446D"/>
    <w:rsid w:val="00FD4F2C"/>
    <w:rsid w:val="00FD6394"/>
    <w:rsid w:val="00FE0E6C"/>
    <w:rsid w:val="00FE1CDC"/>
    <w:rsid w:val="00FE4116"/>
    <w:rsid w:val="00FE6D5E"/>
    <w:rsid w:val="00FE70C3"/>
    <w:rsid w:val="00FF1A8B"/>
    <w:rsid w:val="00FF2AD9"/>
    <w:rsid w:val="00FF31D8"/>
    <w:rsid w:val="00FF359F"/>
    <w:rsid w:val="00FF3DCF"/>
    <w:rsid w:val="00FF45D3"/>
    <w:rsid w:val="00FF492C"/>
    <w:rsid w:val="00FF4A21"/>
    <w:rsid w:val="00FF5AA3"/>
    <w:rsid w:val="00FF5AD8"/>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04407B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uiPriority="1"/>
    <w:lsdException w:name="heading 7" w:semiHidden="1" w:unhideWhenUsed="1"/>
    <w:lsdException w:name="heading 8" w:semiHidden="1" w:uiPriority="7"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qFormat="1"/>
    <w:lsdException w:name="header" w:semiHidden="1" w:unhideWhenUsed="1" w:qFormat="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B00B3"/>
    <w:pPr>
      <w:jc w:val="both"/>
    </w:pPr>
    <w:rPr>
      <w:rFonts w:ascii="Calibri" w:hAnsi="Calibri" w:cs="Arial"/>
      <w:sz w:val="24"/>
      <w:szCs w:val="24"/>
    </w:rPr>
  </w:style>
  <w:style w:type="paragraph" w:styleId="Heading1">
    <w:name w:val="heading 1"/>
    <w:basedOn w:val="Normal"/>
    <w:next w:val="Normal"/>
    <w:uiPriority w:val="1"/>
    <w:rsid w:val="001B204E"/>
    <w:pPr>
      <w:ind w:left="720" w:hanging="720"/>
      <w:outlineLvl w:val="0"/>
    </w:pPr>
    <w:rPr>
      <w:b/>
      <w:caps/>
      <w:sz w:val="32"/>
    </w:rPr>
  </w:style>
  <w:style w:type="paragraph" w:styleId="Heading2">
    <w:name w:val="heading 2"/>
    <w:basedOn w:val="Normal"/>
    <w:next w:val="Normal"/>
    <w:link w:val="Heading2Char"/>
    <w:rsid w:val="001B204E"/>
    <w:pPr>
      <w:outlineLvl w:val="1"/>
    </w:pPr>
    <w:rPr>
      <w:b/>
      <w:i/>
      <w:sz w:val="28"/>
    </w:rPr>
  </w:style>
  <w:style w:type="paragraph" w:styleId="Heading3">
    <w:name w:val="heading 3"/>
    <w:basedOn w:val="Normal"/>
    <w:next w:val="Normal"/>
    <w:rsid w:val="001F7361"/>
    <w:pPr>
      <w:outlineLvl w:val="2"/>
    </w:pPr>
    <w:rPr>
      <w:u w:val="single"/>
    </w:rPr>
  </w:style>
  <w:style w:type="paragraph" w:styleId="Heading4">
    <w:name w:val="heading 4"/>
    <w:basedOn w:val="Normal"/>
    <w:next w:val="Normal"/>
    <w:rsid w:val="00124A51"/>
    <w:pPr>
      <w:keepNext/>
      <w:spacing w:before="240" w:after="60"/>
      <w:outlineLvl w:val="3"/>
    </w:pPr>
    <w:rPr>
      <w:b/>
      <w:bCs/>
      <w:i/>
      <w:sz w:val="26"/>
      <w:szCs w:val="28"/>
    </w:rPr>
  </w:style>
  <w:style w:type="paragraph" w:styleId="Heading5">
    <w:name w:val="heading 5"/>
    <w:basedOn w:val="Normal"/>
    <w:next w:val="Normal"/>
    <w:rsid w:val="00124A51"/>
    <w:pPr>
      <w:spacing w:before="240" w:after="60"/>
      <w:outlineLvl w:val="4"/>
    </w:pPr>
    <w:rPr>
      <w:b/>
      <w:bCs/>
      <w:iCs/>
      <w:sz w:val="26"/>
      <w:szCs w:val="26"/>
    </w:rPr>
  </w:style>
  <w:style w:type="paragraph" w:styleId="Heading6">
    <w:name w:val="heading 6"/>
    <w:basedOn w:val="Normal"/>
    <w:next w:val="Normal"/>
    <w:rsid w:val="00124A51"/>
    <w:pPr>
      <w:spacing w:before="240" w:after="60"/>
      <w:outlineLvl w:val="5"/>
    </w:pPr>
    <w:rPr>
      <w:b/>
      <w:bCs/>
      <w:i/>
    </w:rPr>
  </w:style>
  <w:style w:type="paragraph" w:styleId="Heading7">
    <w:name w:val="heading 7"/>
    <w:basedOn w:val="Normal"/>
    <w:next w:val="Normal"/>
    <w:link w:val="Heading7Char"/>
    <w:rsid w:val="00124A51"/>
    <w:pPr>
      <w:keepNext/>
      <w:jc w:val="center"/>
      <w:outlineLvl w:val="6"/>
    </w:pPr>
    <w:rPr>
      <w:b/>
      <w:sz w:val="20"/>
    </w:rPr>
  </w:style>
  <w:style w:type="paragraph" w:styleId="Heading8">
    <w:name w:val="heading 8"/>
    <w:basedOn w:val="Normal"/>
    <w:next w:val="Normal"/>
    <w:link w:val="Heading8Char"/>
    <w:uiPriority w:val="7"/>
    <w:rsid w:val="00124A51"/>
    <w:pPr>
      <w:keepNext/>
      <w:jc w:val="right"/>
      <w:outlineLvl w:val="7"/>
    </w:pPr>
    <w:rPr>
      <w:b/>
    </w:rPr>
  </w:style>
  <w:style w:type="paragraph" w:styleId="Heading9">
    <w:name w:val="heading 9"/>
    <w:basedOn w:val="Normal"/>
    <w:next w:val="Normal"/>
    <w:link w:val="Heading9Char"/>
    <w:rsid w:val="00124A51"/>
    <w:pPr>
      <w:keepNext/>
      <w:jc w:val="center"/>
      <w:outlineLvl w:val="8"/>
    </w:pPr>
    <w:rPr>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sid w:val="001B204E"/>
    <w:rPr>
      <w:rFonts w:ascii="Calibri" w:hAnsi="Calibri" w:cs="Arial"/>
      <w:b/>
      <w:i/>
      <w:snapToGrid w:val="0"/>
      <w:sz w:val="28"/>
      <w:szCs w:val="22"/>
      <w:lang w:eastAsia="en-US"/>
    </w:rPr>
  </w:style>
  <w:style w:type="character" w:customStyle="1" w:styleId="Heading7Char">
    <w:name w:val="Heading 7 Char"/>
    <w:basedOn w:val="DefaultParagraphFont"/>
    <w:link w:val="Heading7"/>
    <w:rsid w:val="00124A51"/>
    <w:rPr>
      <w:rFonts w:ascii="Arial" w:hAnsi="Arial"/>
      <w:b/>
      <w:snapToGrid w:val="0"/>
      <w:lang w:eastAsia="en-US"/>
    </w:rPr>
  </w:style>
  <w:style w:type="character" w:customStyle="1" w:styleId="Heading8Char">
    <w:name w:val="Heading 8 Char"/>
    <w:basedOn w:val="DefaultParagraphFont"/>
    <w:link w:val="Heading8"/>
    <w:rsid w:val="00124A51"/>
    <w:rPr>
      <w:b/>
      <w:snapToGrid w:val="0"/>
      <w:sz w:val="24"/>
      <w:lang w:eastAsia="en-US"/>
    </w:rPr>
  </w:style>
  <w:style w:type="character" w:customStyle="1" w:styleId="Heading9Char">
    <w:name w:val="Heading 9 Char"/>
    <w:basedOn w:val="DefaultParagraphFont"/>
    <w:link w:val="Heading9"/>
    <w:rsid w:val="00124A51"/>
    <w:rPr>
      <w:rFonts w:ascii="Arial" w:hAnsi="Arial"/>
      <w:b/>
      <w:snapToGrid w:val="0"/>
      <w:color w:val="000000"/>
      <w:lang w:eastAsia="en-US"/>
    </w:rPr>
  </w:style>
  <w:style w:type="paragraph" w:customStyle="1" w:styleId="TableFooter">
    <w:name w:val="Table Footer"/>
    <w:basedOn w:val="Normal"/>
    <w:link w:val="TableFooterChar"/>
    <w:qFormat/>
    <w:rsid w:val="00E2771E"/>
    <w:rPr>
      <w:rFonts w:ascii="Arial Narrow" w:hAnsi="Arial Narrow"/>
      <w:sz w:val="18"/>
    </w:rPr>
  </w:style>
  <w:style w:type="character" w:customStyle="1" w:styleId="TableFooterChar">
    <w:name w:val="Table Footer Char"/>
    <w:link w:val="TableFooter"/>
    <w:rsid w:val="00322846"/>
    <w:rPr>
      <w:rFonts w:ascii="Arial Narrow" w:hAnsi="Arial Narrow" w:cs="Arial"/>
      <w:snapToGrid w:val="0"/>
      <w:sz w:val="18"/>
      <w:lang w:eastAsia="en-US"/>
    </w:rPr>
  </w:style>
  <w:style w:type="paragraph" w:customStyle="1" w:styleId="TableHeader">
    <w:name w:val="Table Header"/>
    <w:basedOn w:val="Normal"/>
    <w:uiPriority w:val="3"/>
    <w:rsid w:val="000D1BFC"/>
    <w:rPr>
      <w:b/>
      <w:sz w:val="20"/>
    </w:rPr>
  </w:style>
  <w:style w:type="paragraph" w:styleId="Caption">
    <w:name w:val="caption"/>
    <w:aliases w:val="Caption Char1 Char,Caption Char Char Char,Caption Char1 Char Char Char,Caption Char Char Char Char Char,Caption Char Char1 Char,Caption Char1 Char1,Caption Char Char Char1,Caption Char1,Caption Char Char,Bayer Caption,IB Caption,Medical Caption"/>
    <w:basedOn w:val="Normal"/>
    <w:next w:val="Normal"/>
    <w:link w:val="CaptionChar"/>
    <w:unhideWhenUsed/>
    <w:qFormat/>
    <w:rsid w:val="00E16AD8"/>
    <w:pPr>
      <w:keepNext/>
      <w:keepLines/>
    </w:pPr>
    <w:rPr>
      <w:rFonts w:ascii="Arial Narrow" w:hAnsi="Arial Narrow"/>
      <w:b/>
      <w:bCs/>
      <w:sz w:val="20"/>
      <w:szCs w:val="18"/>
    </w:rPr>
  </w:style>
  <w:style w:type="character" w:customStyle="1" w:styleId="CaptionChar">
    <w:name w:val="Caption Char"/>
    <w:aliases w:val="Caption Char1 Char Char,Caption Char Char Char Char,Caption Char1 Char Char Char Char,Caption Char Char Char Char Char Char,Caption Char Char1 Char Char,Caption Char1 Char1 Char,Caption Char Char Char1 Char,Caption Char1 Char2"/>
    <w:link w:val="Caption"/>
    <w:rsid w:val="00E16AD8"/>
    <w:rPr>
      <w:rFonts w:ascii="Arial Narrow" w:hAnsi="Arial Narrow" w:cs="Arial"/>
      <w:b/>
      <w:bCs/>
      <w:szCs w:val="18"/>
    </w:rPr>
  </w:style>
  <w:style w:type="paragraph" w:styleId="Title">
    <w:name w:val="Title"/>
    <w:basedOn w:val="Normal"/>
    <w:next w:val="Normal"/>
    <w:link w:val="TitleChar"/>
    <w:rsid w:val="00124A51"/>
    <w:pPr>
      <w:spacing w:before="240" w:after="60"/>
      <w:jc w:val="center"/>
      <w:outlineLvl w:val="0"/>
    </w:pPr>
    <w:rPr>
      <w:rFonts w:ascii="Cambria" w:hAnsi="Cambria"/>
      <w:b/>
      <w:bCs/>
      <w:kern w:val="28"/>
      <w:sz w:val="32"/>
      <w:szCs w:val="32"/>
    </w:rPr>
  </w:style>
  <w:style w:type="character" w:customStyle="1" w:styleId="TitleChar">
    <w:name w:val="Title Char"/>
    <w:basedOn w:val="DefaultParagraphFont"/>
    <w:link w:val="Title"/>
    <w:rsid w:val="00124A51"/>
    <w:rPr>
      <w:rFonts w:ascii="Cambria" w:hAnsi="Cambria"/>
      <w:b/>
      <w:bCs/>
      <w:snapToGrid w:val="0"/>
      <w:kern w:val="28"/>
      <w:sz w:val="32"/>
      <w:szCs w:val="32"/>
      <w:lang w:eastAsia="en-US"/>
    </w:rPr>
  </w:style>
  <w:style w:type="paragraph" w:styleId="BodyText">
    <w:name w:val="Body Text"/>
    <w:basedOn w:val="Normal"/>
    <w:link w:val="BodyTextChar"/>
    <w:rsid w:val="004B3DDB"/>
    <w:pPr>
      <w:jc w:val="left"/>
    </w:pPr>
  </w:style>
  <w:style w:type="character" w:customStyle="1" w:styleId="BodyTextChar">
    <w:name w:val="Body Text Char"/>
    <w:basedOn w:val="DefaultParagraphFont"/>
    <w:link w:val="BodyText"/>
    <w:rsid w:val="004B3DDB"/>
    <w:rPr>
      <w:rFonts w:ascii="Arial" w:hAnsi="Arial" w:cs="Arial"/>
      <w:snapToGrid w:val="0"/>
      <w:sz w:val="22"/>
      <w:lang w:eastAsia="en-US"/>
    </w:rPr>
  </w:style>
  <w:style w:type="paragraph" w:styleId="ListParagraph">
    <w:name w:val="List Paragraph"/>
    <w:aliases w:val="Body Text Bullet Points,Numbered para,BulletPoints,List Paragraph1,Bullet point,List Paragraph11,Recommendation,Section heading,Footnote,1. Bullet Blank,Bullet1,Bulleted - 2,Bullets Points,ES Paragraph,PBAC ES Paragraph,PBAC normal points"/>
    <w:next w:val="ListBullet"/>
    <w:link w:val="ListParagraphChar"/>
    <w:uiPriority w:val="34"/>
    <w:qFormat/>
    <w:rsid w:val="00BB00B3"/>
    <w:pPr>
      <w:numPr>
        <w:numId w:val="3"/>
      </w:numPr>
      <w:spacing w:after="120"/>
      <w:jc w:val="both"/>
    </w:pPr>
    <w:rPr>
      <w:rFonts w:asciiTheme="minorHAnsi" w:hAnsiTheme="minorHAnsi" w:cs="Arial"/>
      <w:snapToGrid w:val="0"/>
      <w:sz w:val="24"/>
      <w:szCs w:val="24"/>
    </w:rPr>
  </w:style>
  <w:style w:type="character" w:customStyle="1" w:styleId="ListParagraphChar">
    <w:name w:val="List Paragraph Char"/>
    <w:aliases w:val="Body Text Bullet Points Char,Numbered para Char,BulletPoints Char,List Paragraph1 Char,Bullet point Char,List Paragraph11 Char,Recommendation Char,Section heading Char,Footnote Char,1. Bullet Blank Char,Bullet1 Char,Bulleted - 2 Char"/>
    <w:basedOn w:val="DefaultParagraphFont"/>
    <w:link w:val="ListParagraph"/>
    <w:uiPriority w:val="34"/>
    <w:qFormat/>
    <w:locked/>
    <w:rsid w:val="00BB00B3"/>
    <w:rPr>
      <w:rFonts w:asciiTheme="minorHAnsi" w:hAnsiTheme="minorHAnsi" w:cs="Arial"/>
      <w:snapToGrid w:val="0"/>
      <w:sz w:val="24"/>
      <w:szCs w:val="24"/>
    </w:rPr>
  </w:style>
  <w:style w:type="paragraph" w:customStyle="1" w:styleId="RegularText">
    <w:name w:val="Regular Text"/>
    <w:basedOn w:val="BodyText"/>
    <w:link w:val="RegularTextChar"/>
    <w:rsid w:val="00124A51"/>
    <w:rPr>
      <w:b/>
    </w:rPr>
  </w:style>
  <w:style w:type="character" w:customStyle="1" w:styleId="RegularTextChar">
    <w:name w:val="Regular Text Char"/>
    <w:basedOn w:val="BodyTextChar"/>
    <w:link w:val="RegularText"/>
    <w:rsid w:val="00124A51"/>
    <w:rPr>
      <w:rFonts w:ascii="Arial" w:hAnsi="Arial" w:cs="Arial"/>
      <w:b/>
      <w:snapToGrid w:val="0"/>
      <w:sz w:val="22"/>
      <w:lang w:eastAsia="en-US"/>
    </w:rPr>
  </w:style>
  <w:style w:type="paragraph" w:styleId="NoSpacing">
    <w:name w:val="No Spacing"/>
    <w:uiPriority w:val="1"/>
    <w:rsid w:val="00124A51"/>
    <w:pPr>
      <w:widowControl w:val="0"/>
      <w:jc w:val="both"/>
    </w:pPr>
    <w:rPr>
      <w:rFonts w:ascii="Arial" w:hAnsi="Arial" w:cs="Arial"/>
      <w:snapToGrid w:val="0"/>
      <w:sz w:val="22"/>
      <w:lang w:eastAsia="en-US"/>
    </w:rPr>
  </w:style>
  <w:style w:type="paragraph" w:styleId="Header">
    <w:name w:val="header"/>
    <w:aliases w:val="Page Header,Header title,he=header,cntr/bld"/>
    <w:basedOn w:val="Normal"/>
    <w:link w:val="HeaderChar"/>
    <w:qFormat/>
    <w:rsid w:val="00EE1996"/>
    <w:pPr>
      <w:keepNext/>
      <w:tabs>
        <w:tab w:val="center" w:pos="4513"/>
        <w:tab w:val="right" w:pos="9026"/>
      </w:tabs>
      <w:jc w:val="center"/>
    </w:pPr>
  </w:style>
  <w:style w:type="character" w:customStyle="1" w:styleId="HeaderChar">
    <w:name w:val="Header Char"/>
    <w:aliases w:val="Page Header Char,Header title Char,he=header Char,cntr/bld Char"/>
    <w:basedOn w:val="DefaultParagraphFont"/>
    <w:link w:val="Header"/>
    <w:rsid w:val="00EE1996"/>
    <w:rPr>
      <w:rFonts w:ascii="Calibri" w:hAnsi="Calibri" w:cs="Arial"/>
      <w:sz w:val="24"/>
      <w:szCs w:val="24"/>
    </w:rPr>
  </w:style>
  <w:style w:type="paragraph" w:styleId="Footer">
    <w:name w:val="footer"/>
    <w:basedOn w:val="Normal"/>
    <w:link w:val="FooterChar"/>
    <w:uiPriority w:val="99"/>
    <w:rsid w:val="00124A51"/>
    <w:pPr>
      <w:tabs>
        <w:tab w:val="center" w:pos="4513"/>
        <w:tab w:val="right" w:pos="9026"/>
      </w:tabs>
    </w:pPr>
  </w:style>
  <w:style w:type="character" w:customStyle="1" w:styleId="FooterChar">
    <w:name w:val="Footer Char"/>
    <w:basedOn w:val="DefaultParagraphFont"/>
    <w:link w:val="Footer"/>
    <w:uiPriority w:val="99"/>
    <w:rsid w:val="00124A51"/>
    <w:rPr>
      <w:rFonts w:ascii="Arial" w:hAnsi="Arial" w:cs="Arial"/>
      <w:snapToGrid w:val="0"/>
      <w:sz w:val="22"/>
      <w:lang w:eastAsia="en-US"/>
    </w:rPr>
  </w:style>
  <w:style w:type="table" w:styleId="TableGrid">
    <w:name w:val="Table Grid"/>
    <w:aliases w:val="Summary box,Table Gridbeth,CMA Table Template,ASD Table,PBAC table,new style,MSD Table Grid,RTI AMCP Table,Source table_,NICE instructions,PHE Table Grid,Lash Style Table,HTAtableplain,Dossier table,Section 3- footnotes,Summary Table"/>
    <w:basedOn w:val="TableNormal"/>
    <w:uiPriority w:val="39"/>
    <w:rsid w:val="004B3D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aliases w:val="Table Title,-H18,Annotationmark,Table HEADER PBAC"/>
    <w:uiPriority w:val="99"/>
    <w:qFormat/>
    <w:rsid w:val="001E30D4"/>
    <w:rPr>
      <w:rFonts w:ascii="Arial Narrow" w:hAnsi="Arial Narrow"/>
      <w:b/>
      <w:sz w:val="20"/>
      <w:szCs w:val="16"/>
    </w:rPr>
  </w:style>
  <w:style w:type="paragraph" w:customStyle="1" w:styleId="Tabletext">
    <w:name w:val="Table text"/>
    <w:basedOn w:val="Normal"/>
    <w:link w:val="TabletextChar"/>
    <w:qFormat/>
    <w:rsid w:val="00A518F3"/>
    <w:pPr>
      <w:jc w:val="left"/>
    </w:pPr>
    <w:rPr>
      <w:rFonts w:ascii="Arial Narrow" w:hAnsi="Arial Narrow" w:cs="Times New Roman"/>
      <w:snapToGrid w:val="0"/>
      <w:sz w:val="20"/>
    </w:rPr>
  </w:style>
  <w:style w:type="character" w:customStyle="1" w:styleId="TabletextChar">
    <w:name w:val="Table text Char"/>
    <w:link w:val="Tabletext"/>
    <w:rsid w:val="00A518F3"/>
    <w:rPr>
      <w:rFonts w:ascii="Arial Narrow" w:hAnsi="Arial Narrow"/>
      <w:lang w:eastAsia="en-US"/>
    </w:rPr>
  </w:style>
  <w:style w:type="paragraph" w:customStyle="1" w:styleId="TableHeading">
    <w:name w:val="TableHeading"/>
    <w:basedOn w:val="Normal"/>
    <w:rsid w:val="00A56B6A"/>
    <w:pPr>
      <w:keepNext/>
      <w:spacing w:before="40" w:after="40"/>
      <w:jc w:val="left"/>
    </w:pPr>
    <w:rPr>
      <w:rFonts w:ascii="Arial Narrow" w:hAnsi="Arial Narrow" w:cs="Arial Narrow"/>
      <w:b/>
      <w:bCs/>
      <w:snapToGrid w:val="0"/>
      <w:sz w:val="20"/>
    </w:rPr>
  </w:style>
  <w:style w:type="paragraph" w:customStyle="1" w:styleId="Corpsdetextemarge">
    <w:name w:val="Corps de texte marge"/>
    <w:basedOn w:val="BodyText"/>
    <w:uiPriority w:val="99"/>
    <w:rsid w:val="008F48EB"/>
    <w:pPr>
      <w:jc w:val="both"/>
    </w:pPr>
    <w:rPr>
      <w:rFonts w:ascii="Times" w:hAnsi="Times" w:cs="Times New Roman"/>
      <w:snapToGrid w:val="0"/>
      <w:lang w:val="en-US"/>
    </w:rPr>
  </w:style>
  <w:style w:type="paragraph" w:styleId="NormalWeb">
    <w:name w:val="Normal (Web)"/>
    <w:basedOn w:val="Normal"/>
    <w:uiPriority w:val="99"/>
    <w:rsid w:val="008F48EB"/>
    <w:pPr>
      <w:spacing w:before="100" w:after="100"/>
      <w:jc w:val="left"/>
    </w:pPr>
    <w:rPr>
      <w:rFonts w:ascii="Times New Roman" w:hAnsi="Times New Roman" w:cs="Times New Roman"/>
      <w:snapToGrid w:val="0"/>
      <w:lang w:val="en-GB"/>
    </w:rPr>
  </w:style>
  <w:style w:type="paragraph" w:styleId="TOC2">
    <w:name w:val="toc 2"/>
    <w:basedOn w:val="Normal"/>
    <w:next w:val="Normal"/>
    <w:autoRedefine/>
    <w:uiPriority w:val="39"/>
    <w:rsid w:val="0009262B"/>
    <w:pPr>
      <w:tabs>
        <w:tab w:val="left" w:pos="713"/>
        <w:tab w:val="left" w:pos="880"/>
        <w:tab w:val="right" w:leader="dot" w:pos="9016"/>
      </w:tabs>
      <w:spacing w:before="40"/>
      <w:ind w:left="221"/>
      <w:jc w:val="left"/>
    </w:pPr>
    <w:rPr>
      <w:iCs/>
      <w:sz w:val="20"/>
    </w:rPr>
  </w:style>
  <w:style w:type="paragraph" w:styleId="TOC1">
    <w:name w:val="toc 1"/>
    <w:basedOn w:val="Normal"/>
    <w:next w:val="Normal"/>
    <w:autoRedefine/>
    <w:uiPriority w:val="39"/>
    <w:rsid w:val="00645A2A"/>
    <w:pPr>
      <w:tabs>
        <w:tab w:val="left" w:pos="440"/>
        <w:tab w:val="right" w:leader="dot" w:pos="9016"/>
      </w:tabs>
      <w:spacing w:after="120"/>
      <w:jc w:val="left"/>
    </w:pPr>
    <w:rPr>
      <w:bCs/>
      <w:sz w:val="20"/>
    </w:rPr>
  </w:style>
  <w:style w:type="character" w:styleId="Hyperlink">
    <w:name w:val="Hyperlink"/>
    <w:basedOn w:val="DefaultParagraphFont"/>
    <w:uiPriority w:val="99"/>
    <w:unhideWhenUsed/>
    <w:rsid w:val="00621477"/>
    <w:rPr>
      <w:color w:val="0000FF" w:themeColor="hyperlink"/>
      <w:u w:val="single"/>
    </w:rPr>
  </w:style>
  <w:style w:type="paragraph" w:styleId="TOCHeading">
    <w:name w:val="TOC Heading"/>
    <w:basedOn w:val="Heading1"/>
    <w:next w:val="Normal"/>
    <w:uiPriority w:val="39"/>
    <w:unhideWhenUsed/>
    <w:rsid w:val="00CE6274"/>
    <w:pPr>
      <w:keepNext/>
      <w:keepLines/>
      <w:spacing w:before="480" w:line="276" w:lineRule="auto"/>
      <w:ind w:left="0" w:firstLine="0"/>
      <w:jc w:val="left"/>
      <w:outlineLvl w:val="9"/>
    </w:pPr>
    <w:rPr>
      <w:rFonts w:asciiTheme="majorHAnsi" w:eastAsiaTheme="majorEastAsia" w:hAnsiTheme="majorHAnsi" w:cstheme="majorBidi"/>
      <w:bCs/>
      <w:snapToGrid w:val="0"/>
      <w:color w:val="365F91" w:themeColor="accent1" w:themeShade="BF"/>
      <w:sz w:val="28"/>
      <w:szCs w:val="28"/>
      <w:lang w:val="en-US" w:eastAsia="ja-JP"/>
    </w:rPr>
  </w:style>
  <w:style w:type="paragraph" w:styleId="TOC3">
    <w:name w:val="toc 3"/>
    <w:basedOn w:val="Normal"/>
    <w:next w:val="Normal"/>
    <w:autoRedefine/>
    <w:uiPriority w:val="39"/>
    <w:unhideWhenUsed/>
    <w:rsid w:val="00CE6274"/>
    <w:pPr>
      <w:ind w:left="440"/>
      <w:jc w:val="left"/>
    </w:pPr>
    <w:rPr>
      <w:rFonts w:asciiTheme="minorHAnsi" w:hAnsiTheme="minorHAnsi"/>
      <w:sz w:val="20"/>
    </w:rPr>
  </w:style>
  <w:style w:type="paragraph" w:styleId="TOC4">
    <w:name w:val="toc 4"/>
    <w:basedOn w:val="Normal"/>
    <w:next w:val="Normal"/>
    <w:autoRedefine/>
    <w:rsid w:val="00D0262E"/>
    <w:pPr>
      <w:ind w:left="660"/>
      <w:jc w:val="left"/>
    </w:pPr>
    <w:rPr>
      <w:rFonts w:asciiTheme="minorHAnsi" w:hAnsiTheme="minorHAnsi"/>
      <w:sz w:val="20"/>
    </w:rPr>
  </w:style>
  <w:style w:type="paragraph" w:styleId="TOC5">
    <w:name w:val="toc 5"/>
    <w:basedOn w:val="Normal"/>
    <w:next w:val="Normal"/>
    <w:autoRedefine/>
    <w:rsid w:val="00D0262E"/>
    <w:pPr>
      <w:ind w:left="880"/>
      <w:jc w:val="left"/>
    </w:pPr>
    <w:rPr>
      <w:rFonts w:asciiTheme="minorHAnsi" w:hAnsiTheme="minorHAnsi"/>
      <w:sz w:val="20"/>
    </w:rPr>
  </w:style>
  <w:style w:type="paragraph" w:styleId="TOC6">
    <w:name w:val="toc 6"/>
    <w:basedOn w:val="Normal"/>
    <w:next w:val="Normal"/>
    <w:autoRedefine/>
    <w:rsid w:val="00D0262E"/>
    <w:pPr>
      <w:ind w:left="1100"/>
      <w:jc w:val="left"/>
    </w:pPr>
    <w:rPr>
      <w:rFonts w:asciiTheme="minorHAnsi" w:hAnsiTheme="minorHAnsi"/>
      <w:sz w:val="20"/>
    </w:rPr>
  </w:style>
  <w:style w:type="paragraph" w:styleId="TOC7">
    <w:name w:val="toc 7"/>
    <w:basedOn w:val="Normal"/>
    <w:next w:val="Normal"/>
    <w:autoRedefine/>
    <w:rsid w:val="00D0262E"/>
    <w:pPr>
      <w:ind w:left="1320"/>
      <w:jc w:val="left"/>
    </w:pPr>
    <w:rPr>
      <w:rFonts w:asciiTheme="minorHAnsi" w:hAnsiTheme="minorHAnsi"/>
      <w:sz w:val="20"/>
    </w:rPr>
  </w:style>
  <w:style w:type="paragraph" w:styleId="TOC8">
    <w:name w:val="toc 8"/>
    <w:basedOn w:val="Normal"/>
    <w:next w:val="Normal"/>
    <w:autoRedefine/>
    <w:rsid w:val="00D0262E"/>
    <w:pPr>
      <w:ind w:left="1540"/>
      <w:jc w:val="left"/>
    </w:pPr>
    <w:rPr>
      <w:rFonts w:asciiTheme="minorHAnsi" w:hAnsiTheme="minorHAnsi"/>
      <w:sz w:val="20"/>
    </w:rPr>
  </w:style>
  <w:style w:type="paragraph" w:styleId="TOC9">
    <w:name w:val="toc 9"/>
    <w:basedOn w:val="Normal"/>
    <w:next w:val="Normal"/>
    <w:autoRedefine/>
    <w:rsid w:val="00D0262E"/>
    <w:pPr>
      <w:ind w:left="1760"/>
      <w:jc w:val="left"/>
    </w:pPr>
    <w:rPr>
      <w:rFonts w:asciiTheme="minorHAnsi" w:hAnsiTheme="minorHAnsi"/>
      <w:sz w:val="20"/>
    </w:rPr>
  </w:style>
  <w:style w:type="paragraph" w:styleId="CommentText">
    <w:name w:val="annotation text"/>
    <w:aliases w:val="Comment Text Char Char Char,Comment Text Char Char,- H19,Comment Text Char2,Comment Text Char Char1,Comment Text Char2 Char Char,Comment Text Char Char1 Char Char,Comment Text Char2 Char Char Char Char"/>
    <w:basedOn w:val="Normal"/>
    <w:link w:val="CommentTextChar"/>
    <w:qFormat/>
    <w:rsid w:val="00FD2100"/>
    <w:rPr>
      <w:rFonts w:ascii="Times New Roman" w:hAnsi="Times New Roman" w:cs="Times New Roman"/>
      <w:sz w:val="20"/>
    </w:rPr>
  </w:style>
  <w:style w:type="character" w:customStyle="1" w:styleId="CommentTextChar">
    <w:name w:val="Comment Text Char"/>
    <w:aliases w:val="Comment Text Char Char Char Char,Comment Text Char Char Char1,- H19 Char,Comment Text Char2 Char,Comment Text Char Char1 Char,Comment Text Char2 Char Char Char,Comment Text Char Char1 Char Char Char"/>
    <w:basedOn w:val="DefaultParagraphFont"/>
    <w:link w:val="CommentText"/>
    <w:rsid w:val="00FD2100"/>
    <w:rPr>
      <w:snapToGrid w:val="0"/>
      <w:lang w:eastAsia="en-US"/>
    </w:rPr>
  </w:style>
  <w:style w:type="paragraph" w:customStyle="1" w:styleId="Bulletpoints">
    <w:name w:val="Bullet points"/>
    <w:basedOn w:val="ListParagraph"/>
    <w:qFormat/>
    <w:rsid w:val="00BC7C0F"/>
    <w:pPr>
      <w:numPr>
        <w:numId w:val="2"/>
      </w:numPr>
      <w:spacing w:before="120"/>
      <w:ind w:left="993" w:hanging="284"/>
    </w:pPr>
    <w:rPr>
      <w:iCs/>
    </w:rPr>
  </w:style>
  <w:style w:type="paragraph" w:customStyle="1" w:styleId="TableName">
    <w:name w:val="TableName"/>
    <w:basedOn w:val="Normal"/>
    <w:rsid w:val="00CA7B09"/>
    <w:pPr>
      <w:keepNext/>
      <w:spacing w:before="120" w:after="120"/>
      <w:ind w:left="1800" w:hanging="1080"/>
      <w:jc w:val="left"/>
    </w:pPr>
    <w:rPr>
      <w:rFonts w:ascii="Arial Narrow" w:hAnsi="Arial Narrow" w:cs="Arial Narrow"/>
      <w:b/>
      <w:bCs/>
      <w:snapToGrid w:val="0"/>
    </w:rPr>
  </w:style>
  <w:style w:type="paragraph" w:customStyle="1" w:styleId="TableNotes18">
    <w:name w:val="TableNotes+18"/>
    <w:basedOn w:val="Normal"/>
    <w:rsid w:val="002C5099"/>
    <w:pPr>
      <w:keepLines/>
      <w:spacing w:after="360"/>
      <w:ind w:left="720"/>
      <w:jc w:val="left"/>
    </w:pPr>
    <w:rPr>
      <w:rFonts w:ascii="Arial Narrow" w:hAnsi="Arial Narrow" w:cs="Arial Narrow"/>
      <w:snapToGrid w:val="0"/>
      <w:sz w:val="18"/>
      <w:szCs w:val="18"/>
    </w:rPr>
  </w:style>
  <w:style w:type="paragraph" w:customStyle="1" w:styleId="TableNotes0">
    <w:name w:val="TableNotes+0"/>
    <w:basedOn w:val="TableNotes18"/>
    <w:rsid w:val="00CA7B09"/>
    <w:pPr>
      <w:keepNext/>
      <w:spacing w:after="0"/>
    </w:pPr>
  </w:style>
  <w:style w:type="paragraph" w:styleId="CommentSubject">
    <w:name w:val="annotation subject"/>
    <w:basedOn w:val="CommentText"/>
    <w:next w:val="CommentText"/>
    <w:link w:val="CommentSubjectChar"/>
    <w:rsid w:val="004319F8"/>
    <w:rPr>
      <w:rFonts w:ascii="Arial" w:hAnsi="Arial" w:cs="Arial"/>
      <w:b/>
      <w:bCs/>
    </w:rPr>
  </w:style>
  <w:style w:type="character" w:customStyle="1" w:styleId="CommentSubjectChar">
    <w:name w:val="Comment Subject Char"/>
    <w:basedOn w:val="CommentTextChar"/>
    <w:link w:val="CommentSubject"/>
    <w:rsid w:val="004319F8"/>
    <w:rPr>
      <w:rFonts w:ascii="Arial" w:hAnsi="Arial" w:cs="Arial"/>
      <w:b/>
      <w:bCs/>
      <w:snapToGrid w:val="0"/>
      <w:lang w:eastAsia="en-US"/>
    </w:rPr>
  </w:style>
  <w:style w:type="paragraph" w:styleId="Revision">
    <w:name w:val="Revision"/>
    <w:hidden/>
    <w:uiPriority w:val="99"/>
    <w:semiHidden/>
    <w:rsid w:val="00043C37"/>
    <w:rPr>
      <w:rFonts w:ascii="Arial" w:hAnsi="Arial" w:cs="Arial"/>
      <w:snapToGrid w:val="0"/>
      <w:sz w:val="22"/>
      <w:lang w:eastAsia="en-US"/>
    </w:rPr>
  </w:style>
  <w:style w:type="paragraph" w:styleId="BodyTextIndent">
    <w:name w:val="Body Text Indent"/>
    <w:basedOn w:val="Normal"/>
    <w:link w:val="BodyTextIndentChar"/>
    <w:rsid w:val="00E41E30"/>
    <w:pPr>
      <w:spacing w:after="120"/>
      <w:ind w:left="283"/>
    </w:pPr>
  </w:style>
  <w:style w:type="character" w:customStyle="1" w:styleId="BodyTextIndentChar">
    <w:name w:val="Body Text Indent Char"/>
    <w:basedOn w:val="DefaultParagraphFont"/>
    <w:link w:val="BodyTextIndent"/>
    <w:rsid w:val="00E41E30"/>
    <w:rPr>
      <w:rFonts w:ascii="Arial" w:hAnsi="Arial" w:cs="Arial"/>
      <w:snapToGrid w:val="0"/>
      <w:sz w:val="22"/>
      <w:lang w:eastAsia="en-US"/>
    </w:rPr>
  </w:style>
  <w:style w:type="paragraph" w:customStyle="1" w:styleId="Char1CharCharChar">
    <w:name w:val="Char1 Char Char Char"/>
    <w:basedOn w:val="Normal"/>
    <w:rsid w:val="00B94945"/>
    <w:pPr>
      <w:spacing w:after="160" w:line="240" w:lineRule="exact"/>
      <w:jc w:val="left"/>
    </w:pPr>
    <w:rPr>
      <w:rFonts w:ascii="Verdana" w:eastAsia="MS Mincho" w:hAnsi="Verdana" w:cs="Verdana"/>
      <w:snapToGrid w:val="0"/>
      <w:sz w:val="20"/>
      <w:lang w:val="en-US"/>
    </w:rPr>
  </w:style>
  <w:style w:type="character" w:customStyle="1" w:styleId="SubtitleChar">
    <w:name w:val="Subtitle Char"/>
    <w:link w:val="Subtitle"/>
    <w:rsid w:val="00B50DB8"/>
    <w:rPr>
      <w:lang w:eastAsia="en-US"/>
    </w:rPr>
  </w:style>
  <w:style w:type="paragraph" w:styleId="Subtitle">
    <w:name w:val="Subtitle"/>
    <w:basedOn w:val="Normal"/>
    <w:link w:val="SubtitleChar"/>
    <w:rsid w:val="00B50DB8"/>
    <w:rPr>
      <w:rFonts w:ascii="Times New Roman" w:hAnsi="Times New Roman" w:cs="Times New Roman"/>
      <w:snapToGrid w:val="0"/>
      <w:sz w:val="20"/>
    </w:rPr>
  </w:style>
  <w:style w:type="character" w:customStyle="1" w:styleId="SubtitleChar1">
    <w:name w:val="Subtitle Char1"/>
    <w:basedOn w:val="DefaultParagraphFont"/>
    <w:rsid w:val="00B50DB8"/>
    <w:rPr>
      <w:rFonts w:asciiTheme="majorHAnsi" w:eastAsiaTheme="majorEastAsia" w:hAnsiTheme="majorHAnsi" w:cstheme="majorBidi"/>
      <w:i/>
      <w:iCs/>
      <w:snapToGrid w:val="0"/>
      <w:color w:val="4F81BD" w:themeColor="accent1"/>
      <w:spacing w:val="15"/>
      <w:sz w:val="24"/>
      <w:szCs w:val="24"/>
      <w:lang w:eastAsia="en-US"/>
    </w:rPr>
  </w:style>
  <w:style w:type="paragraph" w:customStyle="1" w:styleId="PBACHeading1">
    <w:name w:val="PBAC Heading 1"/>
    <w:qFormat/>
    <w:rsid w:val="003C5542"/>
    <w:pPr>
      <w:outlineLvl w:val="0"/>
    </w:pPr>
    <w:rPr>
      <w:rFonts w:ascii="Calibri" w:hAnsi="Calibri" w:cs="Arial"/>
      <w:b/>
      <w:snapToGrid w:val="0"/>
      <w:sz w:val="32"/>
      <w:szCs w:val="22"/>
      <w:lang w:eastAsia="en-US"/>
    </w:rPr>
  </w:style>
  <w:style w:type="table" w:customStyle="1" w:styleId="PlainTable21">
    <w:name w:val="Plain Table 21"/>
    <w:basedOn w:val="TableNormal"/>
    <w:uiPriority w:val="42"/>
    <w:rsid w:val="00FF5AD8"/>
    <w:rPr>
      <w:rFonts w:asciiTheme="minorHAnsi" w:eastAsiaTheme="minorHAnsi" w:hAnsiTheme="minorHAnsi" w:cstheme="minorBidi"/>
      <w:sz w:val="22"/>
      <w:szCs w:val="22"/>
      <w:lang w:eastAsia="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FollowedHyperlink">
    <w:name w:val="FollowedHyperlink"/>
    <w:basedOn w:val="DefaultParagraphFont"/>
    <w:semiHidden/>
    <w:unhideWhenUsed/>
    <w:rsid w:val="00536F42"/>
    <w:rPr>
      <w:color w:val="800080" w:themeColor="followedHyperlink"/>
      <w:u w:val="single"/>
    </w:rPr>
  </w:style>
  <w:style w:type="character" w:styleId="PageNumber">
    <w:name w:val="page number"/>
    <w:basedOn w:val="DefaultParagraphFont"/>
    <w:semiHidden/>
    <w:unhideWhenUsed/>
    <w:rsid w:val="00953257"/>
  </w:style>
  <w:style w:type="paragraph" w:customStyle="1" w:styleId="Commentitalics">
    <w:name w:val="Comment (italics)"/>
    <w:basedOn w:val="Normal"/>
    <w:next w:val="Normal"/>
    <w:rsid w:val="00B53654"/>
    <w:rPr>
      <w:i/>
    </w:rPr>
  </w:style>
  <w:style w:type="paragraph" w:styleId="BalloonText">
    <w:name w:val="Balloon Text"/>
    <w:basedOn w:val="Normal"/>
    <w:link w:val="BalloonTextChar"/>
    <w:semiHidden/>
    <w:unhideWhenUsed/>
    <w:rsid w:val="00B34FE2"/>
    <w:rPr>
      <w:rFonts w:ascii="Tahoma" w:hAnsi="Tahoma" w:cs="Tahoma"/>
      <w:sz w:val="16"/>
      <w:szCs w:val="16"/>
    </w:rPr>
  </w:style>
  <w:style w:type="character" w:customStyle="1" w:styleId="BalloonTextChar">
    <w:name w:val="Balloon Text Char"/>
    <w:basedOn w:val="DefaultParagraphFont"/>
    <w:link w:val="BalloonText"/>
    <w:semiHidden/>
    <w:rsid w:val="00B34FE2"/>
    <w:rPr>
      <w:rFonts w:ascii="Tahoma" w:hAnsi="Tahoma" w:cs="Tahoma"/>
      <w:snapToGrid w:val="0"/>
      <w:sz w:val="16"/>
      <w:szCs w:val="16"/>
      <w:lang w:eastAsia="en-US"/>
    </w:rPr>
  </w:style>
  <w:style w:type="paragraph" w:customStyle="1" w:styleId="TableText0">
    <w:name w:val="Table Text"/>
    <w:link w:val="TableTextChar0"/>
    <w:qFormat/>
    <w:rsid w:val="00EE1996"/>
    <w:pPr>
      <w:keepNext/>
    </w:pPr>
    <w:rPr>
      <w:rFonts w:ascii="Arial Narrow" w:eastAsiaTheme="majorEastAsia" w:hAnsi="Arial Narrow" w:cstheme="majorBidi"/>
      <w:bCs/>
      <w:szCs w:val="24"/>
    </w:rPr>
  </w:style>
  <w:style w:type="paragraph" w:customStyle="1" w:styleId="V50Tablename">
    <w:name w:val="V5.0 Table name"/>
    <w:basedOn w:val="Normal"/>
    <w:link w:val="V50TablenameChar"/>
    <w:rsid w:val="001A178E"/>
    <w:pPr>
      <w:keepNext/>
      <w:jc w:val="left"/>
    </w:pPr>
    <w:rPr>
      <w:rFonts w:asciiTheme="minorHAnsi" w:eastAsiaTheme="minorHAnsi" w:hAnsiTheme="minorHAnsi" w:cstheme="minorBidi"/>
      <w:b/>
      <w:snapToGrid w:val="0"/>
      <w:sz w:val="20"/>
      <w:lang w:val="en-US"/>
    </w:rPr>
  </w:style>
  <w:style w:type="character" w:customStyle="1" w:styleId="V50TablenameChar">
    <w:name w:val="V5.0 Table name Char"/>
    <w:basedOn w:val="DefaultParagraphFont"/>
    <w:link w:val="V50Tablename"/>
    <w:rsid w:val="001A178E"/>
    <w:rPr>
      <w:rFonts w:asciiTheme="minorHAnsi" w:eastAsiaTheme="minorHAnsi" w:hAnsiTheme="minorHAnsi" w:cstheme="minorBidi"/>
      <w:b/>
      <w:szCs w:val="24"/>
      <w:lang w:val="en-US" w:eastAsia="en-US"/>
    </w:rPr>
  </w:style>
  <w:style w:type="paragraph" w:customStyle="1" w:styleId="GeneralHeading">
    <w:name w:val="General Heading"/>
    <w:qFormat/>
    <w:rsid w:val="00EE1996"/>
    <w:pPr>
      <w:keepNext/>
      <w:spacing w:before="120" w:after="120"/>
      <w:ind w:left="720" w:hanging="720"/>
      <w:outlineLvl w:val="0"/>
    </w:pPr>
    <w:rPr>
      <w:rFonts w:ascii="Calibri" w:hAnsi="Calibri" w:cs="Arial"/>
      <w:b/>
      <w:snapToGrid w:val="0"/>
      <w:sz w:val="28"/>
      <w:szCs w:val="22"/>
    </w:rPr>
  </w:style>
  <w:style w:type="paragraph" w:customStyle="1" w:styleId="In-tableHeading">
    <w:name w:val="In-table Heading"/>
    <w:qFormat/>
    <w:rsid w:val="00EE1996"/>
    <w:pPr>
      <w:keepNext/>
    </w:pPr>
    <w:rPr>
      <w:rFonts w:ascii="Arial Narrow" w:eastAsiaTheme="majorEastAsia" w:hAnsi="Arial Narrow"/>
      <w:b/>
      <w:szCs w:val="24"/>
      <w:lang w:val="en-US"/>
    </w:rPr>
  </w:style>
  <w:style w:type="paragraph" w:customStyle="1" w:styleId="2-SectionHeading">
    <w:name w:val="2-Section Heading"/>
    <w:qFormat/>
    <w:rsid w:val="00EE1996"/>
    <w:pPr>
      <w:keepNext/>
      <w:numPr>
        <w:numId w:val="1"/>
      </w:numPr>
      <w:spacing w:before="240" w:after="120"/>
      <w:outlineLvl w:val="0"/>
    </w:pPr>
    <w:rPr>
      <w:rFonts w:asciiTheme="minorHAnsi" w:hAnsiTheme="minorHAnsi" w:cs="Arial"/>
      <w:b/>
      <w:snapToGrid w:val="0"/>
      <w:sz w:val="32"/>
      <w:szCs w:val="32"/>
    </w:rPr>
  </w:style>
  <w:style w:type="paragraph" w:customStyle="1" w:styleId="1-MainHeading">
    <w:name w:val="1-Main Heading"/>
    <w:link w:val="1-MainHeadingChar"/>
    <w:qFormat/>
    <w:rsid w:val="00EE1996"/>
    <w:pPr>
      <w:keepNext/>
      <w:spacing w:before="120" w:after="160"/>
      <w:ind w:left="720" w:hanging="720"/>
      <w:outlineLvl w:val="0"/>
    </w:pPr>
    <w:rPr>
      <w:rFonts w:asciiTheme="minorHAnsi" w:eastAsiaTheme="majorEastAsia" w:hAnsiTheme="minorHAnsi" w:cstheme="majorBidi"/>
      <w:b/>
      <w:spacing w:val="5"/>
      <w:kern w:val="28"/>
      <w:sz w:val="36"/>
      <w:szCs w:val="36"/>
    </w:rPr>
  </w:style>
  <w:style w:type="character" w:customStyle="1" w:styleId="1-MainHeadingChar">
    <w:name w:val="1-Main Heading Char"/>
    <w:basedOn w:val="DefaultParagraphFont"/>
    <w:link w:val="1-MainHeading"/>
    <w:rsid w:val="00EE1996"/>
    <w:rPr>
      <w:rFonts w:asciiTheme="minorHAnsi" w:eastAsiaTheme="majorEastAsia" w:hAnsiTheme="minorHAnsi" w:cstheme="majorBidi"/>
      <w:b/>
      <w:spacing w:val="5"/>
      <w:kern w:val="28"/>
      <w:sz w:val="36"/>
      <w:szCs w:val="36"/>
    </w:rPr>
  </w:style>
  <w:style w:type="paragraph" w:customStyle="1" w:styleId="TableFigureHeading">
    <w:name w:val="Table/Figure Heading"/>
    <w:next w:val="In-tableHeading"/>
    <w:link w:val="TableFigureHeadingChar"/>
    <w:qFormat/>
    <w:rsid w:val="005478BD"/>
    <w:pPr>
      <w:keepNext/>
    </w:pPr>
    <w:rPr>
      <w:rFonts w:ascii="Arial Narrow" w:eastAsiaTheme="majorEastAsia" w:hAnsi="Arial Narrow" w:cstheme="majorBidi"/>
      <w:b/>
      <w:bCs/>
      <w:szCs w:val="24"/>
    </w:rPr>
  </w:style>
  <w:style w:type="character" w:customStyle="1" w:styleId="TableFigureHeadingChar">
    <w:name w:val="Table/Figure Heading Char"/>
    <w:basedOn w:val="DefaultParagraphFont"/>
    <w:link w:val="TableFigureHeading"/>
    <w:rsid w:val="005478BD"/>
    <w:rPr>
      <w:rFonts w:ascii="Arial Narrow" w:eastAsiaTheme="majorEastAsia" w:hAnsi="Arial Narrow" w:cstheme="majorBidi"/>
      <w:b/>
      <w:bCs/>
      <w:szCs w:val="24"/>
    </w:rPr>
  </w:style>
  <w:style w:type="paragraph" w:customStyle="1" w:styleId="3-BodyText">
    <w:name w:val="3-Body Text"/>
    <w:basedOn w:val="ListParagraph"/>
    <w:link w:val="3-BodyTextChar"/>
    <w:qFormat/>
    <w:rsid w:val="004E18E9"/>
    <w:pPr>
      <w:numPr>
        <w:ilvl w:val="1"/>
        <w:numId w:val="1"/>
      </w:numPr>
    </w:pPr>
  </w:style>
  <w:style w:type="character" w:customStyle="1" w:styleId="3-BodyTextChar">
    <w:name w:val="3-Body Text Char"/>
    <w:basedOn w:val="ListParagraphChar"/>
    <w:link w:val="3-BodyText"/>
    <w:rsid w:val="004E18E9"/>
    <w:rPr>
      <w:rFonts w:asciiTheme="minorHAnsi" w:hAnsiTheme="minorHAnsi" w:cs="Arial"/>
      <w:snapToGrid w:val="0"/>
      <w:sz w:val="24"/>
      <w:szCs w:val="24"/>
    </w:rPr>
  </w:style>
  <w:style w:type="paragraph" w:customStyle="1" w:styleId="PageFooter">
    <w:name w:val="Page Footer"/>
    <w:basedOn w:val="Normal"/>
    <w:link w:val="PageFooterChar"/>
    <w:qFormat/>
    <w:rsid w:val="00EE1996"/>
    <w:pPr>
      <w:keepNext/>
      <w:tabs>
        <w:tab w:val="center" w:pos="4153"/>
        <w:tab w:val="center" w:pos="4513"/>
        <w:tab w:val="right" w:pos="8306"/>
        <w:tab w:val="right" w:pos="9026"/>
      </w:tabs>
      <w:jc w:val="center"/>
    </w:pPr>
    <w:rPr>
      <w:b/>
    </w:rPr>
  </w:style>
  <w:style w:type="character" w:customStyle="1" w:styleId="PageFooterChar">
    <w:name w:val="Page Footer Char"/>
    <w:basedOn w:val="DefaultParagraphFont"/>
    <w:link w:val="PageFooter"/>
    <w:rsid w:val="00EE1996"/>
    <w:rPr>
      <w:rFonts w:ascii="Calibri" w:hAnsi="Calibri" w:cs="Arial"/>
      <w:b/>
      <w:sz w:val="24"/>
      <w:szCs w:val="24"/>
    </w:rPr>
  </w:style>
  <w:style w:type="paragraph" w:customStyle="1" w:styleId="FooterTableFigure">
    <w:name w:val="Footer Table/Figure"/>
    <w:basedOn w:val="Normal"/>
    <w:link w:val="FooterTableFigureChar"/>
    <w:qFormat/>
    <w:rsid w:val="00EC5836"/>
    <w:pPr>
      <w:spacing w:after="120"/>
      <w:contextualSpacing/>
    </w:pPr>
    <w:rPr>
      <w:rFonts w:ascii="Arial Narrow" w:hAnsi="Arial Narrow"/>
      <w:snapToGrid w:val="0"/>
      <w:sz w:val="18"/>
      <w:szCs w:val="22"/>
    </w:rPr>
  </w:style>
  <w:style w:type="character" w:customStyle="1" w:styleId="FooterTableFigureChar">
    <w:name w:val="Footer Table/Figure Char"/>
    <w:link w:val="FooterTableFigure"/>
    <w:rsid w:val="00EC5836"/>
    <w:rPr>
      <w:rFonts w:ascii="Arial Narrow" w:hAnsi="Arial Narrow" w:cs="Arial"/>
      <w:snapToGrid w:val="0"/>
      <w:sz w:val="18"/>
      <w:szCs w:val="22"/>
    </w:rPr>
  </w:style>
  <w:style w:type="paragraph" w:customStyle="1" w:styleId="4-SubsectionHeading">
    <w:name w:val="4-Subsection Heading"/>
    <w:basedOn w:val="Heading2"/>
    <w:next w:val="3-BodyText"/>
    <w:link w:val="4-SubsectionHeadingChar"/>
    <w:qFormat/>
    <w:rsid w:val="00EE1996"/>
    <w:pPr>
      <w:keepNext/>
      <w:spacing w:before="120" w:after="120"/>
    </w:pPr>
    <w:rPr>
      <w:rFonts w:asciiTheme="minorHAnsi" w:eastAsiaTheme="majorEastAsia" w:hAnsiTheme="minorHAnsi" w:cstheme="majorBidi"/>
      <w:spacing w:val="5"/>
      <w:kern w:val="28"/>
      <w:szCs w:val="36"/>
    </w:rPr>
  </w:style>
  <w:style w:type="character" w:customStyle="1" w:styleId="4-SubsectionHeadingChar">
    <w:name w:val="4-Subsection Heading Char"/>
    <w:basedOn w:val="Heading2Char"/>
    <w:link w:val="4-SubsectionHeading"/>
    <w:rsid w:val="00EE1996"/>
    <w:rPr>
      <w:rFonts w:asciiTheme="minorHAnsi" w:eastAsiaTheme="majorEastAsia" w:hAnsiTheme="minorHAnsi" w:cstheme="majorBidi"/>
      <w:b/>
      <w:i/>
      <w:snapToGrid/>
      <w:spacing w:val="5"/>
      <w:kern w:val="28"/>
      <w:sz w:val="28"/>
      <w:szCs w:val="36"/>
      <w:lang w:eastAsia="en-US"/>
    </w:rPr>
  </w:style>
  <w:style w:type="paragraph" w:customStyle="1" w:styleId="5-SubsectionSubheading">
    <w:name w:val="5-Subsection Subheading"/>
    <w:basedOn w:val="Heading3"/>
    <w:next w:val="3-BodyText"/>
    <w:link w:val="5-SubsectionSubheadingChar"/>
    <w:qFormat/>
    <w:rsid w:val="004A6040"/>
    <w:pPr>
      <w:keepNext/>
      <w:keepLines/>
      <w:spacing w:before="160" w:after="120"/>
    </w:pPr>
    <w:rPr>
      <w:rFonts w:asciiTheme="minorHAnsi" w:eastAsiaTheme="majorEastAsia" w:hAnsiTheme="minorHAnsi" w:cstheme="majorBidi"/>
      <w:b/>
      <w:color w:val="000000" w:themeColor="text1"/>
      <w:u w:val="none"/>
    </w:rPr>
  </w:style>
  <w:style w:type="character" w:customStyle="1" w:styleId="5-SubsectionSubheadingChar">
    <w:name w:val="5-Subsection Subheading Char"/>
    <w:basedOn w:val="DefaultParagraphFont"/>
    <w:link w:val="5-SubsectionSubheading"/>
    <w:rsid w:val="004A6040"/>
    <w:rPr>
      <w:rFonts w:asciiTheme="minorHAnsi" w:eastAsiaTheme="majorEastAsia" w:hAnsiTheme="minorHAnsi" w:cstheme="majorBidi"/>
      <w:b/>
      <w:color w:val="000000" w:themeColor="text1"/>
      <w:sz w:val="24"/>
      <w:szCs w:val="24"/>
    </w:rPr>
  </w:style>
  <w:style w:type="paragraph" w:styleId="ListBullet">
    <w:name w:val="List Bullet"/>
    <w:basedOn w:val="Normal"/>
    <w:unhideWhenUsed/>
    <w:rsid w:val="00EE1996"/>
    <w:pPr>
      <w:numPr>
        <w:numId w:val="4"/>
      </w:numPr>
      <w:contextualSpacing/>
    </w:pPr>
  </w:style>
  <w:style w:type="character" w:customStyle="1" w:styleId="TableTextChar0">
    <w:name w:val="Table Text Char"/>
    <w:basedOn w:val="DefaultParagraphFont"/>
    <w:link w:val="TableText0"/>
    <w:rsid w:val="00EE1996"/>
    <w:rPr>
      <w:rFonts w:ascii="Arial Narrow" w:eastAsiaTheme="majorEastAsia" w:hAnsi="Arial Narrow" w:cstheme="majorBidi"/>
      <w:bCs/>
      <w:szCs w:val="24"/>
    </w:rPr>
  </w:style>
  <w:style w:type="paragraph" w:customStyle="1" w:styleId="ExecSumBodyText">
    <w:name w:val="Exec Sum Body Text"/>
    <w:basedOn w:val="Normal"/>
    <w:link w:val="ExecSumBodyTextChar"/>
    <w:uiPriority w:val="99"/>
    <w:rsid w:val="00D30D5B"/>
    <w:pPr>
      <w:spacing w:after="120"/>
      <w:ind w:left="720" w:hanging="720"/>
    </w:pPr>
    <w:rPr>
      <w:rFonts w:asciiTheme="minorHAnsi" w:hAnsiTheme="minorHAnsi"/>
      <w:snapToGrid w:val="0"/>
    </w:rPr>
  </w:style>
  <w:style w:type="character" w:customStyle="1" w:styleId="ExecSumBodyTextChar">
    <w:name w:val="Exec Sum Body Text Char"/>
    <w:basedOn w:val="DefaultParagraphFont"/>
    <w:link w:val="ExecSumBodyText"/>
    <w:uiPriority w:val="99"/>
    <w:rsid w:val="00D30D5B"/>
    <w:rPr>
      <w:rFonts w:asciiTheme="minorHAnsi" w:hAnsiTheme="minorHAnsi" w:cs="Arial"/>
      <w:snapToGrid w:val="0"/>
      <w:sz w:val="24"/>
      <w:szCs w:val="24"/>
    </w:rPr>
  </w:style>
  <w:style w:type="paragraph" w:customStyle="1" w:styleId="bullet">
    <w:name w:val="bullet"/>
    <w:basedOn w:val="ListParagraph"/>
    <w:link w:val="bulletChar"/>
    <w:rsid w:val="00D30D5B"/>
    <w:pPr>
      <w:numPr>
        <w:numId w:val="7"/>
      </w:numPr>
    </w:pPr>
    <w:rPr>
      <w:rFonts w:ascii="Calibri" w:hAnsi="Calibri" w:cstheme="minorBidi"/>
      <w:i/>
      <w:snapToGrid/>
      <w:sz w:val="22"/>
      <w:szCs w:val="22"/>
      <w:lang w:eastAsia="en-US"/>
    </w:rPr>
  </w:style>
  <w:style w:type="character" w:customStyle="1" w:styleId="bulletChar">
    <w:name w:val="bullet Char"/>
    <w:basedOn w:val="DefaultParagraphFont"/>
    <w:link w:val="bullet"/>
    <w:rsid w:val="00D30D5B"/>
    <w:rPr>
      <w:rFonts w:ascii="Calibri" w:hAnsi="Calibri" w:cstheme="minorBidi"/>
      <w:i/>
      <w:sz w:val="22"/>
      <w:szCs w:val="22"/>
      <w:lang w:eastAsia="en-US"/>
    </w:rPr>
  </w:style>
  <w:style w:type="paragraph" w:customStyle="1" w:styleId="Default">
    <w:name w:val="Default"/>
    <w:rsid w:val="00AB11AD"/>
    <w:pPr>
      <w:autoSpaceDE w:val="0"/>
      <w:autoSpaceDN w:val="0"/>
      <w:adjustRightInd w:val="0"/>
    </w:pPr>
    <w:rPr>
      <w:rFonts w:ascii="Calibri" w:hAnsi="Calibri" w:cs="Calibri"/>
      <w:color w:val="000000"/>
      <w:sz w:val="24"/>
      <w:szCs w:val="24"/>
    </w:rPr>
  </w:style>
  <w:style w:type="paragraph" w:customStyle="1" w:styleId="TableFigureFooter">
    <w:name w:val="Table/Figure Footer"/>
    <w:basedOn w:val="Normal"/>
    <w:link w:val="TableFigureFooterChar"/>
    <w:qFormat/>
    <w:rsid w:val="00093E39"/>
    <w:pPr>
      <w:spacing w:after="120"/>
      <w:contextualSpacing/>
    </w:pPr>
    <w:rPr>
      <w:rFonts w:ascii="Arial Narrow" w:hAnsi="Arial Narrow"/>
      <w:snapToGrid w:val="0"/>
      <w:sz w:val="18"/>
      <w:szCs w:val="22"/>
    </w:rPr>
  </w:style>
  <w:style w:type="character" w:customStyle="1" w:styleId="TableFigureFooterChar">
    <w:name w:val="Table/Figure Footer Char"/>
    <w:link w:val="TableFigureFooter"/>
    <w:rsid w:val="00093E39"/>
    <w:rPr>
      <w:rFonts w:ascii="Arial Narrow" w:hAnsi="Arial Narrow" w:cs="Arial"/>
      <w:snapToGrid w:val="0"/>
      <w:sz w:val="18"/>
      <w:szCs w:val="22"/>
    </w:rPr>
  </w:style>
  <w:style w:type="paragraph" w:styleId="FootnoteText">
    <w:name w:val="footnote text"/>
    <w:aliases w:val="Footnote Text Char1,Footnote Text Char Char,Footnote Text Char2,Footnote Text Char Char1"/>
    <w:basedOn w:val="Normal"/>
    <w:link w:val="FootnoteTextChar"/>
    <w:unhideWhenUsed/>
    <w:rsid w:val="005A4BEA"/>
    <w:rPr>
      <w:sz w:val="20"/>
      <w:szCs w:val="20"/>
    </w:rPr>
  </w:style>
  <w:style w:type="character" w:customStyle="1" w:styleId="FootnoteTextChar">
    <w:name w:val="Footnote Text Char"/>
    <w:aliases w:val="Footnote Text Char1 Char,Footnote Text Char Char Char,Footnote Text Char2 Char,Footnote Text Char Char1 Char"/>
    <w:basedOn w:val="DefaultParagraphFont"/>
    <w:link w:val="FootnoteText"/>
    <w:rsid w:val="005A4BEA"/>
    <w:rPr>
      <w:rFonts w:ascii="Calibri" w:hAnsi="Calibri" w:cs="Arial"/>
    </w:rPr>
  </w:style>
  <w:style w:type="character" w:styleId="FootnoteReference">
    <w:name w:val="footnote reference"/>
    <w:basedOn w:val="DefaultParagraphFont"/>
    <w:unhideWhenUsed/>
    <w:rsid w:val="005A4BEA"/>
    <w:rPr>
      <w:vertAlign w:val="superscript"/>
    </w:rPr>
  </w:style>
  <w:style w:type="character" w:customStyle="1" w:styleId="UnresolvedMention1">
    <w:name w:val="Unresolved Mention1"/>
    <w:basedOn w:val="DefaultParagraphFont"/>
    <w:uiPriority w:val="99"/>
    <w:semiHidden/>
    <w:unhideWhenUsed/>
    <w:rsid w:val="0046603D"/>
    <w:rPr>
      <w:color w:val="605E5C"/>
      <w:shd w:val="clear" w:color="auto" w:fill="E1DFDD"/>
    </w:rPr>
  </w:style>
  <w:style w:type="paragraph" w:customStyle="1" w:styleId="PBACtext">
    <w:name w:val="PBAC text"/>
    <w:basedOn w:val="TableText0"/>
    <w:qFormat/>
    <w:rsid w:val="00716999"/>
    <w:pPr>
      <w:keepNext w:val="0"/>
      <w:jc w:val="both"/>
    </w:pPr>
    <w:rPr>
      <w:rFonts w:eastAsiaTheme="minorHAnsi" w:cstheme="minorBidi"/>
      <w:bCs w:val="0"/>
      <w:sz w:val="18"/>
      <w:szCs w:val="18"/>
      <w:lang w:eastAsia="en-US"/>
    </w:rPr>
  </w:style>
  <w:style w:type="paragraph" w:customStyle="1" w:styleId="Tablefooter0">
    <w:name w:val="Table footer"/>
    <w:basedOn w:val="Normal"/>
    <w:qFormat/>
    <w:rsid w:val="00716999"/>
    <w:rPr>
      <w:rFonts w:eastAsiaTheme="minorHAnsi" w:cstheme="minorBidi"/>
      <w:sz w:val="18"/>
      <w:szCs w:val="18"/>
      <w:lang w:eastAsia="en-US"/>
    </w:rPr>
  </w:style>
  <w:style w:type="character" w:customStyle="1" w:styleId="TableheadingChar">
    <w:name w:val="Table heading Char"/>
    <w:basedOn w:val="DefaultParagraphFont"/>
    <w:link w:val="Tableheading0"/>
    <w:locked/>
    <w:rsid w:val="00716999"/>
    <w:rPr>
      <w:b/>
    </w:rPr>
  </w:style>
  <w:style w:type="paragraph" w:customStyle="1" w:styleId="Tableheading0">
    <w:name w:val="Table heading"/>
    <w:basedOn w:val="Normal"/>
    <w:link w:val="TableheadingChar"/>
    <w:qFormat/>
    <w:rsid w:val="00716999"/>
    <w:pPr>
      <w:jc w:val="center"/>
    </w:pPr>
    <w:rPr>
      <w:rFonts w:ascii="Times New Roman" w:hAnsi="Times New Roman" w:cs="Times New Roman"/>
      <w:b/>
      <w:sz w:val="20"/>
      <w:szCs w:val="20"/>
    </w:rPr>
  </w:style>
  <w:style w:type="character" w:customStyle="1" w:styleId="UnresolvedMention2">
    <w:name w:val="Unresolved Mention2"/>
    <w:basedOn w:val="DefaultParagraphFont"/>
    <w:uiPriority w:val="99"/>
    <w:semiHidden/>
    <w:unhideWhenUsed/>
    <w:rsid w:val="00716999"/>
    <w:rPr>
      <w:color w:val="605E5C"/>
      <w:shd w:val="clear" w:color="auto" w:fill="E1DFDD"/>
    </w:rPr>
  </w:style>
  <w:style w:type="table" w:customStyle="1" w:styleId="TableGrid1">
    <w:name w:val="Table Grid1"/>
    <w:basedOn w:val="TableNormal"/>
    <w:next w:val="TableGrid"/>
    <w:uiPriority w:val="39"/>
    <w:rsid w:val="0071699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3">
    <w:name w:val="Unresolved Mention3"/>
    <w:basedOn w:val="DefaultParagraphFont"/>
    <w:uiPriority w:val="99"/>
    <w:semiHidden/>
    <w:unhideWhenUsed/>
    <w:rsid w:val="006471D6"/>
    <w:rPr>
      <w:color w:val="605E5C"/>
      <w:shd w:val="clear" w:color="auto" w:fill="E1DFDD"/>
    </w:rPr>
  </w:style>
  <w:style w:type="character" w:customStyle="1" w:styleId="UnresolvedMention4">
    <w:name w:val="Unresolved Mention4"/>
    <w:basedOn w:val="DefaultParagraphFont"/>
    <w:uiPriority w:val="99"/>
    <w:semiHidden/>
    <w:unhideWhenUsed/>
    <w:rsid w:val="00857360"/>
    <w:rPr>
      <w:color w:val="605E5C"/>
      <w:shd w:val="clear" w:color="auto" w:fill="E1DFDD"/>
    </w:rPr>
  </w:style>
  <w:style w:type="paragraph" w:customStyle="1" w:styleId="Tablecentre">
    <w:name w:val="Table centre"/>
    <w:basedOn w:val="Normal"/>
    <w:qFormat/>
    <w:rsid w:val="00857360"/>
    <w:pPr>
      <w:spacing w:line="276" w:lineRule="auto"/>
      <w:jc w:val="center"/>
    </w:pPr>
    <w:rPr>
      <w:rFonts w:asciiTheme="minorHAnsi" w:eastAsiaTheme="minorHAnsi" w:hAnsiTheme="minorHAnsi" w:cstheme="minorHAnsi"/>
      <w:sz w:val="20"/>
      <w:szCs w:val="20"/>
      <w:lang w:eastAsia="en-US"/>
    </w:rPr>
  </w:style>
  <w:style w:type="paragraph" w:customStyle="1" w:styleId="Tab1table">
    <w:name w:val="Tab1 table"/>
    <w:basedOn w:val="Tabletext"/>
    <w:qFormat/>
    <w:rsid w:val="00857360"/>
    <w:pPr>
      <w:spacing w:line="276" w:lineRule="auto"/>
      <w:ind w:left="283"/>
      <w:jc w:val="both"/>
    </w:pPr>
    <w:rPr>
      <w:rFonts w:asciiTheme="minorHAnsi" w:eastAsiaTheme="minorHAnsi" w:hAnsiTheme="minorHAnsi" w:cstheme="minorHAnsi"/>
      <w:snapToGrid/>
      <w:szCs w:val="20"/>
      <w:lang w:eastAsia="en-US"/>
    </w:rPr>
  </w:style>
  <w:style w:type="paragraph" w:customStyle="1" w:styleId="Sources">
    <w:name w:val="Sources"/>
    <w:basedOn w:val="Normal"/>
    <w:link w:val="SourcesChar"/>
    <w:qFormat/>
    <w:rsid w:val="00857360"/>
    <w:pPr>
      <w:spacing w:before="120" w:after="120"/>
      <w:jc w:val="left"/>
    </w:pPr>
    <w:rPr>
      <w:rFonts w:ascii="Arial" w:eastAsiaTheme="minorHAnsi" w:hAnsi="Arial" w:cstheme="minorBidi"/>
      <w:sz w:val="16"/>
      <w:szCs w:val="22"/>
      <w:lang w:eastAsia="en-US"/>
    </w:rPr>
  </w:style>
  <w:style w:type="character" w:customStyle="1" w:styleId="SourcesChar">
    <w:name w:val="Sources Char"/>
    <w:basedOn w:val="DefaultParagraphFont"/>
    <w:link w:val="Sources"/>
    <w:rsid w:val="00857360"/>
    <w:rPr>
      <w:rFonts w:ascii="Arial" w:eastAsiaTheme="minorHAnsi" w:hAnsi="Arial" w:cstheme="minorBidi"/>
      <w:sz w:val="16"/>
      <w:szCs w:val="22"/>
      <w:lang w:eastAsia="en-US"/>
    </w:rPr>
  </w:style>
  <w:style w:type="table" w:customStyle="1" w:styleId="Summarybox16">
    <w:name w:val="Summary box16"/>
    <w:basedOn w:val="TableNormal"/>
    <w:next w:val="TableGrid"/>
    <w:uiPriority w:val="59"/>
    <w:rsid w:val="00857360"/>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Text1">
    <w:name w:val="TableText"/>
    <w:basedOn w:val="Normal"/>
    <w:link w:val="TableTextChar1"/>
    <w:uiPriority w:val="3"/>
    <w:qFormat/>
    <w:rsid w:val="00857360"/>
    <w:pPr>
      <w:spacing w:before="20" w:after="20"/>
      <w:jc w:val="left"/>
    </w:pPr>
    <w:rPr>
      <w:rFonts w:cs="Calibri"/>
      <w:bCs/>
      <w:sz w:val="20"/>
      <w:szCs w:val="20"/>
      <w:lang w:eastAsia="zh-CN"/>
    </w:rPr>
  </w:style>
  <w:style w:type="character" w:customStyle="1" w:styleId="TableTextChar1">
    <w:name w:val="TableText Char"/>
    <w:basedOn w:val="DefaultParagraphFont"/>
    <w:link w:val="TableText1"/>
    <w:uiPriority w:val="3"/>
    <w:rsid w:val="00857360"/>
    <w:rPr>
      <w:rFonts w:ascii="Calibri" w:hAnsi="Calibri" w:cs="Calibri"/>
      <w:bCs/>
      <w:lang w:eastAsia="zh-CN"/>
    </w:rPr>
  </w:style>
  <w:style w:type="paragraph" w:customStyle="1" w:styleId="TableHeadingRow">
    <w:name w:val="TableHeadingRow"/>
    <w:basedOn w:val="TableText1"/>
    <w:uiPriority w:val="3"/>
    <w:qFormat/>
    <w:rsid w:val="00857360"/>
    <w:pPr>
      <w:keepNext/>
      <w:spacing w:before="40" w:after="40"/>
      <w:jc w:val="center"/>
    </w:pPr>
    <w:rPr>
      <w:b/>
      <w:bCs w:val="0"/>
    </w:rPr>
  </w:style>
  <w:style w:type="table" w:customStyle="1" w:styleId="PBACTableStyle">
    <w:name w:val="PBAC Table Style"/>
    <w:basedOn w:val="TableGrid10"/>
    <w:uiPriority w:val="99"/>
    <w:rsid w:val="00857360"/>
    <w:pPr>
      <w:widowControl w:val="0"/>
      <w:spacing w:before="120"/>
      <w:contextualSpacing/>
      <w:jc w:val="center"/>
    </w:pPr>
    <w:rPr>
      <w:rFonts w:ascii="Arial Narrow" w:eastAsiaTheme="minorHAnsi" w:hAnsi="Arial Narrow" w:cstheme="minorBidi"/>
      <w:color w:val="000000" w:themeColor="text1"/>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auto"/>
      <w:vAlign w:val="center"/>
    </w:tcPr>
    <w:tblStylePr w:type="firstRow">
      <w:pPr>
        <w:wordWrap/>
        <w:spacing w:beforeLines="0" w:before="0" w:beforeAutospacing="0" w:afterLines="0" w:after="0" w:afterAutospacing="0" w:line="240" w:lineRule="auto"/>
        <w:ind w:leftChars="0" w:left="0" w:rightChars="0" w:right="57" w:firstLineChars="0" w:firstLine="0"/>
        <w:jc w:val="center"/>
      </w:pPr>
      <w:rPr>
        <w:rFonts w:ascii="Blackadder ITC" w:hAnsi="Blackadder ITC"/>
        <w:b/>
        <w:sz w:val="20"/>
      </w:rPr>
    </w:tblStylePr>
    <w:tblStylePr w:type="lastRow">
      <w:rPr>
        <w:i/>
        <w:iCs/>
      </w:rPr>
      <w:tblPr/>
      <w:tcPr>
        <w:tcBorders>
          <w:tl2br w:val="none" w:sz="0" w:space="0" w:color="auto"/>
          <w:tr2bl w:val="none" w:sz="0" w:space="0" w:color="auto"/>
        </w:tcBorders>
      </w:tcPr>
    </w:tblStylePr>
    <w:tblStylePr w:type="firstCol">
      <w:pPr>
        <w:wordWrap/>
        <w:spacing w:beforeLines="0" w:before="0" w:beforeAutospacing="0" w:afterLines="0" w:after="0" w:afterAutospacing="0" w:line="240" w:lineRule="auto"/>
        <w:ind w:leftChars="0" w:left="0" w:rightChars="0" w:right="0"/>
        <w:contextualSpacing/>
        <w:jc w:val="left"/>
      </w:pPr>
      <w:rPr>
        <w:rFonts w:ascii="Blackadder ITC" w:hAnsi="Blackadder ITC"/>
        <w:sz w:val="20"/>
      </w:rPr>
    </w:tblStylePr>
    <w:tblStylePr w:type="lastCol">
      <w:pPr>
        <w:wordWrap/>
        <w:spacing w:beforeLines="0" w:before="0" w:beforeAutospacing="0" w:afterLines="0" w:after="0" w:afterAutospacing="0" w:line="240" w:lineRule="auto"/>
        <w:ind w:leftChars="0" w:left="0" w:rightChars="0" w:right="0" w:firstLineChars="0" w:firstLine="0"/>
      </w:pPr>
      <w:rPr>
        <w:rFonts w:ascii="Blackadder ITC" w:hAnsi="Blackadder ITC"/>
        <w:i/>
        <w:iCs/>
        <w:sz w:val="2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one" w:sz="0" w:space="0" w:color="auto"/>
          <w:tr2bl w:val="none" w:sz="0" w:space="0" w:color="auto"/>
        </w:tcBorders>
      </w:tcPr>
    </w:tblStylePr>
  </w:style>
  <w:style w:type="table" w:styleId="TableGrid10">
    <w:name w:val="Table Grid 1"/>
    <w:basedOn w:val="TableNormal"/>
    <w:semiHidden/>
    <w:unhideWhenUsed/>
    <w:rsid w:val="00857360"/>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4-SubsectSubhead">
    <w:name w:val="4-Subsect Subhead"/>
    <w:basedOn w:val="Heading3"/>
    <w:next w:val="Normal"/>
    <w:link w:val="4-SubsectSubheadChar"/>
    <w:qFormat/>
    <w:rsid w:val="00016653"/>
    <w:pPr>
      <w:keepNext/>
      <w:keepLines/>
      <w:spacing w:before="160" w:after="120"/>
    </w:pPr>
    <w:rPr>
      <w:rFonts w:asciiTheme="minorHAnsi" w:eastAsiaTheme="majorEastAsia" w:hAnsiTheme="minorHAnsi" w:cstheme="majorBidi"/>
      <w:b/>
      <w:color w:val="000000" w:themeColor="text1"/>
      <w:sz w:val="28"/>
      <w:szCs w:val="28"/>
      <w:u w:val="none"/>
    </w:rPr>
  </w:style>
  <w:style w:type="character" w:customStyle="1" w:styleId="4-SubsectSubheadChar">
    <w:name w:val="4-Subsect Subhead Char"/>
    <w:basedOn w:val="DefaultParagraphFont"/>
    <w:link w:val="4-SubsectSubhead"/>
    <w:rsid w:val="00016653"/>
    <w:rPr>
      <w:rFonts w:asciiTheme="minorHAnsi" w:eastAsiaTheme="majorEastAsia" w:hAnsiTheme="minorHAnsi" w:cstheme="majorBidi"/>
      <w:b/>
      <w:color w:val="000000" w:themeColor="text1"/>
      <w:sz w:val="28"/>
      <w:szCs w:val="28"/>
    </w:rPr>
  </w:style>
  <w:style w:type="paragraph" w:customStyle="1" w:styleId="PBACcentre">
    <w:name w:val="PBAC centre"/>
    <w:basedOn w:val="Normal"/>
    <w:qFormat/>
    <w:rsid w:val="00016653"/>
    <w:pPr>
      <w:jc w:val="center"/>
    </w:pPr>
    <w:rPr>
      <w:rFonts w:ascii="Arial Narrow" w:eastAsiaTheme="minorHAnsi" w:hAnsi="Arial Narrow" w:cstheme="minorBidi"/>
      <w:sz w:val="18"/>
      <w:szCs w:val="18"/>
      <w:lang w:eastAsia="en-US"/>
    </w:rPr>
  </w:style>
  <w:style w:type="paragraph" w:customStyle="1" w:styleId="PBACbold">
    <w:name w:val="PBAC bold"/>
    <w:basedOn w:val="Normal"/>
    <w:qFormat/>
    <w:rsid w:val="00016653"/>
    <w:pPr>
      <w:jc w:val="left"/>
    </w:pPr>
    <w:rPr>
      <w:rFonts w:ascii="Arial Narrow" w:eastAsiaTheme="minorHAnsi" w:hAnsi="Arial Narrow"/>
      <w:b/>
      <w:sz w:val="18"/>
      <w:szCs w:val="18"/>
      <w:lang w:eastAsia="en-US"/>
    </w:rPr>
  </w:style>
  <w:style w:type="paragraph" w:customStyle="1" w:styleId="3-SubsectionHeading">
    <w:name w:val="3-Subsection Heading"/>
    <w:basedOn w:val="Heading2"/>
    <w:next w:val="Normal"/>
    <w:link w:val="3-SubsectionHeadingChar"/>
    <w:qFormat/>
    <w:rsid w:val="009B5C04"/>
    <w:pPr>
      <w:keepNext/>
      <w:spacing w:before="120" w:after="120"/>
      <w:outlineLvl w:val="9"/>
    </w:pPr>
    <w:rPr>
      <w:rFonts w:asciiTheme="minorHAnsi" w:eastAsiaTheme="majorEastAsia" w:hAnsiTheme="minorHAnsi" w:cstheme="majorBidi"/>
      <w:spacing w:val="5"/>
      <w:kern w:val="28"/>
      <w:szCs w:val="36"/>
      <w:lang w:eastAsia="en-US"/>
    </w:rPr>
  </w:style>
  <w:style w:type="character" w:customStyle="1" w:styleId="3-SubsectionHeadingChar">
    <w:name w:val="3-Subsection Heading Char"/>
    <w:basedOn w:val="Heading2Char"/>
    <w:link w:val="3-SubsectionHeading"/>
    <w:rsid w:val="009B5C04"/>
    <w:rPr>
      <w:rFonts w:asciiTheme="minorHAnsi" w:eastAsiaTheme="majorEastAsia" w:hAnsiTheme="minorHAnsi" w:cstheme="majorBidi"/>
      <w:b/>
      <w:i/>
      <w:snapToGrid/>
      <w:spacing w:val="5"/>
      <w:kern w:val="28"/>
      <w:sz w:val="28"/>
      <w:szCs w:val="36"/>
      <w:lang w:eastAsia="en-US"/>
    </w:rPr>
  </w:style>
  <w:style w:type="character" w:styleId="UnresolvedMention">
    <w:name w:val="Unresolved Mention"/>
    <w:basedOn w:val="DefaultParagraphFont"/>
    <w:uiPriority w:val="99"/>
    <w:semiHidden/>
    <w:unhideWhenUsed/>
    <w:rsid w:val="000C724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0999308">
      <w:bodyDiv w:val="1"/>
      <w:marLeft w:val="0"/>
      <w:marRight w:val="0"/>
      <w:marTop w:val="0"/>
      <w:marBottom w:val="0"/>
      <w:divBdr>
        <w:top w:val="none" w:sz="0" w:space="0" w:color="auto"/>
        <w:left w:val="none" w:sz="0" w:space="0" w:color="auto"/>
        <w:bottom w:val="none" w:sz="0" w:space="0" w:color="auto"/>
        <w:right w:val="none" w:sz="0" w:space="0" w:color="auto"/>
      </w:divBdr>
    </w:div>
    <w:div w:id="111094126">
      <w:bodyDiv w:val="1"/>
      <w:marLeft w:val="0"/>
      <w:marRight w:val="0"/>
      <w:marTop w:val="0"/>
      <w:marBottom w:val="0"/>
      <w:divBdr>
        <w:top w:val="none" w:sz="0" w:space="0" w:color="auto"/>
        <w:left w:val="none" w:sz="0" w:space="0" w:color="auto"/>
        <w:bottom w:val="none" w:sz="0" w:space="0" w:color="auto"/>
        <w:right w:val="none" w:sz="0" w:space="0" w:color="auto"/>
      </w:divBdr>
    </w:div>
    <w:div w:id="121578584">
      <w:bodyDiv w:val="1"/>
      <w:marLeft w:val="0"/>
      <w:marRight w:val="0"/>
      <w:marTop w:val="0"/>
      <w:marBottom w:val="0"/>
      <w:divBdr>
        <w:top w:val="none" w:sz="0" w:space="0" w:color="auto"/>
        <w:left w:val="none" w:sz="0" w:space="0" w:color="auto"/>
        <w:bottom w:val="none" w:sz="0" w:space="0" w:color="auto"/>
        <w:right w:val="none" w:sz="0" w:space="0" w:color="auto"/>
      </w:divBdr>
    </w:div>
    <w:div w:id="316298999">
      <w:bodyDiv w:val="1"/>
      <w:marLeft w:val="0"/>
      <w:marRight w:val="0"/>
      <w:marTop w:val="0"/>
      <w:marBottom w:val="0"/>
      <w:divBdr>
        <w:top w:val="none" w:sz="0" w:space="0" w:color="auto"/>
        <w:left w:val="none" w:sz="0" w:space="0" w:color="auto"/>
        <w:bottom w:val="none" w:sz="0" w:space="0" w:color="auto"/>
        <w:right w:val="none" w:sz="0" w:space="0" w:color="auto"/>
      </w:divBdr>
    </w:div>
    <w:div w:id="623079631">
      <w:bodyDiv w:val="1"/>
      <w:marLeft w:val="0"/>
      <w:marRight w:val="0"/>
      <w:marTop w:val="0"/>
      <w:marBottom w:val="0"/>
      <w:divBdr>
        <w:top w:val="none" w:sz="0" w:space="0" w:color="auto"/>
        <w:left w:val="none" w:sz="0" w:space="0" w:color="auto"/>
        <w:bottom w:val="none" w:sz="0" w:space="0" w:color="auto"/>
        <w:right w:val="none" w:sz="0" w:space="0" w:color="auto"/>
      </w:divBdr>
    </w:div>
    <w:div w:id="640616793">
      <w:bodyDiv w:val="1"/>
      <w:marLeft w:val="0"/>
      <w:marRight w:val="0"/>
      <w:marTop w:val="0"/>
      <w:marBottom w:val="0"/>
      <w:divBdr>
        <w:top w:val="none" w:sz="0" w:space="0" w:color="auto"/>
        <w:left w:val="none" w:sz="0" w:space="0" w:color="auto"/>
        <w:bottom w:val="none" w:sz="0" w:space="0" w:color="auto"/>
        <w:right w:val="none" w:sz="0" w:space="0" w:color="auto"/>
      </w:divBdr>
    </w:div>
    <w:div w:id="811218541">
      <w:bodyDiv w:val="1"/>
      <w:marLeft w:val="0"/>
      <w:marRight w:val="0"/>
      <w:marTop w:val="0"/>
      <w:marBottom w:val="0"/>
      <w:divBdr>
        <w:top w:val="none" w:sz="0" w:space="0" w:color="auto"/>
        <w:left w:val="none" w:sz="0" w:space="0" w:color="auto"/>
        <w:bottom w:val="none" w:sz="0" w:space="0" w:color="auto"/>
        <w:right w:val="none" w:sz="0" w:space="0" w:color="auto"/>
      </w:divBdr>
    </w:div>
    <w:div w:id="830830000">
      <w:bodyDiv w:val="1"/>
      <w:marLeft w:val="0"/>
      <w:marRight w:val="0"/>
      <w:marTop w:val="0"/>
      <w:marBottom w:val="0"/>
      <w:divBdr>
        <w:top w:val="none" w:sz="0" w:space="0" w:color="auto"/>
        <w:left w:val="none" w:sz="0" w:space="0" w:color="auto"/>
        <w:bottom w:val="none" w:sz="0" w:space="0" w:color="auto"/>
        <w:right w:val="none" w:sz="0" w:space="0" w:color="auto"/>
      </w:divBdr>
    </w:div>
    <w:div w:id="831333547">
      <w:bodyDiv w:val="1"/>
      <w:marLeft w:val="0"/>
      <w:marRight w:val="0"/>
      <w:marTop w:val="0"/>
      <w:marBottom w:val="0"/>
      <w:divBdr>
        <w:top w:val="none" w:sz="0" w:space="0" w:color="auto"/>
        <w:left w:val="none" w:sz="0" w:space="0" w:color="auto"/>
        <w:bottom w:val="none" w:sz="0" w:space="0" w:color="auto"/>
        <w:right w:val="none" w:sz="0" w:space="0" w:color="auto"/>
      </w:divBdr>
    </w:div>
    <w:div w:id="1133060424">
      <w:bodyDiv w:val="1"/>
      <w:marLeft w:val="0"/>
      <w:marRight w:val="0"/>
      <w:marTop w:val="0"/>
      <w:marBottom w:val="0"/>
      <w:divBdr>
        <w:top w:val="none" w:sz="0" w:space="0" w:color="auto"/>
        <w:left w:val="none" w:sz="0" w:space="0" w:color="auto"/>
        <w:bottom w:val="none" w:sz="0" w:space="0" w:color="auto"/>
        <w:right w:val="none" w:sz="0" w:space="0" w:color="auto"/>
      </w:divBdr>
    </w:div>
    <w:div w:id="1173183840">
      <w:bodyDiv w:val="1"/>
      <w:marLeft w:val="0"/>
      <w:marRight w:val="0"/>
      <w:marTop w:val="0"/>
      <w:marBottom w:val="0"/>
      <w:divBdr>
        <w:top w:val="none" w:sz="0" w:space="0" w:color="auto"/>
        <w:left w:val="none" w:sz="0" w:space="0" w:color="auto"/>
        <w:bottom w:val="none" w:sz="0" w:space="0" w:color="auto"/>
        <w:right w:val="none" w:sz="0" w:space="0" w:color="auto"/>
      </w:divBdr>
      <w:divsChild>
        <w:div w:id="574321363">
          <w:marLeft w:val="0"/>
          <w:marRight w:val="0"/>
          <w:marTop w:val="0"/>
          <w:marBottom w:val="0"/>
          <w:divBdr>
            <w:top w:val="none" w:sz="0" w:space="0" w:color="auto"/>
            <w:left w:val="none" w:sz="0" w:space="0" w:color="auto"/>
            <w:bottom w:val="none" w:sz="0" w:space="0" w:color="auto"/>
            <w:right w:val="none" w:sz="0" w:space="0" w:color="auto"/>
          </w:divBdr>
          <w:divsChild>
            <w:div w:id="1144078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1093063">
      <w:bodyDiv w:val="1"/>
      <w:marLeft w:val="0"/>
      <w:marRight w:val="0"/>
      <w:marTop w:val="0"/>
      <w:marBottom w:val="0"/>
      <w:divBdr>
        <w:top w:val="none" w:sz="0" w:space="0" w:color="auto"/>
        <w:left w:val="none" w:sz="0" w:space="0" w:color="auto"/>
        <w:bottom w:val="none" w:sz="0" w:space="0" w:color="auto"/>
        <w:right w:val="none" w:sz="0" w:space="0" w:color="auto"/>
      </w:divBdr>
    </w:div>
    <w:div w:id="1227960595">
      <w:bodyDiv w:val="1"/>
      <w:marLeft w:val="0"/>
      <w:marRight w:val="0"/>
      <w:marTop w:val="0"/>
      <w:marBottom w:val="0"/>
      <w:divBdr>
        <w:top w:val="none" w:sz="0" w:space="0" w:color="auto"/>
        <w:left w:val="none" w:sz="0" w:space="0" w:color="auto"/>
        <w:bottom w:val="none" w:sz="0" w:space="0" w:color="auto"/>
        <w:right w:val="none" w:sz="0" w:space="0" w:color="auto"/>
      </w:divBdr>
    </w:div>
    <w:div w:id="1295866044">
      <w:bodyDiv w:val="1"/>
      <w:marLeft w:val="0"/>
      <w:marRight w:val="0"/>
      <w:marTop w:val="0"/>
      <w:marBottom w:val="0"/>
      <w:divBdr>
        <w:top w:val="none" w:sz="0" w:space="0" w:color="auto"/>
        <w:left w:val="none" w:sz="0" w:space="0" w:color="auto"/>
        <w:bottom w:val="none" w:sz="0" w:space="0" w:color="auto"/>
        <w:right w:val="none" w:sz="0" w:space="0" w:color="auto"/>
      </w:divBdr>
    </w:div>
    <w:div w:id="1368027007">
      <w:bodyDiv w:val="1"/>
      <w:marLeft w:val="0"/>
      <w:marRight w:val="0"/>
      <w:marTop w:val="0"/>
      <w:marBottom w:val="0"/>
      <w:divBdr>
        <w:top w:val="none" w:sz="0" w:space="0" w:color="auto"/>
        <w:left w:val="none" w:sz="0" w:space="0" w:color="auto"/>
        <w:bottom w:val="none" w:sz="0" w:space="0" w:color="auto"/>
        <w:right w:val="none" w:sz="0" w:space="0" w:color="auto"/>
      </w:divBdr>
    </w:div>
    <w:div w:id="1484273708">
      <w:bodyDiv w:val="1"/>
      <w:marLeft w:val="0"/>
      <w:marRight w:val="0"/>
      <w:marTop w:val="0"/>
      <w:marBottom w:val="0"/>
      <w:divBdr>
        <w:top w:val="none" w:sz="0" w:space="0" w:color="auto"/>
        <w:left w:val="none" w:sz="0" w:space="0" w:color="auto"/>
        <w:bottom w:val="none" w:sz="0" w:space="0" w:color="auto"/>
        <w:right w:val="none" w:sz="0" w:space="0" w:color="auto"/>
      </w:divBdr>
    </w:div>
    <w:div w:id="19533919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9.png"/><Relationship Id="rId26" Type="http://schemas.openxmlformats.org/officeDocument/2006/relationships/image" Target="media/image17.jpeg"/><Relationship Id="rId3" Type="http://schemas.openxmlformats.org/officeDocument/2006/relationships/styles" Target="styles.xml"/><Relationship Id="rId21" Type="http://schemas.openxmlformats.org/officeDocument/2006/relationships/image" Target="media/image12.png"/><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8.png"/><Relationship Id="rId25" Type="http://schemas.openxmlformats.org/officeDocument/2006/relationships/image" Target="media/image16.jpeg"/><Relationship Id="rId2" Type="http://schemas.openxmlformats.org/officeDocument/2006/relationships/numbering" Target="numbering.xml"/><Relationship Id="rId16" Type="http://schemas.microsoft.com/office/2007/relationships/hdphoto" Target="media/hdphoto2.wdp"/><Relationship Id="rId20" Type="http://schemas.openxmlformats.org/officeDocument/2006/relationships/image" Target="media/image11.png"/><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5.png"/><Relationship Id="rId5" Type="http://schemas.openxmlformats.org/officeDocument/2006/relationships/webSettings" Target="webSettings.xml"/><Relationship Id="rId15" Type="http://schemas.openxmlformats.org/officeDocument/2006/relationships/image" Target="media/image7.png"/><Relationship Id="rId23" Type="http://schemas.openxmlformats.org/officeDocument/2006/relationships/image" Target="media/image14.png"/><Relationship Id="rId28" Type="http://schemas.openxmlformats.org/officeDocument/2006/relationships/footer" Target="footer1.xml"/><Relationship Id="rId10" Type="http://schemas.openxmlformats.org/officeDocument/2006/relationships/image" Target="media/image3.png"/><Relationship Id="rId19" Type="http://schemas.openxmlformats.org/officeDocument/2006/relationships/image" Target="media/image10.png"/><Relationship Id="rId4" Type="http://schemas.openxmlformats.org/officeDocument/2006/relationships/settings" Target="settings.xml"/><Relationship Id="rId9" Type="http://schemas.openxmlformats.org/officeDocument/2006/relationships/image" Target="media/image2.png"/><Relationship Id="rId14" Type="http://schemas.microsoft.com/office/2007/relationships/hdphoto" Target="media/hdphoto1.wdp"/><Relationship Id="rId22" Type="http://schemas.openxmlformats.org/officeDocument/2006/relationships/image" Target="media/image13.png"/><Relationship Id="rId27" Type="http://schemas.openxmlformats.org/officeDocument/2006/relationships/header" Target="header1.xml"/><Relationship Id="rId30" Type="http://schemas.openxmlformats.org/officeDocument/2006/relationships/theme" Target="theme/theme1.xml"/></Relationships>
</file>

<file path=word/_rels/footnotes.xml.rels><?xml version="1.0" encoding="UTF-8" standalone="yes"?>
<Relationships xmlns="http://schemas.openxmlformats.org/package/2006/relationships"><Relationship Id="rId3" Type="http://schemas.openxmlformats.org/officeDocument/2006/relationships/hyperlink" Target="https://vlcr.org.au/wp-content/uploads/2018/05/VLCR20-Report-Web.pdf" TargetMode="External"/><Relationship Id="rId2" Type="http://schemas.openxmlformats.org/officeDocument/2006/relationships/hyperlink" Target="https://www.cadth.ca/sites/default/files/DRR/2022/PC0246-Tagrisso-rec%20Final.pdf" TargetMode="External"/><Relationship Id="rId1" Type="http://schemas.openxmlformats.org/officeDocument/2006/relationships/hyperlink" Target="https://www.nice.org.uk/guidance/ta761/chapter/1-Recommendation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5503466-30CA-42E9-90AD-F48F81363EBC}">
  <ds:schemaRefs>
    <ds:schemaRef ds:uri="http://schemas.openxmlformats.org/officeDocument/2006/bibliography"/>
  </ds:schemaRefs>
</ds:datastoreItem>
</file>

<file path=docMetadata/LabelInfo.xml><?xml version="1.0" encoding="utf-8"?>
<clbl:labelList xmlns:clbl="http://schemas.microsoft.com/office/2020/mipLabelMetadata">
  <clbl:label id="{82b3e37e-8171-485d-b10b-38dae7ed14a8}" enabled="0" method="" siteId="{82b3e37e-8171-485d-b10b-38dae7ed14a8}" removed="1"/>
</clbl:labelList>
</file>

<file path=docProps/app.xml><?xml version="1.0" encoding="utf-8"?>
<Properties xmlns="http://schemas.openxmlformats.org/officeDocument/2006/extended-properties" xmlns:vt="http://schemas.openxmlformats.org/officeDocument/2006/docPropsVTypes">
  <Template>Normal.dotm</Template>
  <TotalTime>0</TotalTime>
  <Pages>40</Pages>
  <Words>14774</Words>
  <Characters>84218</Characters>
  <Application>Microsoft Office Word</Application>
  <DocSecurity>0</DocSecurity>
  <Lines>701</Lines>
  <Paragraphs>197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98795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2024-02-15T02:55:00Z</dcterms:created>
  <dcterms:modified xsi:type="dcterms:W3CDTF">2024-02-26T22:41:00Z</dcterms:modified>
</cp:coreProperties>
</file>